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149860</wp:posOffset>
            </wp:positionV>
            <wp:extent cx="6847205" cy="247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47205" cy="24765"/>
                    </a:xfrm>
                    <a:prstGeom prst="rect">
                      <a:avLst/>
                    </a:prstGeom>
                    <a:noFill/>
                  </pic:spPr>
                </pic:pic>
              </a:graphicData>
            </a:graphic>
          </wp:anchor>
        </w:drawing>
      </w:r>
    </w:p>
    <w:p>
      <w:pPr>
        <w:spacing w:after="0" w:line="239"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UNITED STATES SECURITIES AND EXCHANGE COMMISSION</w:t>
      </w:r>
    </w:p>
    <w:p>
      <w:pPr>
        <w:spacing w:after="0" w:line="23" w:lineRule="exact"/>
        <w:rPr>
          <w:sz w:val="20"/>
          <w:szCs w:val="20"/>
          <w:color w:val="auto"/>
        </w:rPr>
      </w:pPr>
    </w:p>
    <w:p>
      <w:pPr>
        <w:jc w:val="center"/>
        <w:ind w:right="-359"/>
        <w:spacing w:after="0"/>
        <w:rPr>
          <w:sz w:val="20"/>
          <w:szCs w:val="20"/>
          <w:color w:val="auto"/>
        </w:rPr>
      </w:pPr>
      <w:r>
        <w:rPr>
          <w:rFonts w:ascii="Arial" w:cs="Arial" w:eastAsia="Arial" w:hAnsi="Arial"/>
          <w:sz w:val="16"/>
          <w:szCs w:val="16"/>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53340</wp:posOffset>
            </wp:positionV>
            <wp:extent cx="1029970" cy="63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029970" cy="6350"/>
                    </a:xfrm>
                    <a:prstGeom prst="rect">
                      <a:avLst/>
                    </a:prstGeom>
                    <a:noFill/>
                  </pic:spPr>
                </pic:pic>
              </a:graphicData>
            </a:graphic>
          </wp:anchor>
        </w:drawing>
      </w:r>
    </w:p>
    <w:p>
      <w:pPr>
        <w:spacing w:after="0" w:line="132" w:lineRule="exact"/>
        <w:rPr>
          <w:sz w:val="20"/>
          <w:szCs w:val="20"/>
          <w:color w:val="auto"/>
        </w:rPr>
      </w:pPr>
    </w:p>
    <w:p>
      <w:pPr>
        <w:jc w:val="center"/>
        <w:ind w:right="-359"/>
        <w:spacing w:after="0"/>
        <w:rPr>
          <w:sz w:val="20"/>
          <w:szCs w:val="20"/>
          <w:color w:val="auto"/>
        </w:rPr>
      </w:pPr>
      <w:r>
        <w:rPr>
          <w:rFonts w:ascii="Arial" w:cs="Arial" w:eastAsia="Arial" w:hAnsi="Arial"/>
          <w:sz w:val="24"/>
          <w:szCs w:val="24"/>
          <w:b w:val="1"/>
          <w:bCs w:val="1"/>
          <w:color w:val="auto"/>
        </w:rPr>
        <w:t>Form 10-K</w:t>
      </w:r>
    </w:p>
    <w:p>
      <w:pPr>
        <w:spacing w:after="0" w:line="38" w:lineRule="exact"/>
        <w:rPr>
          <w:sz w:val="20"/>
          <w:szCs w:val="20"/>
          <w:color w:val="auto"/>
        </w:rPr>
      </w:pPr>
    </w:p>
    <w:p>
      <w:pPr>
        <w:ind w:left="1760" w:hanging="833"/>
        <w:spacing w:after="0"/>
        <w:tabs>
          <w:tab w:leader="none" w:pos="1760" w:val="left"/>
        </w:tabs>
        <w:numPr>
          <w:ilvl w:val="0"/>
          <w:numId w:val="1"/>
        </w:numPr>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ANNUAL REPORT PURSUANT TO SECTION 13 OR 15(d) OF THE SECURITIES EXCHANGE ACT OF 1934</w:t>
      </w:r>
    </w:p>
    <w:p>
      <w:pPr>
        <w:spacing w:after="0" w:line="24" w:lineRule="exact"/>
        <w:rPr>
          <w:sz w:val="20"/>
          <w:szCs w:val="20"/>
          <w:color w:val="auto"/>
        </w:rPr>
      </w:pPr>
    </w:p>
    <w:p>
      <w:pPr>
        <w:ind w:left="1760"/>
        <w:spacing w:after="0"/>
        <w:rPr>
          <w:sz w:val="20"/>
          <w:szCs w:val="20"/>
          <w:color w:val="auto"/>
        </w:rPr>
      </w:pPr>
      <w:r>
        <w:rPr>
          <w:rFonts w:ascii="Arial" w:cs="Arial" w:eastAsia="Arial" w:hAnsi="Arial"/>
          <w:sz w:val="13"/>
          <w:szCs w:val="13"/>
          <w:b w:val="1"/>
          <w:bCs w:val="1"/>
          <w:color w:val="auto"/>
        </w:rPr>
        <w:t>FOR THE FISCAL YEAR ENDED DECEMBER 31, 2005</w:t>
      </w:r>
    </w:p>
    <w:p>
      <w:pPr>
        <w:spacing w:after="0" w:line="13" w:lineRule="exact"/>
        <w:rPr>
          <w:sz w:val="20"/>
          <w:szCs w:val="20"/>
          <w:color w:val="auto"/>
        </w:rPr>
      </w:pPr>
    </w:p>
    <w:p>
      <w:pPr>
        <w:jc w:val="center"/>
        <w:ind w:right="-359"/>
        <w:spacing w:after="0"/>
        <w:rPr>
          <w:sz w:val="20"/>
          <w:szCs w:val="20"/>
          <w:color w:val="auto"/>
        </w:rPr>
      </w:pPr>
      <w:r>
        <w:rPr>
          <w:rFonts w:ascii="Arial" w:cs="Arial" w:eastAsia="Arial" w:hAnsi="Arial"/>
          <w:sz w:val="13"/>
          <w:szCs w:val="13"/>
          <w:b w:val="1"/>
          <w:bCs w:val="1"/>
          <w:color w:val="auto"/>
        </w:rPr>
        <w:t>OR</w:t>
      </w:r>
    </w:p>
    <w:p>
      <w:pPr>
        <w:spacing w:after="0" w:line="18" w:lineRule="exact"/>
        <w:rPr>
          <w:sz w:val="20"/>
          <w:szCs w:val="20"/>
          <w:color w:val="auto"/>
        </w:rPr>
      </w:pPr>
    </w:p>
    <w:p>
      <w:pPr>
        <w:ind w:left="1760" w:hanging="803"/>
        <w:spacing w:after="0"/>
        <w:tabs>
          <w:tab w:leader="none" w:pos="1760" w:val="left"/>
        </w:tabs>
        <w:numPr>
          <w:ilvl w:val="0"/>
          <w:numId w:val="2"/>
        </w:numPr>
        <w:rPr>
          <w:rFonts w:ascii="Arial" w:cs="Arial" w:eastAsia="Arial" w:hAnsi="Arial"/>
          <w:sz w:val="16"/>
          <w:szCs w:val="16"/>
          <w:b w:val="1"/>
          <w:bCs w:val="1"/>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32" w:lineRule="exact"/>
        <w:rPr>
          <w:sz w:val="20"/>
          <w:szCs w:val="20"/>
          <w:color w:val="auto"/>
        </w:rPr>
      </w:pPr>
    </w:p>
    <w:tbl>
      <w:tblPr>
        <w:tblLayout w:type="fixed"/>
        <w:tblInd w:w="340" w:type="dxa"/>
        <w:tblCellMar>
          <w:top w:w="0" w:type="dxa"/>
          <w:left w:w="0" w:type="dxa"/>
          <w:bottom w:w="0" w:type="dxa"/>
          <w:right w:w="0" w:type="dxa"/>
        </w:tblCellMar>
      </w:tblPr>
      <w:tr>
        <w:trPr>
          <w:trHeight w:val="169"/>
        </w:trPr>
        <w:tc>
          <w:tcPr>
            <w:tcW w:w="1620" w:type="dxa"/>
            <w:vAlign w:val="bottom"/>
          </w:tcPr>
          <w:p>
            <w:pPr>
              <w:spacing w:after="0"/>
              <w:rPr>
                <w:sz w:val="14"/>
                <w:szCs w:val="14"/>
                <w:color w:val="auto"/>
              </w:rPr>
            </w:pPr>
          </w:p>
        </w:tc>
        <w:tc>
          <w:tcPr>
            <w:tcW w:w="5360" w:type="dxa"/>
            <w:vAlign w:val="bottom"/>
          </w:tcPr>
          <w:p>
            <w:pPr>
              <w:jc w:val="center"/>
              <w:ind w:left="2113"/>
              <w:spacing w:after="0"/>
              <w:rPr>
                <w:sz w:val="20"/>
                <w:szCs w:val="20"/>
                <w:color w:val="auto"/>
              </w:rPr>
            </w:pPr>
            <w:r>
              <w:rPr>
                <w:rFonts w:ascii="Arial" w:cs="Arial" w:eastAsia="Arial" w:hAnsi="Arial"/>
                <w:sz w:val="13"/>
                <w:szCs w:val="13"/>
                <w:b w:val="1"/>
                <w:bCs w:val="1"/>
                <w:color w:val="auto"/>
              </w:rPr>
              <w:t>COMMISSION FILE NUMBER 0-19871</w:t>
            </w:r>
          </w:p>
        </w:tc>
        <w:tc>
          <w:tcPr>
            <w:tcW w:w="1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9"/>
        </w:trPr>
        <w:tc>
          <w:tcPr>
            <w:tcW w:w="1620" w:type="dxa"/>
            <w:vAlign w:val="bottom"/>
            <w:tcBorders>
              <w:bottom w:val="single" w:sz="8" w:color="auto"/>
            </w:tcBorders>
          </w:tcPr>
          <w:p>
            <w:pPr>
              <w:spacing w:after="0"/>
              <w:rPr>
                <w:sz w:val="9"/>
                <w:szCs w:val="9"/>
                <w:color w:val="auto"/>
              </w:rPr>
            </w:pPr>
          </w:p>
        </w:tc>
        <w:tc>
          <w:tcPr>
            <w:tcW w:w="5360" w:type="dxa"/>
            <w:vAlign w:val="bottom"/>
            <w:vMerge w:val="restart"/>
          </w:tcPr>
          <w:p>
            <w:pPr>
              <w:jc w:val="center"/>
              <w:ind w:left="2113"/>
              <w:spacing w:after="0"/>
              <w:rPr>
                <w:sz w:val="20"/>
                <w:szCs w:val="20"/>
                <w:color w:val="auto"/>
              </w:rPr>
            </w:pPr>
            <w:r>
              <w:rPr>
                <w:rFonts w:ascii="Arial" w:cs="Arial" w:eastAsia="Arial" w:hAnsi="Arial"/>
                <w:sz w:val="31"/>
                <w:szCs w:val="31"/>
                <w:b w:val="1"/>
                <w:bCs w:val="1"/>
                <w:color w:val="auto"/>
              </w:rPr>
              <w:t>STEMCELLS, INC.</w:t>
            </w:r>
          </w:p>
        </w:tc>
        <w:tc>
          <w:tcPr>
            <w:tcW w:w="15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39"/>
        </w:trPr>
        <w:tc>
          <w:tcPr>
            <w:tcW w:w="1620" w:type="dxa"/>
            <w:vAlign w:val="bottom"/>
          </w:tcPr>
          <w:p>
            <w:pPr>
              <w:spacing w:after="0"/>
              <w:rPr>
                <w:sz w:val="24"/>
                <w:szCs w:val="24"/>
                <w:color w:val="auto"/>
              </w:rPr>
            </w:pPr>
          </w:p>
        </w:tc>
        <w:tc>
          <w:tcPr>
            <w:tcW w:w="5360" w:type="dxa"/>
            <w:vAlign w:val="bottom"/>
            <w:vMerge w:val="continue"/>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1620" w:type="dxa"/>
            <w:vAlign w:val="bottom"/>
          </w:tcPr>
          <w:p>
            <w:pPr>
              <w:spacing w:after="0"/>
              <w:rPr>
                <w:sz w:val="11"/>
                <w:szCs w:val="11"/>
                <w:color w:val="auto"/>
              </w:rPr>
            </w:pPr>
          </w:p>
        </w:tc>
        <w:tc>
          <w:tcPr>
            <w:tcW w:w="5360" w:type="dxa"/>
            <w:vAlign w:val="bottom"/>
          </w:tcPr>
          <w:p>
            <w:pPr>
              <w:jc w:val="center"/>
              <w:ind w:left="2113"/>
              <w:spacing w:after="0"/>
              <w:rPr>
                <w:sz w:val="20"/>
                <w:szCs w:val="20"/>
                <w:color w:val="auto"/>
              </w:rPr>
            </w:pPr>
            <w:r>
              <w:rPr>
                <w:rFonts w:ascii="Arial" w:cs="Arial" w:eastAsia="Arial" w:hAnsi="Arial"/>
                <w:sz w:val="10"/>
                <w:szCs w:val="10"/>
                <w:i w:val="1"/>
                <w:iCs w:val="1"/>
                <w:color w:val="auto"/>
                <w:w w:val="95"/>
              </w:rPr>
              <w:t>(Exact name of Registrant as specified in its charter)</w:t>
            </w:r>
          </w:p>
        </w:tc>
        <w:tc>
          <w:tcPr>
            <w:tcW w:w="15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3"/>
        </w:trPr>
        <w:tc>
          <w:tcPr>
            <w:tcW w:w="1620" w:type="dxa"/>
            <w:vAlign w:val="bottom"/>
          </w:tcPr>
          <w:p>
            <w:pPr>
              <w:spacing w:after="0"/>
              <w:rPr>
                <w:sz w:val="16"/>
                <w:szCs w:val="16"/>
                <w:color w:val="auto"/>
              </w:rPr>
            </w:pPr>
          </w:p>
        </w:tc>
        <w:tc>
          <w:tcPr>
            <w:tcW w:w="5360" w:type="dxa"/>
            <w:vAlign w:val="bottom"/>
          </w:tcPr>
          <w:p>
            <w:pPr>
              <w:jc w:val="center"/>
              <w:ind w:right="3113"/>
              <w:spacing w:after="0"/>
              <w:rPr>
                <w:sz w:val="20"/>
                <w:szCs w:val="20"/>
                <w:color w:val="auto"/>
              </w:rPr>
            </w:pPr>
            <w:r>
              <w:rPr>
                <w:rFonts w:ascii="Arial" w:cs="Arial" w:eastAsia="Arial" w:hAnsi="Arial"/>
                <w:sz w:val="13"/>
                <w:szCs w:val="13"/>
                <w:b w:val="1"/>
                <w:bCs w:val="1"/>
                <w:color w:val="auto"/>
                <w:w w:val="98"/>
              </w:rPr>
              <w:t>DELAWARE</w:t>
            </w:r>
          </w:p>
        </w:tc>
        <w:tc>
          <w:tcPr>
            <w:tcW w:w="1540" w:type="dxa"/>
            <w:vAlign w:val="bottom"/>
          </w:tcPr>
          <w:p>
            <w:pPr>
              <w:jc w:val="right"/>
              <w:spacing w:after="0"/>
              <w:rPr>
                <w:sz w:val="20"/>
                <w:szCs w:val="20"/>
                <w:color w:val="auto"/>
              </w:rPr>
            </w:pPr>
            <w:r>
              <w:rPr>
                <w:rFonts w:ascii="Arial" w:cs="Arial" w:eastAsia="Arial" w:hAnsi="Arial"/>
                <w:sz w:val="13"/>
                <w:szCs w:val="13"/>
                <w:b w:val="1"/>
                <w:bCs w:val="1"/>
                <w:color w:val="auto"/>
              </w:rPr>
              <w:t>94-3078125</w:t>
            </w:r>
          </w:p>
        </w:tc>
        <w:tc>
          <w:tcPr>
            <w:tcW w:w="0" w:type="dxa"/>
            <w:vAlign w:val="bottom"/>
          </w:tcPr>
          <w:p>
            <w:pPr>
              <w:spacing w:after="0"/>
              <w:rPr>
                <w:sz w:val="1"/>
                <w:szCs w:val="1"/>
                <w:color w:val="auto"/>
              </w:rPr>
            </w:pPr>
          </w:p>
        </w:tc>
      </w:tr>
      <w:tr>
        <w:trPr>
          <w:trHeight w:val="108"/>
        </w:trPr>
        <w:tc>
          <w:tcPr>
            <w:tcW w:w="1620" w:type="dxa"/>
            <w:vAlign w:val="bottom"/>
          </w:tcPr>
          <w:p>
            <w:pPr>
              <w:spacing w:after="0"/>
              <w:rPr>
                <w:sz w:val="9"/>
                <w:szCs w:val="9"/>
                <w:color w:val="auto"/>
              </w:rPr>
            </w:pPr>
          </w:p>
        </w:tc>
        <w:tc>
          <w:tcPr>
            <w:tcW w:w="5360" w:type="dxa"/>
            <w:vAlign w:val="bottom"/>
          </w:tcPr>
          <w:p>
            <w:pPr>
              <w:jc w:val="center"/>
              <w:ind w:right="3133"/>
              <w:spacing w:after="0" w:line="108" w:lineRule="exact"/>
              <w:rPr>
                <w:sz w:val="20"/>
                <w:szCs w:val="20"/>
                <w:color w:val="auto"/>
              </w:rPr>
            </w:pPr>
            <w:r>
              <w:rPr>
                <w:rFonts w:ascii="Arial" w:cs="Arial" w:eastAsia="Arial" w:hAnsi="Arial"/>
                <w:sz w:val="10"/>
                <w:szCs w:val="10"/>
                <w:i w:val="1"/>
                <w:iCs w:val="1"/>
                <w:color w:val="auto"/>
                <w:w w:val="98"/>
              </w:rPr>
              <w:t>(State or other jurisdiction</w:t>
            </w:r>
          </w:p>
        </w:tc>
        <w:tc>
          <w:tcPr>
            <w:tcW w:w="1540" w:type="dxa"/>
            <w:vAlign w:val="bottom"/>
          </w:tcPr>
          <w:p>
            <w:pPr>
              <w:jc w:val="center"/>
              <w:ind w:left="740"/>
              <w:spacing w:after="0" w:line="108" w:lineRule="exact"/>
              <w:rPr>
                <w:sz w:val="20"/>
                <w:szCs w:val="20"/>
                <w:color w:val="auto"/>
              </w:rPr>
            </w:pPr>
            <w:r>
              <w:rPr>
                <w:rFonts w:ascii="Arial" w:cs="Arial" w:eastAsia="Arial" w:hAnsi="Arial"/>
                <w:sz w:val="10"/>
                <w:szCs w:val="10"/>
                <w:i w:val="1"/>
                <w:iCs w:val="1"/>
                <w:color w:val="auto"/>
                <w:w w:val="95"/>
              </w:rPr>
              <w:t>(I.R.S. Employer</w:t>
            </w:r>
          </w:p>
        </w:tc>
        <w:tc>
          <w:tcPr>
            <w:tcW w:w="0" w:type="dxa"/>
            <w:vAlign w:val="bottom"/>
          </w:tcPr>
          <w:p>
            <w:pPr>
              <w:spacing w:after="0"/>
              <w:rPr>
                <w:sz w:val="1"/>
                <w:szCs w:val="1"/>
                <w:color w:val="auto"/>
              </w:rPr>
            </w:pPr>
          </w:p>
        </w:tc>
      </w:tr>
      <w:tr>
        <w:trPr>
          <w:trHeight w:val="131"/>
        </w:trPr>
        <w:tc>
          <w:tcPr>
            <w:tcW w:w="1620" w:type="dxa"/>
            <w:vAlign w:val="bottom"/>
          </w:tcPr>
          <w:p>
            <w:pPr>
              <w:spacing w:after="0"/>
              <w:rPr>
                <w:sz w:val="11"/>
                <w:szCs w:val="11"/>
                <w:color w:val="auto"/>
              </w:rPr>
            </w:pPr>
          </w:p>
        </w:tc>
        <w:tc>
          <w:tcPr>
            <w:tcW w:w="5360" w:type="dxa"/>
            <w:vAlign w:val="bottom"/>
          </w:tcPr>
          <w:p>
            <w:pPr>
              <w:jc w:val="center"/>
              <w:ind w:right="3133"/>
              <w:spacing w:after="0"/>
              <w:rPr>
                <w:sz w:val="20"/>
                <w:szCs w:val="20"/>
                <w:color w:val="auto"/>
              </w:rPr>
            </w:pPr>
            <w:r>
              <w:rPr>
                <w:rFonts w:ascii="Arial" w:cs="Arial" w:eastAsia="Arial" w:hAnsi="Arial"/>
                <w:sz w:val="10"/>
                <w:szCs w:val="10"/>
                <w:i w:val="1"/>
                <w:iCs w:val="1"/>
                <w:color w:val="auto"/>
                <w:w w:val="99"/>
              </w:rPr>
              <w:t>of incorporation or organization)</w:t>
            </w:r>
          </w:p>
        </w:tc>
        <w:tc>
          <w:tcPr>
            <w:tcW w:w="1540" w:type="dxa"/>
            <w:vAlign w:val="bottom"/>
          </w:tcPr>
          <w:p>
            <w:pPr>
              <w:jc w:val="center"/>
              <w:ind w:left="720"/>
              <w:spacing w:after="0"/>
              <w:rPr>
                <w:sz w:val="20"/>
                <w:szCs w:val="20"/>
                <w:color w:val="auto"/>
              </w:rPr>
            </w:pPr>
            <w:r>
              <w:rPr>
                <w:rFonts w:ascii="Arial" w:cs="Arial" w:eastAsia="Arial" w:hAnsi="Arial"/>
                <w:sz w:val="10"/>
                <w:szCs w:val="10"/>
                <w:i w:val="1"/>
                <w:iCs w:val="1"/>
                <w:color w:val="auto"/>
                <w:w w:val="97"/>
              </w:rPr>
              <w:t>Identification No.)</w:t>
            </w:r>
          </w:p>
        </w:tc>
        <w:tc>
          <w:tcPr>
            <w:tcW w:w="0" w:type="dxa"/>
            <w:vAlign w:val="bottom"/>
          </w:tcPr>
          <w:p>
            <w:pPr>
              <w:spacing w:after="0"/>
              <w:rPr>
                <w:sz w:val="1"/>
                <w:szCs w:val="1"/>
                <w:color w:val="auto"/>
              </w:rPr>
            </w:pPr>
          </w:p>
        </w:tc>
      </w:tr>
      <w:tr>
        <w:trPr>
          <w:trHeight w:val="213"/>
        </w:trPr>
        <w:tc>
          <w:tcPr>
            <w:tcW w:w="1620" w:type="dxa"/>
            <w:vAlign w:val="bottom"/>
          </w:tcPr>
          <w:p>
            <w:pPr>
              <w:spacing w:after="0"/>
              <w:rPr>
                <w:sz w:val="18"/>
                <w:szCs w:val="18"/>
                <w:color w:val="auto"/>
              </w:rPr>
            </w:pPr>
          </w:p>
        </w:tc>
        <w:tc>
          <w:tcPr>
            <w:tcW w:w="5360" w:type="dxa"/>
            <w:vAlign w:val="bottom"/>
          </w:tcPr>
          <w:p>
            <w:pPr>
              <w:jc w:val="center"/>
              <w:ind w:right="3133"/>
              <w:spacing w:after="0"/>
              <w:rPr>
                <w:sz w:val="20"/>
                <w:szCs w:val="20"/>
                <w:color w:val="auto"/>
              </w:rPr>
            </w:pPr>
            <w:r>
              <w:rPr>
                <w:rFonts w:ascii="Arial" w:cs="Arial" w:eastAsia="Arial" w:hAnsi="Arial"/>
                <w:sz w:val="13"/>
                <w:szCs w:val="13"/>
                <w:b w:val="1"/>
                <w:bCs w:val="1"/>
                <w:color w:val="auto"/>
                <w:w w:val="98"/>
              </w:rPr>
              <w:t>3155 PORTER DRIVE,</w:t>
            </w:r>
          </w:p>
        </w:tc>
        <w:tc>
          <w:tcPr>
            <w:tcW w:w="1540" w:type="dxa"/>
            <w:vAlign w:val="bottom"/>
          </w:tcPr>
          <w:p>
            <w:pPr>
              <w:jc w:val="right"/>
              <w:ind w:right="160"/>
              <w:spacing w:after="0"/>
              <w:rPr>
                <w:sz w:val="20"/>
                <w:szCs w:val="20"/>
                <w:color w:val="auto"/>
              </w:rPr>
            </w:pPr>
            <w:r>
              <w:rPr>
                <w:rFonts w:ascii="Arial" w:cs="Arial" w:eastAsia="Arial" w:hAnsi="Arial"/>
                <w:sz w:val="13"/>
                <w:szCs w:val="13"/>
                <w:b w:val="1"/>
                <w:bCs w:val="1"/>
                <w:color w:val="auto"/>
              </w:rPr>
              <w:t>94304</w:t>
            </w:r>
          </w:p>
        </w:tc>
        <w:tc>
          <w:tcPr>
            <w:tcW w:w="0" w:type="dxa"/>
            <w:vAlign w:val="bottom"/>
          </w:tcPr>
          <w:p>
            <w:pPr>
              <w:spacing w:after="0"/>
              <w:rPr>
                <w:sz w:val="1"/>
                <w:szCs w:val="1"/>
                <w:color w:val="auto"/>
              </w:rPr>
            </w:pPr>
          </w:p>
        </w:tc>
      </w:tr>
      <w:tr>
        <w:trPr>
          <w:trHeight w:val="157"/>
        </w:trPr>
        <w:tc>
          <w:tcPr>
            <w:tcW w:w="1620" w:type="dxa"/>
            <w:vAlign w:val="bottom"/>
          </w:tcPr>
          <w:p>
            <w:pPr>
              <w:spacing w:after="0"/>
              <w:rPr>
                <w:sz w:val="13"/>
                <w:szCs w:val="13"/>
                <w:color w:val="auto"/>
              </w:rPr>
            </w:pPr>
          </w:p>
        </w:tc>
        <w:tc>
          <w:tcPr>
            <w:tcW w:w="5360" w:type="dxa"/>
            <w:vAlign w:val="bottom"/>
          </w:tcPr>
          <w:p>
            <w:pPr>
              <w:jc w:val="center"/>
              <w:ind w:right="3133"/>
              <w:spacing w:after="0"/>
              <w:rPr>
                <w:sz w:val="20"/>
                <w:szCs w:val="20"/>
                <w:color w:val="auto"/>
              </w:rPr>
            </w:pPr>
            <w:r>
              <w:rPr>
                <w:rFonts w:ascii="Arial" w:cs="Arial" w:eastAsia="Arial" w:hAnsi="Arial"/>
                <w:sz w:val="13"/>
                <w:szCs w:val="13"/>
                <w:b w:val="1"/>
                <w:bCs w:val="1"/>
                <w:color w:val="auto"/>
                <w:w w:val="98"/>
              </w:rPr>
              <w:t>PALO ALTO, CA</w:t>
            </w:r>
          </w:p>
        </w:tc>
        <w:tc>
          <w:tcPr>
            <w:tcW w:w="1540" w:type="dxa"/>
            <w:vAlign w:val="bottom"/>
          </w:tcPr>
          <w:p>
            <w:pPr>
              <w:jc w:val="center"/>
              <w:ind w:left="720"/>
              <w:spacing w:after="0"/>
              <w:rPr>
                <w:sz w:val="20"/>
                <w:szCs w:val="20"/>
                <w:color w:val="auto"/>
              </w:rPr>
            </w:pPr>
            <w:r>
              <w:rPr>
                <w:rFonts w:ascii="Arial" w:cs="Arial" w:eastAsia="Arial" w:hAnsi="Arial"/>
                <w:sz w:val="10"/>
                <w:szCs w:val="10"/>
                <w:i w:val="1"/>
                <w:iCs w:val="1"/>
                <w:color w:val="auto"/>
                <w:w w:val="91"/>
              </w:rPr>
              <w:t>(zip code)</w:t>
            </w:r>
          </w:p>
        </w:tc>
        <w:tc>
          <w:tcPr>
            <w:tcW w:w="0" w:type="dxa"/>
            <w:vAlign w:val="bottom"/>
          </w:tcPr>
          <w:p>
            <w:pPr>
              <w:spacing w:after="0"/>
              <w:rPr>
                <w:sz w:val="1"/>
                <w:szCs w:val="1"/>
                <w:color w:val="auto"/>
              </w:rPr>
            </w:pPr>
          </w:p>
        </w:tc>
      </w:tr>
      <w:tr>
        <w:trPr>
          <w:trHeight w:val="131"/>
        </w:trPr>
        <w:tc>
          <w:tcPr>
            <w:tcW w:w="1620" w:type="dxa"/>
            <w:vAlign w:val="bottom"/>
          </w:tcPr>
          <w:p>
            <w:pPr>
              <w:spacing w:after="0"/>
              <w:rPr>
                <w:sz w:val="11"/>
                <w:szCs w:val="11"/>
                <w:color w:val="auto"/>
              </w:rPr>
            </w:pPr>
          </w:p>
        </w:tc>
        <w:tc>
          <w:tcPr>
            <w:tcW w:w="5360" w:type="dxa"/>
            <w:vAlign w:val="bottom"/>
          </w:tcPr>
          <w:p>
            <w:pPr>
              <w:jc w:val="center"/>
              <w:ind w:right="3113"/>
              <w:spacing w:after="0"/>
              <w:rPr>
                <w:sz w:val="20"/>
                <w:szCs w:val="20"/>
                <w:color w:val="auto"/>
              </w:rPr>
            </w:pPr>
            <w:r>
              <w:rPr>
                <w:rFonts w:ascii="Arial" w:cs="Arial" w:eastAsia="Arial" w:hAnsi="Arial"/>
                <w:sz w:val="10"/>
                <w:szCs w:val="10"/>
                <w:i w:val="1"/>
                <w:iCs w:val="1"/>
                <w:color w:val="auto"/>
                <w:w w:val="96"/>
              </w:rPr>
              <w:t>(Address of principal offices)</w:t>
            </w:r>
          </w:p>
        </w:tc>
        <w:tc>
          <w:tcPr>
            <w:tcW w:w="15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1620" w:type="dxa"/>
            <w:vAlign w:val="bottom"/>
          </w:tcPr>
          <w:p>
            <w:pPr>
              <w:spacing w:after="0"/>
              <w:rPr>
                <w:sz w:val="15"/>
                <w:szCs w:val="15"/>
                <w:color w:val="auto"/>
              </w:rPr>
            </w:pPr>
          </w:p>
        </w:tc>
        <w:tc>
          <w:tcPr>
            <w:tcW w:w="5360" w:type="dxa"/>
            <w:vAlign w:val="bottom"/>
          </w:tcPr>
          <w:p>
            <w:pPr>
              <w:jc w:val="center"/>
              <w:ind w:left="2133"/>
              <w:spacing w:after="0"/>
              <w:rPr>
                <w:sz w:val="20"/>
                <w:szCs w:val="20"/>
                <w:color w:val="auto"/>
              </w:rPr>
            </w:pPr>
            <w:r>
              <w:rPr>
                <w:rFonts w:ascii="Arial" w:cs="Arial" w:eastAsia="Arial" w:hAnsi="Arial"/>
                <w:sz w:val="13"/>
                <w:szCs w:val="13"/>
                <w:b w:val="1"/>
                <w:bCs w:val="1"/>
                <w:color w:val="auto"/>
                <w:w w:val="89"/>
              </w:rPr>
              <w:t>Registrant’s telephone number, including area code:</w:t>
            </w:r>
          </w:p>
        </w:tc>
        <w:tc>
          <w:tcPr>
            <w:tcW w:w="1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6980" w:type="dxa"/>
            <w:vAlign w:val="bottom"/>
            <w:gridSpan w:val="2"/>
          </w:tcPr>
          <w:p>
            <w:pPr>
              <w:jc w:val="center"/>
              <w:ind w:left="3754"/>
              <w:spacing w:after="0"/>
              <w:rPr>
                <w:sz w:val="20"/>
                <w:szCs w:val="20"/>
                <w:color w:val="auto"/>
              </w:rPr>
            </w:pPr>
            <w:r>
              <w:rPr>
                <w:rFonts w:ascii="Arial" w:cs="Arial" w:eastAsia="Arial" w:hAnsi="Arial"/>
                <w:sz w:val="13"/>
                <w:szCs w:val="13"/>
                <w:b w:val="1"/>
                <w:bCs w:val="1"/>
                <w:color w:val="auto"/>
                <w:w w:val="90"/>
              </w:rPr>
              <w:t>(650) 475 3100</w:t>
            </w:r>
          </w:p>
        </w:tc>
        <w:tc>
          <w:tcPr>
            <w:tcW w:w="1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1620" w:type="dxa"/>
            <w:vAlign w:val="bottom"/>
          </w:tcPr>
          <w:p>
            <w:pPr>
              <w:spacing w:after="0"/>
              <w:rPr>
                <w:sz w:val="16"/>
                <w:szCs w:val="16"/>
                <w:color w:val="auto"/>
              </w:rPr>
            </w:pPr>
          </w:p>
        </w:tc>
        <w:tc>
          <w:tcPr>
            <w:tcW w:w="6900" w:type="dxa"/>
            <w:vAlign w:val="bottom"/>
            <w:gridSpan w:val="2"/>
          </w:tcPr>
          <w:p>
            <w:pPr>
              <w:jc w:val="center"/>
              <w:ind w:left="593"/>
              <w:spacing w:after="0"/>
              <w:rPr>
                <w:sz w:val="20"/>
                <w:szCs w:val="20"/>
                <w:color w:val="auto"/>
              </w:rPr>
            </w:pPr>
            <w:r>
              <w:rPr>
                <w:rFonts w:ascii="Arial" w:cs="Arial" w:eastAsia="Arial" w:hAnsi="Arial"/>
                <w:sz w:val="13"/>
                <w:szCs w:val="13"/>
                <w:b w:val="1"/>
                <w:bCs w:val="1"/>
                <w:color w:val="auto"/>
                <w:w w:val="89"/>
              </w:rPr>
              <w:t>Securities registered pursuant to Section 12(b) of the Act:</w:t>
            </w:r>
          </w:p>
        </w:tc>
        <w:tc>
          <w:tcPr>
            <w:tcW w:w="0" w:type="dxa"/>
            <w:vAlign w:val="bottom"/>
          </w:tcPr>
          <w:p>
            <w:pPr>
              <w:spacing w:after="0"/>
              <w:rPr>
                <w:sz w:val="1"/>
                <w:szCs w:val="1"/>
                <w:color w:val="auto"/>
              </w:rPr>
            </w:pPr>
          </w:p>
        </w:tc>
      </w:tr>
      <w:tr>
        <w:trPr>
          <w:trHeight w:val="169"/>
        </w:trPr>
        <w:tc>
          <w:tcPr>
            <w:tcW w:w="1620" w:type="dxa"/>
            <w:vAlign w:val="bottom"/>
          </w:tcPr>
          <w:p>
            <w:pPr>
              <w:spacing w:after="0"/>
              <w:rPr>
                <w:sz w:val="14"/>
                <w:szCs w:val="14"/>
                <w:color w:val="auto"/>
              </w:rPr>
            </w:pPr>
          </w:p>
        </w:tc>
        <w:tc>
          <w:tcPr>
            <w:tcW w:w="5360" w:type="dxa"/>
            <w:vAlign w:val="bottom"/>
          </w:tcPr>
          <w:p>
            <w:pPr>
              <w:jc w:val="center"/>
              <w:ind w:left="2113"/>
              <w:spacing w:after="0"/>
              <w:rPr>
                <w:sz w:val="20"/>
                <w:szCs w:val="20"/>
                <w:color w:val="auto"/>
              </w:rPr>
            </w:pPr>
            <w:r>
              <w:rPr>
                <w:rFonts w:ascii="Arial" w:cs="Arial" w:eastAsia="Arial" w:hAnsi="Arial"/>
                <w:sz w:val="13"/>
                <w:szCs w:val="13"/>
                <w:b w:val="1"/>
                <w:bCs w:val="1"/>
                <w:color w:val="auto"/>
              </w:rPr>
              <w:t>NONE</w:t>
            </w:r>
          </w:p>
        </w:tc>
        <w:tc>
          <w:tcPr>
            <w:tcW w:w="1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1620" w:type="dxa"/>
            <w:vAlign w:val="bottom"/>
          </w:tcPr>
          <w:p>
            <w:pPr>
              <w:spacing w:after="0"/>
              <w:rPr>
                <w:sz w:val="17"/>
                <w:szCs w:val="17"/>
                <w:color w:val="auto"/>
              </w:rPr>
            </w:pPr>
          </w:p>
        </w:tc>
        <w:tc>
          <w:tcPr>
            <w:tcW w:w="6900" w:type="dxa"/>
            <w:vAlign w:val="bottom"/>
            <w:gridSpan w:val="2"/>
          </w:tcPr>
          <w:p>
            <w:pPr>
              <w:jc w:val="center"/>
              <w:ind w:left="593"/>
              <w:spacing w:after="0"/>
              <w:rPr>
                <w:sz w:val="20"/>
                <w:szCs w:val="20"/>
                <w:color w:val="auto"/>
              </w:rPr>
            </w:pPr>
            <w:r>
              <w:rPr>
                <w:rFonts w:ascii="Arial" w:cs="Arial" w:eastAsia="Arial" w:hAnsi="Arial"/>
                <w:sz w:val="13"/>
                <w:szCs w:val="13"/>
                <w:b w:val="1"/>
                <w:bCs w:val="1"/>
                <w:color w:val="auto"/>
                <w:w w:val="89"/>
              </w:rPr>
              <w:t>Securities registered pursuant to Section 12(g) of the Act:</w:t>
            </w:r>
          </w:p>
        </w:tc>
        <w:tc>
          <w:tcPr>
            <w:tcW w:w="0" w:type="dxa"/>
            <w:vAlign w:val="bottom"/>
          </w:tcPr>
          <w:p>
            <w:pPr>
              <w:spacing w:after="0"/>
              <w:rPr>
                <w:sz w:val="1"/>
                <w:szCs w:val="1"/>
                <w:color w:val="auto"/>
              </w:rPr>
            </w:pPr>
          </w:p>
        </w:tc>
      </w:tr>
      <w:tr>
        <w:trPr>
          <w:trHeight w:val="195"/>
        </w:trPr>
        <w:tc>
          <w:tcPr>
            <w:tcW w:w="1620" w:type="dxa"/>
            <w:vAlign w:val="bottom"/>
          </w:tcPr>
          <w:p>
            <w:pPr>
              <w:spacing w:after="0"/>
              <w:rPr>
                <w:sz w:val="16"/>
                <w:szCs w:val="16"/>
                <w:color w:val="auto"/>
              </w:rPr>
            </w:pPr>
          </w:p>
        </w:tc>
        <w:tc>
          <w:tcPr>
            <w:tcW w:w="5360" w:type="dxa"/>
            <w:vAlign w:val="bottom"/>
          </w:tcPr>
          <w:p>
            <w:pPr>
              <w:jc w:val="center"/>
              <w:ind w:left="2113"/>
              <w:spacing w:after="0"/>
              <w:rPr>
                <w:sz w:val="20"/>
                <w:szCs w:val="20"/>
                <w:color w:val="auto"/>
              </w:rPr>
            </w:pPr>
            <w:r>
              <w:rPr>
                <w:rFonts w:ascii="Arial" w:cs="Arial" w:eastAsia="Arial" w:hAnsi="Arial"/>
                <w:sz w:val="13"/>
                <w:szCs w:val="13"/>
                <w:b w:val="1"/>
                <w:bCs w:val="1"/>
                <w:color w:val="auto"/>
                <w:w w:val="98"/>
              </w:rPr>
              <w:t>COMMON STOCK, $.01 PAR VALUE</w:t>
            </w:r>
          </w:p>
        </w:tc>
        <w:tc>
          <w:tcPr>
            <w:tcW w:w="1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1620" w:type="dxa"/>
            <w:vAlign w:val="bottom"/>
          </w:tcPr>
          <w:p>
            <w:pPr>
              <w:spacing w:after="0"/>
              <w:rPr>
                <w:sz w:val="13"/>
                <w:szCs w:val="13"/>
                <w:color w:val="auto"/>
              </w:rPr>
            </w:pPr>
          </w:p>
        </w:tc>
        <w:tc>
          <w:tcPr>
            <w:tcW w:w="5360" w:type="dxa"/>
            <w:vAlign w:val="bottom"/>
          </w:tcPr>
          <w:p>
            <w:pPr>
              <w:jc w:val="center"/>
              <w:ind w:left="2133"/>
              <w:spacing w:after="0"/>
              <w:rPr>
                <w:sz w:val="20"/>
                <w:szCs w:val="20"/>
                <w:color w:val="auto"/>
              </w:rPr>
            </w:pPr>
            <w:r>
              <w:rPr>
                <w:rFonts w:ascii="Arial" w:cs="Arial" w:eastAsia="Arial" w:hAnsi="Arial"/>
                <w:sz w:val="13"/>
                <w:szCs w:val="13"/>
                <w:b w:val="1"/>
                <w:bCs w:val="1"/>
                <w:color w:val="auto"/>
              </w:rPr>
              <w:t>JUNIOR PREFERRED STOCK PURCHASE RIGHTS</w:t>
            </w:r>
          </w:p>
        </w:tc>
        <w:tc>
          <w:tcPr>
            <w:tcW w:w="1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1620" w:type="dxa"/>
            <w:vAlign w:val="bottom"/>
          </w:tcPr>
          <w:p>
            <w:pPr>
              <w:spacing w:after="0"/>
              <w:rPr>
                <w:sz w:val="11"/>
                <w:szCs w:val="11"/>
                <w:color w:val="auto"/>
              </w:rPr>
            </w:pPr>
          </w:p>
        </w:tc>
        <w:tc>
          <w:tcPr>
            <w:tcW w:w="5360" w:type="dxa"/>
            <w:vAlign w:val="bottom"/>
          </w:tcPr>
          <w:p>
            <w:pPr>
              <w:jc w:val="center"/>
              <w:ind w:left="2113"/>
              <w:spacing w:after="0"/>
              <w:rPr>
                <w:sz w:val="20"/>
                <w:szCs w:val="20"/>
                <w:color w:val="auto"/>
              </w:rPr>
            </w:pPr>
            <w:r>
              <w:rPr>
                <w:rFonts w:ascii="Arial" w:cs="Arial" w:eastAsia="Arial" w:hAnsi="Arial"/>
                <w:sz w:val="10"/>
                <w:szCs w:val="10"/>
                <w:i w:val="1"/>
                <w:iCs w:val="1"/>
                <w:color w:val="auto"/>
                <w:w w:val="97"/>
              </w:rPr>
              <w:t>Title of class</w:t>
            </w:r>
          </w:p>
        </w:tc>
        <w:tc>
          <w:tcPr>
            <w:tcW w:w="15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1620" w:type="dxa"/>
            <w:vAlign w:val="bottom"/>
            <w:tcBorders>
              <w:bottom w:val="single" w:sz="8" w:color="auto"/>
            </w:tcBorders>
          </w:tcPr>
          <w:p>
            <w:pPr>
              <w:spacing w:after="0"/>
              <w:rPr>
                <w:sz w:val="7"/>
                <w:szCs w:val="7"/>
                <w:color w:val="auto"/>
              </w:rPr>
            </w:pPr>
          </w:p>
        </w:tc>
        <w:tc>
          <w:tcPr>
            <w:tcW w:w="5360" w:type="dxa"/>
            <w:vAlign w:val="bottom"/>
          </w:tcPr>
          <w:p>
            <w:pPr>
              <w:spacing w:after="0"/>
              <w:rPr>
                <w:sz w:val="7"/>
                <w:szCs w:val="7"/>
                <w:color w:val="auto"/>
              </w:rPr>
            </w:pPr>
          </w:p>
        </w:tc>
        <w:tc>
          <w:tcPr>
            <w:tcW w:w="1540" w:type="dxa"/>
            <w:vAlign w:val="bottom"/>
            <w:vMerge w:val="restart"/>
          </w:tcPr>
          <w:p>
            <w:pPr>
              <w:spacing w:after="0" w:line="150" w:lineRule="exact"/>
              <w:rPr>
                <w:sz w:val="20"/>
                <w:szCs w:val="20"/>
                <w:color w:val="auto"/>
              </w:rPr>
            </w:pPr>
            <w:r>
              <w:rPr>
                <w:rFonts w:ascii="Arial" w:cs="Arial" w:eastAsia="Arial" w:hAnsi="Arial"/>
                <w:sz w:val="13"/>
                <w:szCs w:val="13"/>
                <w:color w:val="auto"/>
              </w:rPr>
              <w:t xml:space="preserve">No </w:t>
            </w:r>
            <w:r>
              <w:rPr>
                <w:rFonts w:ascii="MS PGothic" w:cs="MS PGothic" w:eastAsia="MS PGothic" w:hAnsi="MS PGothic"/>
                <w:sz w:val="13"/>
                <w:szCs w:val="13"/>
                <w:color w:val="auto"/>
              </w:rPr>
              <w:t>☑</w:t>
            </w:r>
          </w:p>
        </w:tc>
        <w:tc>
          <w:tcPr>
            <w:tcW w:w="0" w:type="dxa"/>
            <w:vAlign w:val="bottom"/>
          </w:tcPr>
          <w:p>
            <w:pPr>
              <w:spacing w:after="0"/>
              <w:rPr>
                <w:sz w:val="1"/>
                <w:szCs w:val="1"/>
                <w:color w:val="auto"/>
              </w:rPr>
            </w:pPr>
          </w:p>
        </w:tc>
      </w:tr>
      <w:tr>
        <w:trPr>
          <w:trHeight w:val="260"/>
        </w:trPr>
        <w:tc>
          <w:tcPr>
            <w:tcW w:w="6980" w:type="dxa"/>
            <w:vAlign w:val="bottom"/>
            <w:gridSpan w:val="2"/>
          </w:tcPr>
          <w:p>
            <w:pPr>
              <w:ind w:left="320"/>
              <w:spacing w:after="0"/>
              <w:rPr>
                <w:sz w:val="20"/>
                <w:szCs w:val="20"/>
                <w:color w:val="auto"/>
              </w:rPr>
            </w:pPr>
            <w:r>
              <w:rPr>
                <w:rFonts w:ascii="Arial" w:cs="Arial" w:eastAsia="Arial" w:hAnsi="Arial"/>
                <w:sz w:val="13"/>
                <w:szCs w:val="13"/>
                <w:color w:val="auto"/>
                <w:w w:val="93"/>
              </w:rPr>
              <w:t>Indicate by check mark if the registrant is a well-known seasoned issuer, as defined in Rule 405 of the Securities Act. Yes o</w:t>
            </w:r>
          </w:p>
        </w:tc>
        <w:tc>
          <w:tcPr>
            <w:tcW w:w="154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46"/>
        </w:trPr>
        <w:tc>
          <w:tcPr>
            <w:tcW w:w="6980" w:type="dxa"/>
            <w:vAlign w:val="bottom"/>
            <w:gridSpan w:val="2"/>
          </w:tcPr>
          <w:p>
            <w:pPr>
              <w:ind w:left="320"/>
              <w:spacing w:after="0"/>
              <w:rPr>
                <w:sz w:val="20"/>
                <w:szCs w:val="20"/>
                <w:color w:val="auto"/>
              </w:rPr>
            </w:pPr>
            <w:r>
              <w:rPr>
                <w:rFonts w:ascii="Arial" w:cs="Arial" w:eastAsia="Arial" w:hAnsi="Arial"/>
                <w:sz w:val="13"/>
                <w:szCs w:val="13"/>
                <w:color w:val="auto"/>
                <w:w w:val="92"/>
              </w:rPr>
              <w:t>Indicate by check mark if the registrant is not required to file reports pursuant to Section 13 or Section 15(d) of the Act. Yes o</w:t>
            </w:r>
          </w:p>
        </w:tc>
        <w:tc>
          <w:tcPr>
            <w:tcW w:w="1540" w:type="dxa"/>
            <w:vAlign w:val="bottom"/>
          </w:tcPr>
          <w:p>
            <w:pPr>
              <w:ind w:left="120"/>
              <w:spacing w:after="0" w:line="150" w:lineRule="exact"/>
              <w:rPr>
                <w:sz w:val="20"/>
                <w:szCs w:val="20"/>
                <w:color w:val="auto"/>
              </w:rPr>
            </w:pPr>
            <w:r>
              <w:rPr>
                <w:rFonts w:ascii="Arial" w:cs="Arial" w:eastAsia="Arial" w:hAnsi="Arial"/>
                <w:sz w:val="13"/>
                <w:szCs w:val="13"/>
                <w:color w:val="auto"/>
              </w:rPr>
              <w:t xml:space="preserve">No </w:t>
            </w:r>
            <w:r>
              <w:rPr>
                <w:rFonts w:ascii="MS PGothic" w:cs="MS PGothic" w:eastAsia="MS PGothic" w:hAnsi="MS PGothic"/>
                <w:sz w:val="13"/>
                <w:szCs w:val="13"/>
                <w:color w:val="auto"/>
              </w:rPr>
              <w:t>☑</w:t>
            </w:r>
          </w:p>
        </w:tc>
        <w:tc>
          <w:tcPr>
            <w:tcW w:w="0" w:type="dxa"/>
            <w:vAlign w:val="bottom"/>
          </w:tcPr>
          <w:p>
            <w:pPr>
              <w:spacing w:after="0"/>
              <w:rPr>
                <w:sz w:val="1"/>
                <w:szCs w:val="1"/>
                <w:color w:val="auto"/>
              </w:rPr>
            </w:pPr>
          </w:p>
        </w:tc>
      </w:tr>
    </w:tbl>
    <w:p>
      <w:pPr>
        <w:spacing w:after="0" w:line="65" w:lineRule="exact"/>
        <w:rPr>
          <w:sz w:val="20"/>
          <w:szCs w:val="20"/>
          <w:color w:val="auto"/>
        </w:rPr>
      </w:pPr>
    </w:p>
    <w:p>
      <w:pPr>
        <w:ind w:left="340" w:right="80" w:firstLine="324"/>
        <w:spacing w:after="0" w:line="169" w:lineRule="exact"/>
        <w:rPr>
          <w:sz w:val="20"/>
          <w:szCs w:val="20"/>
          <w:color w:val="auto"/>
        </w:rPr>
      </w:pPr>
      <w:r>
        <w:rPr>
          <w:rFonts w:ascii="Arial" w:cs="Arial" w:eastAsia="Arial" w:hAnsi="Arial"/>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o</w:t>
      </w:r>
    </w:p>
    <w:p>
      <w:pPr>
        <w:spacing w:after="0" w:line="65" w:lineRule="exact"/>
        <w:rPr>
          <w:sz w:val="20"/>
          <w:szCs w:val="20"/>
          <w:color w:val="auto"/>
        </w:rPr>
      </w:pPr>
    </w:p>
    <w:p>
      <w:pPr>
        <w:ind w:left="340" w:right="100" w:firstLine="324"/>
        <w:spacing w:after="0" w:line="169" w:lineRule="exact"/>
        <w:rPr>
          <w:sz w:val="20"/>
          <w:szCs w:val="20"/>
          <w:color w:val="auto"/>
        </w:rPr>
      </w:pPr>
      <w:r>
        <w:rPr>
          <w:rFonts w:ascii="Arial" w:cs="Arial" w:eastAsia="Arial" w:hAnsi="Arial"/>
          <w:sz w:val="13"/>
          <w:szCs w:val="13"/>
          <w:color w:val="auto"/>
        </w:rPr>
        <w:t xml:space="preserve">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3"/>
          <w:szCs w:val="13"/>
          <w:color w:val="auto"/>
        </w:rPr>
        <w:t>☑</w:t>
      </w:r>
    </w:p>
    <w:p>
      <w:pPr>
        <w:spacing w:after="0" w:line="65" w:lineRule="exact"/>
        <w:rPr>
          <w:sz w:val="20"/>
          <w:szCs w:val="20"/>
          <w:color w:val="auto"/>
        </w:rPr>
      </w:pPr>
    </w:p>
    <w:p>
      <w:pPr>
        <w:ind w:left="340" w:right="20" w:firstLine="324"/>
        <w:spacing w:after="0" w:line="256" w:lineRule="auto"/>
        <w:rPr>
          <w:sz w:val="20"/>
          <w:szCs w:val="20"/>
          <w:color w:val="auto"/>
        </w:rPr>
      </w:pPr>
      <w:r>
        <w:rPr>
          <w:rFonts w:ascii="Arial" w:cs="Arial" w:eastAsia="Arial" w:hAnsi="Arial"/>
          <w:sz w:val="13"/>
          <w:szCs w:val="13"/>
          <w:color w:val="auto"/>
        </w:rPr>
        <w:t>Indicate by check mark whether the registrant is a large accelerated filer, an accelerated filer, or a non-accelerated filer. See definition of “accelerated filer and large accelerated filer” in Rule 12b-2 of the Exchange Act. (Check one):</w:t>
      </w:r>
    </w:p>
    <w:p>
      <w:pPr>
        <w:spacing w:after="0" w:line="1" w:lineRule="exact"/>
        <w:rPr>
          <w:sz w:val="20"/>
          <w:szCs w:val="20"/>
          <w:color w:val="auto"/>
        </w:rPr>
      </w:pPr>
    </w:p>
    <w:p>
      <w:pPr>
        <w:ind w:left="660" w:right="3440" w:firstLine="3139"/>
        <w:spacing w:after="0" w:line="211" w:lineRule="exact"/>
        <w:rPr>
          <w:sz w:val="20"/>
          <w:szCs w:val="20"/>
          <w:color w:val="auto"/>
        </w:rPr>
      </w:pPr>
      <w:r>
        <w:rPr>
          <w:rFonts w:ascii="Arial" w:cs="Arial" w:eastAsia="Arial" w:hAnsi="Arial"/>
          <w:sz w:val="12"/>
          <w:szCs w:val="12"/>
          <w:color w:val="auto"/>
        </w:rPr>
        <w:t xml:space="preserve">Large accelerated filer o Accelerated Filer </w:t>
      </w:r>
      <w:r>
        <w:rPr>
          <w:rFonts w:ascii="MS PGothic" w:cs="MS PGothic" w:eastAsia="MS PGothic" w:hAnsi="MS PGothic"/>
          <w:sz w:val="12"/>
          <w:szCs w:val="12"/>
          <w:color w:val="auto"/>
        </w:rPr>
        <w:t>☑</w:t>
      </w:r>
      <w:r>
        <w:rPr>
          <w:rFonts w:ascii="Arial" w:cs="Arial" w:eastAsia="Arial" w:hAnsi="Arial"/>
          <w:sz w:val="12"/>
          <w:szCs w:val="12"/>
          <w:color w:val="auto"/>
        </w:rPr>
        <w:t xml:space="preserve"> Non-accelerated filer o Indicate by check mark whether the Registrant is a shell company (as defined in Rule 12b-2 of the Exchange Act). Yes o No </w:t>
      </w:r>
      <w:r>
        <w:rPr>
          <w:rFonts w:ascii="MS PGothic" w:cs="MS PGothic" w:eastAsia="MS PGothic" w:hAnsi="MS PGothic"/>
          <w:sz w:val="12"/>
          <w:szCs w:val="12"/>
          <w:color w:val="auto"/>
        </w:rPr>
        <w:t>☑</w:t>
      </w:r>
    </w:p>
    <w:p>
      <w:pPr>
        <w:spacing w:after="0" w:line="65" w:lineRule="exact"/>
        <w:rPr>
          <w:sz w:val="20"/>
          <w:szCs w:val="20"/>
          <w:color w:val="auto"/>
        </w:rPr>
      </w:pPr>
    </w:p>
    <w:p>
      <w:pPr>
        <w:jc w:val="both"/>
        <w:ind w:left="340" w:right="240" w:firstLine="324"/>
        <w:spacing w:after="0" w:line="371" w:lineRule="auto"/>
        <w:rPr>
          <w:sz w:val="20"/>
          <w:szCs w:val="20"/>
          <w:color w:val="auto"/>
        </w:rPr>
      </w:pPr>
      <w:r>
        <w:rPr>
          <w:rFonts w:ascii="Arial" w:cs="Arial" w:eastAsia="Arial" w:hAnsi="Arial"/>
          <w:sz w:val="11"/>
          <w:szCs w:val="11"/>
          <w:color w:val="auto"/>
        </w:rPr>
        <w:t>Aggregate market value of Common Stock held by non-affiliates at June 30, 2005: $262,614,171. Inclusion of shares held beneficially by any person should not be construed to indicate that such person possesses the power, direct or indirect, to direct or cause the direction of management policies of the registrant, or that such person is controlled by or under common control with the Registrant.</w:t>
      </w:r>
    </w:p>
    <w:p>
      <w:pPr>
        <w:spacing w:after="0" w:line="12" w:lineRule="exact"/>
        <w:rPr>
          <w:sz w:val="20"/>
          <w:szCs w:val="20"/>
          <w:color w:val="auto"/>
        </w:rPr>
      </w:pPr>
    </w:p>
    <w:p>
      <w:pPr>
        <w:ind w:left="660"/>
        <w:spacing w:after="0"/>
        <w:rPr>
          <w:sz w:val="20"/>
          <w:szCs w:val="20"/>
          <w:color w:val="auto"/>
        </w:rPr>
      </w:pPr>
      <w:r>
        <w:rPr>
          <w:rFonts w:ascii="Arial" w:cs="Arial" w:eastAsia="Arial" w:hAnsi="Arial"/>
          <w:sz w:val="13"/>
          <w:szCs w:val="13"/>
          <w:color w:val="auto"/>
        </w:rPr>
        <w:t>Common stock outstanding at March 7, 2006: 65,402,682 shares.</w:t>
      </w:r>
    </w:p>
    <w:p>
      <w:pPr>
        <w:spacing w:after="0" w:line="53" w:lineRule="exact"/>
        <w:rPr>
          <w:sz w:val="20"/>
          <w:szCs w:val="20"/>
          <w:color w:val="auto"/>
        </w:rPr>
      </w:pPr>
    </w:p>
    <w:p>
      <w:pPr>
        <w:jc w:val="center"/>
        <w:ind w:right="-359"/>
        <w:spacing w:after="0"/>
        <w:rPr>
          <w:sz w:val="20"/>
          <w:szCs w:val="20"/>
          <w:color w:val="auto"/>
        </w:rPr>
      </w:pPr>
      <w:r>
        <w:rPr>
          <w:rFonts w:ascii="Arial" w:cs="Arial" w:eastAsia="Arial" w:hAnsi="Arial"/>
          <w:sz w:val="13"/>
          <w:szCs w:val="13"/>
          <w:b w:val="1"/>
          <w:bCs w:val="1"/>
          <w:color w:val="auto"/>
        </w:rPr>
        <w:t>DOCUMENTS INCORPORATED BY REFERENCE</w:t>
      </w:r>
    </w:p>
    <w:p>
      <w:pPr>
        <w:spacing w:after="0" w:line="61" w:lineRule="exact"/>
        <w:rPr>
          <w:sz w:val="20"/>
          <w:szCs w:val="20"/>
          <w:color w:val="auto"/>
        </w:rPr>
      </w:pPr>
    </w:p>
    <w:p>
      <w:pPr>
        <w:ind w:left="340" w:right="100" w:firstLine="324"/>
        <w:spacing w:after="0" w:line="276" w:lineRule="auto"/>
        <w:rPr>
          <w:sz w:val="20"/>
          <w:szCs w:val="20"/>
          <w:color w:val="auto"/>
        </w:rPr>
      </w:pPr>
      <w:r>
        <w:rPr>
          <w:rFonts w:ascii="Arial" w:cs="Arial" w:eastAsia="Arial" w:hAnsi="Arial"/>
          <w:sz w:val="13"/>
          <w:szCs w:val="13"/>
          <w:color w:val="auto"/>
        </w:rPr>
        <w:t>Portions of the registrant’s definitive Proxy Statement relating to the registrant’s 2006 Annual Meeting of Stockholders to be filed with the Commission pursuant to Regulation 14A are incorporated by reference in Part III of this report.</w:t>
      </w:r>
    </w:p>
    <w:p>
      <w:pPr>
        <w:spacing w:after="0" w:line="16" w:lineRule="exact"/>
        <w:rPr>
          <w:sz w:val="20"/>
          <w:szCs w:val="20"/>
          <w:color w:val="auto"/>
        </w:rPr>
      </w:pPr>
    </w:p>
    <w:p>
      <w:pPr>
        <w:jc w:val="center"/>
        <w:ind w:right="-359"/>
        <w:spacing w:after="0"/>
        <w:rPr>
          <w:sz w:val="20"/>
          <w:szCs w:val="20"/>
          <w:color w:val="auto"/>
        </w:rPr>
      </w:pPr>
      <w:r>
        <w:rPr>
          <w:rFonts w:ascii="Arial" w:cs="Arial" w:eastAsia="Arial" w:hAnsi="Arial"/>
          <w:sz w:val="13"/>
          <w:szCs w:val="13"/>
          <w:b w:val="1"/>
          <w:bCs w:val="1"/>
          <w:color w:val="auto"/>
        </w:rPr>
        <w:t>FORWARD LOOKING STATEMENTS</w:t>
      </w:r>
    </w:p>
    <w:p>
      <w:pPr>
        <w:spacing w:after="0" w:line="100" w:lineRule="exact"/>
        <w:rPr>
          <w:sz w:val="20"/>
          <w:szCs w:val="20"/>
          <w:color w:val="auto"/>
        </w:rPr>
      </w:pPr>
    </w:p>
    <w:p>
      <w:pPr>
        <w:ind w:left="340" w:firstLine="324"/>
        <w:spacing w:after="0" w:line="260" w:lineRule="auto"/>
        <w:rPr>
          <w:sz w:val="20"/>
          <w:szCs w:val="20"/>
          <w:color w:val="auto"/>
        </w:rPr>
      </w:pPr>
      <w:r>
        <w:rPr>
          <w:rFonts w:ascii="Arial" w:cs="Arial" w:eastAsia="Arial" w:hAnsi="Arial"/>
          <w:sz w:val="13"/>
          <w:szCs w:val="13"/>
          <w:color w:val="auto"/>
        </w:rPr>
        <w:t>THIS REPORT CONTAINS FORWARD-LOOKING STATEMENTS AS DEFINED UNDER THE FEDERAL SECURITIES LAWS. ACTUAL RESULTS COULD VARY MATERIALLY. FACTORS THAT COULD CAUSE ACTUAL RESULTS TO VARY MATERIALLY ARE DESCRIBED HEREIN AND IN OTHER DOCUMENTS FILED WITH THE SECURITIES AND EXCHANGE COMMISSION. READERS SHOULD PAY PARTICULAR ATTENTION TO THE CONSIDERATIONS DESCRIBED IN THE SECTION OF THIS REPORT ENTITLED “MANAGEMENT’S DISCUSSION AND ANALYSIS OF FINANCIAL CONDITION AND RESULTS OF OPERATIONS” AS WELL AS ITEM 1A UNDER THE HEADING “RISK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37465</wp:posOffset>
            </wp:positionV>
            <wp:extent cx="6847205" cy="184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847205" cy="1841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153035</wp:posOffset>
            </wp:positionV>
            <wp:extent cx="7290435" cy="190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100"/>
          </w:cols>
          <w:pgMar w:left="220" w:top="127" w:right="57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69"/>
        </w:trPr>
        <w:tc>
          <w:tcPr>
            <w:tcW w:w="7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260" w:type="dxa"/>
            <w:vAlign w:val="bottom"/>
            <w:gridSpan w:val="12"/>
          </w:tcPr>
          <w:p>
            <w:pPr>
              <w:jc w:val="center"/>
              <w:ind w:right="4120"/>
              <w:spacing w:after="0"/>
              <w:rPr>
                <w:sz w:val="20"/>
                <w:szCs w:val="20"/>
                <w:color w:val="auto"/>
              </w:rPr>
            </w:pPr>
            <w:r>
              <w:rPr>
                <w:rFonts w:ascii="Arial" w:cs="Arial" w:eastAsia="Arial" w:hAnsi="Arial"/>
                <w:sz w:val="13"/>
                <w:szCs w:val="13"/>
                <w:b w:val="1"/>
                <w:bCs w:val="1"/>
                <w:color w:val="auto"/>
                <w:w w:val="89"/>
              </w:rPr>
              <w:t>Table of Contents</w:t>
            </w: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286"/>
        </w:trPr>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Page</w:t>
            </w:r>
          </w:p>
        </w:tc>
        <w:tc>
          <w:tcPr>
            <w:tcW w:w="800" w:type="dxa"/>
            <w:vAlign w:val="bottom"/>
          </w:tcPr>
          <w:p>
            <w:pPr>
              <w:spacing w:after="0"/>
              <w:rPr>
                <w:sz w:val="24"/>
                <w:szCs w:val="24"/>
                <w:color w:val="auto"/>
              </w:rPr>
            </w:pPr>
          </w:p>
        </w:tc>
      </w:tr>
      <w:tr>
        <w:trPr>
          <w:trHeight w:val="157"/>
        </w:trPr>
        <w:tc>
          <w:tcPr>
            <w:tcW w:w="7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900" w:type="dxa"/>
            <w:vAlign w:val="bottom"/>
            <w:gridSpan w:val="9"/>
          </w:tcPr>
          <w:p>
            <w:pPr>
              <w:jc w:val="center"/>
              <w:ind w:right="4480"/>
              <w:spacing w:after="0"/>
              <w:rPr>
                <w:rFonts w:ascii="Arial" w:cs="Arial" w:eastAsia="Arial" w:hAnsi="Arial"/>
                <w:sz w:val="13"/>
                <w:szCs w:val="13"/>
                <w:b w:val="1"/>
                <w:bCs w:val="1"/>
                <w:color w:val="0000EE"/>
                <w:w w:val="98"/>
              </w:rPr>
            </w:pPr>
            <w:hyperlink w:anchor="page4">
              <w:r>
                <w:rPr>
                  <w:rFonts w:ascii="Arial" w:cs="Arial" w:eastAsia="Arial" w:hAnsi="Arial"/>
                  <w:sz w:val="13"/>
                  <w:szCs w:val="13"/>
                  <w:b w:val="1"/>
                  <w:bCs w:val="1"/>
                  <w:color w:val="0000EE"/>
                  <w:w w:val="98"/>
                </w:rPr>
                <w:t>PART I</w:t>
              </w:r>
            </w:hyperlink>
          </w:p>
        </w:tc>
        <w:tc>
          <w:tcPr>
            <w:tcW w:w="30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137"/>
        </w:trPr>
        <w:tc>
          <w:tcPr>
            <w:tcW w:w="720" w:type="dxa"/>
            <w:vAlign w:val="bottom"/>
          </w:tcPr>
          <w:p>
            <w:pPr>
              <w:spacing w:after="0"/>
              <w:rPr>
                <w:sz w:val="11"/>
                <w:szCs w:val="11"/>
                <w:color w:val="auto"/>
              </w:rPr>
            </w:pPr>
          </w:p>
        </w:tc>
        <w:tc>
          <w:tcPr>
            <w:tcW w:w="340" w:type="dxa"/>
            <w:vAlign w:val="bottom"/>
          </w:tcPr>
          <w:p>
            <w:pPr>
              <w:spacing w:after="0" w:line="138" w:lineRule="exact"/>
              <w:rPr>
                <w:rFonts w:ascii="Arial" w:cs="Arial" w:eastAsia="Arial" w:hAnsi="Arial"/>
                <w:sz w:val="13"/>
                <w:szCs w:val="13"/>
                <w:color w:val="0000EE"/>
                <w:w w:val="80"/>
              </w:rPr>
            </w:pPr>
            <w:hyperlink w:anchor="page4">
              <w:r>
                <w:rPr>
                  <w:rFonts w:ascii="Arial" w:cs="Arial" w:eastAsia="Arial" w:hAnsi="Arial"/>
                  <w:sz w:val="13"/>
                  <w:szCs w:val="13"/>
                  <w:color w:val="0000EE"/>
                  <w:w w:val="80"/>
                </w:rPr>
                <w:t>Item 1.</w:t>
              </w:r>
            </w:hyperlink>
          </w:p>
        </w:tc>
        <w:tc>
          <w:tcPr>
            <w:tcW w:w="900" w:type="dxa"/>
            <w:vAlign w:val="bottom"/>
            <w:gridSpan w:val="5"/>
          </w:tcPr>
          <w:p>
            <w:pPr>
              <w:spacing w:after="0"/>
              <w:rPr>
                <w:sz w:val="11"/>
                <w:szCs w:val="11"/>
                <w:color w:val="auto"/>
              </w:rPr>
            </w:pPr>
          </w:p>
        </w:tc>
        <w:tc>
          <w:tcPr>
            <w:tcW w:w="3500" w:type="dxa"/>
            <w:vAlign w:val="bottom"/>
            <w:gridSpan w:val="18"/>
          </w:tcPr>
          <w:p>
            <w:pPr>
              <w:spacing w:after="0" w:line="138" w:lineRule="exact"/>
              <w:rPr>
                <w:rFonts w:ascii="Arial" w:cs="Arial" w:eastAsia="Arial" w:hAnsi="Arial"/>
                <w:sz w:val="13"/>
                <w:szCs w:val="13"/>
                <w:color w:val="0000EE"/>
              </w:rPr>
            </w:pPr>
            <w:hyperlink w:anchor="page4">
              <w:r>
                <w:rPr>
                  <w:rFonts w:ascii="Arial" w:cs="Arial" w:eastAsia="Arial" w:hAnsi="Arial"/>
                  <w:sz w:val="13"/>
                  <w:szCs w:val="13"/>
                  <w:color w:val="0000EE"/>
                </w:rPr>
                <w:t>Business</w:t>
              </w:r>
            </w:hyperlink>
          </w:p>
        </w:tc>
        <w:tc>
          <w:tcPr>
            <w:tcW w:w="420" w:type="dxa"/>
            <w:vAlign w:val="bottom"/>
            <w:tcBorders>
              <w:top w:val="single" w:sz="8" w:color="0000EE"/>
            </w:tcBorders>
          </w:tcPr>
          <w:p>
            <w:pPr>
              <w:spacing w:after="0"/>
              <w:rPr>
                <w:sz w:val="11"/>
                <w:szCs w:val="11"/>
                <w:color w:val="auto"/>
              </w:rPr>
            </w:pPr>
          </w:p>
        </w:tc>
        <w:tc>
          <w:tcPr>
            <w:tcW w:w="4480" w:type="dxa"/>
            <w:vAlign w:val="bottom"/>
            <w:gridSpan w:val="8"/>
          </w:tcPr>
          <w:p>
            <w:pPr>
              <w:spacing w:after="0"/>
              <w:rPr>
                <w:sz w:val="11"/>
                <w:szCs w:val="11"/>
                <w:color w:val="auto"/>
              </w:rPr>
            </w:pPr>
          </w:p>
        </w:tc>
        <w:tc>
          <w:tcPr>
            <w:tcW w:w="300" w:type="dxa"/>
            <w:vAlign w:val="bottom"/>
          </w:tcPr>
          <w:p>
            <w:pPr>
              <w:jc w:val="right"/>
              <w:spacing w:after="0" w:line="138" w:lineRule="exact"/>
              <w:rPr>
                <w:sz w:val="20"/>
                <w:szCs w:val="20"/>
                <w:color w:val="auto"/>
              </w:rPr>
            </w:pPr>
            <w:r>
              <w:rPr>
                <w:rFonts w:ascii="Arial" w:cs="Arial" w:eastAsia="Arial" w:hAnsi="Arial"/>
                <w:sz w:val="13"/>
                <w:szCs w:val="13"/>
                <w:color w:val="auto"/>
              </w:rPr>
              <w:t>3</w:t>
            </w:r>
          </w:p>
        </w:tc>
        <w:tc>
          <w:tcPr>
            <w:tcW w:w="800" w:type="dxa"/>
            <w:vAlign w:val="bottom"/>
          </w:tcPr>
          <w:p>
            <w:pPr>
              <w:spacing w:after="0"/>
              <w:rPr>
                <w:sz w:val="11"/>
                <w:szCs w:val="11"/>
                <w:color w:val="auto"/>
              </w:rPr>
            </w:pPr>
          </w:p>
        </w:tc>
      </w:tr>
      <w:tr>
        <w:trPr>
          <w:trHeight w:val="20"/>
        </w:trPr>
        <w:tc>
          <w:tcPr>
            <w:tcW w:w="720" w:type="dxa"/>
            <w:vAlign w:val="bottom"/>
            <w:tcBorders>
              <w:right w:val="single" w:sz="8" w:color="0000EE"/>
            </w:tcBorders>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37"/>
        </w:trPr>
        <w:tc>
          <w:tcPr>
            <w:tcW w:w="720" w:type="dxa"/>
            <w:vAlign w:val="bottom"/>
          </w:tcPr>
          <w:p>
            <w:pPr>
              <w:spacing w:after="0"/>
              <w:rPr>
                <w:sz w:val="11"/>
                <w:szCs w:val="11"/>
                <w:color w:val="auto"/>
              </w:rPr>
            </w:pPr>
          </w:p>
        </w:tc>
        <w:tc>
          <w:tcPr>
            <w:tcW w:w="440" w:type="dxa"/>
            <w:vAlign w:val="bottom"/>
            <w:tcBorders>
              <w:bottom w:val="single" w:sz="8" w:color="0000EE"/>
            </w:tcBorders>
            <w:gridSpan w:val="4"/>
          </w:tcPr>
          <w:p>
            <w:pPr>
              <w:spacing w:after="0" w:line="138" w:lineRule="exact"/>
              <w:rPr>
                <w:rFonts w:ascii="Arial" w:cs="Arial" w:eastAsia="Arial" w:hAnsi="Arial"/>
                <w:sz w:val="13"/>
                <w:szCs w:val="13"/>
                <w:color w:val="0000EE"/>
                <w:w w:val="86"/>
              </w:rPr>
            </w:pPr>
            <w:hyperlink w:anchor="page22">
              <w:r>
                <w:rPr>
                  <w:rFonts w:ascii="Arial" w:cs="Arial" w:eastAsia="Arial" w:hAnsi="Arial"/>
                  <w:sz w:val="13"/>
                  <w:szCs w:val="13"/>
                  <w:color w:val="0000EE"/>
                  <w:w w:val="86"/>
                </w:rPr>
                <w:t>Item 1A.</w:t>
              </w:r>
            </w:hyperlink>
          </w:p>
        </w:tc>
        <w:tc>
          <w:tcPr>
            <w:tcW w:w="800" w:type="dxa"/>
            <w:vAlign w:val="bottom"/>
            <w:gridSpan w:val="2"/>
          </w:tcPr>
          <w:p>
            <w:pPr>
              <w:spacing w:after="0"/>
              <w:rPr>
                <w:sz w:val="11"/>
                <w:szCs w:val="11"/>
                <w:color w:val="auto"/>
              </w:rPr>
            </w:pPr>
          </w:p>
        </w:tc>
        <w:tc>
          <w:tcPr>
            <w:tcW w:w="660" w:type="dxa"/>
            <w:vAlign w:val="bottom"/>
            <w:tcBorders>
              <w:bottom w:val="single" w:sz="8" w:color="0000EE"/>
            </w:tcBorders>
            <w:gridSpan w:val="3"/>
          </w:tcPr>
          <w:p>
            <w:pPr>
              <w:spacing w:after="0" w:line="138" w:lineRule="exact"/>
              <w:rPr>
                <w:rFonts w:ascii="Arial" w:cs="Arial" w:eastAsia="Arial" w:hAnsi="Arial"/>
                <w:sz w:val="13"/>
                <w:szCs w:val="13"/>
                <w:color w:val="0000EE"/>
                <w:w w:val="88"/>
              </w:rPr>
            </w:pPr>
            <w:hyperlink w:anchor="page22">
              <w:r>
                <w:rPr>
                  <w:rFonts w:ascii="Arial" w:cs="Arial" w:eastAsia="Arial" w:hAnsi="Arial"/>
                  <w:sz w:val="13"/>
                  <w:szCs w:val="13"/>
                  <w:color w:val="0000EE"/>
                  <w:w w:val="88"/>
                </w:rPr>
                <w:t>Risk Factors</w:t>
              </w:r>
            </w:hyperlink>
          </w:p>
        </w:tc>
        <w:tc>
          <w:tcPr>
            <w:tcW w:w="7740" w:type="dxa"/>
            <w:vAlign w:val="bottom"/>
            <w:gridSpan w:val="24"/>
          </w:tcPr>
          <w:p>
            <w:pPr>
              <w:spacing w:after="0"/>
              <w:rPr>
                <w:sz w:val="11"/>
                <w:szCs w:val="11"/>
                <w:color w:val="auto"/>
              </w:rPr>
            </w:pPr>
          </w:p>
        </w:tc>
        <w:tc>
          <w:tcPr>
            <w:tcW w:w="300" w:type="dxa"/>
            <w:vAlign w:val="bottom"/>
          </w:tcPr>
          <w:p>
            <w:pPr>
              <w:jc w:val="right"/>
              <w:spacing w:after="0" w:line="138" w:lineRule="exact"/>
              <w:rPr>
                <w:sz w:val="20"/>
                <w:szCs w:val="20"/>
                <w:color w:val="auto"/>
              </w:rPr>
            </w:pPr>
            <w:r>
              <w:rPr>
                <w:rFonts w:ascii="Arial" w:cs="Arial" w:eastAsia="Arial" w:hAnsi="Arial"/>
                <w:sz w:val="13"/>
                <w:szCs w:val="13"/>
                <w:color w:val="auto"/>
              </w:rPr>
              <w:t>20</w:t>
            </w:r>
          </w:p>
        </w:tc>
        <w:tc>
          <w:tcPr>
            <w:tcW w:w="800" w:type="dxa"/>
            <w:vAlign w:val="bottom"/>
          </w:tcPr>
          <w:p>
            <w:pPr>
              <w:spacing w:after="0"/>
              <w:rPr>
                <w:sz w:val="11"/>
                <w:szCs w:val="11"/>
                <w:color w:val="auto"/>
              </w:rPr>
            </w:pPr>
          </w:p>
        </w:tc>
      </w:tr>
      <w:tr>
        <w:trPr>
          <w:trHeight w:val="137"/>
        </w:trPr>
        <w:tc>
          <w:tcPr>
            <w:tcW w:w="720" w:type="dxa"/>
            <w:vAlign w:val="bottom"/>
          </w:tcPr>
          <w:p>
            <w:pPr>
              <w:spacing w:after="0"/>
              <w:rPr>
                <w:sz w:val="11"/>
                <w:szCs w:val="11"/>
                <w:color w:val="auto"/>
              </w:rPr>
            </w:pPr>
          </w:p>
        </w:tc>
        <w:tc>
          <w:tcPr>
            <w:tcW w:w="1240" w:type="dxa"/>
            <w:vAlign w:val="bottom"/>
            <w:gridSpan w:val="6"/>
          </w:tcPr>
          <w:p>
            <w:pPr>
              <w:spacing w:after="0" w:line="138" w:lineRule="exact"/>
              <w:rPr>
                <w:rFonts w:ascii="Arial" w:cs="Arial" w:eastAsia="Arial" w:hAnsi="Arial"/>
                <w:sz w:val="13"/>
                <w:szCs w:val="13"/>
                <w:color w:val="0000EE"/>
              </w:rPr>
            </w:pPr>
            <w:hyperlink w:anchor="page31">
              <w:r>
                <w:rPr>
                  <w:rFonts w:ascii="Arial" w:cs="Arial" w:eastAsia="Arial" w:hAnsi="Arial"/>
                  <w:sz w:val="13"/>
                  <w:szCs w:val="13"/>
                  <w:color w:val="0000EE"/>
                </w:rPr>
                <w:t>Item 1B.</w:t>
              </w:r>
            </w:hyperlink>
          </w:p>
        </w:tc>
        <w:tc>
          <w:tcPr>
            <w:tcW w:w="8400" w:type="dxa"/>
            <w:vAlign w:val="bottom"/>
            <w:gridSpan w:val="27"/>
          </w:tcPr>
          <w:p>
            <w:pPr>
              <w:spacing w:after="0" w:line="138" w:lineRule="exact"/>
              <w:rPr>
                <w:rFonts w:ascii="Arial" w:cs="Arial" w:eastAsia="Arial" w:hAnsi="Arial"/>
                <w:sz w:val="13"/>
                <w:szCs w:val="13"/>
                <w:color w:val="0000EE"/>
              </w:rPr>
            </w:pPr>
            <w:hyperlink w:anchor="page31">
              <w:r>
                <w:rPr>
                  <w:rFonts w:ascii="Arial" w:cs="Arial" w:eastAsia="Arial" w:hAnsi="Arial"/>
                  <w:sz w:val="13"/>
                  <w:szCs w:val="13"/>
                  <w:color w:val="0000EE"/>
                </w:rPr>
                <w:t>Unresolved Staff Comments</w:t>
              </w:r>
            </w:hyperlink>
          </w:p>
        </w:tc>
        <w:tc>
          <w:tcPr>
            <w:tcW w:w="300" w:type="dxa"/>
            <w:vAlign w:val="bottom"/>
          </w:tcPr>
          <w:p>
            <w:pPr>
              <w:jc w:val="right"/>
              <w:spacing w:after="0" w:line="138" w:lineRule="exact"/>
              <w:rPr>
                <w:sz w:val="20"/>
                <w:szCs w:val="20"/>
                <w:color w:val="auto"/>
              </w:rPr>
            </w:pPr>
            <w:r>
              <w:rPr>
                <w:rFonts w:ascii="Arial" w:cs="Arial" w:eastAsia="Arial" w:hAnsi="Arial"/>
                <w:sz w:val="13"/>
                <w:szCs w:val="13"/>
                <w:color w:val="auto"/>
              </w:rPr>
              <w:t>29</w:t>
            </w:r>
          </w:p>
        </w:tc>
        <w:tc>
          <w:tcPr>
            <w:tcW w:w="800" w:type="dxa"/>
            <w:vAlign w:val="bottom"/>
          </w:tcPr>
          <w:p>
            <w:pPr>
              <w:spacing w:after="0"/>
              <w:rPr>
                <w:sz w:val="11"/>
                <w:szCs w:val="11"/>
                <w:color w:val="auto"/>
              </w:rPr>
            </w:pPr>
          </w:p>
        </w:tc>
      </w:tr>
      <w:tr>
        <w:trPr>
          <w:trHeight w:val="137"/>
        </w:trPr>
        <w:tc>
          <w:tcPr>
            <w:tcW w:w="720" w:type="dxa"/>
            <w:vAlign w:val="bottom"/>
          </w:tcPr>
          <w:p>
            <w:pPr>
              <w:spacing w:after="0"/>
              <w:rPr>
                <w:sz w:val="11"/>
                <w:szCs w:val="11"/>
                <w:color w:val="auto"/>
              </w:rPr>
            </w:pPr>
          </w:p>
        </w:tc>
        <w:tc>
          <w:tcPr>
            <w:tcW w:w="340" w:type="dxa"/>
            <w:vAlign w:val="bottom"/>
            <w:tcBorders>
              <w:top w:val="single" w:sz="8" w:color="0000EE"/>
            </w:tcBorders>
          </w:tcPr>
          <w:p>
            <w:pPr>
              <w:spacing w:after="0" w:line="138" w:lineRule="exact"/>
              <w:rPr>
                <w:rFonts w:ascii="Arial" w:cs="Arial" w:eastAsia="Arial" w:hAnsi="Arial"/>
                <w:sz w:val="13"/>
                <w:szCs w:val="13"/>
                <w:color w:val="0000EE"/>
                <w:w w:val="80"/>
              </w:rPr>
            </w:pPr>
            <w:hyperlink w:anchor="page31">
              <w:r>
                <w:rPr>
                  <w:rFonts w:ascii="Arial" w:cs="Arial" w:eastAsia="Arial" w:hAnsi="Arial"/>
                  <w:sz w:val="13"/>
                  <w:szCs w:val="13"/>
                  <w:color w:val="0000EE"/>
                  <w:w w:val="80"/>
                </w:rPr>
                <w:t>Item 2.</w:t>
              </w:r>
            </w:hyperlink>
          </w:p>
        </w:tc>
        <w:tc>
          <w:tcPr>
            <w:tcW w:w="80" w:type="dxa"/>
            <w:vAlign w:val="bottom"/>
            <w:tcBorders>
              <w:top w:val="single" w:sz="8" w:color="0000EE"/>
            </w:tcBorders>
            <w:gridSpan w:val="2"/>
          </w:tcPr>
          <w:p>
            <w:pPr>
              <w:spacing w:after="0"/>
              <w:rPr>
                <w:sz w:val="11"/>
                <w:szCs w:val="11"/>
                <w:color w:val="auto"/>
              </w:rPr>
            </w:pPr>
          </w:p>
        </w:tc>
        <w:tc>
          <w:tcPr>
            <w:tcW w:w="820" w:type="dxa"/>
            <w:vAlign w:val="bottom"/>
            <w:gridSpan w:val="3"/>
          </w:tcPr>
          <w:p>
            <w:pPr>
              <w:spacing w:after="0"/>
              <w:rPr>
                <w:sz w:val="11"/>
                <w:szCs w:val="11"/>
                <w:color w:val="auto"/>
              </w:rPr>
            </w:pPr>
          </w:p>
        </w:tc>
        <w:tc>
          <w:tcPr>
            <w:tcW w:w="1480" w:type="dxa"/>
            <w:vAlign w:val="bottom"/>
            <w:tcBorders>
              <w:top w:val="single" w:sz="8" w:color="0000EE"/>
            </w:tcBorders>
            <w:gridSpan w:val="8"/>
          </w:tcPr>
          <w:p>
            <w:pPr>
              <w:spacing w:after="0" w:line="138" w:lineRule="exact"/>
              <w:rPr>
                <w:rFonts w:ascii="Arial" w:cs="Arial" w:eastAsia="Arial" w:hAnsi="Arial"/>
                <w:sz w:val="13"/>
                <w:szCs w:val="13"/>
                <w:color w:val="0000EE"/>
              </w:rPr>
            </w:pPr>
            <w:hyperlink w:anchor="page31">
              <w:r>
                <w:rPr>
                  <w:rFonts w:ascii="Arial" w:cs="Arial" w:eastAsia="Arial" w:hAnsi="Arial"/>
                  <w:sz w:val="13"/>
                  <w:szCs w:val="13"/>
                  <w:color w:val="0000EE"/>
                </w:rPr>
                <w:t>Properties</w:t>
              </w:r>
            </w:hyperlink>
          </w:p>
        </w:tc>
        <w:tc>
          <w:tcPr>
            <w:tcW w:w="6920" w:type="dxa"/>
            <w:vAlign w:val="bottom"/>
            <w:gridSpan w:val="19"/>
          </w:tcPr>
          <w:p>
            <w:pPr>
              <w:spacing w:after="0"/>
              <w:rPr>
                <w:sz w:val="11"/>
                <w:szCs w:val="11"/>
                <w:color w:val="auto"/>
              </w:rPr>
            </w:pPr>
          </w:p>
        </w:tc>
        <w:tc>
          <w:tcPr>
            <w:tcW w:w="300" w:type="dxa"/>
            <w:vAlign w:val="bottom"/>
          </w:tcPr>
          <w:p>
            <w:pPr>
              <w:jc w:val="right"/>
              <w:spacing w:after="0" w:line="138" w:lineRule="exact"/>
              <w:rPr>
                <w:sz w:val="20"/>
                <w:szCs w:val="20"/>
                <w:color w:val="auto"/>
              </w:rPr>
            </w:pPr>
            <w:r>
              <w:rPr>
                <w:rFonts w:ascii="Arial" w:cs="Arial" w:eastAsia="Arial" w:hAnsi="Arial"/>
                <w:sz w:val="13"/>
                <w:szCs w:val="13"/>
                <w:color w:val="auto"/>
              </w:rPr>
              <w:t>29</w:t>
            </w:r>
          </w:p>
        </w:tc>
        <w:tc>
          <w:tcPr>
            <w:tcW w:w="800" w:type="dxa"/>
            <w:vAlign w:val="bottom"/>
          </w:tcPr>
          <w:p>
            <w:pPr>
              <w:spacing w:after="0"/>
              <w:rPr>
                <w:sz w:val="11"/>
                <w:szCs w:val="11"/>
                <w:color w:val="auto"/>
              </w:rPr>
            </w:pPr>
          </w:p>
        </w:tc>
      </w:tr>
      <w:tr>
        <w:trPr>
          <w:trHeight w:val="20"/>
        </w:trPr>
        <w:tc>
          <w:tcPr>
            <w:tcW w:w="720" w:type="dxa"/>
            <w:vAlign w:val="bottom"/>
            <w:tcBorders>
              <w:right w:val="single" w:sz="8" w:color="0000EE"/>
            </w:tcBorders>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37"/>
        </w:trPr>
        <w:tc>
          <w:tcPr>
            <w:tcW w:w="720" w:type="dxa"/>
            <w:vAlign w:val="bottom"/>
          </w:tcPr>
          <w:p>
            <w:pPr>
              <w:spacing w:after="0"/>
              <w:rPr>
                <w:sz w:val="11"/>
                <w:szCs w:val="11"/>
                <w:color w:val="auto"/>
              </w:rPr>
            </w:pPr>
          </w:p>
        </w:tc>
        <w:tc>
          <w:tcPr>
            <w:tcW w:w="340" w:type="dxa"/>
            <w:vAlign w:val="bottom"/>
          </w:tcPr>
          <w:p>
            <w:pPr>
              <w:spacing w:after="0" w:line="138" w:lineRule="exact"/>
              <w:rPr>
                <w:rFonts w:ascii="Arial" w:cs="Arial" w:eastAsia="Arial" w:hAnsi="Arial"/>
                <w:sz w:val="13"/>
                <w:szCs w:val="13"/>
                <w:color w:val="0000EE"/>
                <w:w w:val="80"/>
              </w:rPr>
            </w:pPr>
            <w:hyperlink w:anchor="page31">
              <w:r>
                <w:rPr>
                  <w:rFonts w:ascii="Arial" w:cs="Arial" w:eastAsia="Arial" w:hAnsi="Arial"/>
                  <w:sz w:val="13"/>
                  <w:szCs w:val="13"/>
                  <w:color w:val="0000EE"/>
                  <w:w w:val="80"/>
                </w:rPr>
                <w:t>Item 3.</w:t>
              </w:r>
            </w:hyperlink>
          </w:p>
        </w:tc>
        <w:tc>
          <w:tcPr>
            <w:tcW w:w="900" w:type="dxa"/>
            <w:vAlign w:val="bottom"/>
            <w:gridSpan w:val="5"/>
          </w:tcPr>
          <w:p>
            <w:pPr>
              <w:spacing w:after="0"/>
              <w:rPr>
                <w:sz w:val="11"/>
                <w:szCs w:val="11"/>
                <w:color w:val="auto"/>
              </w:rPr>
            </w:pPr>
          </w:p>
        </w:tc>
        <w:tc>
          <w:tcPr>
            <w:tcW w:w="8400" w:type="dxa"/>
            <w:vAlign w:val="bottom"/>
            <w:gridSpan w:val="27"/>
          </w:tcPr>
          <w:p>
            <w:pPr>
              <w:spacing w:after="0" w:line="138" w:lineRule="exact"/>
              <w:rPr>
                <w:rFonts w:ascii="Arial" w:cs="Arial" w:eastAsia="Arial" w:hAnsi="Arial"/>
                <w:sz w:val="13"/>
                <w:szCs w:val="13"/>
                <w:color w:val="0000EE"/>
              </w:rPr>
            </w:pPr>
            <w:hyperlink w:anchor="page31">
              <w:r>
                <w:rPr>
                  <w:rFonts w:ascii="Arial" w:cs="Arial" w:eastAsia="Arial" w:hAnsi="Arial"/>
                  <w:sz w:val="13"/>
                  <w:szCs w:val="13"/>
                  <w:color w:val="0000EE"/>
                </w:rPr>
                <w:t>Legal Proceedings</w:t>
              </w:r>
            </w:hyperlink>
          </w:p>
        </w:tc>
        <w:tc>
          <w:tcPr>
            <w:tcW w:w="300" w:type="dxa"/>
            <w:vAlign w:val="bottom"/>
          </w:tcPr>
          <w:p>
            <w:pPr>
              <w:jc w:val="right"/>
              <w:spacing w:after="0" w:line="138" w:lineRule="exact"/>
              <w:rPr>
                <w:sz w:val="20"/>
                <w:szCs w:val="20"/>
                <w:color w:val="auto"/>
              </w:rPr>
            </w:pPr>
            <w:r>
              <w:rPr>
                <w:rFonts w:ascii="Arial" w:cs="Arial" w:eastAsia="Arial" w:hAnsi="Arial"/>
                <w:sz w:val="13"/>
                <w:szCs w:val="13"/>
                <w:color w:val="auto"/>
              </w:rPr>
              <w:t>29</w:t>
            </w:r>
          </w:p>
        </w:tc>
        <w:tc>
          <w:tcPr>
            <w:tcW w:w="800" w:type="dxa"/>
            <w:vAlign w:val="bottom"/>
          </w:tcPr>
          <w:p>
            <w:pPr>
              <w:spacing w:after="0"/>
              <w:rPr>
                <w:sz w:val="11"/>
                <w:szCs w:val="11"/>
                <w:color w:val="auto"/>
              </w:rPr>
            </w:pPr>
          </w:p>
        </w:tc>
      </w:tr>
      <w:tr>
        <w:trPr>
          <w:trHeight w:val="20"/>
        </w:trPr>
        <w:tc>
          <w:tcPr>
            <w:tcW w:w="720" w:type="dxa"/>
            <w:vAlign w:val="bottom"/>
            <w:tcBorders>
              <w:right w:val="single" w:sz="8" w:color="0000EE"/>
            </w:tcBorders>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37"/>
        </w:trPr>
        <w:tc>
          <w:tcPr>
            <w:tcW w:w="720" w:type="dxa"/>
            <w:vAlign w:val="bottom"/>
          </w:tcPr>
          <w:p>
            <w:pPr>
              <w:spacing w:after="0"/>
              <w:rPr>
                <w:sz w:val="11"/>
                <w:szCs w:val="11"/>
                <w:color w:val="auto"/>
              </w:rPr>
            </w:pPr>
          </w:p>
        </w:tc>
        <w:tc>
          <w:tcPr>
            <w:tcW w:w="340" w:type="dxa"/>
            <w:vAlign w:val="bottom"/>
          </w:tcPr>
          <w:p>
            <w:pPr>
              <w:spacing w:after="0" w:line="138" w:lineRule="exact"/>
              <w:rPr>
                <w:rFonts w:ascii="Arial" w:cs="Arial" w:eastAsia="Arial" w:hAnsi="Arial"/>
                <w:sz w:val="13"/>
                <w:szCs w:val="13"/>
                <w:color w:val="0000EE"/>
                <w:w w:val="80"/>
              </w:rPr>
            </w:pPr>
            <w:hyperlink w:anchor="page31">
              <w:r>
                <w:rPr>
                  <w:rFonts w:ascii="Arial" w:cs="Arial" w:eastAsia="Arial" w:hAnsi="Arial"/>
                  <w:sz w:val="13"/>
                  <w:szCs w:val="13"/>
                  <w:color w:val="0000EE"/>
                  <w:w w:val="80"/>
                </w:rPr>
                <w:t>Item 4.</w:t>
              </w:r>
            </w:hyperlink>
          </w:p>
        </w:tc>
        <w:tc>
          <w:tcPr>
            <w:tcW w:w="900" w:type="dxa"/>
            <w:vAlign w:val="bottom"/>
            <w:gridSpan w:val="5"/>
          </w:tcPr>
          <w:p>
            <w:pPr>
              <w:spacing w:after="0"/>
              <w:rPr>
                <w:sz w:val="11"/>
                <w:szCs w:val="11"/>
                <w:color w:val="auto"/>
              </w:rPr>
            </w:pPr>
          </w:p>
        </w:tc>
        <w:tc>
          <w:tcPr>
            <w:tcW w:w="8400" w:type="dxa"/>
            <w:vAlign w:val="bottom"/>
            <w:gridSpan w:val="27"/>
          </w:tcPr>
          <w:p>
            <w:pPr>
              <w:spacing w:after="0" w:line="138" w:lineRule="exact"/>
              <w:rPr>
                <w:rFonts w:ascii="Arial" w:cs="Arial" w:eastAsia="Arial" w:hAnsi="Arial"/>
                <w:sz w:val="13"/>
                <w:szCs w:val="13"/>
                <w:color w:val="0000EE"/>
              </w:rPr>
            </w:pPr>
            <w:hyperlink w:anchor="page31">
              <w:r>
                <w:rPr>
                  <w:rFonts w:ascii="Arial" w:cs="Arial" w:eastAsia="Arial" w:hAnsi="Arial"/>
                  <w:sz w:val="13"/>
                  <w:szCs w:val="13"/>
                  <w:color w:val="0000EE"/>
                </w:rPr>
                <w:t>Submission of Matters to a Vote of Security Holders</w:t>
              </w:r>
            </w:hyperlink>
          </w:p>
        </w:tc>
        <w:tc>
          <w:tcPr>
            <w:tcW w:w="300" w:type="dxa"/>
            <w:vAlign w:val="bottom"/>
          </w:tcPr>
          <w:p>
            <w:pPr>
              <w:jc w:val="right"/>
              <w:spacing w:after="0" w:line="138" w:lineRule="exact"/>
              <w:rPr>
                <w:sz w:val="20"/>
                <w:szCs w:val="20"/>
                <w:color w:val="auto"/>
              </w:rPr>
            </w:pPr>
            <w:r>
              <w:rPr>
                <w:rFonts w:ascii="Arial" w:cs="Arial" w:eastAsia="Arial" w:hAnsi="Arial"/>
                <w:sz w:val="13"/>
                <w:szCs w:val="13"/>
                <w:color w:val="auto"/>
              </w:rPr>
              <w:t>29</w:t>
            </w:r>
          </w:p>
        </w:tc>
        <w:tc>
          <w:tcPr>
            <w:tcW w:w="800" w:type="dxa"/>
            <w:vAlign w:val="bottom"/>
          </w:tcPr>
          <w:p>
            <w:pPr>
              <w:spacing w:after="0"/>
              <w:rPr>
                <w:sz w:val="11"/>
                <w:szCs w:val="11"/>
                <w:color w:val="auto"/>
              </w:rPr>
            </w:pPr>
          </w:p>
        </w:tc>
      </w:tr>
      <w:tr>
        <w:trPr>
          <w:trHeight w:val="255"/>
        </w:trPr>
        <w:tc>
          <w:tcPr>
            <w:tcW w:w="720" w:type="dxa"/>
            <w:vAlign w:val="bottom"/>
          </w:tcPr>
          <w:p>
            <w:pPr>
              <w:spacing w:after="0"/>
              <w:rPr>
                <w:sz w:val="22"/>
                <w:szCs w:val="22"/>
                <w:color w:val="auto"/>
              </w:rPr>
            </w:pPr>
          </w:p>
        </w:tc>
        <w:tc>
          <w:tcPr>
            <w:tcW w:w="340" w:type="dxa"/>
            <w:vAlign w:val="bottom"/>
            <w:tcBorders>
              <w:top w:val="single" w:sz="8" w:color="0000EE"/>
            </w:tcBorders>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460" w:type="dxa"/>
            <w:vAlign w:val="bottom"/>
            <w:tcBorders>
              <w:top w:val="single" w:sz="8" w:color="0000EE"/>
            </w:tcBorders>
          </w:tcPr>
          <w:p>
            <w:pPr>
              <w:spacing w:after="0"/>
              <w:rPr>
                <w:sz w:val="22"/>
                <w:szCs w:val="22"/>
                <w:color w:val="auto"/>
              </w:rPr>
            </w:pPr>
          </w:p>
        </w:tc>
        <w:tc>
          <w:tcPr>
            <w:tcW w:w="60" w:type="dxa"/>
            <w:vAlign w:val="bottom"/>
            <w:tcBorders>
              <w:top w:val="single" w:sz="8" w:color="0000EE"/>
            </w:tcBorders>
          </w:tcPr>
          <w:p>
            <w:pPr>
              <w:spacing w:after="0"/>
              <w:rPr>
                <w:sz w:val="22"/>
                <w:szCs w:val="22"/>
                <w:color w:val="auto"/>
              </w:rPr>
            </w:pPr>
          </w:p>
        </w:tc>
        <w:tc>
          <w:tcPr>
            <w:tcW w:w="140" w:type="dxa"/>
            <w:vAlign w:val="bottom"/>
            <w:tcBorders>
              <w:top w:val="single" w:sz="8" w:color="0000EE"/>
            </w:tcBorders>
          </w:tcPr>
          <w:p>
            <w:pPr>
              <w:spacing w:after="0"/>
              <w:rPr>
                <w:sz w:val="22"/>
                <w:szCs w:val="22"/>
                <w:color w:val="auto"/>
              </w:rPr>
            </w:pPr>
          </w:p>
        </w:tc>
        <w:tc>
          <w:tcPr>
            <w:tcW w:w="300" w:type="dxa"/>
            <w:vAlign w:val="bottom"/>
            <w:tcBorders>
              <w:top w:val="single" w:sz="8" w:color="0000EE"/>
            </w:tcBorders>
          </w:tcPr>
          <w:p>
            <w:pPr>
              <w:spacing w:after="0"/>
              <w:rPr>
                <w:sz w:val="22"/>
                <w:szCs w:val="22"/>
                <w:color w:val="auto"/>
              </w:rPr>
            </w:pPr>
          </w:p>
        </w:tc>
        <w:tc>
          <w:tcPr>
            <w:tcW w:w="280" w:type="dxa"/>
            <w:vAlign w:val="bottom"/>
            <w:tcBorders>
              <w:top w:val="single" w:sz="8" w:color="0000EE"/>
            </w:tcBorders>
          </w:tcPr>
          <w:p>
            <w:pPr>
              <w:spacing w:after="0"/>
              <w:rPr>
                <w:sz w:val="22"/>
                <w:szCs w:val="22"/>
                <w:color w:val="auto"/>
              </w:rPr>
            </w:pPr>
          </w:p>
        </w:tc>
        <w:tc>
          <w:tcPr>
            <w:tcW w:w="40" w:type="dxa"/>
            <w:vAlign w:val="bottom"/>
            <w:tcBorders>
              <w:top w:val="single" w:sz="8" w:color="0000EE"/>
            </w:tcBorders>
          </w:tcPr>
          <w:p>
            <w:pPr>
              <w:spacing w:after="0"/>
              <w:rPr>
                <w:sz w:val="22"/>
                <w:szCs w:val="22"/>
                <w:color w:val="auto"/>
              </w:rPr>
            </w:pPr>
          </w:p>
        </w:tc>
        <w:tc>
          <w:tcPr>
            <w:tcW w:w="20" w:type="dxa"/>
            <w:vAlign w:val="bottom"/>
            <w:tcBorders>
              <w:top w:val="single" w:sz="8" w:color="0000EE"/>
            </w:tcBorders>
          </w:tcPr>
          <w:p>
            <w:pPr>
              <w:spacing w:after="0"/>
              <w:rPr>
                <w:sz w:val="22"/>
                <w:szCs w:val="22"/>
                <w:color w:val="auto"/>
              </w:rPr>
            </w:pPr>
          </w:p>
        </w:tc>
        <w:tc>
          <w:tcPr>
            <w:tcW w:w="180" w:type="dxa"/>
            <w:vAlign w:val="bottom"/>
            <w:tcBorders>
              <w:top w:val="single" w:sz="8" w:color="0000EE"/>
            </w:tcBorders>
          </w:tcPr>
          <w:p>
            <w:pPr>
              <w:spacing w:after="0"/>
              <w:rPr>
                <w:sz w:val="22"/>
                <w:szCs w:val="22"/>
                <w:color w:val="auto"/>
              </w:rPr>
            </w:pPr>
          </w:p>
        </w:tc>
        <w:tc>
          <w:tcPr>
            <w:tcW w:w="600" w:type="dxa"/>
            <w:vAlign w:val="bottom"/>
            <w:tcBorders>
              <w:top w:val="single" w:sz="8" w:color="0000EE"/>
            </w:tcBorders>
          </w:tcPr>
          <w:p>
            <w:pPr>
              <w:spacing w:after="0"/>
              <w:rPr>
                <w:sz w:val="22"/>
                <w:szCs w:val="22"/>
                <w:color w:val="auto"/>
              </w:rPr>
            </w:pPr>
          </w:p>
        </w:tc>
        <w:tc>
          <w:tcPr>
            <w:tcW w:w="220" w:type="dxa"/>
            <w:vAlign w:val="bottom"/>
            <w:tcBorders>
              <w:top w:val="single" w:sz="8" w:color="0000EE"/>
            </w:tcBorders>
          </w:tcPr>
          <w:p>
            <w:pPr>
              <w:spacing w:after="0"/>
              <w:rPr>
                <w:sz w:val="22"/>
                <w:szCs w:val="22"/>
                <w:color w:val="auto"/>
              </w:rPr>
            </w:pPr>
          </w:p>
        </w:tc>
        <w:tc>
          <w:tcPr>
            <w:tcW w:w="120" w:type="dxa"/>
            <w:vAlign w:val="bottom"/>
            <w:tcBorders>
              <w:top w:val="single" w:sz="8" w:color="0000EE"/>
            </w:tcBorders>
          </w:tcPr>
          <w:p>
            <w:pPr>
              <w:spacing w:after="0"/>
              <w:rPr>
                <w:sz w:val="22"/>
                <w:szCs w:val="22"/>
                <w:color w:val="auto"/>
              </w:rPr>
            </w:pPr>
          </w:p>
        </w:tc>
        <w:tc>
          <w:tcPr>
            <w:tcW w:w="60" w:type="dxa"/>
            <w:vAlign w:val="bottom"/>
            <w:tcBorders>
              <w:top w:val="single" w:sz="8" w:color="0000EE"/>
            </w:tcBorders>
          </w:tcPr>
          <w:p>
            <w:pPr>
              <w:spacing w:after="0"/>
              <w:rPr>
                <w:sz w:val="22"/>
                <w:szCs w:val="22"/>
                <w:color w:val="auto"/>
              </w:rPr>
            </w:pPr>
          </w:p>
        </w:tc>
        <w:tc>
          <w:tcPr>
            <w:tcW w:w="140" w:type="dxa"/>
            <w:vAlign w:val="bottom"/>
            <w:tcBorders>
              <w:top w:val="single" w:sz="8" w:color="0000EE"/>
            </w:tcBorders>
          </w:tcPr>
          <w:p>
            <w:pPr>
              <w:spacing w:after="0"/>
              <w:rPr>
                <w:sz w:val="22"/>
                <w:szCs w:val="22"/>
                <w:color w:val="auto"/>
              </w:rPr>
            </w:pPr>
          </w:p>
        </w:tc>
        <w:tc>
          <w:tcPr>
            <w:tcW w:w="120" w:type="dxa"/>
            <w:vAlign w:val="bottom"/>
            <w:tcBorders>
              <w:top w:val="single" w:sz="8" w:color="0000EE"/>
            </w:tcBorders>
          </w:tcPr>
          <w:p>
            <w:pPr>
              <w:spacing w:after="0"/>
              <w:rPr>
                <w:sz w:val="22"/>
                <w:szCs w:val="22"/>
                <w:color w:val="auto"/>
              </w:rPr>
            </w:pPr>
          </w:p>
        </w:tc>
        <w:tc>
          <w:tcPr>
            <w:tcW w:w="4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80" w:type="dxa"/>
            <w:vAlign w:val="bottom"/>
            <w:tcBorders>
              <w:bottom w:val="single" w:sz="8" w:color="0000EE"/>
            </w:tcBorders>
            <w:gridSpan w:val="3"/>
          </w:tcPr>
          <w:p>
            <w:pPr>
              <w:jc w:val="center"/>
              <w:spacing w:after="0"/>
              <w:rPr>
                <w:rFonts w:ascii="Arial" w:cs="Arial" w:eastAsia="Arial" w:hAnsi="Arial"/>
                <w:sz w:val="13"/>
                <w:szCs w:val="13"/>
                <w:b w:val="1"/>
                <w:bCs w:val="1"/>
                <w:color w:val="0000EE"/>
              </w:rPr>
            </w:pPr>
            <w:hyperlink w:anchor="page32">
              <w:r>
                <w:rPr>
                  <w:rFonts w:ascii="Arial" w:cs="Arial" w:eastAsia="Arial" w:hAnsi="Arial"/>
                  <w:sz w:val="13"/>
                  <w:szCs w:val="13"/>
                  <w:b w:val="1"/>
                  <w:bCs w:val="1"/>
                  <w:color w:val="0000EE"/>
                </w:rPr>
                <w:t>PART II</w:t>
              </w:r>
            </w:hyperlink>
          </w:p>
        </w:tc>
        <w:tc>
          <w:tcPr>
            <w:tcW w:w="4440" w:type="dxa"/>
            <w:vAlign w:val="bottom"/>
            <w:gridSpan w:val="7"/>
          </w:tcPr>
          <w:p>
            <w:pPr>
              <w:spacing w:after="0"/>
              <w:rPr>
                <w:sz w:val="22"/>
                <w:szCs w:val="22"/>
                <w:color w:val="auto"/>
              </w:rPr>
            </w:pPr>
          </w:p>
        </w:tc>
        <w:tc>
          <w:tcPr>
            <w:tcW w:w="300" w:type="dxa"/>
            <w:vAlign w:val="bottom"/>
          </w:tcPr>
          <w:p>
            <w:pPr>
              <w:spacing w:after="0"/>
              <w:rPr>
                <w:sz w:val="22"/>
                <w:szCs w:val="22"/>
                <w:color w:val="auto"/>
              </w:rPr>
            </w:pPr>
          </w:p>
        </w:tc>
        <w:tc>
          <w:tcPr>
            <w:tcW w:w="800" w:type="dxa"/>
            <w:vAlign w:val="bottom"/>
          </w:tcPr>
          <w:p>
            <w:pPr>
              <w:spacing w:after="0"/>
              <w:rPr>
                <w:sz w:val="22"/>
                <w:szCs w:val="22"/>
                <w:color w:val="auto"/>
              </w:rPr>
            </w:pPr>
          </w:p>
        </w:tc>
      </w:tr>
      <w:tr>
        <w:trPr>
          <w:trHeight w:val="137"/>
        </w:trPr>
        <w:tc>
          <w:tcPr>
            <w:tcW w:w="720" w:type="dxa"/>
            <w:vAlign w:val="bottom"/>
          </w:tcPr>
          <w:p>
            <w:pPr>
              <w:spacing w:after="0"/>
              <w:rPr>
                <w:sz w:val="11"/>
                <w:szCs w:val="11"/>
                <w:color w:val="auto"/>
              </w:rPr>
            </w:pPr>
          </w:p>
        </w:tc>
        <w:tc>
          <w:tcPr>
            <w:tcW w:w="340" w:type="dxa"/>
            <w:vAlign w:val="bottom"/>
            <w:tcBorders>
              <w:bottom w:val="single" w:sz="8" w:color="0000EE"/>
            </w:tcBorders>
          </w:tcPr>
          <w:p>
            <w:pPr>
              <w:spacing w:after="0" w:line="138" w:lineRule="exact"/>
              <w:rPr>
                <w:rFonts w:ascii="Arial" w:cs="Arial" w:eastAsia="Arial" w:hAnsi="Arial"/>
                <w:sz w:val="13"/>
                <w:szCs w:val="13"/>
                <w:color w:val="0000EE"/>
                <w:w w:val="80"/>
              </w:rPr>
            </w:pPr>
            <w:hyperlink w:anchor="page32">
              <w:r>
                <w:rPr>
                  <w:rFonts w:ascii="Arial" w:cs="Arial" w:eastAsia="Arial" w:hAnsi="Arial"/>
                  <w:sz w:val="13"/>
                  <w:szCs w:val="13"/>
                  <w:color w:val="0000EE"/>
                  <w:w w:val="80"/>
                </w:rPr>
                <w:t>Item 5.</w:t>
              </w:r>
            </w:hyperlink>
          </w:p>
        </w:tc>
        <w:tc>
          <w:tcPr>
            <w:tcW w:w="900" w:type="dxa"/>
            <w:vAlign w:val="bottom"/>
            <w:gridSpan w:val="5"/>
          </w:tcPr>
          <w:p>
            <w:pPr>
              <w:spacing w:after="0"/>
              <w:rPr>
                <w:sz w:val="11"/>
                <w:szCs w:val="11"/>
                <w:color w:val="auto"/>
              </w:rPr>
            </w:pPr>
          </w:p>
        </w:tc>
        <w:tc>
          <w:tcPr>
            <w:tcW w:w="5880" w:type="dxa"/>
            <w:vAlign w:val="bottom"/>
            <w:tcBorders>
              <w:bottom w:val="single" w:sz="8" w:color="0000EE"/>
            </w:tcBorders>
            <w:gridSpan w:val="26"/>
          </w:tcPr>
          <w:p>
            <w:pPr>
              <w:spacing w:after="0" w:line="138" w:lineRule="exact"/>
              <w:rPr>
                <w:rFonts w:ascii="Arial" w:cs="Arial" w:eastAsia="Arial" w:hAnsi="Arial"/>
                <w:sz w:val="13"/>
                <w:szCs w:val="13"/>
                <w:color w:val="0000EE"/>
                <w:w w:val="91"/>
              </w:rPr>
            </w:pPr>
            <w:hyperlink w:anchor="page32">
              <w:r>
                <w:rPr>
                  <w:rFonts w:ascii="Arial" w:cs="Arial" w:eastAsia="Arial" w:hAnsi="Arial"/>
                  <w:sz w:val="13"/>
                  <w:szCs w:val="13"/>
                  <w:color w:val="0000EE"/>
                  <w:w w:val="91"/>
                </w:rPr>
                <w:t>Market for Registrant’s Common Equity, Related Stockholder Matters and Issuer Purchases of Equity Securities</w:t>
              </w:r>
            </w:hyperlink>
          </w:p>
        </w:tc>
        <w:tc>
          <w:tcPr>
            <w:tcW w:w="2520" w:type="dxa"/>
            <w:vAlign w:val="bottom"/>
          </w:tcPr>
          <w:p>
            <w:pPr>
              <w:spacing w:after="0"/>
              <w:rPr>
                <w:sz w:val="11"/>
                <w:szCs w:val="11"/>
                <w:color w:val="auto"/>
              </w:rPr>
            </w:pPr>
          </w:p>
        </w:tc>
        <w:tc>
          <w:tcPr>
            <w:tcW w:w="300" w:type="dxa"/>
            <w:vAlign w:val="bottom"/>
          </w:tcPr>
          <w:p>
            <w:pPr>
              <w:jc w:val="right"/>
              <w:spacing w:after="0" w:line="138" w:lineRule="exact"/>
              <w:rPr>
                <w:sz w:val="20"/>
                <w:szCs w:val="20"/>
                <w:color w:val="auto"/>
              </w:rPr>
            </w:pPr>
            <w:r>
              <w:rPr>
                <w:rFonts w:ascii="Arial" w:cs="Arial" w:eastAsia="Arial" w:hAnsi="Arial"/>
                <w:sz w:val="13"/>
                <w:szCs w:val="13"/>
                <w:color w:val="auto"/>
              </w:rPr>
              <w:t>30</w:t>
            </w:r>
          </w:p>
        </w:tc>
        <w:tc>
          <w:tcPr>
            <w:tcW w:w="800" w:type="dxa"/>
            <w:vAlign w:val="bottom"/>
          </w:tcPr>
          <w:p>
            <w:pPr>
              <w:spacing w:after="0"/>
              <w:rPr>
                <w:sz w:val="11"/>
                <w:szCs w:val="11"/>
                <w:color w:val="auto"/>
              </w:rPr>
            </w:pPr>
          </w:p>
        </w:tc>
      </w:tr>
      <w:tr>
        <w:trPr>
          <w:trHeight w:val="137"/>
        </w:trPr>
        <w:tc>
          <w:tcPr>
            <w:tcW w:w="720" w:type="dxa"/>
            <w:vAlign w:val="bottom"/>
          </w:tcPr>
          <w:p>
            <w:pPr>
              <w:spacing w:after="0"/>
              <w:rPr>
                <w:sz w:val="11"/>
                <w:szCs w:val="11"/>
                <w:color w:val="auto"/>
              </w:rPr>
            </w:pPr>
          </w:p>
        </w:tc>
        <w:tc>
          <w:tcPr>
            <w:tcW w:w="340" w:type="dxa"/>
            <w:vAlign w:val="bottom"/>
          </w:tcPr>
          <w:p>
            <w:pPr>
              <w:spacing w:after="0" w:line="138" w:lineRule="exact"/>
              <w:rPr>
                <w:rFonts w:ascii="Arial" w:cs="Arial" w:eastAsia="Arial" w:hAnsi="Arial"/>
                <w:sz w:val="13"/>
                <w:szCs w:val="13"/>
                <w:color w:val="0000EE"/>
                <w:w w:val="80"/>
              </w:rPr>
            </w:pPr>
            <w:hyperlink w:anchor="page34">
              <w:r>
                <w:rPr>
                  <w:rFonts w:ascii="Arial" w:cs="Arial" w:eastAsia="Arial" w:hAnsi="Arial"/>
                  <w:sz w:val="13"/>
                  <w:szCs w:val="13"/>
                  <w:color w:val="0000EE"/>
                  <w:w w:val="80"/>
                </w:rPr>
                <w:t>Item 6.</w:t>
              </w:r>
            </w:hyperlink>
          </w:p>
        </w:tc>
        <w:tc>
          <w:tcPr>
            <w:tcW w:w="900" w:type="dxa"/>
            <w:vAlign w:val="bottom"/>
            <w:gridSpan w:val="5"/>
          </w:tcPr>
          <w:p>
            <w:pPr>
              <w:spacing w:after="0"/>
              <w:rPr>
                <w:sz w:val="11"/>
                <w:szCs w:val="11"/>
                <w:color w:val="auto"/>
              </w:rPr>
            </w:pPr>
          </w:p>
        </w:tc>
        <w:tc>
          <w:tcPr>
            <w:tcW w:w="8400" w:type="dxa"/>
            <w:vAlign w:val="bottom"/>
            <w:gridSpan w:val="27"/>
          </w:tcPr>
          <w:p>
            <w:pPr>
              <w:spacing w:after="0" w:line="138" w:lineRule="exact"/>
              <w:rPr>
                <w:rFonts w:ascii="Arial" w:cs="Arial" w:eastAsia="Arial" w:hAnsi="Arial"/>
                <w:sz w:val="13"/>
                <w:szCs w:val="13"/>
                <w:color w:val="0000EE"/>
              </w:rPr>
            </w:pPr>
            <w:hyperlink w:anchor="page34">
              <w:r>
                <w:rPr>
                  <w:rFonts w:ascii="Arial" w:cs="Arial" w:eastAsia="Arial" w:hAnsi="Arial"/>
                  <w:sz w:val="13"/>
                  <w:szCs w:val="13"/>
                  <w:color w:val="0000EE"/>
                </w:rPr>
                <w:t>Selected Financial Data</w:t>
              </w:r>
            </w:hyperlink>
          </w:p>
        </w:tc>
        <w:tc>
          <w:tcPr>
            <w:tcW w:w="300" w:type="dxa"/>
            <w:vAlign w:val="bottom"/>
          </w:tcPr>
          <w:p>
            <w:pPr>
              <w:jc w:val="right"/>
              <w:spacing w:after="0" w:line="138" w:lineRule="exact"/>
              <w:rPr>
                <w:sz w:val="20"/>
                <w:szCs w:val="20"/>
                <w:color w:val="auto"/>
              </w:rPr>
            </w:pPr>
            <w:r>
              <w:rPr>
                <w:rFonts w:ascii="Arial" w:cs="Arial" w:eastAsia="Arial" w:hAnsi="Arial"/>
                <w:sz w:val="13"/>
                <w:szCs w:val="13"/>
                <w:color w:val="auto"/>
              </w:rPr>
              <w:t>32</w:t>
            </w:r>
          </w:p>
        </w:tc>
        <w:tc>
          <w:tcPr>
            <w:tcW w:w="800" w:type="dxa"/>
            <w:vAlign w:val="bottom"/>
          </w:tcPr>
          <w:p>
            <w:pPr>
              <w:spacing w:after="0"/>
              <w:rPr>
                <w:sz w:val="11"/>
                <w:szCs w:val="11"/>
                <w:color w:val="auto"/>
              </w:rPr>
            </w:pPr>
          </w:p>
        </w:tc>
      </w:tr>
      <w:tr>
        <w:trPr>
          <w:trHeight w:val="20"/>
        </w:trPr>
        <w:tc>
          <w:tcPr>
            <w:tcW w:w="720" w:type="dxa"/>
            <w:vAlign w:val="bottom"/>
            <w:tcBorders>
              <w:right w:val="single" w:sz="8" w:color="0000EE"/>
            </w:tcBorders>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37"/>
        </w:trPr>
        <w:tc>
          <w:tcPr>
            <w:tcW w:w="720" w:type="dxa"/>
            <w:vAlign w:val="bottom"/>
          </w:tcPr>
          <w:p>
            <w:pPr>
              <w:spacing w:after="0"/>
              <w:rPr>
                <w:sz w:val="11"/>
                <w:szCs w:val="11"/>
                <w:color w:val="auto"/>
              </w:rPr>
            </w:pPr>
          </w:p>
        </w:tc>
        <w:tc>
          <w:tcPr>
            <w:tcW w:w="340" w:type="dxa"/>
            <w:vAlign w:val="bottom"/>
            <w:tcBorders>
              <w:bottom w:val="single" w:sz="8" w:color="0000EE"/>
            </w:tcBorders>
          </w:tcPr>
          <w:p>
            <w:pPr>
              <w:spacing w:after="0" w:line="138" w:lineRule="exact"/>
              <w:rPr>
                <w:rFonts w:ascii="Arial" w:cs="Arial" w:eastAsia="Arial" w:hAnsi="Arial"/>
                <w:sz w:val="13"/>
                <w:szCs w:val="13"/>
                <w:color w:val="0000EE"/>
                <w:w w:val="80"/>
              </w:rPr>
            </w:pPr>
            <w:hyperlink w:anchor="page35">
              <w:r>
                <w:rPr>
                  <w:rFonts w:ascii="Arial" w:cs="Arial" w:eastAsia="Arial" w:hAnsi="Arial"/>
                  <w:sz w:val="13"/>
                  <w:szCs w:val="13"/>
                  <w:color w:val="0000EE"/>
                  <w:w w:val="80"/>
                </w:rPr>
                <w:t>Item 7.</w:t>
              </w:r>
            </w:hyperlink>
          </w:p>
        </w:tc>
        <w:tc>
          <w:tcPr>
            <w:tcW w:w="900" w:type="dxa"/>
            <w:vAlign w:val="bottom"/>
            <w:gridSpan w:val="5"/>
          </w:tcPr>
          <w:p>
            <w:pPr>
              <w:spacing w:after="0"/>
              <w:rPr>
                <w:sz w:val="11"/>
                <w:szCs w:val="11"/>
                <w:color w:val="auto"/>
              </w:rPr>
            </w:pPr>
          </w:p>
        </w:tc>
        <w:tc>
          <w:tcPr>
            <w:tcW w:w="4700" w:type="dxa"/>
            <w:vAlign w:val="bottom"/>
            <w:tcBorders>
              <w:bottom w:val="single" w:sz="8" w:color="0000EE"/>
            </w:tcBorders>
            <w:gridSpan w:val="23"/>
          </w:tcPr>
          <w:p>
            <w:pPr>
              <w:spacing w:after="0" w:line="138" w:lineRule="exact"/>
              <w:rPr>
                <w:rFonts w:ascii="Arial" w:cs="Arial" w:eastAsia="Arial" w:hAnsi="Arial"/>
                <w:sz w:val="13"/>
                <w:szCs w:val="13"/>
                <w:color w:val="0000EE"/>
                <w:w w:val="91"/>
              </w:rPr>
            </w:pPr>
            <w:hyperlink w:anchor="page35">
              <w:r>
                <w:rPr>
                  <w:rFonts w:ascii="Arial" w:cs="Arial" w:eastAsia="Arial" w:hAnsi="Arial"/>
                  <w:sz w:val="13"/>
                  <w:szCs w:val="13"/>
                  <w:color w:val="0000EE"/>
                  <w:w w:val="91"/>
                </w:rPr>
                <w:t>Management’s Discussion and Analysis of Financial Condition and Results of Operations</w:t>
              </w:r>
            </w:hyperlink>
          </w:p>
        </w:tc>
        <w:tc>
          <w:tcPr>
            <w:tcW w:w="3700" w:type="dxa"/>
            <w:vAlign w:val="bottom"/>
            <w:gridSpan w:val="4"/>
          </w:tcPr>
          <w:p>
            <w:pPr>
              <w:spacing w:after="0"/>
              <w:rPr>
                <w:sz w:val="11"/>
                <w:szCs w:val="11"/>
                <w:color w:val="auto"/>
              </w:rPr>
            </w:pPr>
          </w:p>
        </w:tc>
        <w:tc>
          <w:tcPr>
            <w:tcW w:w="300" w:type="dxa"/>
            <w:vAlign w:val="bottom"/>
          </w:tcPr>
          <w:p>
            <w:pPr>
              <w:jc w:val="right"/>
              <w:spacing w:after="0" w:line="138" w:lineRule="exact"/>
              <w:rPr>
                <w:sz w:val="20"/>
                <w:szCs w:val="20"/>
                <w:color w:val="auto"/>
              </w:rPr>
            </w:pPr>
            <w:r>
              <w:rPr>
                <w:rFonts w:ascii="Arial" w:cs="Arial" w:eastAsia="Arial" w:hAnsi="Arial"/>
                <w:sz w:val="13"/>
                <w:szCs w:val="13"/>
                <w:color w:val="auto"/>
              </w:rPr>
              <w:t>33</w:t>
            </w:r>
          </w:p>
        </w:tc>
        <w:tc>
          <w:tcPr>
            <w:tcW w:w="800" w:type="dxa"/>
            <w:vAlign w:val="bottom"/>
          </w:tcPr>
          <w:p>
            <w:pPr>
              <w:spacing w:after="0"/>
              <w:rPr>
                <w:sz w:val="11"/>
                <w:szCs w:val="11"/>
                <w:color w:val="auto"/>
              </w:rPr>
            </w:pPr>
          </w:p>
        </w:tc>
      </w:tr>
      <w:tr>
        <w:trPr>
          <w:trHeight w:val="137"/>
        </w:trPr>
        <w:tc>
          <w:tcPr>
            <w:tcW w:w="720" w:type="dxa"/>
            <w:vAlign w:val="bottom"/>
          </w:tcPr>
          <w:p>
            <w:pPr>
              <w:spacing w:after="0"/>
              <w:rPr>
                <w:sz w:val="11"/>
                <w:szCs w:val="11"/>
                <w:color w:val="auto"/>
              </w:rPr>
            </w:pPr>
          </w:p>
        </w:tc>
        <w:tc>
          <w:tcPr>
            <w:tcW w:w="440" w:type="dxa"/>
            <w:vAlign w:val="bottom"/>
            <w:tcBorders>
              <w:bottom w:val="single" w:sz="8" w:color="0000EE"/>
            </w:tcBorders>
            <w:gridSpan w:val="4"/>
          </w:tcPr>
          <w:p>
            <w:pPr>
              <w:spacing w:after="0" w:line="138" w:lineRule="exact"/>
              <w:rPr>
                <w:rFonts w:ascii="Arial" w:cs="Arial" w:eastAsia="Arial" w:hAnsi="Arial"/>
                <w:sz w:val="13"/>
                <w:szCs w:val="13"/>
                <w:color w:val="0000EE"/>
                <w:w w:val="86"/>
              </w:rPr>
            </w:pPr>
            <w:hyperlink w:anchor="page45">
              <w:r>
                <w:rPr>
                  <w:rFonts w:ascii="Arial" w:cs="Arial" w:eastAsia="Arial" w:hAnsi="Arial"/>
                  <w:sz w:val="13"/>
                  <w:szCs w:val="13"/>
                  <w:color w:val="0000EE"/>
                  <w:w w:val="86"/>
                </w:rPr>
                <w:t>Item 7A.</w:t>
              </w:r>
            </w:hyperlink>
          </w:p>
        </w:tc>
        <w:tc>
          <w:tcPr>
            <w:tcW w:w="800" w:type="dxa"/>
            <w:vAlign w:val="bottom"/>
            <w:gridSpan w:val="2"/>
          </w:tcPr>
          <w:p>
            <w:pPr>
              <w:spacing w:after="0"/>
              <w:rPr>
                <w:sz w:val="11"/>
                <w:szCs w:val="11"/>
                <w:color w:val="auto"/>
              </w:rPr>
            </w:pPr>
          </w:p>
        </w:tc>
        <w:tc>
          <w:tcPr>
            <w:tcW w:w="3140" w:type="dxa"/>
            <w:vAlign w:val="bottom"/>
            <w:tcBorders>
              <w:bottom w:val="single" w:sz="8" w:color="0000EE"/>
            </w:tcBorders>
            <w:gridSpan w:val="15"/>
          </w:tcPr>
          <w:p>
            <w:pPr>
              <w:spacing w:after="0" w:line="138" w:lineRule="exact"/>
              <w:rPr>
                <w:rFonts w:ascii="Arial" w:cs="Arial" w:eastAsia="Arial" w:hAnsi="Arial"/>
                <w:sz w:val="13"/>
                <w:szCs w:val="13"/>
                <w:color w:val="0000EE"/>
                <w:w w:val="92"/>
              </w:rPr>
            </w:pPr>
            <w:hyperlink w:anchor="page45">
              <w:r>
                <w:rPr>
                  <w:rFonts w:ascii="Arial" w:cs="Arial" w:eastAsia="Arial" w:hAnsi="Arial"/>
                  <w:sz w:val="13"/>
                  <w:szCs w:val="13"/>
                  <w:color w:val="0000EE"/>
                  <w:w w:val="92"/>
                </w:rPr>
                <w:t>Quantitative and Qualitative Disclosures about Market Risk</w:t>
              </w:r>
            </w:hyperlink>
          </w:p>
        </w:tc>
        <w:tc>
          <w:tcPr>
            <w:tcW w:w="5260" w:type="dxa"/>
            <w:vAlign w:val="bottom"/>
            <w:gridSpan w:val="12"/>
          </w:tcPr>
          <w:p>
            <w:pPr>
              <w:spacing w:after="0"/>
              <w:rPr>
                <w:sz w:val="11"/>
                <w:szCs w:val="11"/>
                <w:color w:val="auto"/>
              </w:rPr>
            </w:pPr>
          </w:p>
        </w:tc>
        <w:tc>
          <w:tcPr>
            <w:tcW w:w="300" w:type="dxa"/>
            <w:vAlign w:val="bottom"/>
          </w:tcPr>
          <w:p>
            <w:pPr>
              <w:jc w:val="right"/>
              <w:spacing w:after="0" w:line="138" w:lineRule="exact"/>
              <w:rPr>
                <w:sz w:val="20"/>
                <w:szCs w:val="20"/>
                <w:color w:val="auto"/>
              </w:rPr>
            </w:pPr>
            <w:r>
              <w:rPr>
                <w:rFonts w:ascii="Arial" w:cs="Arial" w:eastAsia="Arial" w:hAnsi="Arial"/>
                <w:sz w:val="13"/>
                <w:szCs w:val="13"/>
                <w:color w:val="auto"/>
              </w:rPr>
              <w:t>43</w:t>
            </w:r>
          </w:p>
        </w:tc>
        <w:tc>
          <w:tcPr>
            <w:tcW w:w="800" w:type="dxa"/>
            <w:vAlign w:val="bottom"/>
          </w:tcPr>
          <w:p>
            <w:pPr>
              <w:spacing w:after="0"/>
              <w:rPr>
                <w:sz w:val="11"/>
                <w:szCs w:val="11"/>
                <w:color w:val="auto"/>
              </w:rPr>
            </w:pPr>
          </w:p>
        </w:tc>
      </w:tr>
      <w:tr>
        <w:trPr>
          <w:trHeight w:val="137"/>
        </w:trPr>
        <w:tc>
          <w:tcPr>
            <w:tcW w:w="720" w:type="dxa"/>
            <w:vAlign w:val="bottom"/>
          </w:tcPr>
          <w:p>
            <w:pPr>
              <w:spacing w:after="0"/>
              <w:rPr>
                <w:sz w:val="11"/>
                <w:szCs w:val="11"/>
                <w:color w:val="auto"/>
              </w:rPr>
            </w:pPr>
          </w:p>
        </w:tc>
        <w:tc>
          <w:tcPr>
            <w:tcW w:w="340" w:type="dxa"/>
            <w:vAlign w:val="bottom"/>
            <w:tcBorders>
              <w:bottom w:val="single" w:sz="8" w:color="0000EE"/>
            </w:tcBorders>
          </w:tcPr>
          <w:p>
            <w:pPr>
              <w:spacing w:after="0" w:line="138" w:lineRule="exact"/>
              <w:rPr>
                <w:rFonts w:ascii="Arial" w:cs="Arial" w:eastAsia="Arial" w:hAnsi="Arial"/>
                <w:sz w:val="13"/>
                <w:szCs w:val="13"/>
                <w:color w:val="0000EE"/>
                <w:w w:val="80"/>
              </w:rPr>
            </w:pPr>
            <w:hyperlink w:anchor="page47">
              <w:r>
                <w:rPr>
                  <w:rFonts w:ascii="Arial" w:cs="Arial" w:eastAsia="Arial" w:hAnsi="Arial"/>
                  <w:sz w:val="13"/>
                  <w:szCs w:val="13"/>
                  <w:color w:val="0000EE"/>
                  <w:w w:val="80"/>
                </w:rPr>
                <w:t>Item 8.</w:t>
              </w:r>
            </w:hyperlink>
          </w:p>
        </w:tc>
        <w:tc>
          <w:tcPr>
            <w:tcW w:w="900" w:type="dxa"/>
            <w:vAlign w:val="bottom"/>
            <w:gridSpan w:val="5"/>
          </w:tcPr>
          <w:p>
            <w:pPr>
              <w:spacing w:after="0"/>
              <w:rPr>
                <w:sz w:val="11"/>
                <w:szCs w:val="11"/>
                <w:color w:val="auto"/>
              </w:rPr>
            </w:pPr>
          </w:p>
        </w:tc>
        <w:tc>
          <w:tcPr>
            <w:tcW w:w="2420" w:type="dxa"/>
            <w:vAlign w:val="bottom"/>
            <w:tcBorders>
              <w:bottom w:val="single" w:sz="8" w:color="0000EE"/>
            </w:tcBorders>
            <w:gridSpan w:val="11"/>
          </w:tcPr>
          <w:p>
            <w:pPr>
              <w:spacing w:after="0" w:line="138" w:lineRule="exact"/>
              <w:rPr>
                <w:rFonts w:ascii="Arial" w:cs="Arial" w:eastAsia="Arial" w:hAnsi="Arial"/>
                <w:sz w:val="13"/>
                <w:szCs w:val="13"/>
                <w:color w:val="0000EE"/>
                <w:w w:val="89"/>
              </w:rPr>
            </w:pPr>
            <w:hyperlink w:anchor="page47">
              <w:r>
                <w:rPr>
                  <w:rFonts w:ascii="Arial" w:cs="Arial" w:eastAsia="Arial" w:hAnsi="Arial"/>
                  <w:sz w:val="13"/>
                  <w:szCs w:val="13"/>
                  <w:color w:val="0000EE"/>
                  <w:w w:val="89"/>
                </w:rPr>
                <w:t>Financial Statements and Supplementary Data</w:t>
              </w:r>
            </w:hyperlink>
          </w:p>
        </w:tc>
        <w:tc>
          <w:tcPr>
            <w:tcW w:w="5980" w:type="dxa"/>
            <w:vAlign w:val="bottom"/>
            <w:gridSpan w:val="16"/>
          </w:tcPr>
          <w:p>
            <w:pPr>
              <w:spacing w:after="0"/>
              <w:rPr>
                <w:sz w:val="11"/>
                <w:szCs w:val="11"/>
                <w:color w:val="auto"/>
              </w:rPr>
            </w:pPr>
          </w:p>
        </w:tc>
        <w:tc>
          <w:tcPr>
            <w:tcW w:w="300" w:type="dxa"/>
            <w:vAlign w:val="bottom"/>
          </w:tcPr>
          <w:p>
            <w:pPr>
              <w:jc w:val="right"/>
              <w:spacing w:after="0" w:line="138" w:lineRule="exact"/>
              <w:rPr>
                <w:sz w:val="20"/>
                <w:szCs w:val="20"/>
                <w:color w:val="auto"/>
              </w:rPr>
            </w:pPr>
            <w:r>
              <w:rPr>
                <w:rFonts w:ascii="Arial" w:cs="Arial" w:eastAsia="Arial" w:hAnsi="Arial"/>
                <w:sz w:val="13"/>
                <w:szCs w:val="13"/>
                <w:color w:val="auto"/>
              </w:rPr>
              <w:t>45</w:t>
            </w:r>
          </w:p>
        </w:tc>
        <w:tc>
          <w:tcPr>
            <w:tcW w:w="800" w:type="dxa"/>
            <w:vAlign w:val="bottom"/>
          </w:tcPr>
          <w:p>
            <w:pPr>
              <w:spacing w:after="0"/>
              <w:rPr>
                <w:sz w:val="11"/>
                <w:szCs w:val="11"/>
                <w:color w:val="auto"/>
              </w:rPr>
            </w:pPr>
          </w:p>
        </w:tc>
      </w:tr>
      <w:tr>
        <w:trPr>
          <w:trHeight w:val="137"/>
        </w:trPr>
        <w:tc>
          <w:tcPr>
            <w:tcW w:w="720" w:type="dxa"/>
            <w:vAlign w:val="bottom"/>
          </w:tcPr>
          <w:p>
            <w:pPr>
              <w:spacing w:after="0"/>
              <w:rPr>
                <w:sz w:val="11"/>
                <w:szCs w:val="11"/>
                <w:color w:val="auto"/>
              </w:rPr>
            </w:pPr>
          </w:p>
        </w:tc>
        <w:tc>
          <w:tcPr>
            <w:tcW w:w="340" w:type="dxa"/>
            <w:vAlign w:val="bottom"/>
          </w:tcPr>
          <w:p>
            <w:pPr>
              <w:spacing w:after="0" w:line="138" w:lineRule="exact"/>
              <w:rPr>
                <w:rFonts w:ascii="Arial" w:cs="Arial" w:eastAsia="Arial" w:hAnsi="Arial"/>
                <w:sz w:val="13"/>
                <w:szCs w:val="13"/>
                <w:color w:val="0000EE"/>
                <w:w w:val="80"/>
              </w:rPr>
            </w:pPr>
            <w:hyperlink w:anchor="page69">
              <w:r>
                <w:rPr>
                  <w:rFonts w:ascii="Arial" w:cs="Arial" w:eastAsia="Arial" w:hAnsi="Arial"/>
                  <w:sz w:val="13"/>
                  <w:szCs w:val="13"/>
                  <w:color w:val="0000EE"/>
                  <w:w w:val="80"/>
                </w:rPr>
                <w:t>Item 9.</w:t>
              </w:r>
            </w:hyperlink>
          </w:p>
        </w:tc>
        <w:tc>
          <w:tcPr>
            <w:tcW w:w="900" w:type="dxa"/>
            <w:vAlign w:val="bottom"/>
            <w:gridSpan w:val="5"/>
          </w:tcPr>
          <w:p>
            <w:pPr>
              <w:spacing w:after="0"/>
              <w:rPr>
                <w:sz w:val="11"/>
                <w:szCs w:val="11"/>
                <w:color w:val="auto"/>
              </w:rPr>
            </w:pPr>
          </w:p>
        </w:tc>
        <w:tc>
          <w:tcPr>
            <w:tcW w:w="8400" w:type="dxa"/>
            <w:vAlign w:val="bottom"/>
            <w:gridSpan w:val="27"/>
          </w:tcPr>
          <w:p>
            <w:pPr>
              <w:spacing w:after="0" w:line="138" w:lineRule="exact"/>
              <w:rPr>
                <w:rFonts w:ascii="Arial" w:cs="Arial" w:eastAsia="Arial" w:hAnsi="Arial"/>
                <w:sz w:val="13"/>
                <w:szCs w:val="13"/>
                <w:color w:val="0000EE"/>
              </w:rPr>
            </w:pPr>
            <w:hyperlink w:anchor="page69">
              <w:r>
                <w:rPr>
                  <w:rFonts w:ascii="Arial" w:cs="Arial" w:eastAsia="Arial" w:hAnsi="Arial"/>
                  <w:sz w:val="13"/>
                  <w:szCs w:val="13"/>
                  <w:color w:val="0000EE"/>
                </w:rPr>
                <w:t>Changes In and Disagreements With Accountants on Accounting and Financial Disclosure</w:t>
              </w:r>
            </w:hyperlink>
          </w:p>
        </w:tc>
        <w:tc>
          <w:tcPr>
            <w:tcW w:w="300" w:type="dxa"/>
            <w:vAlign w:val="bottom"/>
          </w:tcPr>
          <w:p>
            <w:pPr>
              <w:jc w:val="right"/>
              <w:spacing w:after="0" w:line="138" w:lineRule="exact"/>
              <w:rPr>
                <w:sz w:val="20"/>
                <w:szCs w:val="20"/>
                <w:color w:val="auto"/>
              </w:rPr>
            </w:pPr>
            <w:r>
              <w:rPr>
                <w:rFonts w:ascii="Arial" w:cs="Arial" w:eastAsia="Arial" w:hAnsi="Arial"/>
                <w:sz w:val="13"/>
                <w:szCs w:val="13"/>
                <w:color w:val="auto"/>
              </w:rPr>
              <w:t>67</w:t>
            </w:r>
          </w:p>
        </w:tc>
        <w:tc>
          <w:tcPr>
            <w:tcW w:w="800" w:type="dxa"/>
            <w:vAlign w:val="bottom"/>
          </w:tcPr>
          <w:p>
            <w:pPr>
              <w:spacing w:after="0"/>
              <w:rPr>
                <w:sz w:val="11"/>
                <w:szCs w:val="11"/>
                <w:color w:val="auto"/>
              </w:rPr>
            </w:pPr>
          </w:p>
        </w:tc>
      </w:tr>
      <w:tr>
        <w:trPr>
          <w:trHeight w:val="20"/>
        </w:trPr>
        <w:tc>
          <w:tcPr>
            <w:tcW w:w="720" w:type="dxa"/>
            <w:vAlign w:val="bottom"/>
            <w:tcBorders>
              <w:right w:val="single" w:sz="8" w:color="0000EE"/>
            </w:tcBorders>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60" w:type="dxa"/>
            <w:vAlign w:val="bottom"/>
            <w:gridSpan w:val="4"/>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4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0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1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37"/>
        </w:trPr>
        <w:tc>
          <w:tcPr>
            <w:tcW w:w="720" w:type="dxa"/>
            <w:vAlign w:val="bottom"/>
          </w:tcPr>
          <w:p>
            <w:pPr>
              <w:spacing w:after="0"/>
              <w:rPr>
                <w:sz w:val="11"/>
                <w:szCs w:val="11"/>
                <w:color w:val="auto"/>
              </w:rPr>
            </w:pPr>
          </w:p>
        </w:tc>
        <w:tc>
          <w:tcPr>
            <w:tcW w:w="440" w:type="dxa"/>
            <w:vAlign w:val="bottom"/>
            <w:gridSpan w:val="4"/>
          </w:tcPr>
          <w:p>
            <w:pPr>
              <w:spacing w:after="0" w:line="138" w:lineRule="exact"/>
              <w:rPr>
                <w:rFonts w:ascii="Arial" w:cs="Arial" w:eastAsia="Arial" w:hAnsi="Arial"/>
                <w:sz w:val="13"/>
                <w:szCs w:val="13"/>
                <w:color w:val="0000EE"/>
                <w:w w:val="86"/>
              </w:rPr>
            </w:pPr>
            <w:hyperlink w:anchor="page69">
              <w:r>
                <w:rPr>
                  <w:rFonts w:ascii="Arial" w:cs="Arial" w:eastAsia="Arial" w:hAnsi="Arial"/>
                  <w:sz w:val="13"/>
                  <w:szCs w:val="13"/>
                  <w:color w:val="0000EE"/>
                  <w:w w:val="86"/>
                </w:rPr>
                <w:t>Item 9A.</w:t>
              </w:r>
            </w:hyperlink>
          </w:p>
        </w:tc>
        <w:tc>
          <w:tcPr>
            <w:tcW w:w="800" w:type="dxa"/>
            <w:vAlign w:val="bottom"/>
            <w:gridSpan w:val="2"/>
          </w:tcPr>
          <w:p>
            <w:pPr>
              <w:spacing w:after="0"/>
              <w:rPr>
                <w:sz w:val="11"/>
                <w:szCs w:val="11"/>
                <w:color w:val="auto"/>
              </w:rPr>
            </w:pPr>
          </w:p>
        </w:tc>
        <w:tc>
          <w:tcPr>
            <w:tcW w:w="8400" w:type="dxa"/>
            <w:vAlign w:val="bottom"/>
            <w:gridSpan w:val="27"/>
          </w:tcPr>
          <w:p>
            <w:pPr>
              <w:spacing w:after="0" w:line="138" w:lineRule="exact"/>
              <w:rPr>
                <w:rFonts w:ascii="Arial" w:cs="Arial" w:eastAsia="Arial" w:hAnsi="Arial"/>
                <w:sz w:val="13"/>
                <w:szCs w:val="13"/>
                <w:color w:val="0000EE"/>
              </w:rPr>
            </w:pPr>
            <w:hyperlink w:anchor="page69">
              <w:r>
                <w:rPr>
                  <w:rFonts w:ascii="Arial" w:cs="Arial" w:eastAsia="Arial" w:hAnsi="Arial"/>
                  <w:sz w:val="13"/>
                  <w:szCs w:val="13"/>
                  <w:color w:val="0000EE"/>
                </w:rPr>
                <w:t>Controls and Procedures</w:t>
              </w:r>
            </w:hyperlink>
          </w:p>
        </w:tc>
        <w:tc>
          <w:tcPr>
            <w:tcW w:w="300" w:type="dxa"/>
            <w:vAlign w:val="bottom"/>
          </w:tcPr>
          <w:p>
            <w:pPr>
              <w:jc w:val="right"/>
              <w:spacing w:after="0" w:line="138" w:lineRule="exact"/>
              <w:rPr>
                <w:sz w:val="20"/>
                <w:szCs w:val="20"/>
                <w:color w:val="auto"/>
              </w:rPr>
            </w:pPr>
            <w:r>
              <w:rPr>
                <w:rFonts w:ascii="Arial" w:cs="Arial" w:eastAsia="Arial" w:hAnsi="Arial"/>
                <w:sz w:val="13"/>
                <w:szCs w:val="13"/>
                <w:color w:val="auto"/>
              </w:rPr>
              <w:t>67</w:t>
            </w:r>
          </w:p>
        </w:tc>
        <w:tc>
          <w:tcPr>
            <w:tcW w:w="800" w:type="dxa"/>
            <w:vAlign w:val="bottom"/>
          </w:tcPr>
          <w:p>
            <w:pPr>
              <w:spacing w:after="0"/>
              <w:rPr>
                <w:sz w:val="11"/>
                <w:szCs w:val="11"/>
                <w:color w:val="auto"/>
              </w:rPr>
            </w:pPr>
          </w:p>
        </w:tc>
      </w:tr>
      <w:tr>
        <w:trPr>
          <w:trHeight w:val="137"/>
        </w:trPr>
        <w:tc>
          <w:tcPr>
            <w:tcW w:w="720" w:type="dxa"/>
            <w:vAlign w:val="bottom"/>
          </w:tcPr>
          <w:p>
            <w:pPr>
              <w:spacing w:after="0"/>
              <w:rPr>
                <w:sz w:val="11"/>
                <w:szCs w:val="11"/>
                <w:color w:val="auto"/>
              </w:rPr>
            </w:pPr>
          </w:p>
        </w:tc>
        <w:tc>
          <w:tcPr>
            <w:tcW w:w="440" w:type="dxa"/>
            <w:vAlign w:val="bottom"/>
            <w:tcBorders>
              <w:top w:val="single" w:sz="8" w:color="0000EE"/>
            </w:tcBorders>
            <w:gridSpan w:val="4"/>
          </w:tcPr>
          <w:p>
            <w:pPr>
              <w:spacing w:after="0" w:line="138" w:lineRule="exact"/>
              <w:rPr>
                <w:rFonts w:ascii="Arial" w:cs="Arial" w:eastAsia="Arial" w:hAnsi="Arial"/>
                <w:sz w:val="13"/>
                <w:szCs w:val="13"/>
                <w:color w:val="0000EE"/>
                <w:w w:val="86"/>
              </w:rPr>
            </w:pPr>
            <w:hyperlink w:anchor="page70">
              <w:r>
                <w:rPr>
                  <w:rFonts w:ascii="Arial" w:cs="Arial" w:eastAsia="Arial" w:hAnsi="Arial"/>
                  <w:sz w:val="13"/>
                  <w:szCs w:val="13"/>
                  <w:color w:val="0000EE"/>
                  <w:w w:val="86"/>
                </w:rPr>
                <w:t>Item 9B.</w:t>
              </w:r>
            </w:hyperlink>
          </w:p>
        </w:tc>
        <w:tc>
          <w:tcPr>
            <w:tcW w:w="800" w:type="dxa"/>
            <w:vAlign w:val="bottom"/>
            <w:gridSpan w:val="2"/>
          </w:tcPr>
          <w:p>
            <w:pPr>
              <w:spacing w:after="0"/>
              <w:rPr>
                <w:sz w:val="11"/>
                <w:szCs w:val="11"/>
                <w:color w:val="auto"/>
              </w:rPr>
            </w:pPr>
          </w:p>
        </w:tc>
        <w:tc>
          <w:tcPr>
            <w:tcW w:w="1280" w:type="dxa"/>
            <w:vAlign w:val="bottom"/>
            <w:tcBorders>
              <w:top w:val="single" w:sz="8" w:color="0000EE"/>
            </w:tcBorders>
            <w:gridSpan w:val="6"/>
          </w:tcPr>
          <w:p>
            <w:pPr>
              <w:spacing w:after="0" w:line="138" w:lineRule="exact"/>
              <w:rPr>
                <w:rFonts w:ascii="Arial" w:cs="Arial" w:eastAsia="Arial" w:hAnsi="Arial"/>
                <w:sz w:val="13"/>
                <w:szCs w:val="13"/>
                <w:color w:val="0000EE"/>
              </w:rPr>
            </w:pPr>
            <w:hyperlink w:anchor="page70">
              <w:r>
                <w:rPr>
                  <w:rFonts w:ascii="Arial" w:cs="Arial" w:eastAsia="Arial" w:hAnsi="Arial"/>
                  <w:sz w:val="13"/>
                  <w:szCs w:val="13"/>
                  <w:color w:val="0000EE"/>
                </w:rPr>
                <w:t>Other Information</w:t>
              </w:r>
            </w:hyperlink>
          </w:p>
        </w:tc>
        <w:tc>
          <w:tcPr>
            <w:tcW w:w="7120" w:type="dxa"/>
            <w:vAlign w:val="bottom"/>
            <w:gridSpan w:val="21"/>
          </w:tcPr>
          <w:p>
            <w:pPr>
              <w:spacing w:after="0"/>
              <w:rPr>
                <w:sz w:val="11"/>
                <w:szCs w:val="11"/>
                <w:color w:val="auto"/>
              </w:rPr>
            </w:pPr>
          </w:p>
        </w:tc>
        <w:tc>
          <w:tcPr>
            <w:tcW w:w="300" w:type="dxa"/>
            <w:vAlign w:val="bottom"/>
          </w:tcPr>
          <w:p>
            <w:pPr>
              <w:jc w:val="right"/>
              <w:spacing w:after="0" w:line="138" w:lineRule="exact"/>
              <w:rPr>
                <w:sz w:val="20"/>
                <w:szCs w:val="20"/>
                <w:color w:val="auto"/>
              </w:rPr>
            </w:pPr>
            <w:r>
              <w:rPr>
                <w:rFonts w:ascii="Arial" w:cs="Arial" w:eastAsia="Arial" w:hAnsi="Arial"/>
                <w:sz w:val="13"/>
                <w:szCs w:val="13"/>
                <w:color w:val="auto"/>
              </w:rPr>
              <w:t>68</w:t>
            </w:r>
          </w:p>
        </w:tc>
        <w:tc>
          <w:tcPr>
            <w:tcW w:w="800" w:type="dxa"/>
            <w:vAlign w:val="bottom"/>
          </w:tcPr>
          <w:p>
            <w:pPr>
              <w:spacing w:after="0"/>
              <w:rPr>
                <w:sz w:val="11"/>
                <w:szCs w:val="11"/>
                <w:color w:val="auto"/>
              </w:rPr>
            </w:pPr>
          </w:p>
        </w:tc>
      </w:tr>
      <w:tr>
        <w:trPr>
          <w:trHeight w:val="255"/>
        </w:trPr>
        <w:tc>
          <w:tcPr>
            <w:tcW w:w="720" w:type="dxa"/>
            <w:vAlign w:val="bottom"/>
          </w:tcPr>
          <w:p>
            <w:pPr>
              <w:spacing w:after="0"/>
              <w:rPr>
                <w:sz w:val="22"/>
                <w:szCs w:val="22"/>
                <w:color w:val="auto"/>
              </w:rPr>
            </w:pPr>
          </w:p>
        </w:tc>
        <w:tc>
          <w:tcPr>
            <w:tcW w:w="340" w:type="dxa"/>
            <w:vAlign w:val="bottom"/>
            <w:tcBorders>
              <w:top w:val="single" w:sz="8" w:color="0000EE"/>
            </w:tcBorders>
          </w:tcPr>
          <w:p>
            <w:pPr>
              <w:spacing w:after="0"/>
              <w:rPr>
                <w:sz w:val="22"/>
                <w:szCs w:val="22"/>
                <w:color w:val="auto"/>
              </w:rPr>
            </w:pPr>
          </w:p>
        </w:tc>
        <w:tc>
          <w:tcPr>
            <w:tcW w:w="60" w:type="dxa"/>
            <w:vAlign w:val="bottom"/>
            <w:tcBorders>
              <w:top w:val="single" w:sz="8" w:color="0000EE"/>
            </w:tcBorders>
          </w:tcPr>
          <w:p>
            <w:pPr>
              <w:spacing w:after="0"/>
              <w:rPr>
                <w:sz w:val="22"/>
                <w:szCs w:val="22"/>
                <w:color w:val="auto"/>
              </w:rPr>
            </w:pPr>
          </w:p>
        </w:tc>
        <w:tc>
          <w:tcPr>
            <w:tcW w:w="20" w:type="dxa"/>
            <w:vAlign w:val="bottom"/>
            <w:tcBorders>
              <w:top w:val="single" w:sz="8" w:color="0000EE"/>
            </w:tcBorders>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460" w:type="dxa"/>
            <w:vAlign w:val="bottom"/>
            <w:tcBorders>
              <w:top w:val="single" w:sz="8" w:color="0000EE"/>
            </w:tcBorders>
          </w:tcPr>
          <w:p>
            <w:pPr>
              <w:spacing w:after="0"/>
              <w:rPr>
                <w:sz w:val="22"/>
                <w:szCs w:val="22"/>
                <w:color w:val="auto"/>
              </w:rPr>
            </w:pPr>
          </w:p>
        </w:tc>
        <w:tc>
          <w:tcPr>
            <w:tcW w:w="60" w:type="dxa"/>
            <w:vAlign w:val="bottom"/>
            <w:tcBorders>
              <w:top w:val="single" w:sz="8" w:color="0000EE"/>
            </w:tcBorders>
          </w:tcPr>
          <w:p>
            <w:pPr>
              <w:spacing w:after="0"/>
              <w:rPr>
                <w:sz w:val="22"/>
                <w:szCs w:val="22"/>
                <w:color w:val="auto"/>
              </w:rPr>
            </w:pPr>
          </w:p>
        </w:tc>
        <w:tc>
          <w:tcPr>
            <w:tcW w:w="140" w:type="dxa"/>
            <w:vAlign w:val="bottom"/>
            <w:tcBorders>
              <w:top w:val="single" w:sz="8" w:color="0000EE"/>
            </w:tcBorders>
          </w:tcPr>
          <w:p>
            <w:pPr>
              <w:spacing w:after="0"/>
              <w:rPr>
                <w:sz w:val="22"/>
                <w:szCs w:val="22"/>
                <w:color w:val="auto"/>
              </w:rPr>
            </w:pPr>
          </w:p>
        </w:tc>
        <w:tc>
          <w:tcPr>
            <w:tcW w:w="300" w:type="dxa"/>
            <w:vAlign w:val="bottom"/>
            <w:tcBorders>
              <w:top w:val="single" w:sz="8" w:color="0000EE"/>
            </w:tcBorders>
          </w:tcPr>
          <w:p>
            <w:pPr>
              <w:spacing w:after="0"/>
              <w:rPr>
                <w:sz w:val="22"/>
                <w:szCs w:val="22"/>
                <w:color w:val="auto"/>
              </w:rPr>
            </w:pPr>
          </w:p>
        </w:tc>
        <w:tc>
          <w:tcPr>
            <w:tcW w:w="2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40" w:type="dxa"/>
            <w:vAlign w:val="bottom"/>
            <w:tcBorders>
              <w:bottom w:val="single" w:sz="8" w:color="0000EE"/>
            </w:tcBorders>
            <w:gridSpan w:val="6"/>
          </w:tcPr>
          <w:p>
            <w:pPr>
              <w:jc w:val="center"/>
              <w:ind w:right="20"/>
              <w:spacing w:after="0"/>
              <w:rPr>
                <w:rFonts w:ascii="Arial" w:cs="Arial" w:eastAsia="Arial" w:hAnsi="Arial"/>
                <w:sz w:val="13"/>
                <w:szCs w:val="13"/>
                <w:b w:val="1"/>
                <w:bCs w:val="1"/>
                <w:color w:val="0000EE"/>
              </w:rPr>
            </w:pPr>
            <w:hyperlink w:anchor="page70">
              <w:r>
                <w:rPr>
                  <w:rFonts w:ascii="Arial" w:cs="Arial" w:eastAsia="Arial" w:hAnsi="Arial"/>
                  <w:sz w:val="13"/>
                  <w:szCs w:val="13"/>
                  <w:b w:val="1"/>
                  <w:bCs w:val="1"/>
                  <w:color w:val="0000EE"/>
                </w:rPr>
                <w:t>PART III</w:t>
              </w:r>
            </w:hyperlink>
          </w:p>
        </w:tc>
        <w:tc>
          <w:tcPr>
            <w:tcW w:w="4400" w:type="dxa"/>
            <w:vAlign w:val="bottom"/>
            <w:gridSpan w:val="5"/>
          </w:tcPr>
          <w:p>
            <w:pPr>
              <w:spacing w:after="0"/>
              <w:rPr>
                <w:sz w:val="22"/>
                <w:szCs w:val="22"/>
                <w:color w:val="auto"/>
              </w:rPr>
            </w:pPr>
          </w:p>
        </w:tc>
        <w:tc>
          <w:tcPr>
            <w:tcW w:w="300" w:type="dxa"/>
            <w:vAlign w:val="bottom"/>
          </w:tcPr>
          <w:p>
            <w:pPr>
              <w:spacing w:after="0"/>
              <w:rPr>
                <w:sz w:val="22"/>
                <w:szCs w:val="22"/>
                <w:color w:val="auto"/>
              </w:rPr>
            </w:pPr>
          </w:p>
        </w:tc>
        <w:tc>
          <w:tcPr>
            <w:tcW w:w="800" w:type="dxa"/>
            <w:vAlign w:val="bottom"/>
          </w:tcPr>
          <w:p>
            <w:pPr>
              <w:spacing w:after="0"/>
              <w:rPr>
                <w:sz w:val="22"/>
                <w:szCs w:val="22"/>
                <w:color w:val="auto"/>
              </w:rPr>
            </w:pPr>
          </w:p>
        </w:tc>
      </w:tr>
      <w:tr>
        <w:trPr>
          <w:trHeight w:val="137"/>
        </w:trPr>
        <w:tc>
          <w:tcPr>
            <w:tcW w:w="720" w:type="dxa"/>
            <w:vAlign w:val="bottom"/>
          </w:tcPr>
          <w:p>
            <w:pPr>
              <w:spacing w:after="0"/>
              <w:rPr>
                <w:sz w:val="11"/>
                <w:szCs w:val="11"/>
                <w:color w:val="auto"/>
              </w:rPr>
            </w:pPr>
          </w:p>
        </w:tc>
        <w:tc>
          <w:tcPr>
            <w:tcW w:w="1240" w:type="dxa"/>
            <w:vAlign w:val="bottom"/>
            <w:gridSpan w:val="6"/>
          </w:tcPr>
          <w:p>
            <w:pPr>
              <w:spacing w:after="0" w:line="138" w:lineRule="exact"/>
              <w:rPr>
                <w:rFonts w:ascii="Arial" w:cs="Arial" w:eastAsia="Arial" w:hAnsi="Arial"/>
                <w:sz w:val="13"/>
                <w:szCs w:val="13"/>
                <w:color w:val="0000EE"/>
              </w:rPr>
            </w:pPr>
            <w:hyperlink w:anchor="page70">
              <w:r>
                <w:rPr>
                  <w:rFonts w:ascii="Arial" w:cs="Arial" w:eastAsia="Arial" w:hAnsi="Arial"/>
                  <w:sz w:val="13"/>
                  <w:szCs w:val="13"/>
                  <w:color w:val="0000EE"/>
                </w:rPr>
                <w:t>Item 10.</w:t>
              </w:r>
            </w:hyperlink>
          </w:p>
        </w:tc>
        <w:tc>
          <w:tcPr>
            <w:tcW w:w="8400" w:type="dxa"/>
            <w:vAlign w:val="bottom"/>
            <w:gridSpan w:val="27"/>
          </w:tcPr>
          <w:p>
            <w:pPr>
              <w:spacing w:after="0" w:line="138" w:lineRule="exact"/>
              <w:rPr>
                <w:rFonts w:ascii="Arial" w:cs="Arial" w:eastAsia="Arial" w:hAnsi="Arial"/>
                <w:sz w:val="13"/>
                <w:szCs w:val="13"/>
                <w:color w:val="0000EE"/>
              </w:rPr>
            </w:pPr>
            <w:hyperlink w:anchor="page70">
              <w:r>
                <w:rPr>
                  <w:rFonts w:ascii="Arial" w:cs="Arial" w:eastAsia="Arial" w:hAnsi="Arial"/>
                  <w:sz w:val="13"/>
                  <w:szCs w:val="13"/>
                  <w:color w:val="0000EE"/>
                </w:rPr>
                <w:t>Directors and Executive Officers of the Registrant</w:t>
              </w:r>
            </w:hyperlink>
          </w:p>
        </w:tc>
        <w:tc>
          <w:tcPr>
            <w:tcW w:w="300" w:type="dxa"/>
            <w:vAlign w:val="bottom"/>
          </w:tcPr>
          <w:p>
            <w:pPr>
              <w:jc w:val="right"/>
              <w:spacing w:after="0" w:line="138" w:lineRule="exact"/>
              <w:rPr>
                <w:sz w:val="20"/>
                <w:szCs w:val="20"/>
                <w:color w:val="auto"/>
              </w:rPr>
            </w:pPr>
            <w:r>
              <w:rPr>
                <w:rFonts w:ascii="Arial" w:cs="Arial" w:eastAsia="Arial" w:hAnsi="Arial"/>
                <w:sz w:val="13"/>
                <w:szCs w:val="13"/>
                <w:color w:val="auto"/>
              </w:rPr>
              <w:t>68</w:t>
            </w:r>
          </w:p>
        </w:tc>
        <w:tc>
          <w:tcPr>
            <w:tcW w:w="800" w:type="dxa"/>
            <w:vAlign w:val="bottom"/>
          </w:tcPr>
          <w:p>
            <w:pPr>
              <w:spacing w:after="0"/>
              <w:rPr>
                <w:sz w:val="11"/>
                <w:szCs w:val="11"/>
                <w:color w:val="auto"/>
              </w:rPr>
            </w:pPr>
          </w:p>
        </w:tc>
      </w:tr>
      <w:tr>
        <w:trPr>
          <w:trHeight w:val="137"/>
        </w:trPr>
        <w:tc>
          <w:tcPr>
            <w:tcW w:w="720" w:type="dxa"/>
            <w:vAlign w:val="bottom"/>
          </w:tcPr>
          <w:p>
            <w:pPr>
              <w:spacing w:after="0"/>
              <w:rPr>
                <w:sz w:val="11"/>
                <w:szCs w:val="11"/>
                <w:color w:val="auto"/>
              </w:rPr>
            </w:pPr>
          </w:p>
        </w:tc>
        <w:tc>
          <w:tcPr>
            <w:tcW w:w="400" w:type="dxa"/>
            <w:vAlign w:val="bottom"/>
            <w:tcBorders>
              <w:top w:val="single" w:sz="8" w:color="0000EE"/>
            </w:tcBorders>
            <w:gridSpan w:val="2"/>
          </w:tcPr>
          <w:p>
            <w:pPr>
              <w:spacing w:after="0" w:line="138" w:lineRule="exact"/>
              <w:rPr>
                <w:rFonts w:ascii="Arial" w:cs="Arial" w:eastAsia="Arial" w:hAnsi="Arial"/>
                <w:sz w:val="13"/>
                <w:szCs w:val="13"/>
                <w:color w:val="0000EE"/>
                <w:w w:val="80"/>
              </w:rPr>
            </w:pPr>
            <w:hyperlink w:anchor="page70">
              <w:r>
                <w:rPr>
                  <w:rFonts w:ascii="Arial" w:cs="Arial" w:eastAsia="Arial" w:hAnsi="Arial"/>
                  <w:sz w:val="13"/>
                  <w:szCs w:val="13"/>
                  <w:color w:val="0000EE"/>
                  <w:w w:val="80"/>
                </w:rPr>
                <w:t>Item 11.</w:t>
              </w:r>
            </w:hyperlink>
          </w:p>
        </w:tc>
        <w:tc>
          <w:tcPr>
            <w:tcW w:w="840" w:type="dxa"/>
            <w:vAlign w:val="bottom"/>
            <w:gridSpan w:val="4"/>
          </w:tcPr>
          <w:p>
            <w:pPr>
              <w:spacing w:after="0"/>
              <w:rPr>
                <w:sz w:val="11"/>
                <w:szCs w:val="11"/>
                <w:color w:val="auto"/>
              </w:rPr>
            </w:pPr>
          </w:p>
        </w:tc>
        <w:tc>
          <w:tcPr>
            <w:tcW w:w="2620" w:type="dxa"/>
            <w:vAlign w:val="bottom"/>
            <w:tcBorders>
              <w:top w:val="single" w:sz="8" w:color="0000EE"/>
            </w:tcBorders>
            <w:gridSpan w:val="13"/>
          </w:tcPr>
          <w:p>
            <w:pPr>
              <w:spacing w:after="0" w:line="138" w:lineRule="exact"/>
              <w:rPr>
                <w:rFonts w:ascii="Arial" w:cs="Arial" w:eastAsia="Arial" w:hAnsi="Arial"/>
                <w:sz w:val="13"/>
                <w:szCs w:val="13"/>
                <w:color w:val="0000EE"/>
              </w:rPr>
            </w:pPr>
            <w:hyperlink w:anchor="page70">
              <w:r>
                <w:rPr>
                  <w:rFonts w:ascii="Arial" w:cs="Arial" w:eastAsia="Arial" w:hAnsi="Arial"/>
                  <w:sz w:val="13"/>
                  <w:szCs w:val="13"/>
                  <w:color w:val="0000EE"/>
                </w:rPr>
                <w:t>Executive Compensation</w:t>
              </w:r>
            </w:hyperlink>
          </w:p>
        </w:tc>
        <w:tc>
          <w:tcPr>
            <w:tcW w:w="5780" w:type="dxa"/>
            <w:vAlign w:val="bottom"/>
            <w:gridSpan w:val="14"/>
          </w:tcPr>
          <w:p>
            <w:pPr>
              <w:spacing w:after="0"/>
              <w:rPr>
                <w:sz w:val="11"/>
                <w:szCs w:val="11"/>
                <w:color w:val="auto"/>
              </w:rPr>
            </w:pPr>
          </w:p>
        </w:tc>
        <w:tc>
          <w:tcPr>
            <w:tcW w:w="300" w:type="dxa"/>
            <w:vAlign w:val="bottom"/>
          </w:tcPr>
          <w:p>
            <w:pPr>
              <w:jc w:val="right"/>
              <w:spacing w:after="0" w:line="138" w:lineRule="exact"/>
              <w:rPr>
                <w:sz w:val="20"/>
                <w:szCs w:val="20"/>
                <w:color w:val="auto"/>
              </w:rPr>
            </w:pPr>
            <w:r>
              <w:rPr>
                <w:rFonts w:ascii="Arial" w:cs="Arial" w:eastAsia="Arial" w:hAnsi="Arial"/>
                <w:sz w:val="13"/>
                <w:szCs w:val="13"/>
                <w:color w:val="auto"/>
              </w:rPr>
              <w:t>68</w:t>
            </w:r>
          </w:p>
        </w:tc>
        <w:tc>
          <w:tcPr>
            <w:tcW w:w="800" w:type="dxa"/>
            <w:vAlign w:val="bottom"/>
          </w:tcPr>
          <w:p>
            <w:pPr>
              <w:spacing w:after="0"/>
              <w:rPr>
                <w:sz w:val="11"/>
                <w:szCs w:val="11"/>
                <w:color w:val="auto"/>
              </w:rPr>
            </w:pPr>
          </w:p>
        </w:tc>
      </w:tr>
      <w:tr>
        <w:trPr>
          <w:trHeight w:val="20"/>
        </w:trPr>
        <w:tc>
          <w:tcPr>
            <w:tcW w:w="720" w:type="dxa"/>
            <w:vAlign w:val="bottom"/>
            <w:tcBorders>
              <w:right w:val="single" w:sz="8" w:color="0000EE"/>
            </w:tcBorders>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300" w:type="dxa"/>
            <w:vAlign w:val="bottom"/>
            <w:gridSpan w:val="7"/>
            <w:shd w:val="clear" w:color="auto" w:fill="0000EE"/>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00" w:type="dxa"/>
            <w:vAlign w:val="bottom"/>
            <w:gridSpan w:val="5"/>
          </w:tcPr>
          <w:p>
            <w:pPr>
              <w:spacing w:after="0" w:line="20" w:lineRule="exact"/>
              <w:rPr>
                <w:sz w:val="1"/>
                <w:szCs w:val="1"/>
                <w:color w:val="auto"/>
              </w:rPr>
            </w:pPr>
          </w:p>
        </w:tc>
        <w:tc>
          <w:tcPr>
            <w:tcW w:w="500" w:type="dxa"/>
            <w:vAlign w:val="bottom"/>
            <w:gridSpan w:val="4"/>
          </w:tcPr>
          <w:p>
            <w:pPr>
              <w:spacing w:after="0" w:line="20" w:lineRule="exact"/>
              <w:rPr>
                <w:sz w:val="1"/>
                <w:szCs w:val="1"/>
                <w:color w:val="auto"/>
              </w:rPr>
            </w:pPr>
          </w:p>
        </w:tc>
        <w:tc>
          <w:tcPr>
            <w:tcW w:w="1320" w:type="dxa"/>
            <w:vAlign w:val="bottom"/>
            <w:gridSpan w:val="4"/>
          </w:tcPr>
          <w:p>
            <w:pPr>
              <w:spacing w:after="0" w:line="20" w:lineRule="exact"/>
              <w:rPr>
                <w:sz w:val="1"/>
                <w:szCs w:val="1"/>
                <w:color w:val="auto"/>
              </w:rPr>
            </w:pPr>
          </w:p>
        </w:tc>
        <w:tc>
          <w:tcPr>
            <w:tcW w:w="31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37"/>
        </w:trPr>
        <w:tc>
          <w:tcPr>
            <w:tcW w:w="720" w:type="dxa"/>
            <w:vAlign w:val="bottom"/>
          </w:tcPr>
          <w:p>
            <w:pPr>
              <w:spacing w:after="0"/>
              <w:rPr>
                <w:sz w:val="11"/>
                <w:szCs w:val="11"/>
                <w:color w:val="auto"/>
              </w:rPr>
            </w:pPr>
          </w:p>
        </w:tc>
        <w:tc>
          <w:tcPr>
            <w:tcW w:w="1240" w:type="dxa"/>
            <w:vAlign w:val="bottom"/>
            <w:gridSpan w:val="6"/>
          </w:tcPr>
          <w:p>
            <w:pPr>
              <w:spacing w:after="0" w:line="138" w:lineRule="exact"/>
              <w:rPr>
                <w:rFonts w:ascii="Arial" w:cs="Arial" w:eastAsia="Arial" w:hAnsi="Arial"/>
                <w:sz w:val="13"/>
                <w:szCs w:val="13"/>
                <w:color w:val="0000EE"/>
              </w:rPr>
            </w:pPr>
            <w:hyperlink w:anchor="page70">
              <w:r>
                <w:rPr>
                  <w:rFonts w:ascii="Arial" w:cs="Arial" w:eastAsia="Arial" w:hAnsi="Arial"/>
                  <w:sz w:val="13"/>
                  <w:szCs w:val="13"/>
                  <w:color w:val="0000EE"/>
                </w:rPr>
                <w:t>Item 12.</w:t>
              </w:r>
            </w:hyperlink>
          </w:p>
        </w:tc>
        <w:tc>
          <w:tcPr>
            <w:tcW w:w="8400" w:type="dxa"/>
            <w:vAlign w:val="bottom"/>
            <w:gridSpan w:val="27"/>
          </w:tcPr>
          <w:p>
            <w:pPr>
              <w:spacing w:after="0" w:line="138" w:lineRule="exact"/>
              <w:rPr>
                <w:rFonts w:ascii="Arial" w:cs="Arial" w:eastAsia="Arial" w:hAnsi="Arial"/>
                <w:sz w:val="13"/>
                <w:szCs w:val="13"/>
                <w:color w:val="0000EE"/>
              </w:rPr>
            </w:pPr>
            <w:hyperlink w:anchor="page70">
              <w:r>
                <w:rPr>
                  <w:rFonts w:ascii="Arial" w:cs="Arial" w:eastAsia="Arial" w:hAnsi="Arial"/>
                  <w:sz w:val="13"/>
                  <w:szCs w:val="13"/>
                  <w:color w:val="0000EE"/>
                </w:rPr>
                <w:t>Security Ownership of Certain Beneficial Owners and Management and Related Stockholder Matters</w:t>
              </w:r>
            </w:hyperlink>
          </w:p>
        </w:tc>
        <w:tc>
          <w:tcPr>
            <w:tcW w:w="300" w:type="dxa"/>
            <w:vAlign w:val="bottom"/>
          </w:tcPr>
          <w:p>
            <w:pPr>
              <w:jc w:val="right"/>
              <w:spacing w:after="0" w:line="138" w:lineRule="exact"/>
              <w:rPr>
                <w:sz w:val="20"/>
                <w:szCs w:val="20"/>
                <w:color w:val="auto"/>
              </w:rPr>
            </w:pPr>
            <w:r>
              <w:rPr>
                <w:rFonts w:ascii="Arial" w:cs="Arial" w:eastAsia="Arial" w:hAnsi="Arial"/>
                <w:sz w:val="13"/>
                <w:szCs w:val="13"/>
                <w:color w:val="auto"/>
              </w:rPr>
              <w:t>68</w:t>
            </w:r>
          </w:p>
        </w:tc>
        <w:tc>
          <w:tcPr>
            <w:tcW w:w="800" w:type="dxa"/>
            <w:vAlign w:val="bottom"/>
          </w:tcPr>
          <w:p>
            <w:pPr>
              <w:spacing w:after="0"/>
              <w:rPr>
                <w:sz w:val="11"/>
                <w:szCs w:val="11"/>
                <w:color w:val="auto"/>
              </w:rPr>
            </w:pPr>
          </w:p>
        </w:tc>
      </w:tr>
      <w:tr>
        <w:trPr>
          <w:trHeight w:val="20"/>
        </w:trPr>
        <w:tc>
          <w:tcPr>
            <w:tcW w:w="720" w:type="dxa"/>
            <w:vAlign w:val="bottom"/>
            <w:tcBorders>
              <w:right w:val="single" w:sz="8" w:color="0000EE"/>
            </w:tcBorders>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80" w:type="dxa"/>
            <w:vAlign w:val="bottom"/>
            <w:gridSpan w:val="9"/>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000" w:type="dxa"/>
            <w:vAlign w:val="bottom"/>
            <w:gridSpan w:val="5"/>
            <w:shd w:val="clear" w:color="auto" w:fill="0000EE"/>
          </w:tcPr>
          <w:p>
            <w:pPr>
              <w:spacing w:after="0" w:line="20" w:lineRule="exact"/>
              <w:rPr>
                <w:sz w:val="1"/>
                <w:szCs w:val="1"/>
                <w:color w:val="auto"/>
              </w:rPr>
            </w:pPr>
          </w:p>
        </w:tc>
        <w:tc>
          <w:tcPr>
            <w:tcW w:w="500" w:type="dxa"/>
            <w:vAlign w:val="bottom"/>
            <w:gridSpan w:val="4"/>
            <w:shd w:val="clear" w:color="auto" w:fill="0000EE"/>
          </w:tcPr>
          <w:p>
            <w:pPr>
              <w:spacing w:after="0" w:line="20" w:lineRule="exact"/>
              <w:rPr>
                <w:sz w:val="1"/>
                <w:szCs w:val="1"/>
                <w:color w:val="auto"/>
              </w:rPr>
            </w:pPr>
          </w:p>
        </w:tc>
        <w:tc>
          <w:tcPr>
            <w:tcW w:w="1320" w:type="dxa"/>
            <w:vAlign w:val="bottom"/>
            <w:gridSpan w:val="4"/>
            <w:shd w:val="clear" w:color="auto" w:fill="0000EE"/>
          </w:tcPr>
          <w:p>
            <w:pPr>
              <w:spacing w:after="0" w:line="20" w:lineRule="exact"/>
              <w:rPr>
                <w:sz w:val="1"/>
                <w:szCs w:val="1"/>
                <w:color w:val="auto"/>
              </w:rPr>
            </w:pPr>
          </w:p>
        </w:tc>
        <w:tc>
          <w:tcPr>
            <w:tcW w:w="31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37"/>
        </w:trPr>
        <w:tc>
          <w:tcPr>
            <w:tcW w:w="720" w:type="dxa"/>
            <w:vAlign w:val="bottom"/>
          </w:tcPr>
          <w:p>
            <w:pPr>
              <w:spacing w:after="0"/>
              <w:rPr>
                <w:sz w:val="11"/>
                <w:szCs w:val="11"/>
                <w:color w:val="auto"/>
              </w:rPr>
            </w:pPr>
          </w:p>
        </w:tc>
        <w:tc>
          <w:tcPr>
            <w:tcW w:w="1240" w:type="dxa"/>
            <w:vAlign w:val="bottom"/>
            <w:gridSpan w:val="6"/>
          </w:tcPr>
          <w:p>
            <w:pPr>
              <w:spacing w:after="0" w:line="138" w:lineRule="exact"/>
              <w:rPr>
                <w:rFonts w:ascii="Arial" w:cs="Arial" w:eastAsia="Arial" w:hAnsi="Arial"/>
                <w:sz w:val="13"/>
                <w:szCs w:val="13"/>
                <w:color w:val="0000EE"/>
              </w:rPr>
            </w:pPr>
            <w:hyperlink w:anchor="page70">
              <w:r>
                <w:rPr>
                  <w:rFonts w:ascii="Arial" w:cs="Arial" w:eastAsia="Arial" w:hAnsi="Arial"/>
                  <w:sz w:val="13"/>
                  <w:szCs w:val="13"/>
                  <w:color w:val="0000EE"/>
                </w:rPr>
                <w:t>Item 13.</w:t>
              </w:r>
            </w:hyperlink>
          </w:p>
        </w:tc>
        <w:tc>
          <w:tcPr>
            <w:tcW w:w="8400" w:type="dxa"/>
            <w:vAlign w:val="bottom"/>
            <w:gridSpan w:val="27"/>
          </w:tcPr>
          <w:p>
            <w:pPr>
              <w:spacing w:after="0" w:line="138" w:lineRule="exact"/>
              <w:rPr>
                <w:rFonts w:ascii="Arial" w:cs="Arial" w:eastAsia="Arial" w:hAnsi="Arial"/>
                <w:sz w:val="13"/>
                <w:szCs w:val="13"/>
                <w:color w:val="0000EE"/>
              </w:rPr>
            </w:pPr>
            <w:hyperlink w:anchor="page70">
              <w:r>
                <w:rPr>
                  <w:rFonts w:ascii="Arial" w:cs="Arial" w:eastAsia="Arial" w:hAnsi="Arial"/>
                  <w:sz w:val="13"/>
                  <w:szCs w:val="13"/>
                  <w:color w:val="0000EE"/>
                </w:rPr>
                <w:t>Certain Relationships and Related Transactions</w:t>
              </w:r>
            </w:hyperlink>
          </w:p>
        </w:tc>
        <w:tc>
          <w:tcPr>
            <w:tcW w:w="300" w:type="dxa"/>
            <w:vAlign w:val="bottom"/>
          </w:tcPr>
          <w:p>
            <w:pPr>
              <w:jc w:val="right"/>
              <w:spacing w:after="0" w:line="138" w:lineRule="exact"/>
              <w:rPr>
                <w:sz w:val="20"/>
                <w:szCs w:val="20"/>
                <w:color w:val="auto"/>
              </w:rPr>
            </w:pPr>
            <w:r>
              <w:rPr>
                <w:rFonts w:ascii="Arial" w:cs="Arial" w:eastAsia="Arial" w:hAnsi="Arial"/>
                <w:sz w:val="13"/>
                <w:szCs w:val="13"/>
                <w:color w:val="auto"/>
              </w:rPr>
              <w:t>68</w:t>
            </w:r>
          </w:p>
        </w:tc>
        <w:tc>
          <w:tcPr>
            <w:tcW w:w="800" w:type="dxa"/>
            <w:vAlign w:val="bottom"/>
          </w:tcPr>
          <w:p>
            <w:pPr>
              <w:spacing w:after="0"/>
              <w:rPr>
                <w:sz w:val="11"/>
                <w:szCs w:val="11"/>
                <w:color w:val="auto"/>
              </w:rPr>
            </w:pPr>
          </w:p>
        </w:tc>
      </w:tr>
      <w:tr>
        <w:trPr>
          <w:trHeight w:val="20"/>
        </w:trPr>
        <w:tc>
          <w:tcPr>
            <w:tcW w:w="720" w:type="dxa"/>
            <w:vAlign w:val="bottom"/>
            <w:tcBorders>
              <w:right w:val="single" w:sz="8" w:color="0000EE"/>
            </w:tcBorders>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80" w:type="dxa"/>
            <w:vAlign w:val="bottom"/>
            <w:gridSpan w:val="9"/>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000" w:type="dxa"/>
            <w:vAlign w:val="bottom"/>
            <w:gridSpan w:val="5"/>
          </w:tcPr>
          <w:p>
            <w:pPr>
              <w:spacing w:after="0" w:line="20" w:lineRule="exact"/>
              <w:rPr>
                <w:sz w:val="1"/>
                <w:szCs w:val="1"/>
                <w:color w:val="auto"/>
              </w:rPr>
            </w:pPr>
          </w:p>
        </w:tc>
        <w:tc>
          <w:tcPr>
            <w:tcW w:w="500" w:type="dxa"/>
            <w:vAlign w:val="bottom"/>
            <w:gridSpan w:val="4"/>
          </w:tcPr>
          <w:p>
            <w:pPr>
              <w:spacing w:after="0" w:line="20" w:lineRule="exact"/>
              <w:rPr>
                <w:sz w:val="1"/>
                <w:szCs w:val="1"/>
                <w:color w:val="auto"/>
              </w:rPr>
            </w:pPr>
          </w:p>
        </w:tc>
        <w:tc>
          <w:tcPr>
            <w:tcW w:w="4420" w:type="dxa"/>
            <w:vAlign w:val="bottom"/>
            <w:gridSpan w:val="6"/>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37"/>
        </w:trPr>
        <w:tc>
          <w:tcPr>
            <w:tcW w:w="720" w:type="dxa"/>
            <w:vAlign w:val="bottom"/>
          </w:tcPr>
          <w:p>
            <w:pPr>
              <w:spacing w:after="0"/>
              <w:rPr>
                <w:sz w:val="11"/>
                <w:szCs w:val="11"/>
                <w:color w:val="auto"/>
              </w:rPr>
            </w:pPr>
          </w:p>
        </w:tc>
        <w:tc>
          <w:tcPr>
            <w:tcW w:w="1240" w:type="dxa"/>
            <w:vAlign w:val="bottom"/>
            <w:gridSpan w:val="6"/>
          </w:tcPr>
          <w:p>
            <w:pPr>
              <w:spacing w:after="0" w:line="138" w:lineRule="exact"/>
              <w:rPr>
                <w:rFonts w:ascii="Arial" w:cs="Arial" w:eastAsia="Arial" w:hAnsi="Arial"/>
                <w:sz w:val="13"/>
                <w:szCs w:val="13"/>
                <w:color w:val="0000EE"/>
              </w:rPr>
            </w:pPr>
            <w:hyperlink w:anchor="page70">
              <w:r>
                <w:rPr>
                  <w:rFonts w:ascii="Arial" w:cs="Arial" w:eastAsia="Arial" w:hAnsi="Arial"/>
                  <w:sz w:val="13"/>
                  <w:szCs w:val="13"/>
                  <w:color w:val="0000EE"/>
                </w:rPr>
                <w:t>Item 14.</w:t>
              </w:r>
            </w:hyperlink>
          </w:p>
        </w:tc>
        <w:tc>
          <w:tcPr>
            <w:tcW w:w="8400" w:type="dxa"/>
            <w:vAlign w:val="bottom"/>
            <w:gridSpan w:val="27"/>
          </w:tcPr>
          <w:p>
            <w:pPr>
              <w:spacing w:after="0" w:line="138" w:lineRule="exact"/>
              <w:rPr>
                <w:rFonts w:ascii="Arial" w:cs="Arial" w:eastAsia="Arial" w:hAnsi="Arial"/>
                <w:sz w:val="13"/>
                <w:szCs w:val="13"/>
                <w:color w:val="0000EE"/>
              </w:rPr>
            </w:pPr>
            <w:hyperlink w:anchor="page70">
              <w:r>
                <w:rPr>
                  <w:rFonts w:ascii="Arial" w:cs="Arial" w:eastAsia="Arial" w:hAnsi="Arial"/>
                  <w:sz w:val="13"/>
                  <w:szCs w:val="13"/>
                  <w:color w:val="0000EE"/>
                </w:rPr>
                <w:t>Principal Accountant Fees and Services</w:t>
              </w:r>
            </w:hyperlink>
          </w:p>
        </w:tc>
        <w:tc>
          <w:tcPr>
            <w:tcW w:w="300" w:type="dxa"/>
            <w:vAlign w:val="bottom"/>
          </w:tcPr>
          <w:p>
            <w:pPr>
              <w:jc w:val="right"/>
              <w:spacing w:after="0" w:line="138" w:lineRule="exact"/>
              <w:rPr>
                <w:sz w:val="20"/>
                <w:szCs w:val="20"/>
                <w:color w:val="auto"/>
              </w:rPr>
            </w:pPr>
            <w:r>
              <w:rPr>
                <w:rFonts w:ascii="Arial" w:cs="Arial" w:eastAsia="Arial" w:hAnsi="Arial"/>
                <w:sz w:val="13"/>
                <w:szCs w:val="13"/>
                <w:color w:val="auto"/>
              </w:rPr>
              <w:t>68</w:t>
            </w:r>
          </w:p>
        </w:tc>
        <w:tc>
          <w:tcPr>
            <w:tcW w:w="800" w:type="dxa"/>
            <w:vAlign w:val="bottom"/>
          </w:tcPr>
          <w:p>
            <w:pPr>
              <w:spacing w:after="0"/>
              <w:rPr>
                <w:sz w:val="11"/>
                <w:szCs w:val="11"/>
                <w:color w:val="auto"/>
              </w:rPr>
            </w:pPr>
          </w:p>
        </w:tc>
      </w:tr>
      <w:tr>
        <w:trPr>
          <w:trHeight w:val="255"/>
        </w:trPr>
        <w:tc>
          <w:tcPr>
            <w:tcW w:w="720" w:type="dxa"/>
            <w:vAlign w:val="bottom"/>
          </w:tcPr>
          <w:p>
            <w:pPr>
              <w:spacing w:after="0"/>
              <w:rPr>
                <w:sz w:val="22"/>
                <w:szCs w:val="22"/>
                <w:color w:val="auto"/>
              </w:rPr>
            </w:pPr>
          </w:p>
        </w:tc>
        <w:tc>
          <w:tcPr>
            <w:tcW w:w="340" w:type="dxa"/>
            <w:vAlign w:val="bottom"/>
            <w:tcBorders>
              <w:top w:val="single" w:sz="8" w:color="0000EE"/>
            </w:tcBorders>
          </w:tcPr>
          <w:p>
            <w:pPr>
              <w:spacing w:after="0"/>
              <w:rPr>
                <w:sz w:val="22"/>
                <w:szCs w:val="22"/>
                <w:color w:val="auto"/>
              </w:rPr>
            </w:pPr>
          </w:p>
        </w:tc>
        <w:tc>
          <w:tcPr>
            <w:tcW w:w="60" w:type="dxa"/>
            <w:vAlign w:val="bottom"/>
            <w:tcBorders>
              <w:top w:val="single" w:sz="8" w:color="0000EE"/>
            </w:tcBorders>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460" w:type="dxa"/>
            <w:vAlign w:val="bottom"/>
            <w:tcBorders>
              <w:top w:val="single" w:sz="8" w:color="0000EE"/>
            </w:tcBorders>
          </w:tcPr>
          <w:p>
            <w:pPr>
              <w:spacing w:after="0"/>
              <w:rPr>
                <w:sz w:val="22"/>
                <w:szCs w:val="22"/>
                <w:color w:val="auto"/>
              </w:rPr>
            </w:pPr>
          </w:p>
        </w:tc>
        <w:tc>
          <w:tcPr>
            <w:tcW w:w="60" w:type="dxa"/>
            <w:vAlign w:val="bottom"/>
            <w:tcBorders>
              <w:top w:val="single" w:sz="8" w:color="0000EE"/>
            </w:tcBorders>
          </w:tcPr>
          <w:p>
            <w:pPr>
              <w:spacing w:after="0"/>
              <w:rPr>
                <w:sz w:val="22"/>
                <w:szCs w:val="22"/>
                <w:color w:val="auto"/>
              </w:rPr>
            </w:pPr>
          </w:p>
        </w:tc>
        <w:tc>
          <w:tcPr>
            <w:tcW w:w="140" w:type="dxa"/>
            <w:vAlign w:val="bottom"/>
            <w:tcBorders>
              <w:top w:val="single" w:sz="8" w:color="0000EE"/>
            </w:tcBorders>
          </w:tcPr>
          <w:p>
            <w:pPr>
              <w:spacing w:after="0"/>
              <w:rPr>
                <w:sz w:val="22"/>
                <w:szCs w:val="22"/>
                <w:color w:val="auto"/>
              </w:rPr>
            </w:pPr>
          </w:p>
        </w:tc>
        <w:tc>
          <w:tcPr>
            <w:tcW w:w="300" w:type="dxa"/>
            <w:vAlign w:val="bottom"/>
            <w:tcBorders>
              <w:top w:val="single" w:sz="8" w:color="0000EE"/>
            </w:tcBorders>
          </w:tcPr>
          <w:p>
            <w:pPr>
              <w:spacing w:after="0"/>
              <w:rPr>
                <w:sz w:val="22"/>
                <w:szCs w:val="22"/>
                <w:color w:val="auto"/>
              </w:rPr>
            </w:pPr>
          </w:p>
        </w:tc>
        <w:tc>
          <w:tcPr>
            <w:tcW w:w="280" w:type="dxa"/>
            <w:vAlign w:val="bottom"/>
            <w:tcBorders>
              <w:top w:val="single" w:sz="8" w:color="0000EE"/>
            </w:tcBorders>
          </w:tcPr>
          <w:p>
            <w:pPr>
              <w:spacing w:after="0"/>
              <w:rPr>
                <w:sz w:val="22"/>
                <w:szCs w:val="22"/>
                <w:color w:val="auto"/>
              </w:rPr>
            </w:pPr>
          </w:p>
        </w:tc>
        <w:tc>
          <w:tcPr>
            <w:tcW w:w="40" w:type="dxa"/>
            <w:vAlign w:val="bottom"/>
            <w:tcBorders>
              <w:top w:val="single" w:sz="8" w:color="0000EE"/>
            </w:tcBorders>
          </w:tcPr>
          <w:p>
            <w:pPr>
              <w:spacing w:after="0"/>
              <w:rPr>
                <w:sz w:val="22"/>
                <w:szCs w:val="22"/>
                <w:color w:val="auto"/>
              </w:rPr>
            </w:pPr>
          </w:p>
        </w:tc>
        <w:tc>
          <w:tcPr>
            <w:tcW w:w="20" w:type="dxa"/>
            <w:vAlign w:val="bottom"/>
            <w:tcBorders>
              <w:top w:val="single" w:sz="8" w:color="0000EE"/>
            </w:tcBorders>
          </w:tcPr>
          <w:p>
            <w:pPr>
              <w:spacing w:after="0"/>
              <w:rPr>
                <w:sz w:val="22"/>
                <w:szCs w:val="22"/>
                <w:color w:val="auto"/>
              </w:rPr>
            </w:pPr>
          </w:p>
        </w:tc>
        <w:tc>
          <w:tcPr>
            <w:tcW w:w="180" w:type="dxa"/>
            <w:vAlign w:val="bottom"/>
            <w:tcBorders>
              <w:top w:val="single" w:sz="8" w:color="0000EE"/>
            </w:tcBorders>
          </w:tcPr>
          <w:p>
            <w:pPr>
              <w:spacing w:after="0"/>
              <w:rPr>
                <w:sz w:val="22"/>
                <w:szCs w:val="22"/>
                <w:color w:val="auto"/>
              </w:rPr>
            </w:pPr>
          </w:p>
        </w:tc>
        <w:tc>
          <w:tcPr>
            <w:tcW w:w="600" w:type="dxa"/>
            <w:vAlign w:val="bottom"/>
            <w:tcBorders>
              <w:top w:val="single" w:sz="8" w:color="0000EE"/>
            </w:tcBorders>
          </w:tcPr>
          <w:p>
            <w:pPr>
              <w:spacing w:after="0"/>
              <w:rPr>
                <w:sz w:val="22"/>
                <w:szCs w:val="22"/>
                <w:color w:val="auto"/>
              </w:rPr>
            </w:pP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940" w:type="dxa"/>
            <w:vAlign w:val="bottom"/>
            <w:gridSpan w:val="11"/>
          </w:tcPr>
          <w:p>
            <w:pPr>
              <w:jc w:val="center"/>
              <w:ind w:right="4420"/>
              <w:spacing w:after="0"/>
              <w:rPr>
                <w:rFonts w:ascii="Arial" w:cs="Arial" w:eastAsia="Arial" w:hAnsi="Arial"/>
                <w:sz w:val="13"/>
                <w:szCs w:val="13"/>
                <w:b w:val="1"/>
                <w:bCs w:val="1"/>
                <w:color w:val="0000EE"/>
              </w:rPr>
            </w:pPr>
            <w:hyperlink w:anchor="page70">
              <w:r>
                <w:rPr>
                  <w:rFonts w:ascii="Arial" w:cs="Arial" w:eastAsia="Arial" w:hAnsi="Arial"/>
                  <w:sz w:val="13"/>
                  <w:szCs w:val="13"/>
                  <w:b w:val="1"/>
                  <w:bCs w:val="1"/>
                  <w:color w:val="0000EE"/>
                </w:rPr>
                <w:t>PART IV</w:t>
              </w:r>
            </w:hyperlink>
          </w:p>
        </w:tc>
        <w:tc>
          <w:tcPr>
            <w:tcW w:w="300" w:type="dxa"/>
            <w:vAlign w:val="bottom"/>
          </w:tcPr>
          <w:p>
            <w:pPr>
              <w:spacing w:after="0"/>
              <w:rPr>
                <w:sz w:val="22"/>
                <w:szCs w:val="22"/>
                <w:color w:val="auto"/>
              </w:rPr>
            </w:pPr>
          </w:p>
        </w:tc>
        <w:tc>
          <w:tcPr>
            <w:tcW w:w="800" w:type="dxa"/>
            <w:vAlign w:val="bottom"/>
          </w:tcPr>
          <w:p>
            <w:pPr>
              <w:spacing w:after="0"/>
              <w:rPr>
                <w:sz w:val="22"/>
                <w:szCs w:val="22"/>
                <w:color w:val="auto"/>
              </w:rPr>
            </w:pPr>
          </w:p>
        </w:tc>
      </w:tr>
      <w:tr>
        <w:trPr>
          <w:trHeight w:val="137"/>
        </w:trPr>
        <w:tc>
          <w:tcPr>
            <w:tcW w:w="720" w:type="dxa"/>
            <w:vAlign w:val="bottom"/>
          </w:tcPr>
          <w:p>
            <w:pPr>
              <w:spacing w:after="0"/>
              <w:rPr>
                <w:sz w:val="11"/>
                <w:szCs w:val="11"/>
                <w:color w:val="auto"/>
              </w:rPr>
            </w:pPr>
          </w:p>
        </w:tc>
        <w:tc>
          <w:tcPr>
            <w:tcW w:w="1240" w:type="dxa"/>
            <w:vAlign w:val="bottom"/>
            <w:gridSpan w:val="6"/>
          </w:tcPr>
          <w:p>
            <w:pPr>
              <w:spacing w:after="0" w:line="138" w:lineRule="exact"/>
              <w:rPr>
                <w:rFonts w:ascii="Arial" w:cs="Arial" w:eastAsia="Arial" w:hAnsi="Arial"/>
                <w:sz w:val="13"/>
                <w:szCs w:val="13"/>
                <w:color w:val="0000EE"/>
              </w:rPr>
            </w:pPr>
            <w:hyperlink w:anchor="page70">
              <w:r>
                <w:rPr>
                  <w:rFonts w:ascii="Arial" w:cs="Arial" w:eastAsia="Arial" w:hAnsi="Arial"/>
                  <w:sz w:val="13"/>
                  <w:szCs w:val="13"/>
                  <w:color w:val="0000EE"/>
                </w:rPr>
                <w:t>Item 15.</w:t>
              </w:r>
            </w:hyperlink>
          </w:p>
        </w:tc>
        <w:tc>
          <w:tcPr>
            <w:tcW w:w="3480" w:type="dxa"/>
            <w:vAlign w:val="bottom"/>
            <w:gridSpan w:val="17"/>
          </w:tcPr>
          <w:p>
            <w:pPr>
              <w:spacing w:after="0" w:line="138" w:lineRule="exact"/>
              <w:rPr>
                <w:rFonts w:ascii="Arial" w:cs="Arial" w:eastAsia="Arial" w:hAnsi="Arial"/>
                <w:sz w:val="13"/>
                <w:szCs w:val="13"/>
                <w:color w:val="0000EE"/>
              </w:rPr>
            </w:pPr>
            <w:hyperlink w:anchor="page70">
              <w:r>
                <w:rPr>
                  <w:rFonts w:ascii="Arial" w:cs="Arial" w:eastAsia="Arial" w:hAnsi="Arial"/>
                  <w:sz w:val="13"/>
                  <w:szCs w:val="13"/>
                  <w:color w:val="0000EE"/>
                </w:rPr>
                <w:t>Exhibits and Financial Statement Schedules</w:t>
              </w:r>
            </w:hyperlink>
          </w:p>
        </w:tc>
        <w:tc>
          <w:tcPr>
            <w:tcW w:w="500" w:type="dxa"/>
            <w:vAlign w:val="bottom"/>
            <w:tcBorders>
              <w:top w:val="single" w:sz="8" w:color="0000EE"/>
            </w:tcBorders>
            <w:gridSpan w:val="4"/>
          </w:tcPr>
          <w:p>
            <w:pPr>
              <w:spacing w:after="0"/>
              <w:rPr>
                <w:sz w:val="11"/>
                <w:szCs w:val="11"/>
                <w:color w:val="auto"/>
              </w:rPr>
            </w:pPr>
          </w:p>
        </w:tc>
        <w:tc>
          <w:tcPr>
            <w:tcW w:w="4420" w:type="dxa"/>
            <w:vAlign w:val="bottom"/>
            <w:gridSpan w:val="6"/>
          </w:tcPr>
          <w:p>
            <w:pPr>
              <w:spacing w:after="0"/>
              <w:rPr>
                <w:sz w:val="11"/>
                <w:szCs w:val="11"/>
                <w:color w:val="auto"/>
              </w:rPr>
            </w:pPr>
          </w:p>
        </w:tc>
        <w:tc>
          <w:tcPr>
            <w:tcW w:w="300" w:type="dxa"/>
            <w:vAlign w:val="bottom"/>
          </w:tcPr>
          <w:p>
            <w:pPr>
              <w:jc w:val="right"/>
              <w:spacing w:after="0" w:line="138" w:lineRule="exact"/>
              <w:rPr>
                <w:sz w:val="20"/>
                <w:szCs w:val="20"/>
                <w:color w:val="auto"/>
              </w:rPr>
            </w:pPr>
            <w:r>
              <w:rPr>
                <w:rFonts w:ascii="Arial" w:cs="Arial" w:eastAsia="Arial" w:hAnsi="Arial"/>
                <w:sz w:val="13"/>
                <w:szCs w:val="13"/>
                <w:color w:val="auto"/>
              </w:rPr>
              <w:t>68</w:t>
            </w:r>
          </w:p>
        </w:tc>
        <w:tc>
          <w:tcPr>
            <w:tcW w:w="800" w:type="dxa"/>
            <w:vAlign w:val="bottom"/>
          </w:tcPr>
          <w:p>
            <w:pPr>
              <w:spacing w:after="0"/>
              <w:rPr>
                <w:sz w:val="11"/>
                <w:szCs w:val="11"/>
                <w:color w:val="auto"/>
              </w:rPr>
            </w:pPr>
          </w:p>
        </w:tc>
      </w:tr>
      <w:tr>
        <w:trPr>
          <w:trHeight w:val="20"/>
        </w:trPr>
        <w:tc>
          <w:tcPr>
            <w:tcW w:w="720" w:type="dxa"/>
            <w:vAlign w:val="bottom"/>
            <w:tcBorders>
              <w:right w:val="single" w:sz="8" w:color="0000EE"/>
            </w:tcBorders>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37"/>
        </w:trPr>
        <w:tc>
          <w:tcPr>
            <w:tcW w:w="720" w:type="dxa"/>
            <w:vAlign w:val="bottom"/>
          </w:tcPr>
          <w:p>
            <w:pPr>
              <w:spacing w:after="0"/>
              <w:rPr>
                <w:sz w:val="11"/>
                <w:szCs w:val="11"/>
                <w:color w:val="auto"/>
              </w:rPr>
            </w:pPr>
          </w:p>
        </w:tc>
        <w:tc>
          <w:tcPr>
            <w:tcW w:w="1240" w:type="dxa"/>
            <w:vAlign w:val="bottom"/>
            <w:gridSpan w:val="6"/>
          </w:tcPr>
          <w:p>
            <w:pPr>
              <w:spacing w:after="0" w:line="138" w:lineRule="exact"/>
              <w:rPr>
                <w:sz w:val="20"/>
                <w:szCs w:val="20"/>
                <w:color w:val="auto"/>
              </w:rPr>
            </w:pPr>
            <w:r>
              <w:rPr>
                <w:rFonts w:ascii="Arial" w:cs="Arial" w:eastAsia="Arial" w:hAnsi="Arial"/>
                <w:sz w:val="13"/>
                <w:szCs w:val="13"/>
                <w:color w:val="0000EE"/>
              </w:rPr>
              <w:t>EXHIBIT 23.1</w:t>
            </w: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20"/>
        </w:trPr>
        <w:tc>
          <w:tcPr>
            <w:tcW w:w="720" w:type="dxa"/>
            <w:vAlign w:val="bottom"/>
          </w:tcPr>
          <w:p>
            <w:pPr>
              <w:spacing w:after="0" w:line="20" w:lineRule="exact"/>
              <w:rPr>
                <w:sz w:val="1"/>
                <w:szCs w:val="1"/>
                <w:color w:val="auto"/>
              </w:rPr>
            </w:pPr>
          </w:p>
        </w:tc>
        <w:tc>
          <w:tcPr>
            <w:tcW w:w="760" w:type="dxa"/>
            <w:vAlign w:val="bottom"/>
            <w:gridSpan w:val="5"/>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37"/>
        </w:trPr>
        <w:tc>
          <w:tcPr>
            <w:tcW w:w="720" w:type="dxa"/>
            <w:vAlign w:val="bottom"/>
          </w:tcPr>
          <w:p>
            <w:pPr>
              <w:spacing w:after="0"/>
              <w:rPr>
                <w:sz w:val="11"/>
                <w:szCs w:val="11"/>
                <w:color w:val="auto"/>
              </w:rPr>
            </w:pPr>
          </w:p>
        </w:tc>
        <w:tc>
          <w:tcPr>
            <w:tcW w:w="1240" w:type="dxa"/>
            <w:vAlign w:val="bottom"/>
            <w:gridSpan w:val="6"/>
          </w:tcPr>
          <w:p>
            <w:pPr>
              <w:spacing w:after="0" w:line="138" w:lineRule="exact"/>
              <w:rPr>
                <w:sz w:val="20"/>
                <w:szCs w:val="20"/>
                <w:color w:val="auto"/>
              </w:rPr>
            </w:pPr>
            <w:r>
              <w:rPr>
                <w:rFonts w:ascii="Arial" w:cs="Arial" w:eastAsia="Arial" w:hAnsi="Arial"/>
                <w:sz w:val="13"/>
                <w:szCs w:val="13"/>
                <w:color w:val="0000EE"/>
              </w:rPr>
              <w:t>EXHIBIT 31.1</w:t>
            </w: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20"/>
        </w:trPr>
        <w:tc>
          <w:tcPr>
            <w:tcW w:w="720" w:type="dxa"/>
            <w:vAlign w:val="bottom"/>
          </w:tcPr>
          <w:p>
            <w:pPr>
              <w:spacing w:after="0" w:line="20" w:lineRule="exact"/>
              <w:rPr>
                <w:sz w:val="1"/>
                <w:szCs w:val="1"/>
                <w:color w:val="auto"/>
              </w:rPr>
            </w:pPr>
          </w:p>
        </w:tc>
        <w:tc>
          <w:tcPr>
            <w:tcW w:w="760" w:type="dxa"/>
            <w:vAlign w:val="bottom"/>
            <w:gridSpan w:val="5"/>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37"/>
        </w:trPr>
        <w:tc>
          <w:tcPr>
            <w:tcW w:w="720" w:type="dxa"/>
            <w:vAlign w:val="bottom"/>
          </w:tcPr>
          <w:p>
            <w:pPr>
              <w:spacing w:after="0"/>
              <w:rPr>
                <w:sz w:val="11"/>
                <w:szCs w:val="11"/>
                <w:color w:val="auto"/>
              </w:rPr>
            </w:pPr>
          </w:p>
        </w:tc>
        <w:tc>
          <w:tcPr>
            <w:tcW w:w="1240" w:type="dxa"/>
            <w:vAlign w:val="bottom"/>
            <w:gridSpan w:val="6"/>
          </w:tcPr>
          <w:p>
            <w:pPr>
              <w:spacing w:after="0" w:line="138" w:lineRule="exact"/>
              <w:rPr>
                <w:sz w:val="20"/>
                <w:szCs w:val="20"/>
                <w:color w:val="auto"/>
              </w:rPr>
            </w:pPr>
            <w:r>
              <w:rPr>
                <w:rFonts w:ascii="Arial" w:cs="Arial" w:eastAsia="Arial" w:hAnsi="Arial"/>
                <w:sz w:val="13"/>
                <w:szCs w:val="13"/>
                <w:color w:val="0000EE"/>
              </w:rPr>
              <w:t>EXHIBIT 31.2</w:t>
            </w: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20"/>
        </w:trPr>
        <w:tc>
          <w:tcPr>
            <w:tcW w:w="720" w:type="dxa"/>
            <w:vAlign w:val="bottom"/>
          </w:tcPr>
          <w:p>
            <w:pPr>
              <w:spacing w:after="0" w:line="20" w:lineRule="exact"/>
              <w:rPr>
                <w:sz w:val="1"/>
                <w:szCs w:val="1"/>
                <w:color w:val="auto"/>
              </w:rPr>
            </w:pPr>
          </w:p>
        </w:tc>
        <w:tc>
          <w:tcPr>
            <w:tcW w:w="760" w:type="dxa"/>
            <w:vAlign w:val="bottom"/>
            <w:gridSpan w:val="5"/>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37"/>
        </w:trPr>
        <w:tc>
          <w:tcPr>
            <w:tcW w:w="720" w:type="dxa"/>
            <w:vAlign w:val="bottom"/>
          </w:tcPr>
          <w:p>
            <w:pPr>
              <w:spacing w:after="0"/>
              <w:rPr>
                <w:sz w:val="11"/>
                <w:szCs w:val="11"/>
                <w:color w:val="auto"/>
              </w:rPr>
            </w:pPr>
          </w:p>
        </w:tc>
        <w:tc>
          <w:tcPr>
            <w:tcW w:w="1240" w:type="dxa"/>
            <w:vAlign w:val="bottom"/>
            <w:gridSpan w:val="6"/>
          </w:tcPr>
          <w:p>
            <w:pPr>
              <w:spacing w:after="0" w:line="138" w:lineRule="exact"/>
              <w:rPr>
                <w:sz w:val="20"/>
                <w:szCs w:val="20"/>
                <w:color w:val="auto"/>
              </w:rPr>
            </w:pPr>
            <w:r>
              <w:rPr>
                <w:rFonts w:ascii="Arial" w:cs="Arial" w:eastAsia="Arial" w:hAnsi="Arial"/>
                <w:sz w:val="13"/>
                <w:szCs w:val="13"/>
                <w:color w:val="0000EE"/>
              </w:rPr>
              <w:t>EXHIBIT 32.1</w:t>
            </w: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20"/>
        </w:trPr>
        <w:tc>
          <w:tcPr>
            <w:tcW w:w="720" w:type="dxa"/>
            <w:vAlign w:val="bottom"/>
          </w:tcPr>
          <w:p>
            <w:pPr>
              <w:spacing w:after="0" w:line="20" w:lineRule="exact"/>
              <w:rPr>
                <w:sz w:val="1"/>
                <w:szCs w:val="1"/>
                <w:color w:val="auto"/>
              </w:rPr>
            </w:pPr>
          </w:p>
        </w:tc>
        <w:tc>
          <w:tcPr>
            <w:tcW w:w="760" w:type="dxa"/>
            <w:vAlign w:val="bottom"/>
            <w:gridSpan w:val="5"/>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37"/>
        </w:trPr>
        <w:tc>
          <w:tcPr>
            <w:tcW w:w="720" w:type="dxa"/>
            <w:vAlign w:val="bottom"/>
          </w:tcPr>
          <w:p>
            <w:pPr>
              <w:spacing w:after="0"/>
              <w:rPr>
                <w:sz w:val="11"/>
                <w:szCs w:val="11"/>
                <w:color w:val="auto"/>
              </w:rPr>
            </w:pPr>
          </w:p>
        </w:tc>
        <w:tc>
          <w:tcPr>
            <w:tcW w:w="1240" w:type="dxa"/>
            <w:vAlign w:val="bottom"/>
            <w:gridSpan w:val="6"/>
          </w:tcPr>
          <w:p>
            <w:pPr>
              <w:spacing w:after="0" w:line="138" w:lineRule="exact"/>
              <w:rPr>
                <w:sz w:val="20"/>
                <w:szCs w:val="20"/>
                <w:color w:val="auto"/>
              </w:rPr>
            </w:pPr>
            <w:r>
              <w:rPr>
                <w:rFonts w:ascii="Arial" w:cs="Arial" w:eastAsia="Arial" w:hAnsi="Arial"/>
                <w:sz w:val="13"/>
                <w:szCs w:val="13"/>
                <w:color w:val="0000EE"/>
              </w:rPr>
              <w:t>EXHIBIT 32.2</w:t>
            </w: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460"/>
        </w:trPr>
        <w:tc>
          <w:tcPr>
            <w:tcW w:w="720" w:type="dxa"/>
            <w:vAlign w:val="bottom"/>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480" w:type="dxa"/>
            <w:vAlign w:val="bottom"/>
          </w:tcPr>
          <w:p>
            <w:pPr>
              <w:spacing w:after="0"/>
              <w:rPr>
                <w:sz w:val="24"/>
                <w:szCs w:val="24"/>
                <w:color w:val="auto"/>
              </w:rPr>
            </w:pPr>
          </w:p>
        </w:tc>
        <w:tc>
          <w:tcPr>
            <w:tcW w:w="3920" w:type="dxa"/>
            <w:vAlign w:val="bottom"/>
            <w:gridSpan w:val="19"/>
          </w:tcPr>
          <w:p>
            <w:pPr>
              <w:jc w:val="center"/>
              <w:ind w:left="3434"/>
              <w:spacing w:after="0"/>
              <w:rPr>
                <w:sz w:val="20"/>
                <w:szCs w:val="20"/>
                <w:color w:val="auto"/>
              </w:rPr>
            </w:pPr>
            <w:r>
              <w:rPr>
                <w:rFonts w:ascii="Arial" w:cs="Arial" w:eastAsia="Arial" w:hAnsi="Arial"/>
                <w:sz w:val="13"/>
                <w:szCs w:val="13"/>
                <w:color w:val="auto"/>
                <w:w w:val="82"/>
              </w:rPr>
              <w:t>2</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63"/>
        </w:trPr>
        <w:tc>
          <w:tcPr>
            <w:tcW w:w="720" w:type="dxa"/>
            <w:vAlign w:val="bottom"/>
            <w:tcBorders>
              <w:bottom w:val="single" w:sz="8" w:color="808080"/>
            </w:tcBorders>
          </w:tcPr>
          <w:p>
            <w:pPr>
              <w:spacing w:after="0"/>
              <w:rPr>
                <w:sz w:val="14"/>
                <w:szCs w:val="14"/>
                <w:color w:val="auto"/>
              </w:rPr>
            </w:pPr>
          </w:p>
        </w:tc>
        <w:tc>
          <w:tcPr>
            <w:tcW w:w="340" w:type="dxa"/>
            <w:vAlign w:val="bottom"/>
            <w:tcBorders>
              <w:bottom w:val="single" w:sz="8" w:color="808080"/>
            </w:tcBorders>
          </w:tcPr>
          <w:p>
            <w:pPr>
              <w:spacing w:after="0"/>
              <w:rPr>
                <w:sz w:val="14"/>
                <w:szCs w:val="14"/>
                <w:color w:val="auto"/>
              </w:rPr>
            </w:pPr>
          </w:p>
        </w:tc>
        <w:tc>
          <w:tcPr>
            <w:tcW w:w="60" w:type="dxa"/>
            <w:vAlign w:val="bottom"/>
            <w:tcBorders>
              <w:bottom w:val="single" w:sz="8" w:color="808080"/>
            </w:tcBorders>
          </w:tcPr>
          <w:p>
            <w:pPr>
              <w:spacing w:after="0"/>
              <w:rPr>
                <w:sz w:val="14"/>
                <w:szCs w:val="14"/>
                <w:color w:val="auto"/>
              </w:rPr>
            </w:pPr>
          </w:p>
        </w:tc>
        <w:tc>
          <w:tcPr>
            <w:tcW w:w="20" w:type="dxa"/>
            <w:vAlign w:val="bottom"/>
            <w:tcBorders>
              <w:bottom w:val="single" w:sz="8" w:color="808080"/>
            </w:tcBorders>
          </w:tcPr>
          <w:p>
            <w:pPr>
              <w:spacing w:after="0"/>
              <w:rPr>
                <w:sz w:val="14"/>
                <w:szCs w:val="14"/>
                <w:color w:val="auto"/>
              </w:rPr>
            </w:pPr>
          </w:p>
        </w:tc>
        <w:tc>
          <w:tcPr>
            <w:tcW w:w="20" w:type="dxa"/>
            <w:vAlign w:val="bottom"/>
            <w:tcBorders>
              <w:bottom w:val="single" w:sz="8" w:color="808080"/>
            </w:tcBorders>
          </w:tcPr>
          <w:p>
            <w:pPr>
              <w:spacing w:after="0"/>
              <w:rPr>
                <w:sz w:val="14"/>
                <w:szCs w:val="14"/>
                <w:color w:val="auto"/>
              </w:rPr>
            </w:pPr>
          </w:p>
        </w:tc>
        <w:tc>
          <w:tcPr>
            <w:tcW w:w="320" w:type="dxa"/>
            <w:vAlign w:val="bottom"/>
            <w:tcBorders>
              <w:bottom w:val="single" w:sz="8" w:color="808080"/>
            </w:tcBorders>
          </w:tcPr>
          <w:p>
            <w:pPr>
              <w:spacing w:after="0"/>
              <w:rPr>
                <w:sz w:val="14"/>
                <w:szCs w:val="14"/>
                <w:color w:val="auto"/>
              </w:rPr>
            </w:pPr>
          </w:p>
        </w:tc>
        <w:tc>
          <w:tcPr>
            <w:tcW w:w="480" w:type="dxa"/>
            <w:vAlign w:val="bottom"/>
            <w:tcBorders>
              <w:bottom w:val="single" w:sz="8" w:color="808080"/>
            </w:tcBorders>
          </w:tcPr>
          <w:p>
            <w:pPr>
              <w:spacing w:after="0"/>
              <w:rPr>
                <w:sz w:val="14"/>
                <w:szCs w:val="14"/>
                <w:color w:val="auto"/>
              </w:rPr>
            </w:pPr>
          </w:p>
        </w:tc>
        <w:tc>
          <w:tcPr>
            <w:tcW w:w="460" w:type="dxa"/>
            <w:vAlign w:val="bottom"/>
            <w:tcBorders>
              <w:bottom w:val="single" w:sz="8" w:color="808080"/>
            </w:tcBorders>
          </w:tcPr>
          <w:p>
            <w:pPr>
              <w:spacing w:after="0"/>
              <w:rPr>
                <w:sz w:val="14"/>
                <w:szCs w:val="14"/>
                <w:color w:val="auto"/>
              </w:rPr>
            </w:pPr>
          </w:p>
        </w:tc>
        <w:tc>
          <w:tcPr>
            <w:tcW w:w="6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300" w:type="dxa"/>
            <w:vAlign w:val="bottom"/>
            <w:tcBorders>
              <w:bottom w:val="single" w:sz="8" w:color="808080"/>
            </w:tcBorders>
          </w:tcPr>
          <w:p>
            <w:pPr>
              <w:spacing w:after="0"/>
              <w:rPr>
                <w:sz w:val="14"/>
                <w:szCs w:val="14"/>
                <w:color w:val="auto"/>
              </w:rPr>
            </w:pPr>
          </w:p>
        </w:tc>
        <w:tc>
          <w:tcPr>
            <w:tcW w:w="280" w:type="dxa"/>
            <w:vAlign w:val="bottom"/>
            <w:tcBorders>
              <w:bottom w:val="single" w:sz="8" w:color="808080"/>
            </w:tcBorders>
          </w:tcPr>
          <w:p>
            <w:pPr>
              <w:spacing w:after="0"/>
              <w:rPr>
                <w:sz w:val="14"/>
                <w:szCs w:val="14"/>
                <w:color w:val="auto"/>
              </w:rPr>
            </w:pPr>
          </w:p>
        </w:tc>
        <w:tc>
          <w:tcPr>
            <w:tcW w:w="40" w:type="dxa"/>
            <w:vAlign w:val="bottom"/>
            <w:tcBorders>
              <w:bottom w:val="single" w:sz="8" w:color="808080"/>
            </w:tcBorders>
          </w:tcPr>
          <w:p>
            <w:pPr>
              <w:spacing w:after="0"/>
              <w:rPr>
                <w:sz w:val="14"/>
                <w:szCs w:val="14"/>
                <w:color w:val="auto"/>
              </w:rPr>
            </w:pPr>
          </w:p>
        </w:tc>
        <w:tc>
          <w:tcPr>
            <w:tcW w:w="20" w:type="dxa"/>
            <w:vAlign w:val="bottom"/>
            <w:tcBorders>
              <w:bottom w:val="single" w:sz="8" w:color="808080"/>
            </w:tcBorders>
          </w:tcPr>
          <w:p>
            <w:pPr>
              <w:spacing w:after="0"/>
              <w:rPr>
                <w:sz w:val="14"/>
                <w:szCs w:val="14"/>
                <w:color w:val="auto"/>
              </w:rPr>
            </w:pPr>
          </w:p>
        </w:tc>
        <w:tc>
          <w:tcPr>
            <w:tcW w:w="180" w:type="dxa"/>
            <w:vAlign w:val="bottom"/>
            <w:tcBorders>
              <w:bottom w:val="single" w:sz="8" w:color="808080"/>
            </w:tcBorders>
          </w:tcPr>
          <w:p>
            <w:pPr>
              <w:spacing w:after="0"/>
              <w:rPr>
                <w:sz w:val="14"/>
                <w:szCs w:val="14"/>
                <w:color w:val="auto"/>
              </w:rPr>
            </w:pPr>
          </w:p>
        </w:tc>
        <w:tc>
          <w:tcPr>
            <w:tcW w:w="600" w:type="dxa"/>
            <w:vAlign w:val="bottom"/>
            <w:tcBorders>
              <w:bottom w:val="single" w:sz="8" w:color="808080"/>
            </w:tcBorders>
          </w:tcPr>
          <w:p>
            <w:pPr>
              <w:spacing w:after="0"/>
              <w:rPr>
                <w:sz w:val="14"/>
                <w:szCs w:val="14"/>
                <w:color w:val="auto"/>
              </w:rPr>
            </w:pPr>
          </w:p>
        </w:tc>
        <w:tc>
          <w:tcPr>
            <w:tcW w:w="22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6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320" w:type="dxa"/>
            <w:vAlign w:val="bottom"/>
            <w:tcBorders>
              <w:bottom w:val="single" w:sz="8" w:color="808080"/>
            </w:tcBorders>
          </w:tcPr>
          <w:p>
            <w:pPr>
              <w:spacing w:after="0"/>
              <w:rPr>
                <w:sz w:val="14"/>
                <w:szCs w:val="14"/>
                <w:color w:val="auto"/>
              </w:rPr>
            </w:pPr>
          </w:p>
        </w:tc>
        <w:tc>
          <w:tcPr>
            <w:tcW w:w="20" w:type="dxa"/>
            <w:vAlign w:val="bottom"/>
            <w:tcBorders>
              <w:bottom w:val="single" w:sz="8" w:color="808080"/>
            </w:tcBorders>
          </w:tcPr>
          <w:p>
            <w:pPr>
              <w:spacing w:after="0"/>
              <w:rPr>
                <w:sz w:val="14"/>
                <w:szCs w:val="14"/>
                <w:color w:val="auto"/>
              </w:rPr>
            </w:pPr>
          </w:p>
        </w:tc>
        <w:tc>
          <w:tcPr>
            <w:tcW w:w="20" w:type="dxa"/>
            <w:vAlign w:val="bottom"/>
            <w:tcBorders>
              <w:bottom w:val="single" w:sz="8" w:color="808080"/>
            </w:tcBorders>
          </w:tcPr>
          <w:p>
            <w:pPr>
              <w:spacing w:after="0"/>
              <w:rPr>
                <w:sz w:val="14"/>
                <w:szCs w:val="14"/>
                <w:color w:val="auto"/>
              </w:rPr>
            </w:pPr>
          </w:p>
        </w:tc>
        <w:tc>
          <w:tcPr>
            <w:tcW w:w="420" w:type="dxa"/>
            <w:vAlign w:val="bottom"/>
            <w:tcBorders>
              <w:bottom w:val="single" w:sz="8" w:color="808080"/>
            </w:tcBorders>
          </w:tcPr>
          <w:p>
            <w:pPr>
              <w:spacing w:after="0"/>
              <w:rPr>
                <w:sz w:val="14"/>
                <w:szCs w:val="14"/>
                <w:color w:val="auto"/>
              </w:rPr>
            </w:pPr>
          </w:p>
        </w:tc>
        <w:tc>
          <w:tcPr>
            <w:tcW w:w="40" w:type="dxa"/>
            <w:vAlign w:val="bottom"/>
            <w:tcBorders>
              <w:bottom w:val="single" w:sz="8" w:color="808080"/>
            </w:tcBorders>
          </w:tcPr>
          <w:p>
            <w:pPr>
              <w:spacing w:after="0"/>
              <w:rPr>
                <w:sz w:val="14"/>
                <w:szCs w:val="14"/>
                <w:color w:val="auto"/>
              </w:rPr>
            </w:pPr>
          </w:p>
        </w:tc>
        <w:tc>
          <w:tcPr>
            <w:tcW w:w="20" w:type="dxa"/>
            <w:vAlign w:val="bottom"/>
            <w:tcBorders>
              <w:bottom w:val="single" w:sz="8" w:color="808080"/>
            </w:tcBorders>
          </w:tcPr>
          <w:p>
            <w:pPr>
              <w:spacing w:after="0"/>
              <w:rPr>
                <w:sz w:val="14"/>
                <w:szCs w:val="14"/>
                <w:color w:val="auto"/>
              </w:rPr>
            </w:pPr>
          </w:p>
        </w:tc>
        <w:tc>
          <w:tcPr>
            <w:tcW w:w="20" w:type="dxa"/>
            <w:vAlign w:val="bottom"/>
            <w:tcBorders>
              <w:bottom w:val="single" w:sz="8" w:color="808080"/>
            </w:tcBorders>
          </w:tcPr>
          <w:p>
            <w:pPr>
              <w:spacing w:after="0"/>
              <w:rPr>
                <w:sz w:val="14"/>
                <w:szCs w:val="14"/>
                <w:color w:val="auto"/>
              </w:rPr>
            </w:pPr>
          </w:p>
        </w:tc>
        <w:tc>
          <w:tcPr>
            <w:tcW w:w="700" w:type="dxa"/>
            <w:vAlign w:val="bottom"/>
            <w:tcBorders>
              <w:bottom w:val="single" w:sz="8" w:color="808080"/>
            </w:tcBorders>
          </w:tcPr>
          <w:p>
            <w:pPr>
              <w:spacing w:after="0"/>
              <w:rPr>
                <w:sz w:val="14"/>
                <w:szCs w:val="14"/>
                <w:color w:val="auto"/>
              </w:rPr>
            </w:pPr>
          </w:p>
        </w:tc>
        <w:tc>
          <w:tcPr>
            <w:tcW w:w="40" w:type="dxa"/>
            <w:vAlign w:val="bottom"/>
            <w:tcBorders>
              <w:bottom w:val="single" w:sz="8" w:color="808080"/>
            </w:tcBorders>
          </w:tcPr>
          <w:p>
            <w:pPr>
              <w:spacing w:after="0"/>
              <w:rPr>
                <w:sz w:val="14"/>
                <w:szCs w:val="14"/>
                <w:color w:val="auto"/>
              </w:rPr>
            </w:pPr>
          </w:p>
        </w:tc>
        <w:tc>
          <w:tcPr>
            <w:tcW w:w="560" w:type="dxa"/>
            <w:vAlign w:val="bottom"/>
            <w:tcBorders>
              <w:bottom w:val="single" w:sz="8" w:color="808080"/>
            </w:tcBorders>
          </w:tcPr>
          <w:p>
            <w:pPr>
              <w:spacing w:after="0"/>
              <w:rPr>
                <w:sz w:val="14"/>
                <w:szCs w:val="14"/>
                <w:color w:val="auto"/>
              </w:rPr>
            </w:pPr>
          </w:p>
        </w:tc>
        <w:tc>
          <w:tcPr>
            <w:tcW w:w="580" w:type="dxa"/>
            <w:vAlign w:val="bottom"/>
            <w:tcBorders>
              <w:bottom w:val="single" w:sz="8" w:color="808080"/>
            </w:tcBorders>
          </w:tcPr>
          <w:p>
            <w:pPr>
              <w:spacing w:after="0"/>
              <w:rPr>
                <w:sz w:val="14"/>
                <w:szCs w:val="14"/>
                <w:color w:val="auto"/>
              </w:rPr>
            </w:pPr>
          </w:p>
        </w:tc>
        <w:tc>
          <w:tcPr>
            <w:tcW w:w="2520" w:type="dxa"/>
            <w:vAlign w:val="bottom"/>
            <w:tcBorders>
              <w:bottom w:val="single" w:sz="8" w:color="808080"/>
            </w:tcBorders>
          </w:tcPr>
          <w:p>
            <w:pPr>
              <w:spacing w:after="0"/>
              <w:rPr>
                <w:sz w:val="14"/>
                <w:szCs w:val="14"/>
                <w:color w:val="auto"/>
              </w:rPr>
            </w:pPr>
          </w:p>
        </w:tc>
        <w:tc>
          <w:tcPr>
            <w:tcW w:w="3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746" w:right="219" w:bottom="1440" w:gutter="0" w:footer="0" w:header="0"/>
        </w:sectPr>
      </w:pPr>
    </w:p>
    <w:bookmarkStart w:id="3" w:name="page4"/>
    <w:bookmarkEnd w:id="3"/>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ind w:left="5460"/>
        <w:spacing w:after="0"/>
        <w:rPr>
          <w:sz w:val="20"/>
          <w:szCs w:val="20"/>
          <w:color w:val="auto"/>
        </w:rPr>
      </w:pPr>
      <w:r>
        <w:rPr>
          <w:rFonts w:ascii="Arial" w:cs="Arial" w:eastAsia="Arial" w:hAnsi="Arial"/>
          <w:sz w:val="13"/>
          <w:szCs w:val="13"/>
          <w:b w:val="1"/>
          <w:bCs w:val="1"/>
          <w:color w:val="auto"/>
        </w:rPr>
        <w:t>PART I</w:t>
      </w:r>
    </w:p>
    <w:p>
      <w:pPr>
        <w:spacing w:after="0" w:line="175"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ITEM 1.</w:t>
      </w:r>
      <w:r>
        <w:rPr>
          <w:sz w:val="20"/>
          <w:szCs w:val="20"/>
          <w:color w:val="auto"/>
        </w:rPr>
        <w:tab/>
      </w:r>
      <w:r>
        <w:rPr>
          <w:rFonts w:ascii="Arial" w:cs="Arial" w:eastAsia="Arial" w:hAnsi="Arial"/>
          <w:sz w:val="12"/>
          <w:szCs w:val="12"/>
          <w:b w:val="1"/>
          <w:bCs w:val="1"/>
          <w:i w:val="1"/>
          <w:iCs w:val="1"/>
          <w:color w:val="auto"/>
        </w:rPr>
        <w:t>BUSINESS</w:t>
      </w:r>
    </w:p>
    <w:p>
      <w:pPr>
        <w:spacing w:after="0" w:line="96"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Overview</w:t>
      </w:r>
    </w:p>
    <w:p>
      <w:pPr>
        <w:spacing w:after="0" w:line="100" w:lineRule="exact"/>
        <w:rPr>
          <w:sz w:val="20"/>
          <w:szCs w:val="20"/>
          <w:color w:val="auto"/>
        </w:rPr>
      </w:pPr>
    </w:p>
    <w:p>
      <w:pPr>
        <w:ind w:left="680" w:firstLine="399"/>
        <w:spacing w:after="0" w:line="256" w:lineRule="auto"/>
        <w:rPr>
          <w:sz w:val="20"/>
          <w:szCs w:val="20"/>
          <w:color w:val="auto"/>
        </w:rPr>
      </w:pPr>
      <w:r>
        <w:rPr>
          <w:rFonts w:ascii="Arial" w:cs="Arial" w:eastAsia="Arial" w:hAnsi="Arial"/>
          <w:sz w:val="13"/>
          <w:szCs w:val="13"/>
          <w:color w:val="auto"/>
        </w:rPr>
        <w:t>StemCells, Inc. is focused on the discovery and development of stem cell therapeutics to treat damage to or degeneration of major organ systems such as the central nervous system, liver and pancreas. Our aim is to return patients to productive lives and significantly reduce the substantial health care costs often associated with these diseases and disorders. We seek to identify and purify rare stem cells, develop methods and processes to expand and bank them as transplantable cells, and then demonstrate their safety and efficacy as therapeutic agents. In October 2005, we received clearance from the U.S. Food and Drug Administration (FDA) to initiate a Phase I clinical trial to evaluate the safety and preliminary efficacy of our human neural stem cells (HuCNS-SC</w:t>
      </w:r>
      <w:r>
        <w:rPr>
          <w:rFonts w:ascii="Arial" w:cs="Arial" w:eastAsia="Arial" w:hAnsi="Arial"/>
          <w:sz w:val="7"/>
          <w:szCs w:val="7"/>
          <w:color w:val="auto"/>
        </w:rPr>
        <w:t>TM</w:t>
      </w:r>
      <w:r>
        <w:rPr>
          <w:rFonts w:ascii="Arial" w:cs="Arial" w:eastAsia="Arial" w:hAnsi="Arial"/>
          <w:sz w:val="13"/>
          <w:szCs w:val="13"/>
          <w:color w:val="auto"/>
        </w:rPr>
        <w:t>) as a treatment for infantile and late infantile neuronal ceroid lipofuscinosis (NCL), two forms of a group of disorders often referred to as Batten disease. In March 2006, we received approval from the Institutional Review Board of the Oregon Health &amp; Science University to begin our Phase I clinical trial at OHSU Doernbecher Children’s Hospital in Portland.</w:t>
      </w:r>
    </w:p>
    <w:p>
      <w:pPr>
        <w:spacing w:after="0" w:line="73" w:lineRule="exact"/>
        <w:rPr>
          <w:sz w:val="20"/>
          <w:szCs w:val="20"/>
          <w:color w:val="auto"/>
        </w:rPr>
      </w:pPr>
    </w:p>
    <w:p>
      <w:pPr>
        <w:ind w:left="680" w:right="60" w:firstLine="399"/>
        <w:spacing w:after="0" w:line="260" w:lineRule="auto"/>
        <w:rPr>
          <w:sz w:val="20"/>
          <w:szCs w:val="20"/>
          <w:color w:val="auto"/>
        </w:rPr>
      </w:pPr>
      <w:r>
        <w:rPr>
          <w:rFonts w:ascii="Arial" w:cs="Arial" w:eastAsia="Arial" w:hAnsi="Arial"/>
          <w:sz w:val="13"/>
          <w:szCs w:val="13"/>
          <w:color w:val="auto"/>
        </w:rPr>
        <w:t>Stem cells are cells that can produce all the functional mature cell types found in normal organs of healthy individuals. Progenitor cells are cells that have already developed from the stem cells, but can still produce one or more types of mature cells within an organ. We use cells derived from donated fetal or adult tissue sources, which are supplied to us in compliance with all applicable state and federal regulations. We are not developing embryonic stem cells for therapeutic use. Neither are we involved in any activity directed toward human cloning; our programs are all directed toward the use of tissue-derived cells for treating or curing diseases and injuries.</w:t>
      </w:r>
    </w:p>
    <w:p>
      <w:pPr>
        <w:spacing w:after="0" w:line="70" w:lineRule="exact"/>
        <w:rPr>
          <w:sz w:val="20"/>
          <w:szCs w:val="20"/>
          <w:color w:val="auto"/>
        </w:rPr>
      </w:pPr>
    </w:p>
    <w:p>
      <w:pPr>
        <w:ind w:left="680" w:right="20" w:firstLine="399"/>
        <w:spacing w:after="0" w:line="334" w:lineRule="auto"/>
        <w:rPr>
          <w:sz w:val="20"/>
          <w:szCs w:val="20"/>
          <w:color w:val="auto"/>
        </w:rPr>
      </w:pPr>
      <w:r>
        <w:rPr>
          <w:rFonts w:ascii="Arial" w:cs="Arial" w:eastAsia="Arial" w:hAnsi="Arial"/>
          <w:sz w:val="11"/>
          <w:szCs w:val="11"/>
          <w:color w:val="auto"/>
        </w:rPr>
        <w:t>We have successfully identified, purified, and characterized the human neural stem cell. Our neural stem cell product, HuCNS-SC, is about to begin clinical development for its first indication. We have also identified candidate stem or progenitor cells of the liver and the pancreas. Our candidate liver stem cell, when transplanted into a mouse model of liver degeneration, shows long-term engraftment evidenced by secretion of human hepatic proteins. Based on this data, we plan to develop this cell for potential therapeutic applications to liver diseases.</w:t>
      </w:r>
    </w:p>
    <w:p>
      <w:pPr>
        <w:spacing w:after="0" w:line="32" w:lineRule="exact"/>
        <w:rPr>
          <w:sz w:val="20"/>
          <w:szCs w:val="20"/>
          <w:color w:val="auto"/>
        </w:rPr>
      </w:pPr>
    </w:p>
    <w:p>
      <w:pPr>
        <w:ind w:left="680" w:right="20" w:firstLine="399"/>
        <w:spacing w:after="0" w:line="258" w:lineRule="auto"/>
        <w:rPr>
          <w:sz w:val="20"/>
          <w:szCs w:val="20"/>
          <w:color w:val="auto"/>
        </w:rPr>
      </w:pPr>
      <w:r>
        <w:rPr>
          <w:rFonts w:ascii="Arial" w:cs="Arial" w:eastAsia="Arial" w:hAnsi="Arial"/>
          <w:sz w:val="13"/>
          <w:szCs w:val="13"/>
          <w:color w:val="auto"/>
        </w:rPr>
        <w:t>We believe that, if successfully developed, our stem cell technologies will create the basis for therapies that would address a number of conditions with significant unmet medical needs. Many diseases, such as Alzheimer’s, Parkinson’s, lysosomal storage diseases and other degenerative diseases of the brain or central nervous system, involve the failure of organs that cannot be transplanted. Other diseases, such as hepatitis and diabetes, involve organs such as the liver or pancreas that can be transplanted, but there is a very limited supply of those organs available for transplant. We estimate that these neural, liver and pancreatic conditions affect more than 55 million people in the United States and account for more than $325 billion annually in health care costs.</w:t>
      </w:r>
      <w:r>
        <w:rPr>
          <w:rFonts w:ascii="Arial" w:cs="Arial" w:eastAsia="Arial" w:hAnsi="Arial"/>
          <w:sz w:val="11"/>
          <w:szCs w:val="11"/>
          <w:color w:val="auto"/>
        </w:rPr>
        <w:t>1</w:t>
      </w:r>
    </w:p>
    <w:p>
      <w:pPr>
        <w:spacing w:after="0" w:line="71" w:lineRule="exact"/>
        <w:rPr>
          <w:sz w:val="20"/>
          <w:szCs w:val="20"/>
          <w:color w:val="auto"/>
        </w:rPr>
      </w:pPr>
    </w:p>
    <w:p>
      <w:pPr>
        <w:ind w:left="680" w:right="40" w:firstLine="399"/>
        <w:spacing w:after="0" w:line="303" w:lineRule="auto"/>
        <w:rPr>
          <w:sz w:val="20"/>
          <w:szCs w:val="20"/>
          <w:color w:val="auto"/>
        </w:rPr>
      </w:pPr>
      <w:r>
        <w:rPr>
          <w:rFonts w:ascii="Arial" w:cs="Arial" w:eastAsia="Arial" w:hAnsi="Arial"/>
          <w:sz w:val="11"/>
          <w:szCs w:val="11"/>
          <w:color w:val="auto"/>
        </w:rPr>
        <w:t>On September 26, 1997, we acquired by merger StemCells California, Inc., a California corporation, in exchange for 1,320,691 shares of our common stock and options and warrants for the purchase of 259,296 common shares. StemCells California remains our wholly-owned subsidiary, and the owner or licensee of most of our intellectual property. The members of its Board of Directors are Irving L. Weissman, M.D., and Fred H. Gage, Ph.D., who were the founders of StemCells California, as well as John J. Schwartz, Ph.D. and Martin McGlynn.</w:t>
      </w:r>
    </w:p>
    <w:p>
      <w:pPr>
        <w:ind w:left="680" w:right="200"/>
        <w:spacing w:after="0" w:line="264" w:lineRule="auto"/>
        <w:rPr>
          <w:sz w:val="20"/>
          <w:szCs w:val="20"/>
          <w:color w:val="auto"/>
        </w:rPr>
      </w:pPr>
      <w:r>
        <w:rPr>
          <w:rFonts w:ascii="Arial" w:cs="Arial" w:eastAsia="Arial" w:hAnsi="Arial"/>
          <w:sz w:val="13"/>
          <w:szCs w:val="13"/>
          <w:color w:val="auto"/>
        </w:rPr>
        <w:t>Drs. Weissman and Schwartz and Mr. McGlynn are also members of the Board of the parent company; Mr. McGlynn is President of StemCells California as well as President and CEO of StemCells, Inc. References in this annual report to “the Company,” “we,” “us,” and similar words include this subsidiary.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53975</wp:posOffset>
            </wp:positionV>
            <wp:extent cx="823595" cy="63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823595" cy="6350"/>
                    </a:xfrm>
                    <a:prstGeom prst="rect">
                      <a:avLst/>
                    </a:prstGeom>
                    <a:noFill/>
                  </pic:spPr>
                </pic:pic>
              </a:graphicData>
            </a:graphic>
          </wp:anchor>
        </w:drawing>
      </w:r>
    </w:p>
    <w:p>
      <w:pPr>
        <w:spacing w:after="0" w:line="115" w:lineRule="exact"/>
        <w:rPr>
          <w:sz w:val="20"/>
          <w:szCs w:val="20"/>
          <w:color w:val="auto"/>
        </w:rPr>
      </w:pPr>
    </w:p>
    <w:p>
      <w:pPr>
        <w:ind w:left="680" w:right="40" w:firstLine="406"/>
        <w:spacing w:after="0" w:line="289" w:lineRule="auto"/>
        <w:tabs>
          <w:tab w:leader="none" w:pos="1165" w:val="left"/>
        </w:tabs>
        <w:numPr>
          <w:ilvl w:val="0"/>
          <w:numId w:val="3"/>
        </w:numPr>
        <w:rPr>
          <w:rFonts w:ascii="Arial" w:cs="Arial" w:eastAsia="Arial" w:hAnsi="Arial"/>
          <w:sz w:val="10"/>
          <w:szCs w:val="10"/>
          <w:color w:val="auto"/>
        </w:rPr>
      </w:pPr>
      <w:r>
        <w:rPr>
          <w:rFonts w:ascii="Arial" w:cs="Arial" w:eastAsia="Arial" w:hAnsi="Arial"/>
          <w:sz w:val="12"/>
          <w:szCs w:val="12"/>
          <w:color w:val="auto"/>
        </w:rPr>
        <w:t>This estimate is based on information from the Alzheimer’s Association, the Alzheimer’s Disease Education &amp; Referral Center (National Institute on Aging), the National Institutes of Health’s National Institute on Neurological Disorders and Stroke, the Foundation for Spinal Cord Injury Prevention, Care &amp; Cure, the Centers for Disease Control and Prevention, the Spinal Cord Injury Information Network, the American Association of Diabetes Educators, the Wisconsin Chapter of the Huntington’s Disease Society of America, the Cincinnati Children’s Hospital Medical Center, JAIDs, the American Liver Foundation, the Northwest Parkinson’s Foundation and the Parkinson’s Action Network.</w:t>
      </w:r>
    </w:p>
    <w:p>
      <w:pPr>
        <w:spacing w:after="0" w:line="249"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4" w:name="page5"/>
    <w:bookmarkEnd w:id="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Stem Cell Therapy Background</w:t>
      </w:r>
    </w:p>
    <w:p>
      <w:pPr>
        <w:spacing w:after="0" w:line="100" w:lineRule="exact"/>
        <w:rPr>
          <w:sz w:val="20"/>
          <w:szCs w:val="20"/>
          <w:color w:val="auto"/>
        </w:rPr>
      </w:pPr>
    </w:p>
    <w:p>
      <w:pPr>
        <w:ind w:left="680" w:firstLine="399"/>
        <w:spacing w:after="0" w:line="281" w:lineRule="auto"/>
        <w:rPr>
          <w:sz w:val="20"/>
          <w:szCs w:val="20"/>
          <w:color w:val="auto"/>
        </w:rPr>
      </w:pPr>
      <w:r>
        <w:rPr>
          <w:rFonts w:ascii="Arial" w:cs="Arial" w:eastAsia="Arial" w:hAnsi="Arial"/>
          <w:sz w:val="12"/>
          <w:szCs w:val="12"/>
          <w:color w:val="auto"/>
        </w:rPr>
        <w:t>Cells maintain normal physiological function in healthy individuals by secreting or metabolizing substances, such as sugars, amino acids, neurotransmitters and hormones, which are essential to life. When cells are damaged or destroyed, they no longer produce, metabolize or accurately regulate those substances. Cell loss or impaired cellular function are leading causes of degenerative diseases, and some of the specific substances or proteins that are deficient in some of these diseases have been identified. Although administering these substances or proteins has some advantages over traditional pharmaceuticals, such as specificity, there is no existing technology that can deliver them precisely to the sites of action, under the appropriate physiological regulation, in the appropriate quantity, nor for the duration required to cure the degenerative condition. Cells, however, can do all this naturally. Thus, where failing cells are no longer producing needed substances or proteins or where there has been irreversible tissue damage or organ failure, transplantation of stem or progenitor cells may enable the generation of new functional cells, thus potentially restoring organ function and the patient’s health.</w:t>
      </w:r>
    </w:p>
    <w:p>
      <w:pPr>
        <w:spacing w:after="0" w:line="58" w:lineRule="exact"/>
        <w:rPr>
          <w:sz w:val="20"/>
          <w:szCs w:val="20"/>
          <w:color w:val="auto"/>
        </w:rPr>
      </w:pPr>
    </w:p>
    <w:p>
      <w:pPr>
        <w:ind w:left="680" w:right="80" w:firstLine="399"/>
        <w:spacing w:after="0" w:line="258" w:lineRule="auto"/>
        <w:rPr>
          <w:sz w:val="20"/>
          <w:szCs w:val="20"/>
          <w:color w:val="auto"/>
        </w:rPr>
      </w:pPr>
      <w:r>
        <w:rPr>
          <w:rFonts w:ascii="Arial" w:cs="Arial" w:eastAsia="Arial" w:hAnsi="Arial"/>
          <w:sz w:val="13"/>
          <w:szCs w:val="13"/>
          <w:color w:val="auto"/>
        </w:rPr>
        <w:t>Stem cells have two defining characteristics: (i) they produce all the kinds of mature cells making up the particular organ; and (ii) they self renew — that is, some of the cells developed from stem cells are themselves new stem cells, thus permitting the process to continue again and again. Stem cells are known to exist for a number of systems of the human body, including the blood and immune system, the central and peripheral nervous systems (including the brain), the skin, bone, and even hair. They are thought to exist for many others, including the liver and pancreas endocrine systems, gut, muscle, and heart. Stem cells are responsible for organ regeneration during normal cell replacement and, to a greater or lesser extent, after injury.</w:t>
      </w:r>
    </w:p>
    <w:p>
      <w:pPr>
        <w:spacing w:after="0" w:line="71" w:lineRule="exact"/>
        <w:rPr>
          <w:sz w:val="20"/>
          <w:szCs w:val="20"/>
          <w:color w:val="auto"/>
        </w:rPr>
      </w:pPr>
    </w:p>
    <w:p>
      <w:pPr>
        <w:ind w:left="680" w:right="20" w:firstLine="399"/>
        <w:spacing w:after="0" w:line="285" w:lineRule="auto"/>
        <w:rPr>
          <w:sz w:val="20"/>
          <w:szCs w:val="20"/>
          <w:color w:val="auto"/>
        </w:rPr>
      </w:pPr>
      <w:r>
        <w:rPr>
          <w:rFonts w:ascii="Arial" w:cs="Arial" w:eastAsia="Arial" w:hAnsi="Arial"/>
          <w:sz w:val="12"/>
          <w:szCs w:val="12"/>
          <w:color w:val="auto"/>
        </w:rPr>
        <w:t>Stem cells are rare and only available in limited supply, whether from the patients themselves or from donors. Cells obtained from the same person who will receive them may be abnormal if the patient is ill or the tissue is contaminated with disease-causing cells. Also, such cells can often be obtained only through significant surgical procedures. Therefore, in order to develop stem cell therapeutics, three key challenges must be overcome: (i) identifying the stem or progenitor cells of a particular organ and testing them for therapeutic potential; (ii) creating processes to enable use of these rare cells in clinical applications, such as expanding and banking them in sufficient quantities to transplant into multiple patients, or purifying them for use in direct transplantation; and (iii) demonstrating the safety and efficacy of these potential therapeutics in human clinical trials.</w:t>
      </w:r>
    </w:p>
    <w:p>
      <w:pPr>
        <w:spacing w:after="0" w:line="130"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The Potential of Our Tissue-Derived Stem Cell-Based Therapy</w:t>
      </w:r>
    </w:p>
    <w:p>
      <w:pPr>
        <w:spacing w:after="0" w:line="100" w:lineRule="exact"/>
        <w:rPr>
          <w:sz w:val="20"/>
          <w:szCs w:val="20"/>
          <w:color w:val="auto"/>
        </w:rPr>
      </w:pPr>
    </w:p>
    <w:p>
      <w:pPr>
        <w:ind w:left="680" w:right="80" w:firstLine="399"/>
        <w:spacing w:after="0" w:line="260" w:lineRule="auto"/>
        <w:rPr>
          <w:sz w:val="20"/>
          <w:szCs w:val="20"/>
          <w:color w:val="auto"/>
        </w:rPr>
      </w:pPr>
      <w:r>
        <w:rPr>
          <w:rFonts w:ascii="Arial" w:cs="Arial" w:eastAsia="Arial" w:hAnsi="Arial"/>
          <w:sz w:val="13"/>
          <w:szCs w:val="13"/>
          <w:color w:val="auto"/>
        </w:rPr>
        <w:t>We believe that, if successfully developed, stem cell therapeutics have the potential to provide a broad therapeutic approach comparable in importance to traditional pharmaceuticals and genetically engineered biologics. Stem cells can self-renew and specialize into the different kinds of cells that are commonly lost in various diseases, and our preclinical research suggests that transplanted stem cells may also be able to migrate some distance to the proper location within the body, expand, specialize and replace damaged or defective cells. Because of this, we believe that stem cell therapy may facilitate the return to proper function, potentially for the life of the patient.</w:t>
      </w:r>
    </w:p>
    <w:p>
      <w:pPr>
        <w:spacing w:after="0" w:line="70" w:lineRule="exact"/>
        <w:rPr>
          <w:sz w:val="20"/>
          <w:szCs w:val="20"/>
          <w:color w:val="auto"/>
        </w:rPr>
      </w:pPr>
    </w:p>
    <w:p>
      <w:pPr>
        <w:ind w:left="680" w:firstLine="399"/>
        <w:spacing w:after="0" w:line="258" w:lineRule="auto"/>
        <w:rPr>
          <w:sz w:val="20"/>
          <w:szCs w:val="20"/>
          <w:color w:val="auto"/>
        </w:rPr>
      </w:pPr>
      <w:r>
        <w:rPr>
          <w:rFonts w:ascii="Arial" w:cs="Arial" w:eastAsia="Arial" w:hAnsi="Arial"/>
          <w:sz w:val="13"/>
          <w:szCs w:val="13"/>
          <w:color w:val="auto"/>
        </w:rPr>
        <w:t>To our knowledge, no one has developed an FDA-approved method for replacing lost or damaged tissues from the human nervous system. Replacement of tissues in other areas of the human body is mainly limited to those few cases, such as bone marrow or peripheral blood cell transplants, where transplantation of the patient’s own cells is now feasible. In a few additional areas, including the liver, transplantation of donor organs is now used, but is limited by the scarcity of organs available through donation. More recently, investigators have isolated a subset of cells called islet cells from the human pancreas, which have been transplanted into severe diabetic patients with measurable success. However, islet cell transplants are also limited by the availability of suitable pancreata.</w:t>
      </w:r>
    </w:p>
    <w:p>
      <w:pPr>
        <w:spacing w:after="0" w:line="71" w:lineRule="exact"/>
        <w:rPr>
          <w:sz w:val="20"/>
          <w:szCs w:val="20"/>
          <w:color w:val="auto"/>
        </w:rPr>
      </w:pPr>
    </w:p>
    <w:p>
      <w:pPr>
        <w:ind w:left="680" w:right="180" w:firstLine="399"/>
        <w:spacing w:after="0" w:line="289" w:lineRule="auto"/>
        <w:rPr>
          <w:sz w:val="20"/>
          <w:szCs w:val="20"/>
          <w:color w:val="auto"/>
        </w:rPr>
      </w:pPr>
      <w:r>
        <w:rPr>
          <w:rFonts w:ascii="Arial" w:cs="Arial" w:eastAsia="Arial" w:hAnsi="Arial"/>
          <w:sz w:val="12"/>
          <w:szCs w:val="12"/>
          <w:color w:val="auto"/>
        </w:rPr>
        <w:t>StemCells has focused on tissue-derived stem cells for use in homologous therapy, that is, use of brain derived neural stem cells for treatment of brain disorders; liver derived stem/progenitor cells for treatment of liver disorders or pancreas derived stem/progenitor cells for treatment of pancreas disorders. Tissue derived stem cells are poised along the developmental pathway to become the specialized cells of the organ from which they are derived by responding directly to the environmental cues of the host. We believe the homologous use of normal, unmodified tissue-derived stem cells is the most direct way to provide for engraftment of the cells and their differentiating into</w:t>
      </w:r>
    </w:p>
    <w:p>
      <w:pPr>
        <w:spacing w:after="0" w:line="259"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5" w:name="page6"/>
    <w:bookmarkEnd w:id="5"/>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the mature specialized cells of the organ, and may decrease the likelihood that the transplanted cells will differentiate into unwanted cell types.</w:t>
      </w:r>
    </w:p>
    <w:p>
      <w:pPr>
        <w:spacing w:after="0" w:line="96" w:lineRule="exact"/>
        <w:rPr>
          <w:sz w:val="20"/>
          <w:szCs w:val="20"/>
          <w:color w:val="auto"/>
        </w:rPr>
      </w:pPr>
    </w:p>
    <w:p>
      <w:pPr>
        <w:ind w:left="680" w:right="20" w:firstLine="399"/>
        <w:spacing w:after="0" w:line="296" w:lineRule="auto"/>
        <w:rPr>
          <w:sz w:val="20"/>
          <w:szCs w:val="20"/>
          <w:color w:val="auto"/>
        </w:rPr>
      </w:pPr>
      <w:r>
        <w:rPr>
          <w:rFonts w:ascii="Arial" w:cs="Arial" w:eastAsia="Arial" w:hAnsi="Arial"/>
          <w:sz w:val="12"/>
          <w:szCs w:val="12"/>
          <w:color w:val="auto"/>
        </w:rPr>
        <w:t>We have developed techniques for discovering novel monoclonal antibodies that can be used to label markers on cell surfaces to identify and isolate specific cell types, and particularly stem and progenitor cells. This methodology allows us to purify the stem cell population and eliminate other unwanted cell types. For example, we have discovered and patented the use of monoclonal antibodies to identify the human neural stem cell as well as a candidate human liver stem cell and a candidate pancreatic stem/progenitor cell.</w:t>
      </w:r>
    </w:p>
    <w:p>
      <w:pPr>
        <w:spacing w:after="0" w:line="50" w:lineRule="exact"/>
        <w:rPr>
          <w:sz w:val="20"/>
          <w:szCs w:val="20"/>
          <w:color w:val="auto"/>
        </w:rPr>
      </w:pPr>
    </w:p>
    <w:p>
      <w:pPr>
        <w:ind w:left="680" w:firstLine="399"/>
        <w:spacing w:after="0" w:line="282" w:lineRule="auto"/>
        <w:rPr>
          <w:sz w:val="20"/>
          <w:szCs w:val="20"/>
          <w:color w:val="auto"/>
        </w:rPr>
      </w:pPr>
      <w:r>
        <w:rPr>
          <w:rFonts w:ascii="Arial" w:cs="Arial" w:eastAsia="Arial" w:hAnsi="Arial"/>
          <w:sz w:val="12"/>
          <w:szCs w:val="12"/>
          <w:color w:val="auto"/>
        </w:rPr>
        <w:t xml:space="preserve">With respect to the human neural stem cell, our lead product candidate, we have developed proprietary and reproducible processes to identify, purify, expand and bank human neural stem cells from brain tissue. Because the cells are purified normal human neural stem cells, they may be better suited for transplantation and may provide a safer and more effective alternative to therapies that are based on cells derived from cancer cells, animal derived cells or are an unpurified mix of many different cell types. Furthermore, we have shown that these purified and expanded stem cells, when transplanted into immunodeficient mice, engraft, migrate, differentiate into neurons and glial cells and survive for as long as one year with </w:t>
      </w:r>
      <w:r>
        <w:rPr>
          <w:rFonts w:ascii="Arial" w:cs="Arial" w:eastAsia="Arial" w:hAnsi="Arial"/>
          <w:sz w:val="12"/>
          <w:szCs w:val="12"/>
          <w:i w:val="1"/>
          <w:iCs w:val="1"/>
          <w:color w:val="auto"/>
        </w:rPr>
        <w:t>no sign</w:t>
      </w:r>
      <w:r>
        <w:rPr>
          <w:rFonts w:ascii="Arial" w:cs="Arial" w:eastAsia="Arial" w:hAnsi="Arial"/>
          <w:sz w:val="12"/>
          <w:szCs w:val="12"/>
          <w:color w:val="auto"/>
        </w:rPr>
        <w:t xml:space="preserve"> of tumor formation or adverse effects on the animals; moreover, the cells were still dividing at the end of the test period. These findings show that our neural stem cells, when transplanted, adopt the characteristics of the host brain and act like normal stem cells, suggesting the possibility of a continual replenishment of normal human brain cells.</w:t>
      </w:r>
    </w:p>
    <w:p>
      <w:pPr>
        <w:spacing w:after="0" w:line="13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Business Strategy</w:t>
      </w:r>
    </w:p>
    <w:p>
      <w:pPr>
        <w:spacing w:after="0" w:line="100" w:lineRule="exact"/>
        <w:rPr>
          <w:sz w:val="20"/>
          <w:szCs w:val="20"/>
          <w:color w:val="auto"/>
        </w:rPr>
      </w:pPr>
    </w:p>
    <w:p>
      <w:pPr>
        <w:ind w:left="680" w:firstLine="399"/>
        <w:spacing w:after="0" w:line="285" w:lineRule="auto"/>
        <w:rPr>
          <w:sz w:val="20"/>
          <w:szCs w:val="20"/>
          <w:color w:val="auto"/>
        </w:rPr>
      </w:pPr>
      <w:r>
        <w:rPr>
          <w:rFonts w:ascii="Arial" w:cs="Arial" w:eastAsia="Arial" w:hAnsi="Arial"/>
          <w:sz w:val="12"/>
          <w:szCs w:val="12"/>
          <w:color w:val="auto"/>
        </w:rPr>
        <w:t>We are seeking to develop and commercialize stem cell therapeutics to treat, and possibly cure, a range of human diseases. Our strategy is to be the first to identify, isolate and patent multiple types of human stem and progenitor cells derived from human tissue with therapeutic and commercial importance; to develop techniques and processes either to reproducibly purify the cells for direct transplant or to enable the expansion and banking of those cells; and then to take them into clinical development as transplantable therapeutics. We believe that patent protection will be available to the first to identify and isolate any of the finite number of different types of human stem cells, and the first to define methods to culture such cells, making the commercial development of stem cell treatment and possible cure of currently intractable diseases financially feasible.</w:t>
      </w:r>
    </w:p>
    <w:p>
      <w:pPr>
        <w:spacing w:after="0" w:line="55" w:lineRule="exact"/>
        <w:rPr>
          <w:sz w:val="20"/>
          <w:szCs w:val="20"/>
          <w:color w:val="auto"/>
        </w:rPr>
      </w:pPr>
    </w:p>
    <w:p>
      <w:pPr>
        <w:ind w:left="680" w:right="320" w:firstLine="399"/>
        <w:spacing w:after="0" w:line="320" w:lineRule="auto"/>
        <w:rPr>
          <w:sz w:val="20"/>
          <w:szCs w:val="20"/>
          <w:color w:val="auto"/>
        </w:rPr>
      </w:pPr>
      <w:r>
        <w:rPr>
          <w:rFonts w:ascii="Arial" w:cs="Arial" w:eastAsia="Arial" w:hAnsi="Arial"/>
          <w:sz w:val="12"/>
          <w:szCs w:val="12"/>
          <w:color w:val="auto"/>
        </w:rPr>
        <w:t>To date, we have identified three rare cell types: the human neural stem cell, a candidate liver stem cell and a candidate pancreas stem cell. We have developed the methods and processes to expand and bank the neural stem cell and are now beginning clinical development of our neural stem cell product, HuCNS-SC.</w:t>
      </w:r>
    </w:p>
    <w:p>
      <w:pPr>
        <w:spacing w:after="0" w:line="35" w:lineRule="exact"/>
        <w:rPr>
          <w:sz w:val="20"/>
          <w:szCs w:val="20"/>
          <w:color w:val="auto"/>
        </w:rPr>
      </w:pPr>
    </w:p>
    <w:p>
      <w:pPr>
        <w:ind w:left="680" w:right="120" w:firstLine="399"/>
        <w:spacing w:after="0" w:line="282" w:lineRule="auto"/>
        <w:rPr>
          <w:sz w:val="20"/>
          <w:szCs w:val="20"/>
          <w:color w:val="auto"/>
        </w:rPr>
      </w:pPr>
      <w:r>
        <w:rPr>
          <w:rFonts w:ascii="Arial" w:cs="Arial" w:eastAsia="Arial" w:hAnsi="Arial"/>
          <w:sz w:val="12"/>
          <w:szCs w:val="12"/>
          <w:color w:val="auto"/>
        </w:rPr>
        <w:t>A central element of our business strategy is to obtain patent protection for the compositions, processes and uses of these multiple types of cells that would make the commercial development of stem cell therapeutics financially feasible. We have obtained rights to certain inventions relating to stem cells and progenitor cells from academic institutions. We expect to continue to expand our search for, and to seek to acquire rights from third parties relating to, new stem and progenitor cells, and to further develop our intellectual property positions with respect to these cells in-house and through research at scholarly institutions. Our portfolio of issued patents includes a method of culturing normal human central nervous system stem and progenitor cells in our proprietary chemically defined media, and our published studies show that these cultured and expanded cells give rise to all three major cell types of the central nervous system. We also have patent applications pending in connection with our search for liver and pancreas stem and progenitor cells.</w:t>
      </w:r>
    </w:p>
    <w:p>
      <w:pPr>
        <w:spacing w:after="0" w:line="13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Research and Development Programs</w:t>
      </w:r>
    </w:p>
    <w:p>
      <w:pPr>
        <w:spacing w:after="0" w:line="10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Overview</w:t>
      </w:r>
    </w:p>
    <w:p>
      <w:pPr>
        <w:spacing w:after="0" w:line="96" w:lineRule="exact"/>
        <w:rPr>
          <w:sz w:val="20"/>
          <w:szCs w:val="20"/>
          <w:color w:val="auto"/>
        </w:rPr>
      </w:pPr>
    </w:p>
    <w:p>
      <w:pPr>
        <w:jc w:val="both"/>
        <w:ind w:left="680" w:right="20" w:firstLine="399"/>
        <w:spacing w:after="0" w:line="264" w:lineRule="auto"/>
        <w:rPr>
          <w:sz w:val="20"/>
          <w:szCs w:val="20"/>
          <w:color w:val="auto"/>
        </w:rPr>
      </w:pPr>
      <w:r>
        <w:rPr>
          <w:rFonts w:ascii="Arial" w:cs="Arial" w:eastAsia="Arial" w:hAnsi="Arial"/>
          <w:sz w:val="13"/>
          <w:szCs w:val="13"/>
          <w:color w:val="auto"/>
        </w:rPr>
        <w:t>We have devoted substantial resources to our research programs to isolate and develop a series of stem and progenitor cells that we believe can serve as a basis for replacing diseased or injured cells. Our efforts to date have been directed at methods to identify, isolate and culture large varieties of stem and progenitor cells of the human nervous system, liver and pancreas and to develop therapies utilizing these stem and progenitor cells.</w:t>
      </w:r>
    </w:p>
    <w:p>
      <w:pPr>
        <w:spacing w:after="0" w:line="273"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20"/>
          </w:cols>
          <w:pgMar w:left="220" w:top="343" w:right="1059" w:bottom="1440" w:gutter="0" w:footer="0" w:header="0"/>
        </w:sectPr>
      </w:pPr>
    </w:p>
    <w:bookmarkStart w:id="6" w:name="page7"/>
    <w:bookmarkEnd w:id="6"/>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firstLine="399"/>
        <w:spacing w:after="0" w:line="258" w:lineRule="auto"/>
        <w:rPr>
          <w:sz w:val="20"/>
          <w:szCs w:val="20"/>
          <w:color w:val="auto"/>
        </w:rPr>
      </w:pPr>
      <w:r>
        <w:rPr>
          <w:rFonts w:ascii="Arial" w:cs="Arial" w:eastAsia="Arial" w:hAnsi="Arial"/>
          <w:sz w:val="13"/>
          <w:szCs w:val="13"/>
          <w:color w:val="auto"/>
        </w:rPr>
        <w:t>The following table shows the current status of, and the potential initial indications for, our primary research and product development programs and projects. The table is qualified in its entirety by reference to the more detailed descriptions of such programs and projects appearing elsewhere in this report. We continually evaluate our research and product development efforts and reallocate resources among existing programs or to new programs in light of experimental results, commercial potential, availability of third party funding, likelihood of near-term efficacy, collaboration success or significant technology enhancement, as well as other factors. Our research and product development programs are at relatively early stages of development and will require substantial resources to commercialize.</w:t>
      </w:r>
    </w:p>
    <w:p>
      <w:pPr>
        <w:sectPr>
          <w:pgSz w:w="11900" w:h="16838" w:orient="portrait"/>
          <w:cols w:equalWidth="0" w:num="1">
            <w:col w:w="10640"/>
          </w:cols>
          <w:pgMar w:left="220" w:top="343" w:right="1039" w:bottom="1440" w:gutter="0" w:footer="0" w:header="0"/>
        </w:sectPr>
      </w:pPr>
    </w:p>
    <w:p>
      <w:pPr>
        <w:spacing w:after="0" w:line="73" w:lineRule="exact"/>
        <w:rPr>
          <w:sz w:val="20"/>
          <w:szCs w:val="20"/>
          <w:color w:val="auto"/>
        </w:rPr>
      </w:pPr>
    </w:p>
    <w:p>
      <w:pPr>
        <w:ind w:left="3160"/>
        <w:spacing w:after="0"/>
        <w:rPr>
          <w:sz w:val="20"/>
          <w:szCs w:val="20"/>
          <w:color w:val="auto"/>
        </w:rPr>
      </w:pPr>
      <w:r>
        <w:rPr>
          <w:rFonts w:ascii="Arial" w:cs="Arial" w:eastAsia="Arial" w:hAnsi="Arial"/>
          <w:sz w:val="10"/>
          <w:szCs w:val="10"/>
          <w:b w:val="1"/>
          <w:bCs w:val="1"/>
          <w:u w:val="single" w:color="auto"/>
          <w:color w:val="auto"/>
        </w:rPr>
        <w:t>P</w:t>
      </w:r>
      <w:r>
        <w:rPr>
          <w:rFonts w:ascii="Arial" w:cs="Arial" w:eastAsia="Arial" w:hAnsi="Arial"/>
          <w:sz w:val="10"/>
          <w:szCs w:val="10"/>
          <w:b w:val="1"/>
          <w:bCs w:val="1"/>
          <w:color w:val="auto"/>
        </w:rPr>
        <w:t>rogram Description and Objective</w:t>
      </w:r>
    </w:p>
    <w:p>
      <w:pPr>
        <w:spacing w:after="0" w:line="60" w:lineRule="exact"/>
        <w:rPr>
          <w:sz w:val="20"/>
          <w:szCs w:val="20"/>
          <w:color w:val="auto"/>
        </w:rPr>
      </w:pPr>
    </w:p>
    <w:p>
      <w:pPr>
        <w:ind w:left="2520"/>
        <w:spacing w:after="0"/>
        <w:rPr>
          <w:sz w:val="20"/>
          <w:szCs w:val="20"/>
          <w:color w:val="auto"/>
        </w:rPr>
      </w:pPr>
      <w:r>
        <w:rPr>
          <w:rFonts w:ascii="Arial" w:cs="Arial" w:eastAsia="Arial" w:hAnsi="Arial"/>
          <w:sz w:val="13"/>
          <w:szCs w:val="13"/>
          <w:i w:val="1"/>
          <w:iCs w:val="1"/>
          <w:color w:val="auto"/>
        </w:rPr>
        <w:t>Human Neural Stem Cell</w:t>
      </w:r>
    </w:p>
    <w:p>
      <w:pPr>
        <w:spacing w:after="0" w:line="15" w:lineRule="exact"/>
        <w:rPr>
          <w:sz w:val="20"/>
          <w:szCs w:val="20"/>
          <w:color w:val="auto"/>
        </w:rPr>
      </w:pPr>
    </w:p>
    <w:p>
      <w:pPr>
        <w:ind w:left="680"/>
        <w:spacing w:after="0" w:line="264" w:lineRule="auto"/>
        <w:rPr>
          <w:sz w:val="20"/>
          <w:szCs w:val="20"/>
          <w:color w:val="auto"/>
        </w:rPr>
      </w:pPr>
      <w:r>
        <w:rPr>
          <w:rFonts w:ascii="Arial" w:cs="Arial" w:eastAsia="Arial" w:hAnsi="Arial"/>
          <w:sz w:val="13"/>
          <w:szCs w:val="13"/>
          <w:color w:val="auto"/>
        </w:rPr>
        <w:t>Repair or replace damaged central nervous system tissue (including spinal cord, stroke-damaged tissue, and tissue affected by certain genetic disorders)</w:t>
      </w:r>
    </w:p>
    <w:p>
      <w:pPr>
        <w:spacing w:after="0" w:line="20" w:lineRule="exact"/>
        <w:rPr>
          <w:sz w:val="20"/>
          <w:szCs w:val="20"/>
          <w:color w:val="auto"/>
        </w:rPr>
      </w:pPr>
      <w:r>
        <w:rPr>
          <w:sz w:val="20"/>
          <w:szCs w:val="20"/>
          <w:color w:val="auto"/>
        </w:rPr>
        <w:br w:type="column"/>
      </w:r>
    </w:p>
    <w:p>
      <w:pPr>
        <w:spacing w:after="0" w:line="53" w:lineRule="exact"/>
        <w:rPr>
          <w:sz w:val="20"/>
          <w:szCs w:val="20"/>
          <w:color w:val="auto"/>
        </w:rPr>
      </w:pPr>
    </w:p>
    <w:p>
      <w:pPr>
        <w:ind w:left="2360"/>
        <w:spacing w:after="0"/>
        <w:rPr>
          <w:sz w:val="20"/>
          <w:szCs w:val="20"/>
          <w:color w:val="auto"/>
        </w:rPr>
      </w:pPr>
      <w:r>
        <w:rPr>
          <w:rFonts w:ascii="Arial" w:cs="Arial" w:eastAsia="Arial" w:hAnsi="Arial"/>
          <w:sz w:val="10"/>
          <w:szCs w:val="10"/>
          <w:b w:val="1"/>
          <w:bCs w:val="1"/>
          <w:u w:val="single" w:color="auto"/>
          <w:color w:val="auto"/>
        </w:rPr>
        <w:t>S</w:t>
      </w:r>
      <w:r>
        <w:rPr>
          <w:rFonts w:ascii="Arial" w:cs="Arial" w:eastAsia="Arial" w:hAnsi="Arial"/>
          <w:sz w:val="10"/>
          <w:szCs w:val="10"/>
          <w:b w:val="1"/>
          <w:bCs w:val="1"/>
          <w:color w:val="auto"/>
        </w:rPr>
        <w:t>tage/Status(1)</w:t>
      </w:r>
    </w:p>
    <w:p>
      <w:pPr>
        <w:spacing w:after="0" w:line="60" w:lineRule="exact"/>
        <w:rPr>
          <w:sz w:val="20"/>
          <w:szCs w:val="20"/>
          <w:color w:val="auto"/>
        </w:rPr>
      </w:pPr>
    </w:p>
    <w:p>
      <w:pPr>
        <w:ind w:left="2160"/>
        <w:spacing w:after="0"/>
        <w:rPr>
          <w:sz w:val="20"/>
          <w:szCs w:val="20"/>
          <w:color w:val="auto"/>
        </w:rPr>
      </w:pPr>
      <w:r>
        <w:rPr>
          <w:rFonts w:ascii="Arial" w:cs="Arial" w:eastAsia="Arial" w:hAnsi="Arial"/>
          <w:sz w:val="13"/>
          <w:szCs w:val="13"/>
          <w:i w:val="1"/>
          <w:iCs w:val="1"/>
          <w:u w:val="single" w:color="auto"/>
          <w:color w:val="auto"/>
        </w:rPr>
        <w:t>Clinical:</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Neuronal Ceroid Lipofuscinosis (also known as Batten disease):</w:t>
      </w:r>
    </w:p>
    <w:p>
      <w:pPr>
        <w:spacing w:after="0" w:line="8" w:lineRule="exact"/>
        <w:rPr>
          <w:sz w:val="20"/>
          <w:szCs w:val="20"/>
          <w:color w:val="auto"/>
        </w:rPr>
      </w:pPr>
    </w:p>
    <w:p>
      <w:pPr>
        <w:ind w:left="240" w:right="300" w:firstLine="73"/>
        <w:spacing w:after="0" w:line="252" w:lineRule="auto"/>
        <w:tabs>
          <w:tab w:leader="none" w:pos="384" w:val="left"/>
        </w:tabs>
        <w:numPr>
          <w:ilvl w:val="2"/>
          <w:numId w:val="4"/>
        </w:numPr>
        <w:rPr>
          <w:rFonts w:ascii="Arial" w:cs="Arial" w:eastAsia="Arial" w:hAnsi="Arial"/>
          <w:sz w:val="13"/>
          <w:szCs w:val="13"/>
          <w:color w:val="auto"/>
        </w:rPr>
      </w:pPr>
      <w:r>
        <w:rPr>
          <w:rFonts w:ascii="Arial" w:cs="Arial" w:eastAsia="Arial" w:hAnsi="Arial"/>
          <w:sz w:val="13"/>
          <w:szCs w:val="13"/>
          <w:color w:val="auto"/>
        </w:rPr>
        <w:t xml:space="preserve">Demonstrated </w:t>
      </w:r>
      <w:r>
        <w:rPr>
          <w:rFonts w:ascii="Arial" w:cs="Arial" w:eastAsia="Arial" w:hAnsi="Arial"/>
          <w:sz w:val="13"/>
          <w:szCs w:val="13"/>
          <w:i w:val="1"/>
          <w:iCs w:val="1"/>
          <w:color w:val="auto"/>
        </w:rPr>
        <w:t>in vivo</w:t>
      </w:r>
      <w:r>
        <w:rPr>
          <w:rFonts w:ascii="Arial" w:cs="Arial" w:eastAsia="Arial" w:hAnsi="Arial"/>
          <w:sz w:val="13"/>
          <w:szCs w:val="13"/>
          <w:color w:val="auto"/>
        </w:rPr>
        <w:t xml:space="preserve"> proof of principle showing in a mouse model for Batten disease that HuCNS-SC can</w:t>
      </w:r>
    </w:p>
    <w:p>
      <w:pPr>
        <w:ind w:left="240" w:hanging="78"/>
        <w:spacing w:after="0"/>
        <w:tabs>
          <w:tab w:leader="none" w:pos="240" w:val="left"/>
        </w:tabs>
        <w:numPr>
          <w:ilvl w:val="1"/>
          <w:numId w:val="4"/>
        </w:numPr>
        <w:rPr>
          <w:rFonts w:ascii="Arial" w:cs="Arial" w:eastAsia="Arial" w:hAnsi="Arial"/>
          <w:sz w:val="13"/>
          <w:szCs w:val="13"/>
          <w:color w:val="auto"/>
        </w:rPr>
      </w:pPr>
      <w:r>
        <w:rPr>
          <w:rFonts w:ascii="Arial" w:cs="Arial" w:eastAsia="Arial" w:hAnsi="Arial"/>
          <w:sz w:val="13"/>
          <w:szCs w:val="13"/>
          <w:color w:val="auto"/>
        </w:rPr>
        <w:t>continuously produce the enzyme that is deficient in Infantile Batten disease</w:t>
      </w:r>
    </w:p>
    <w:p>
      <w:pPr>
        <w:spacing w:after="0" w:line="7" w:lineRule="exact"/>
        <w:rPr>
          <w:rFonts w:ascii="Arial" w:cs="Arial" w:eastAsia="Arial" w:hAnsi="Arial"/>
          <w:sz w:val="13"/>
          <w:szCs w:val="13"/>
          <w:color w:val="auto"/>
        </w:rPr>
      </w:pPr>
    </w:p>
    <w:p>
      <w:pPr>
        <w:ind w:left="240" w:hanging="78"/>
        <w:spacing w:after="0"/>
        <w:tabs>
          <w:tab w:leader="none" w:pos="240" w:val="left"/>
        </w:tabs>
        <w:numPr>
          <w:ilvl w:val="1"/>
          <w:numId w:val="4"/>
        </w:numPr>
        <w:rPr>
          <w:rFonts w:ascii="Arial" w:cs="Arial" w:eastAsia="Arial" w:hAnsi="Arial"/>
          <w:sz w:val="13"/>
          <w:szCs w:val="13"/>
          <w:color w:val="auto"/>
        </w:rPr>
      </w:pPr>
      <w:r>
        <w:rPr>
          <w:rFonts w:ascii="Arial" w:cs="Arial" w:eastAsia="Arial" w:hAnsi="Arial"/>
          <w:sz w:val="13"/>
          <w:szCs w:val="13"/>
          <w:color w:val="auto"/>
        </w:rPr>
        <w:t>protect host neurons from death</w:t>
      </w:r>
    </w:p>
    <w:p>
      <w:pPr>
        <w:spacing w:after="0" w:line="7" w:lineRule="exact"/>
        <w:rPr>
          <w:rFonts w:ascii="Arial" w:cs="Arial" w:eastAsia="Arial" w:hAnsi="Arial"/>
          <w:sz w:val="13"/>
          <w:szCs w:val="13"/>
          <w:color w:val="auto"/>
        </w:rPr>
      </w:pPr>
    </w:p>
    <w:p>
      <w:pPr>
        <w:ind w:left="240" w:hanging="78"/>
        <w:spacing w:after="0"/>
        <w:tabs>
          <w:tab w:leader="none" w:pos="240" w:val="left"/>
        </w:tabs>
        <w:numPr>
          <w:ilvl w:val="1"/>
          <w:numId w:val="4"/>
        </w:numPr>
        <w:rPr>
          <w:rFonts w:ascii="Arial" w:cs="Arial" w:eastAsia="Arial" w:hAnsi="Arial"/>
          <w:sz w:val="13"/>
          <w:szCs w:val="13"/>
          <w:color w:val="auto"/>
        </w:rPr>
      </w:pPr>
      <w:r>
        <w:rPr>
          <w:rFonts w:ascii="Arial" w:cs="Arial" w:eastAsia="Arial" w:hAnsi="Arial"/>
          <w:sz w:val="13"/>
          <w:szCs w:val="13"/>
          <w:color w:val="auto"/>
        </w:rPr>
        <w:t>extend the lifespan of the HuCNS-SC transplanted mice</w:t>
      </w:r>
    </w:p>
    <w:p>
      <w:pPr>
        <w:spacing w:after="0" w:line="7" w:lineRule="exact"/>
        <w:rPr>
          <w:rFonts w:ascii="Arial" w:cs="Arial" w:eastAsia="Arial" w:hAnsi="Arial"/>
          <w:sz w:val="13"/>
          <w:szCs w:val="13"/>
          <w:color w:val="auto"/>
        </w:rPr>
      </w:pPr>
    </w:p>
    <w:p>
      <w:pPr>
        <w:ind w:left="140" w:hanging="76"/>
        <w:spacing w:after="0"/>
        <w:tabs>
          <w:tab w:leader="none" w:pos="140" w:val="left"/>
        </w:tabs>
        <w:numPr>
          <w:ilvl w:val="0"/>
          <w:numId w:val="4"/>
        </w:numPr>
        <w:rPr>
          <w:rFonts w:ascii="Arial" w:cs="Arial" w:eastAsia="Arial" w:hAnsi="Arial"/>
          <w:sz w:val="12"/>
          <w:szCs w:val="12"/>
          <w:color w:val="auto"/>
        </w:rPr>
      </w:pPr>
      <w:r>
        <w:rPr>
          <w:rFonts w:ascii="Arial" w:cs="Arial" w:eastAsia="Arial" w:hAnsi="Arial"/>
          <w:sz w:val="12"/>
          <w:szCs w:val="12"/>
          <w:i w:val="1"/>
          <w:iCs w:val="1"/>
          <w:color w:val="auto"/>
        </w:rPr>
        <w:t>Investigational New Drug (IND) application was cleared by the FDA in October 2005</w:t>
      </w:r>
    </w:p>
    <w:p>
      <w:pPr>
        <w:spacing w:after="0" w:line="19" w:lineRule="exact"/>
        <w:rPr>
          <w:rFonts w:ascii="Arial" w:cs="Arial" w:eastAsia="Arial" w:hAnsi="Arial"/>
          <w:sz w:val="12"/>
          <w:szCs w:val="12"/>
          <w:color w:val="auto"/>
        </w:rPr>
      </w:pPr>
    </w:p>
    <w:p>
      <w:pPr>
        <w:ind w:left="240" w:right="100" w:hanging="176"/>
        <w:spacing w:after="0" w:line="252" w:lineRule="auto"/>
        <w:tabs>
          <w:tab w:leader="none" w:pos="135" w:val="left"/>
        </w:tabs>
        <w:numPr>
          <w:ilvl w:val="0"/>
          <w:numId w:val="4"/>
        </w:numPr>
        <w:rPr>
          <w:rFonts w:ascii="Arial" w:cs="Arial" w:eastAsia="Arial" w:hAnsi="Arial"/>
          <w:sz w:val="13"/>
          <w:szCs w:val="13"/>
          <w:color w:val="auto"/>
        </w:rPr>
      </w:pPr>
      <w:r>
        <w:rPr>
          <w:rFonts w:ascii="Arial" w:cs="Arial" w:eastAsia="Arial" w:hAnsi="Arial"/>
          <w:sz w:val="13"/>
          <w:szCs w:val="13"/>
          <w:i w:val="1"/>
          <w:iCs w:val="1"/>
          <w:color w:val="auto"/>
        </w:rPr>
        <w:t>IRB of the Oregon Health &amp; Science University approved initiation of Phase I clinical trial in March 2006</w:t>
      </w:r>
    </w:p>
    <w:p>
      <w:pPr>
        <w:spacing w:after="0" w:line="1" w:lineRule="exact"/>
        <w:rPr>
          <w:sz w:val="20"/>
          <w:szCs w:val="20"/>
          <w:color w:val="auto"/>
        </w:rPr>
      </w:pPr>
    </w:p>
    <w:p>
      <w:pPr>
        <w:ind w:left="2100"/>
        <w:spacing w:after="0"/>
        <w:rPr>
          <w:sz w:val="20"/>
          <w:szCs w:val="20"/>
          <w:color w:val="auto"/>
        </w:rPr>
      </w:pPr>
      <w:r>
        <w:rPr>
          <w:rFonts w:ascii="Arial" w:cs="Arial" w:eastAsia="Arial" w:hAnsi="Arial"/>
          <w:sz w:val="13"/>
          <w:szCs w:val="13"/>
          <w:i w:val="1"/>
          <w:iCs w:val="1"/>
          <w:u w:val="single" w:color="auto"/>
          <w:color w:val="auto"/>
        </w:rPr>
        <w:t>Preclinical</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Spinal Cord Indications:</w:t>
      </w:r>
    </w:p>
    <w:p>
      <w:pPr>
        <w:spacing w:after="0" w:line="8" w:lineRule="exact"/>
        <w:rPr>
          <w:sz w:val="20"/>
          <w:szCs w:val="20"/>
          <w:color w:val="auto"/>
        </w:rPr>
      </w:pPr>
    </w:p>
    <w:p>
      <w:pPr>
        <w:ind w:right="200" w:firstLine="64"/>
        <w:spacing w:after="0" w:line="252" w:lineRule="auto"/>
        <w:tabs>
          <w:tab w:leader="none" w:pos="144" w:val="left"/>
        </w:tabs>
        <w:numPr>
          <w:ilvl w:val="0"/>
          <w:numId w:val="5"/>
        </w:numPr>
        <w:rPr>
          <w:rFonts w:ascii="Arial" w:cs="Arial" w:eastAsia="Arial" w:hAnsi="Arial"/>
          <w:sz w:val="13"/>
          <w:szCs w:val="13"/>
          <w:color w:val="auto"/>
        </w:rPr>
      </w:pPr>
      <w:r>
        <w:rPr>
          <w:rFonts w:ascii="Arial" w:cs="Arial" w:eastAsia="Arial" w:hAnsi="Arial"/>
          <w:sz w:val="13"/>
          <w:szCs w:val="13"/>
          <w:color w:val="auto"/>
        </w:rPr>
        <w:t xml:space="preserve">Demonstrated </w:t>
      </w:r>
      <w:r>
        <w:rPr>
          <w:rFonts w:ascii="Arial" w:cs="Arial" w:eastAsia="Arial" w:hAnsi="Arial"/>
          <w:sz w:val="13"/>
          <w:szCs w:val="13"/>
          <w:i w:val="1"/>
          <w:iCs w:val="1"/>
          <w:color w:val="auto"/>
        </w:rPr>
        <w:t>in vivo</w:t>
      </w:r>
      <w:r>
        <w:rPr>
          <w:rFonts w:ascii="Arial" w:cs="Arial" w:eastAsia="Arial" w:hAnsi="Arial"/>
          <w:sz w:val="13"/>
          <w:szCs w:val="13"/>
          <w:color w:val="auto"/>
        </w:rPr>
        <w:t xml:space="preserve"> proof of principle in a mouse model for spinal cord injury that transplanted HuCNS-SC</w:t>
      </w:r>
    </w:p>
    <w:p>
      <w:pPr>
        <w:ind w:left="240" w:hanging="78"/>
        <w:spacing w:after="0"/>
        <w:tabs>
          <w:tab w:leader="none" w:pos="240" w:val="left"/>
        </w:tabs>
        <w:numPr>
          <w:ilvl w:val="1"/>
          <w:numId w:val="5"/>
        </w:numPr>
        <w:rPr>
          <w:rFonts w:ascii="Arial" w:cs="Arial" w:eastAsia="Arial" w:hAnsi="Arial"/>
          <w:sz w:val="13"/>
          <w:szCs w:val="13"/>
          <w:color w:val="auto"/>
        </w:rPr>
      </w:pPr>
      <w:r>
        <w:rPr>
          <w:rFonts w:ascii="Arial" w:cs="Arial" w:eastAsia="Arial" w:hAnsi="Arial"/>
          <w:sz w:val="13"/>
          <w:szCs w:val="13"/>
          <w:color w:val="auto"/>
        </w:rPr>
        <w:t>restores motor function in injured animals</w:t>
      </w:r>
    </w:p>
    <w:p>
      <w:pPr>
        <w:spacing w:after="0" w:line="7" w:lineRule="exact"/>
        <w:rPr>
          <w:rFonts w:ascii="Arial" w:cs="Arial" w:eastAsia="Arial" w:hAnsi="Arial"/>
          <w:sz w:val="13"/>
          <w:szCs w:val="13"/>
          <w:color w:val="auto"/>
        </w:rPr>
      </w:pPr>
    </w:p>
    <w:p>
      <w:pPr>
        <w:ind w:right="100" w:firstLine="162"/>
        <w:spacing w:after="0" w:line="252" w:lineRule="auto"/>
        <w:tabs>
          <w:tab w:leader="none" w:pos="242" w:val="left"/>
        </w:tabs>
        <w:numPr>
          <w:ilvl w:val="1"/>
          <w:numId w:val="5"/>
        </w:numPr>
        <w:rPr>
          <w:rFonts w:ascii="Arial" w:cs="Arial" w:eastAsia="Arial" w:hAnsi="Arial"/>
          <w:sz w:val="13"/>
          <w:szCs w:val="13"/>
          <w:color w:val="auto"/>
        </w:rPr>
      </w:pPr>
      <w:r>
        <w:rPr>
          <w:rFonts w:ascii="Arial" w:cs="Arial" w:eastAsia="Arial" w:hAnsi="Arial"/>
          <w:sz w:val="13"/>
          <w:szCs w:val="13"/>
          <w:color w:val="auto"/>
        </w:rPr>
        <w:t>directly contributes to the functional recovery: destruction of the human cells results in loss of the re-established motor function</w:t>
      </w:r>
    </w:p>
    <w:p>
      <w:pPr>
        <w:ind w:left="240" w:hanging="78"/>
        <w:spacing w:after="0"/>
        <w:tabs>
          <w:tab w:leader="none" w:pos="240" w:val="left"/>
        </w:tabs>
        <w:numPr>
          <w:ilvl w:val="1"/>
          <w:numId w:val="5"/>
        </w:numPr>
        <w:rPr>
          <w:rFonts w:ascii="Arial" w:cs="Arial" w:eastAsia="Arial" w:hAnsi="Arial"/>
          <w:sz w:val="13"/>
          <w:szCs w:val="13"/>
          <w:color w:val="auto"/>
        </w:rPr>
      </w:pPr>
      <w:r>
        <w:rPr>
          <w:rFonts w:ascii="Arial" w:cs="Arial" w:eastAsia="Arial" w:hAnsi="Arial"/>
          <w:sz w:val="13"/>
          <w:szCs w:val="13"/>
          <w:color w:val="auto"/>
        </w:rPr>
        <w:t>become specialized oligodendrocytes and neurons</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Myelin Disorders:</w:t>
      </w:r>
    </w:p>
    <w:p>
      <w:pPr>
        <w:spacing w:after="0" w:line="8" w:lineRule="exact"/>
        <w:rPr>
          <w:sz w:val="20"/>
          <w:szCs w:val="20"/>
          <w:color w:val="auto"/>
        </w:rPr>
      </w:pPr>
    </w:p>
    <w:p>
      <w:pPr>
        <w:ind w:left="-140" w:right="280" w:firstLine="204"/>
        <w:spacing w:after="0" w:line="252" w:lineRule="auto"/>
        <w:tabs>
          <w:tab w:leader="none" w:pos="135" w:val="left"/>
        </w:tabs>
        <w:numPr>
          <w:ilvl w:val="0"/>
          <w:numId w:val="6"/>
        </w:numPr>
        <w:rPr>
          <w:rFonts w:ascii="Arial" w:cs="Arial" w:eastAsia="Arial" w:hAnsi="Arial"/>
          <w:sz w:val="13"/>
          <w:szCs w:val="13"/>
          <w:color w:val="auto"/>
        </w:rPr>
      </w:pPr>
      <w:r>
        <w:rPr>
          <w:rFonts w:ascii="Arial" w:cs="Arial" w:eastAsia="Arial" w:hAnsi="Arial"/>
          <w:sz w:val="13"/>
          <w:szCs w:val="13"/>
          <w:color w:val="auto"/>
        </w:rPr>
        <w:t xml:space="preserve">Demonstrated </w:t>
      </w:r>
      <w:r>
        <w:rPr>
          <w:rFonts w:ascii="Arial" w:cs="Arial" w:eastAsia="Arial" w:hAnsi="Arial"/>
          <w:sz w:val="13"/>
          <w:szCs w:val="13"/>
          <w:i w:val="1"/>
          <w:iCs w:val="1"/>
          <w:color w:val="auto"/>
        </w:rPr>
        <w:t>in vivo</w:t>
      </w:r>
      <w:r>
        <w:rPr>
          <w:rFonts w:ascii="Arial" w:cs="Arial" w:eastAsia="Arial" w:hAnsi="Arial"/>
          <w:sz w:val="13"/>
          <w:szCs w:val="13"/>
          <w:color w:val="auto"/>
        </w:rPr>
        <w:t xml:space="preserve"> proof of principle in the myelin deficient shiverer mouse and spinal cord injured mouse that transplanted HuCNS-SC</w:t>
      </w:r>
    </w:p>
    <w:p>
      <w:pPr>
        <w:ind w:left="240" w:hanging="78"/>
        <w:spacing w:after="0"/>
        <w:tabs>
          <w:tab w:leader="none" w:pos="240" w:val="left"/>
        </w:tabs>
        <w:numPr>
          <w:ilvl w:val="1"/>
          <w:numId w:val="6"/>
        </w:numPr>
        <w:rPr>
          <w:rFonts w:ascii="Arial" w:cs="Arial" w:eastAsia="Arial" w:hAnsi="Arial"/>
          <w:sz w:val="12"/>
          <w:szCs w:val="12"/>
          <w:color w:val="auto"/>
        </w:rPr>
      </w:pPr>
      <w:r>
        <w:rPr>
          <w:rFonts w:ascii="Arial" w:cs="Arial" w:eastAsia="Arial" w:hAnsi="Arial"/>
          <w:sz w:val="12"/>
          <w:szCs w:val="12"/>
          <w:color w:val="auto"/>
        </w:rPr>
        <w:t>make new myelin-producing oligodendrocytes in the mouse brain and spinal cord</w:t>
      </w:r>
    </w:p>
    <w:p>
      <w:pPr>
        <w:spacing w:after="0" w:line="19" w:lineRule="exact"/>
        <w:rPr>
          <w:rFonts w:ascii="Arial" w:cs="Arial" w:eastAsia="Arial" w:hAnsi="Arial"/>
          <w:sz w:val="12"/>
          <w:szCs w:val="12"/>
          <w:color w:val="auto"/>
        </w:rPr>
      </w:pPr>
    </w:p>
    <w:p>
      <w:pPr>
        <w:ind w:right="80" w:firstLine="162"/>
        <w:spacing w:after="0" w:line="252" w:lineRule="auto"/>
        <w:tabs>
          <w:tab w:leader="none" w:pos="242" w:val="left"/>
        </w:tabs>
        <w:numPr>
          <w:ilvl w:val="1"/>
          <w:numId w:val="6"/>
        </w:numPr>
        <w:rPr>
          <w:rFonts w:ascii="Arial" w:cs="Arial" w:eastAsia="Arial" w:hAnsi="Arial"/>
          <w:sz w:val="13"/>
          <w:szCs w:val="13"/>
          <w:color w:val="auto"/>
        </w:rPr>
      </w:pPr>
      <w:r>
        <w:rPr>
          <w:rFonts w:ascii="Arial" w:cs="Arial" w:eastAsia="Arial" w:hAnsi="Arial"/>
          <w:sz w:val="13"/>
          <w:szCs w:val="13"/>
          <w:color w:val="auto"/>
        </w:rPr>
        <w:t>the oligodendrocytes produce new myelin that wraps tightly around the mouse nerve axons to form myelin sheath</w:t>
      </w:r>
    </w:p>
    <w:p>
      <w:pPr>
        <w:spacing w:after="0" w:line="1" w:lineRule="exact"/>
        <w:rPr>
          <w:sz w:val="20"/>
          <w:szCs w:val="20"/>
          <w:color w:val="auto"/>
        </w:rPr>
      </w:pPr>
    </w:p>
    <w:p>
      <w:pPr>
        <w:ind w:left="2160"/>
        <w:spacing w:after="0"/>
        <w:rPr>
          <w:sz w:val="20"/>
          <w:szCs w:val="20"/>
          <w:color w:val="auto"/>
        </w:rPr>
      </w:pPr>
      <w:r>
        <w:rPr>
          <w:rFonts w:ascii="Arial" w:cs="Arial" w:eastAsia="Arial" w:hAnsi="Arial"/>
          <w:sz w:val="13"/>
          <w:szCs w:val="13"/>
          <w:i w:val="1"/>
          <w:iCs w:val="1"/>
          <w:u w:val="single" w:color="auto"/>
          <w:color w:val="auto"/>
        </w:rPr>
        <w:t>Research</w:t>
      </w:r>
    </w:p>
    <w:p>
      <w:pPr>
        <w:spacing w:after="0" w:line="8" w:lineRule="exact"/>
        <w:rPr>
          <w:sz w:val="20"/>
          <w:szCs w:val="20"/>
          <w:color w:val="auto"/>
        </w:rPr>
      </w:pPr>
    </w:p>
    <w:p>
      <w:pPr>
        <w:ind w:left="-200" w:right="160" w:firstLine="231"/>
        <w:spacing w:after="0" w:line="264" w:lineRule="auto"/>
        <w:tabs>
          <w:tab w:leader="none" w:pos="108" w:val="left"/>
        </w:tabs>
        <w:numPr>
          <w:ilvl w:val="0"/>
          <w:numId w:val="7"/>
        </w:numPr>
        <w:rPr>
          <w:rFonts w:ascii="Arial" w:cs="Arial" w:eastAsia="Arial" w:hAnsi="Arial"/>
          <w:sz w:val="13"/>
          <w:szCs w:val="13"/>
          <w:color w:val="auto"/>
        </w:rPr>
      </w:pPr>
      <w:r>
        <w:rPr>
          <w:rFonts w:ascii="Arial" w:cs="Arial" w:eastAsia="Arial" w:hAnsi="Arial"/>
          <w:sz w:val="13"/>
          <w:szCs w:val="13"/>
          <w:color w:val="auto"/>
        </w:rPr>
        <w:t>Identified cell surface markers and methods for purification of human central nervous system stem cells</w:t>
      </w:r>
    </w:p>
    <w:p>
      <w:pPr>
        <w:spacing w:after="0" w:line="200" w:lineRule="exact"/>
        <w:rPr>
          <w:sz w:val="20"/>
          <w:szCs w:val="20"/>
          <w:color w:val="auto"/>
        </w:rPr>
      </w:pPr>
    </w:p>
    <w:p>
      <w:pPr>
        <w:sectPr>
          <w:pgSz w:w="11900" w:h="16838" w:orient="portrait"/>
          <w:cols w:equalWidth="0" w:num="2">
            <w:col w:w="5280" w:space="600"/>
            <w:col w:w="4760"/>
          </w:cols>
          <w:pgMar w:left="220" w:top="343" w:right="1039" w:bottom="1440" w:gutter="0" w:footer="0" w:header="0"/>
          <w:type w:val="continuous"/>
        </w:sectPr>
      </w:pPr>
    </w:p>
    <w:p>
      <w:pPr>
        <w:spacing w:after="0" w:line="73" w:lineRule="exact"/>
        <w:rPr>
          <w:sz w:val="20"/>
          <w:szCs w:val="20"/>
          <w:color w:val="auto"/>
        </w:rPr>
      </w:pPr>
    </w:p>
    <w:p>
      <w:pPr>
        <w:ind w:left="5640"/>
        <w:spacing w:after="0"/>
        <w:rPr>
          <w:sz w:val="20"/>
          <w:szCs w:val="20"/>
          <w:color w:val="auto"/>
        </w:rPr>
      </w:pPr>
      <w:r>
        <w:rPr>
          <w:rFonts w:ascii="Arial" w:cs="Arial" w:eastAsia="Arial" w:hAnsi="Arial"/>
          <w:sz w:val="10"/>
          <w:szCs w:val="1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128905</wp:posOffset>
            </wp:positionV>
            <wp:extent cx="7290435" cy="190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type w:val="continuous"/>
        </w:sectPr>
      </w:pPr>
    </w:p>
    <w:bookmarkStart w:id="7" w:name="page8"/>
    <w:bookmarkEnd w:id="7"/>
    <w:p>
      <w:pPr>
        <w:spacing w:after="0"/>
        <w:rPr>
          <w:rFonts w:ascii="Arial" w:cs="Arial" w:eastAsia="Arial" w:hAnsi="Arial"/>
          <w:sz w:val="11"/>
          <w:szCs w:val="11"/>
          <w:b w:val="1"/>
          <w:bCs w:val="1"/>
          <w:u w:val="single" w:color="auto"/>
          <w:color w:val="0000EE"/>
        </w:rPr>
      </w:pPr>
      <w:hyperlink w:anchor="page3">
        <w:r>
          <w:rPr>
            <w:rFonts w:ascii="Arial" w:cs="Arial" w:eastAsia="Arial" w:hAnsi="Arial"/>
            <w:sz w:val="11"/>
            <w:szCs w:val="11"/>
            <w:b w:val="1"/>
            <w:bCs w:val="1"/>
            <w:u w:val="single" w:color="auto"/>
            <w:color w:val="0000EE"/>
          </w:rPr>
          <w:t>Table of Contents</w:t>
        </w:r>
      </w:hyperlink>
    </w:p>
    <w:p>
      <w:pPr>
        <w:sectPr>
          <w:pgSz w:w="11900" w:h="16838" w:orient="portrait"/>
          <w:cols w:equalWidth="0" w:num="1">
            <w:col w:w="10640"/>
          </w:cols>
          <w:pgMar w:left="220" w:top="343" w:right="1039" w:bottom="1440" w:gutter="0" w:footer="0" w:header="0"/>
        </w:sectPr>
      </w:pPr>
    </w:p>
    <w:p>
      <w:pPr>
        <w:spacing w:after="0" w:line="252" w:lineRule="exact"/>
        <w:rPr>
          <w:sz w:val="20"/>
          <w:szCs w:val="20"/>
          <w:color w:val="auto"/>
        </w:rPr>
      </w:pPr>
    </w:p>
    <w:p>
      <w:pPr>
        <w:ind w:left="3160"/>
        <w:spacing w:after="0"/>
        <w:rPr>
          <w:sz w:val="20"/>
          <w:szCs w:val="20"/>
          <w:color w:val="auto"/>
        </w:rPr>
      </w:pPr>
      <w:r>
        <w:rPr>
          <w:rFonts w:ascii="Arial" w:cs="Arial" w:eastAsia="Arial" w:hAnsi="Arial"/>
          <w:sz w:val="10"/>
          <w:szCs w:val="10"/>
          <w:b w:val="1"/>
          <w:bCs w:val="1"/>
          <w:u w:val="single" w:color="auto"/>
          <w:color w:val="auto"/>
        </w:rPr>
        <w:t>P</w:t>
      </w:r>
      <w:r>
        <w:rPr>
          <w:rFonts w:ascii="Arial" w:cs="Arial" w:eastAsia="Arial" w:hAnsi="Arial"/>
          <w:sz w:val="10"/>
          <w:szCs w:val="10"/>
          <w:b w:val="1"/>
          <w:bCs w:val="1"/>
          <w:color w:val="auto"/>
        </w:rPr>
        <w:t>rogram Description and Objective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left="760"/>
        <w:spacing w:after="0"/>
        <w:rPr>
          <w:sz w:val="20"/>
          <w:szCs w:val="20"/>
          <w:color w:val="auto"/>
        </w:rPr>
      </w:pPr>
      <w:r>
        <w:rPr>
          <w:rFonts w:ascii="Arial" w:cs="Arial" w:eastAsia="Arial" w:hAnsi="Arial"/>
          <w:sz w:val="13"/>
          <w:szCs w:val="13"/>
          <w:i w:val="1"/>
          <w:iCs w:val="1"/>
          <w:color w:val="auto"/>
        </w:rPr>
        <w:t>Liver Stem Cell</w:t>
      </w:r>
    </w:p>
    <w:p>
      <w:pPr>
        <w:spacing w:after="0" w:line="165" w:lineRule="exact"/>
        <w:rPr>
          <w:sz w:val="20"/>
          <w:szCs w:val="20"/>
          <w:color w:val="auto"/>
        </w:rPr>
      </w:pPr>
    </w:p>
    <w:p>
      <w:pPr>
        <w:ind w:left="680"/>
        <w:spacing w:after="0" w:line="276" w:lineRule="auto"/>
        <w:rPr>
          <w:sz w:val="20"/>
          <w:szCs w:val="20"/>
          <w:color w:val="auto"/>
        </w:rPr>
      </w:pPr>
      <w:r>
        <w:rPr>
          <w:rFonts w:ascii="Arial" w:cs="Arial" w:eastAsia="Arial" w:hAnsi="Arial"/>
          <w:sz w:val="13"/>
          <w:szCs w:val="13"/>
          <w:color w:val="auto"/>
        </w:rPr>
        <w:t>Repair or replace liver tissue damaged or destroyed by cirrhosis and certain metabolic genetic diseases</w:t>
      </w:r>
    </w:p>
    <w:p>
      <w:pPr>
        <w:spacing w:after="0" w:line="200" w:lineRule="exact"/>
        <w:rPr>
          <w:sz w:val="20"/>
          <w:szCs w:val="20"/>
          <w:color w:val="auto"/>
        </w:rPr>
      </w:pPr>
    </w:p>
    <w:p>
      <w:pPr>
        <w:spacing w:after="0" w:line="400" w:lineRule="exact"/>
        <w:rPr>
          <w:sz w:val="20"/>
          <w:szCs w:val="20"/>
          <w:color w:val="auto"/>
        </w:rPr>
      </w:pPr>
    </w:p>
    <w:p>
      <w:pPr>
        <w:ind w:left="2680"/>
        <w:spacing w:after="0"/>
        <w:rPr>
          <w:sz w:val="20"/>
          <w:szCs w:val="20"/>
          <w:color w:val="auto"/>
        </w:rPr>
      </w:pPr>
      <w:r>
        <w:rPr>
          <w:rFonts w:ascii="Arial" w:cs="Arial" w:eastAsia="Arial" w:hAnsi="Arial"/>
          <w:sz w:val="13"/>
          <w:szCs w:val="13"/>
          <w:i w:val="1"/>
          <w:iCs w:val="1"/>
          <w:color w:val="auto"/>
        </w:rPr>
        <w:t>Pancreas Stem Cell</w:t>
      </w:r>
    </w:p>
    <w:p>
      <w:pPr>
        <w:spacing w:after="0" w:line="16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Repair or replace damaged pancreas islet tissue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73025</wp:posOffset>
            </wp:positionV>
            <wp:extent cx="823595" cy="63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823595" cy="63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ind w:left="2329"/>
        <w:spacing w:after="0"/>
        <w:rPr>
          <w:sz w:val="20"/>
          <w:szCs w:val="20"/>
          <w:color w:val="auto"/>
        </w:rPr>
      </w:pPr>
      <w:r>
        <w:rPr>
          <w:rFonts w:ascii="Arial" w:cs="Arial" w:eastAsia="Arial" w:hAnsi="Arial"/>
          <w:sz w:val="10"/>
          <w:szCs w:val="10"/>
          <w:b w:val="1"/>
          <w:bCs w:val="1"/>
          <w:u w:val="single" w:color="auto"/>
          <w:color w:val="auto"/>
        </w:rPr>
        <w:t>S</w:t>
      </w:r>
      <w:r>
        <w:rPr>
          <w:rFonts w:ascii="Arial" w:cs="Arial" w:eastAsia="Arial" w:hAnsi="Arial"/>
          <w:sz w:val="10"/>
          <w:szCs w:val="10"/>
          <w:b w:val="1"/>
          <w:bCs w:val="1"/>
          <w:color w:val="auto"/>
        </w:rPr>
        <w:t>tage/Status(1)</w:t>
      </w:r>
    </w:p>
    <w:p>
      <w:pPr>
        <w:spacing w:after="0" w:line="60" w:lineRule="exact"/>
        <w:rPr>
          <w:sz w:val="20"/>
          <w:szCs w:val="20"/>
          <w:color w:val="auto"/>
        </w:rPr>
      </w:pPr>
    </w:p>
    <w:p>
      <w:pPr>
        <w:ind w:left="69" w:hanging="69"/>
        <w:spacing w:after="0"/>
        <w:tabs>
          <w:tab w:leader="none" w:pos="69" w:val="left"/>
        </w:tabs>
        <w:numPr>
          <w:ilvl w:val="0"/>
          <w:numId w:val="8"/>
        </w:numPr>
        <w:rPr>
          <w:rFonts w:ascii="Arial" w:cs="Arial" w:eastAsia="Arial" w:hAnsi="Arial"/>
          <w:sz w:val="12"/>
          <w:szCs w:val="12"/>
          <w:color w:val="auto"/>
        </w:rPr>
      </w:pPr>
      <w:r>
        <w:rPr>
          <w:rFonts w:ascii="Arial" w:cs="Arial" w:eastAsia="Arial" w:hAnsi="Arial"/>
          <w:sz w:val="12"/>
          <w:szCs w:val="12"/>
          <w:color w:val="auto"/>
        </w:rPr>
        <w:t>Demonstrated the ability to reproducibly identify and purify human neural stem cells</w:t>
      </w:r>
    </w:p>
    <w:p>
      <w:pPr>
        <w:spacing w:after="0" w:line="26" w:lineRule="exact"/>
        <w:rPr>
          <w:rFonts w:ascii="Arial" w:cs="Arial" w:eastAsia="Arial" w:hAnsi="Arial"/>
          <w:sz w:val="12"/>
          <w:szCs w:val="12"/>
          <w:color w:val="auto"/>
        </w:rPr>
      </w:pPr>
    </w:p>
    <w:p>
      <w:pPr>
        <w:ind w:left="-31" w:right="300" w:firstLine="31"/>
        <w:spacing w:after="0" w:line="298" w:lineRule="auto"/>
        <w:tabs>
          <w:tab w:leader="none" w:pos="81" w:val="left"/>
        </w:tabs>
        <w:numPr>
          <w:ilvl w:val="0"/>
          <w:numId w:val="8"/>
        </w:numPr>
        <w:rPr>
          <w:rFonts w:ascii="Arial" w:cs="Arial" w:eastAsia="Arial" w:hAnsi="Arial"/>
          <w:sz w:val="11"/>
          <w:szCs w:val="11"/>
          <w:color w:val="auto"/>
        </w:rPr>
      </w:pPr>
      <w:r>
        <w:rPr>
          <w:rFonts w:ascii="Arial" w:cs="Arial" w:eastAsia="Arial" w:hAnsi="Arial"/>
          <w:sz w:val="11"/>
          <w:szCs w:val="11"/>
          <w:color w:val="auto"/>
        </w:rPr>
        <w:t xml:space="preserve">Demonstrated </w:t>
      </w:r>
      <w:r>
        <w:rPr>
          <w:rFonts w:ascii="Arial" w:cs="Arial" w:eastAsia="Arial" w:hAnsi="Arial"/>
          <w:sz w:val="11"/>
          <w:szCs w:val="11"/>
          <w:i w:val="1"/>
          <w:iCs w:val="1"/>
          <w:color w:val="auto"/>
        </w:rPr>
        <w:t>in vitro</w:t>
      </w:r>
      <w:r>
        <w:rPr>
          <w:rFonts w:ascii="Arial" w:cs="Arial" w:eastAsia="Arial" w:hAnsi="Arial"/>
          <w:sz w:val="11"/>
          <w:szCs w:val="11"/>
          <w:color w:val="auto"/>
        </w:rPr>
        <w:t xml:space="preserve"> the ability to initiate and expand stem cell-containing human neural cultures and specialization into three types of central nervous system cells</w:t>
      </w:r>
    </w:p>
    <w:p>
      <w:pPr>
        <w:ind w:left="69" w:hanging="69"/>
        <w:spacing w:after="0"/>
        <w:tabs>
          <w:tab w:leader="none" w:pos="69" w:val="left"/>
        </w:tabs>
        <w:numPr>
          <w:ilvl w:val="0"/>
          <w:numId w:val="8"/>
        </w:numPr>
        <w:rPr>
          <w:rFonts w:ascii="Arial" w:cs="Arial" w:eastAsia="Arial" w:hAnsi="Arial"/>
          <w:sz w:val="13"/>
          <w:szCs w:val="13"/>
          <w:color w:val="auto"/>
        </w:rPr>
      </w:pPr>
      <w:r>
        <w:rPr>
          <w:rFonts w:ascii="Arial" w:cs="Arial" w:eastAsia="Arial" w:hAnsi="Arial"/>
          <w:sz w:val="13"/>
          <w:szCs w:val="13"/>
          <w:color w:val="auto"/>
        </w:rPr>
        <w:t>Demonstrated the ability to create human neural stem cell banks</w:t>
      </w:r>
    </w:p>
    <w:p>
      <w:pPr>
        <w:spacing w:after="0" w:line="7" w:lineRule="exact"/>
        <w:rPr>
          <w:rFonts w:ascii="Arial" w:cs="Arial" w:eastAsia="Arial" w:hAnsi="Arial"/>
          <w:sz w:val="13"/>
          <w:szCs w:val="13"/>
          <w:color w:val="auto"/>
        </w:rPr>
      </w:pPr>
    </w:p>
    <w:p>
      <w:pPr>
        <w:ind w:left="-31" w:right="80" w:firstLine="31"/>
        <w:spacing w:after="0" w:line="252" w:lineRule="auto"/>
        <w:tabs>
          <w:tab w:leader="none" w:pos="81" w:val="left"/>
        </w:tabs>
        <w:numPr>
          <w:ilvl w:val="0"/>
          <w:numId w:val="8"/>
        </w:numPr>
        <w:rPr>
          <w:rFonts w:ascii="Arial" w:cs="Arial" w:eastAsia="Arial" w:hAnsi="Arial"/>
          <w:sz w:val="13"/>
          <w:szCs w:val="13"/>
          <w:color w:val="auto"/>
        </w:rPr>
      </w:pPr>
      <w:r>
        <w:rPr>
          <w:rFonts w:ascii="Arial" w:cs="Arial" w:eastAsia="Arial" w:hAnsi="Arial"/>
          <w:sz w:val="13"/>
          <w:szCs w:val="13"/>
          <w:color w:val="auto"/>
        </w:rPr>
        <w:t>Demonstrated in rodent studies that transplants of expanded and banked human brain-derived stem cells are accepted and properly specialized into the three major cell types of the central nervous system with no tumor formation</w:t>
      </w:r>
    </w:p>
    <w:p>
      <w:pPr>
        <w:ind w:left="-31" w:right="180" w:firstLine="31"/>
        <w:spacing w:after="0" w:line="252" w:lineRule="auto"/>
        <w:tabs>
          <w:tab w:leader="none" w:pos="81" w:val="left"/>
        </w:tabs>
        <w:numPr>
          <w:ilvl w:val="0"/>
          <w:numId w:val="8"/>
        </w:numPr>
        <w:rPr>
          <w:rFonts w:ascii="Arial" w:cs="Arial" w:eastAsia="Arial" w:hAnsi="Arial"/>
          <w:sz w:val="13"/>
          <w:szCs w:val="13"/>
          <w:color w:val="auto"/>
        </w:rPr>
      </w:pPr>
      <w:r>
        <w:rPr>
          <w:rFonts w:ascii="Arial" w:cs="Arial" w:eastAsia="Arial" w:hAnsi="Arial"/>
          <w:sz w:val="13"/>
          <w:szCs w:val="13"/>
          <w:color w:val="auto"/>
        </w:rPr>
        <w:t>Identified cell surface markers and methods for purification of candidate human liver stem/progenitor cells (hLECs)</w:t>
      </w:r>
    </w:p>
    <w:p>
      <w:pPr>
        <w:ind w:left="-31" w:right="260" w:firstLine="31"/>
        <w:spacing w:after="0" w:line="252" w:lineRule="auto"/>
        <w:tabs>
          <w:tab w:leader="none" w:pos="81" w:val="left"/>
        </w:tabs>
        <w:numPr>
          <w:ilvl w:val="0"/>
          <w:numId w:val="8"/>
        </w:numPr>
        <w:rPr>
          <w:rFonts w:ascii="Arial" w:cs="Arial" w:eastAsia="Arial" w:hAnsi="Arial"/>
          <w:sz w:val="13"/>
          <w:szCs w:val="13"/>
          <w:color w:val="auto"/>
        </w:rPr>
      </w:pPr>
      <w:r>
        <w:rPr>
          <w:rFonts w:ascii="Arial" w:cs="Arial" w:eastAsia="Arial" w:hAnsi="Arial"/>
          <w:sz w:val="13"/>
          <w:szCs w:val="13"/>
          <w:color w:val="auto"/>
        </w:rPr>
        <w:t xml:space="preserve">Identified </w:t>
      </w:r>
      <w:r>
        <w:rPr>
          <w:rFonts w:ascii="Arial" w:cs="Arial" w:eastAsia="Arial" w:hAnsi="Arial"/>
          <w:sz w:val="13"/>
          <w:szCs w:val="13"/>
          <w:i w:val="1"/>
          <w:iCs w:val="1"/>
          <w:color w:val="auto"/>
        </w:rPr>
        <w:t>in vitro</w:t>
      </w:r>
      <w:r>
        <w:rPr>
          <w:rFonts w:ascii="Arial" w:cs="Arial" w:eastAsia="Arial" w:hAnsi="Arial"/>
          <w:sz w:val="13"/>
          <w:szCs w:val="13"/>
          <w:color w:val="auto"/>
        </w:rPr>
        <w:t xml:space="preserve"> culture assay for growth of human liver stem/progenitor cells that express markers for both bile duct cells and hepatocytes</w:t>
      </w:r>
    </w:p>
    <w:p>
      <w:pPr>
        <w:ind w:left="-31" w:right="320" w:firstLine="31"/>
        <w:spacing w:after="0" w:line="252" w:lineRule="auto"/>
        <w:tabs>
          <w:tab w:leader="none" w:pos="81" w:val="left"/>
        </w:tabs>
        <w:numPr>
          <w:ilvl w:val="0"/>
          <w:numId w:val="8"/>
        </w:numPr>
        <w:rPr>
          <w:rFonts w:ascii="Arial" w:cs="Arial" w:eastAsia="Arial" w:hAnsi="Arial"/>
          <w:sz w:val="13"/>
          <w:szCs w:val="13"/>
          <w:color w:val="auto"/>
        </w:rPr>
      </w:pPr>
      <w:r>
        <w:rPr>
          <w:rFonts w:ascii="Arial" w:cs="Arial" w:eastAsia="Arial" w:hAnsi="Arial"/>
          <w:sz w:val="13"/>
          <w:szCs w:val="13"/>
          <w:color w:val="auto"/>
        </w:rPr>
        <w:t xml:space="preserve">Demonstrated the engraftment and survival of the hLECs in an </w:t>
      </w:r>
      <w:r>
        <w:rPr>
          <w:rFonts w:ascii="Arial" w:cs="Arial" w:eastAsia="Arial" w:hAnsi="Arial"/>
          <w:sz w:val="13"/>
          <w:szCs w:val="13"/>
          <w:i w:val="1"/>
          <w:iCs w:val="1"/>
          <w:color w:val="auto"/>
        </w:rPr>
        <w:t>in vivo</w:t>
      </w:r>
      <w:r>
        <w:rPr>
          <w:rFonts w:ascii="Arial" w:cs="Arial" w:eastAsia="Arial" w:hAnsi="Arial"/>
          <w:sz w:val="13"/>
          <w:szCs w:val="13"/>
          <w:color w:val="auto"/>
        </w:rPr>
        <w:t xml:space="preserve"> mouse liver degeneration model</w:t>
      </w:r>
    </w:p>
    <w:p>
      <w:pPr>
        <w:ind w:left="-31" w:firstLine="31"/>
        <w:spacing w:after="0" w:line="252" w:lineRule="auto"/>
        <w:tabs>
          <w:tab w:leader="none" w:pos="81" w:val="left"/>
        </w:tabs>
        <w:numPr>
          <w:ilvl w:val="0"/>
          <w:numId w:val="8"/>
        </w:numPr>
        <w:rPr>
          <w:rFonts w:ascii="Arial" w:cs="Arial" w:eastAsia="Arial" w:hAnsi="Arial"/>
          <w:sz w:val="13"/>
          <w:szCs w:val="13"/>
          <w:color w:val="auto"/>
        </w:rPr>
      </w:pPr>
      <w:r>
        <w:rPr>
          <w:rFonts w:ascii="Arial" w:cs="Arial" w:eastAsia="Arial" w:hAnsi="Arial"/>
          <w:sz w:val="13"/>
          <w:szCs w:val="13"/>
          <w:color w:val="auto"/>
        </w:rPr>
        <w:t>Detected human albumin and -amino transferase in mouse serum in animals transplanted with hLECs</w:t>
      </w:r>
    </w:p>
    <w:p>
      <w:pPr>
        <w:ind w:left="-31" w:right="460" w:firstLine="31"/>
        <w:spacing w:after="0" w:line="252" w:lineRule="auto"/>
        <w:tabs>
          <w:tab w:leader="none" w:pos="81" w:val="left"/>
        </w:tabs>
        <w:numPr>
          <w:ilvl w:val="0"/>
          <w:numId w:val="8"/>
        </w:numPr>
        <w:rPr>
          <w:rFonts w:ascii="Arial" w:cs="Arial" w:eastAsia="Arial" w:hAnsi="Arial"/>
          <w:sz w:val="13"/>
          <w:szCs w:val="13"/>
          <w:color w:val="auto"/>
        </w:rPr>
      </w:pPr>
      <w:r>
        <w:rPr>
          <w:rFonts w:ascii="Arial" w:cs="Arial" w:eastAsia="Arial" w:hAnsi="Arial"/>
          <w:sz w:val="13"/>
          <w:szCs w:val="13"/>
          <w:color w:val="auto"/>
        </w:rPr>
        <w:t>Identified cell surface markers and methods for purification of candidate human pancreatic stem/progenitor cells (hPSCs)</w:t>
      </w:r>
    </w:p>
    <w:p>
      <w:pPr>
        <w:ind w:left="69" w:hanging="69"/>
        <w:spacing w:after="0"/>
        <w:tabs>
          <w:tab w:leader="none" w:pos="69" w:val="left"/>
        </w:tabs>
        <w:numPr>
          <w:ilvl w:val="0"/>
          <w:numId w:val="8"/>
        </w:numPr>
        <w:rPr>
          <w:rFonts w:ascii="Arial" w:cs="Arial" w:eastAsia="Arial" w:hAnsi="Arial"/>
          <w:sz w:val="13"/>
          <w:szCs w:val="13"/>
          <w:color w:val="auto"/>
        </w:rPr>
      </w:pPr>
      <w:r>
        <w:rPr>
          <w:rFonts w:ascii="Arial" w:cs="Arial" w:eastAsia="Arial" w:hAnsi="Arial"/>
          <w:sz w:val="13"/>
          <w:szCs w:val="13"/>
          <w:color w:val="auto"/>
        </w:rPr>
        <w:t xml:space="preserve">Developed </w:t>
      </w:r>
      <w:r>
        <w:rPr>
          <w:rFonts w:ascii="Arial" w:cs="Arial" w:eastAsia="Arial" w:hAnsi="Arial"/>
          <w:sz w:val="13"/>
          <w:szCs w:val="13"/>
          <w:i w:val="1"/>
          <w:iCs w:val="1"/>
          <w:color w:val="auto"/>
        </w:rPr>
        <w:t>in vitro</w:t>
      </w:r>
      <w:r>
        <w:rPr>
          <w:rFonts w:ascii="Arial" w:cs="Arial" w:eastAsia="Arial" w:hAnsi="Arial"/>
          <w:sz w:val="13"/>
          <w:szCs w:val="13"/>
          <w:color w:val="auto"/>
        </w:rPr>
        <w:t xml:space="preserve"> screening assay for testing biological activity of hPSCs</w:t>
      </w:r>
    </w:p>
    <w:p>
      <w:pPr>
        <w:spacing w:after="0" w:line="158" w:lineRule="exact"/>
        <w:rPr>
          <w:sz w:val="20"/>
          <w:szCs w:val="20"/>
          <w:color w:val="auto"/>
        </w:rPr>
      </w:pPr>
    </w:p>
    <w:p>
      <w:pPr>
        <w:sectPr>
          <w:pgSz w:w="11900" w:h="16838" w:orient="portrait"/>
          <w:cols w:equalWidth="0" w:num="2">
            <w:col w:w="5600" w:space="311"/>
            <w:col w:w="4729"/>
          </w:cols>
          <w:pgMar w:left="220" w:top="343" w:right="1039" w:bottom="1440" w:gutter="0" w:footer="0" w:header="0"/>
          <w:type w:val="continuous"/>
        </w:sectPr>
      </w:pPr>
    </w:p>
    <w:p>
      <w:pPr>
        <w:ind w:left="1000" w:right="260" w:hanging="313"/>
        <w:spacing w:after="0" w:line="264" w:lineRule="auto"/>
        <w:tabs>
          <w:tab w:leader="none" w:pos="1000" w:val="left"/>
        </w:tabs>
        <w:numPr>
          <w:ilvl w:val="0"/>
          <w:numId w:val="9"/>
        </w:numPr>
        <w:rPr>
          <w:rFonts w:ascii="Arial" w:cs="Arial" w:eastAsia="Arial" w:hAnsi="Arial"/>
          <w:sz w:val="13"/>
          <w:szCs w:val="13"/>
          <w:color w:val="auto"/>
        </w:rPr>
      </w:pPr>
      <w:r>
        <w:rPr>
          <w:rFonts w:ascii="Arial" w:cs="Arial" w:eastAsia="Arial" w:hAnsi="Arial"/>
          <w:sz w:val="13"/>
          <w:szCs w:val="13"/>
          <w:color w:val="auto"/>
        </w:rPr>
        <w:t xml:space="preserve">“Research” refers to early stage research and product development activities </w:t>
      </w:r>
      <w:r>
        <w:rPr>
          <w:rFonts w:ascii="Arial" w:cs="Arial" w:eastAsia="Arial" w:hAnsi="Arial"/>
          <w:sz w:val="13"/>
          <w:szCs w:val="13"/>
          <w:i w:val="1"/>
          <w:iCs w:val="1"/>
          <w:color w:val="auto"/>
        </w:rPr>
        <w:t>in vitro</w:t>
      </w:r>
      <w:r>
        <w:rPr>
          <w:rFonts w:ascii="Arial" w:cs="Arial" w:eastAsia="Arial" w:hAnsi="Arial"/>
          <w:sz w:val="13"/>
          <w:szCs w:val="13"/>
          <w:color w:val="auto"/>
        </w:rPr>
        <w:t xml:space="preserve">, including the selection and characterization of product candidates for preclinical testing. “Preclinical” refers to further testing of a defined product candidate </w:t>
      </w:r>
      <w:r>
        <w:rPr>
          <w:rFonts w:ascii="Arial" w:cs="Arial" w:eastAsia="Arial" w:hAnsi="Arial"/>
          <w:sz w:val="13"/>
          <w:szCs w:val="13"/>
          <w:i w:val="1"/>
          <w:iCs w:val="1"/>
          <w:color w:val="auto"/>
        </w:rPr>
        <w:t>in vitro</w:t>
      </w:r>
      <w:r>
        <w:rPr>
          <w:rFonts w:ascii="Arial" w:cs="Arial" w:eastAsia="Arial" w:hAnsi="Arial"/>
          <w:sz w:val="13"/>
          <w:szCs w:val="13"/>
          <w:color w:val="auto"/>
        </w:rPr>
        <w:t xml:space="preserve"> and in animals prior to clinical studies. “Clinical” refers to the testing of a defined product candidate in humans.</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Neural Program</w:t>
      </w:r>
    </w:p>
    <w:p>
      <w:pPr>
        <w:spacing w:after="0" w:line="96" w:lineRule="exact"/>
        <w:rPr>
          <w:sz w:val="20"/>
          <w:szCs w:val="20"/>
          <w:color w:val="auto"/>
        </w:rPr>
      </w:pPr>
    </w:p>
    <w:p>
      <w:pPr>
        <w:ind w:left="680" w:right="60" w:firstLine="399"/>
        <w:spacing w:after="0" w:line="289" w:lineRule="auto"/>
        <w:rPr>
          <w:sz w:val="20"/>
          <w:szCs w:val="20"/>
          <w:color w:val="auto"/>
        </w:rPr>
      </w:pPr>
      <w:r>
        <w:rPr>
          <w:rFonts w:ascii="Arial" w:cs="Arial" w:eastAsia="Arial" w:hAnsi="Arial"/>
          <w:sz w:val="12"/>
          <w:szCs w:val="12"/>
          <w:color w:val="auto"/>
        </w:rPr>
        <w:t>Neurological disorders such as Parkinson’s disease, Alzheimer’s disease, the side effects of stroke, and the neural degeneration that accompanies genetic disorders such as Type II Gaucher’s Disease, Krabbe’s Disease, and Batten disease affect a significant portion of the U.S. population and there currently are no effective long-term therapies for them. We believe that therapeutics based on our process for identifying, isolating and culturing neural stem and progenitor cells may be useful in treating such diseases. We are continuing our research into, and have initiated the development of, human central nervous system stem and progenitor cell-based therapies for some of these diseases.</w:t>
      </w:r>
    </w:p>
    <w:p>
      <w:pPr>
        <w:spacing w:after="0" w:line="4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 xml:space="preserve">StemCells Inc holds a substantial portfolio of issued and allowed patents in the neural field. See </w:t>
      </w:r>
      <w:r>
        <w:rPr>
          <w:rFonts w:ascii="Arial" w:cs="Arial" w:eastAsia="Arial" w:hAnsi="Arial"/>
          <w:sz w:val="13"/>
          <w:szCs w:val="13"/>
          <w:b w:val="1"/>
          <w:bCs w:val="1"/>
          <w:color w:val="auto"/>
        </w:rPr>
        <w:t>“Patents, Proprietary Rights and Licenses.”</w:t>
      </w:r>
    </w:p>
    <w:p>
      <w:pPr>
        <w:spacing w:after="0" w:line="179"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Neuronal Ceroid Lipofuscinosis (NCL; also known as Batten disease).</w:t>
      </w:r>
    </w:p>
    <w:p>
      <w:pPr>
        <w:spacing w:after="0" w:line="96" w:lineRule="exact"/>
        <w:rPr>
          <w:sz w:val="20"/>
          <w:szCs w:val="20"/>
          <w:color w:val="auto"/>
        </w:rPr>
      </w:pPr>
    </w:p>
    <w:p>
      <w:pPr>
        <w:ind w:left="680" w:right="300" w:firstLine="399"/>
        <w:spacing w:after="0" w:line="276" w:lineRule="auto"/>
        <w:rPr>
          <w:sz w:val="20"/>
          <w:szCs w:val="20"/>
          <w:color w:val="auto"/>
        </w:rPr>
      </w:pPr>
      <w:r>
        <w:rPr>
          <w:rFonts w:ascii="Arial" w:cs="Arial" w:eastAsia="Arial" w:hAnsi="Arial"/>
          <w:sz w:val="13"/>
          <w:szCs w:val="13"/>
          <w:color w:val="auto"/>
        </w:rPr>
        <w:t>Neuronal ceroid lipofuscinosis (NCL), which is often referred to as Batten disease, is a rare neurodegenerative disease that affects infants and young children. All three forms of NCL — infantile, late infantile and juvenile —</w:t>
      </w:r>
    </w:p>
    <w:p>
      <w:pPr>
        <w:spacing w:after="0" w:line="98"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type w:val="continuous"/>
        </w:sectPr>
      </w:pPr>
    </w:p>
    <w:bookmarkStart w:id="8" w:name="page9"/>
    <w:bookmarkEnd w:id="8"/>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line="281" w:lineRule="auto"/>
        <w:rPr>
          <w:sz w:val="20"/>
          <w:szCs w:val="20"/>
          <w:color w:val="auto"/>
        </w:rPr>
      </w:pPr>
      <w:r>
        <w:rPr>
          <w:rFonts w:ascii="Arial" w:cs="Arial" w:eastAsia="Arial" w:hAnsi="Arial"/>
          <w:sz w:val="12"/>
          <w:szCs w:val="12"/>
          <w:color w:val="auto"/>
        </w:rPr>
        <w:t xml:space="preserve">are caused by the lack of a lysosomal enzyme, but all are genetically different. Infantile and late infantile NCL are brought on by inherited genetic mutations in the </w:t>
      </w:r>
      <w:r>
        <w:rPr>
          <w:rFonts w:ascii="Arial" w:cs="Arial" w:eastAsia="Arial" w:hAnsi="Arial"/>
          <w:sz w:val="12"/>
          <w:szCs w:val="12"/>
          <w:i w:val="1"/>
          <w:iCs w:val="1"/>
          <w:color w:val="auto"/>
        </w:rPr>
        <w:t>CLN1</w:t>
      </w:r>
      <w:r>
        <w:rPr>
          <w:rFonts w:ascii="Arial" w:cs="Arial" w:eastAsia="Arial" w:hAnsi="Arial"/>
          <w:sz w:val="12"/>
          <w:szCs w:val="12"/>
          <w:color w:val="auto"/>
        </w:rPr>
        <w:t xml:space="preserve"> gene, which codes for palmitoyl-protein thioesterase 1 (PPT1) and in the </w:t>
      </w:r>
      <w:r>
        <w:rPr>
          <w:rFonts w:ascii="Arial" w:cs="Arial" w:eastAsia="Arial" w:hAnsi="Arial"/>
          <w:sz w:val="12"/>
          <w:szCs w:val="12"/>
          <w:i w:val="1"/>
          <w:iCs w:val="1"/>
          <w:color w:val="auto"/>
        </w:rPr>
        <w:t>CLN2</w:t>
      </w:r>
      <w:r>
        <w:rPr>
          <w:rFonts w:ascii="Arial" w:cs="Arial" w:eastAsia="Arial" w:hAnsi="Arial"/>
          <w:sz w:val="12"/>
          <w:szCs w:val="12"/>
          <w:color w:val="auto"/>
        </w:rPr>
        <w:t xml:space="preserve"> gene, which codes for tripeptidyl peptidase I (TPP-I), respectively. As a result of these mutations, the relevant enzyme is either defective or missing, leading to the accumulation of non-degraded lysosomal substrates in various cell types. This accumulation eventually interferes with normal cellular and tissue function, and leads to seizures and progressive loss of motor skills, sight and mental capacity. Today, NCL is always fatal. To correct the major defect in Batten patients, the missing enzyme has to be provided to the brain where it can be taken up by the enzyme-deficient cells. In October 2005, we received clearance from the FDA to initiate a Phase I clinical trial to evaluate the safety and preliminary efficacy of HuCNS-SC as a treatment for infantile and late infantile NCL. Our clinical trial will not treat juvenile NCL. In March 2006, we received approval from the Institutional Review Board at the Oregon Health &amp; Science University to conduct the trial at OHSU Doernbecher Children’s Hospital in Portland.</w:t>
      </w:r>
    </w:p>
    <w:p>
      <w:pPr>
        <w:spacing w:after="0" w:line="58" w:lineRule="exact"/>
        <w:rPr>
          <w:sz w:val="20"/>
          <w:szCs w:val="20"/>
          <w:color w:val="auto"/>
        </w:rPr>
      </w:pPr>
    </w:p>
    <w:p>
      <w:pPr>
        <w:ind w:left="680" w:right="60" w:firstLine="399"/>
        <w:spacing w:after="0" w:line="264" w:lineRule="auto"/>
        <w:rPr>
          <w:sz w:val="20"/>
          <w:szCs w:val="20"/>
          <w:color w:val="auto"/>
        </w:rPr>
      </w:pPr>
      <w:r>
        <w:rPr>
          <w:rFonts w:ascii="Arial" w:cs="Arial" w:eastAsia="Arial" w:hAnsi="Arial"/>
          <w:sz w:val="13"/>
          <w:szCs w:val="13"/>
          <w:color w:val="auto"/>
        </w:rPr>
        <w:t>The Phase I trial will be an open label study with two dose levels and is expected to enroll six patients. HuCNS-SC will be transplanted into patients, who will then receive immunosuppression for one year following transplantation. In addition to measuring the safety of HuCNS-SC, the trial will also evaluate HuCNS-SC’s ability to affect the progression of the disease. We believe this clinical trial will be the first FDA-approved trial to use purified human neural stem cells as a potential therapeutic agent.</w:t>
      </w:r>
    </w:p>
    <w:p>
      <w:pPr>
        <w:spacing w:after="0" w:line="67" w:lineRule="exact"/>
        <w:rPr>
          <w:sz w:val="20"/>
          <w:szCs w:val="20"/>
          <w:color w:val="auto"/>
        </w:rPr>
      </w:pPr>
    </w:p>
    <w:p>
      <w:pPr>
        <w:ind w:left="680" w:right="60" w:firstLine="399"/>
        <w:spacing w:after="0" w:line="334" w:lineRule="auto"/>
        <w:rPr>
          <w:sz w:val="20"/>
          <w:szCs w:val="20"/>
          <w:color w:val="auto"/>
        </w:rPr>
      </w:pPr>
      <w:r>
        <w:rPr>
          <w:rFonts w:ascii="Arial" w:cs="Arial" w:eastAsia="Arial" w:hAnsi="Arial"/>
          <w:sz w:val="11"/>
          <w:szCs w:val="11"/>
          <w:color w:val="auto"/>
        </w:rPr>
        <w:t xml:space="preserve">Our preclinical data demonstrates that HuCNS-SC, when transplanted in a mouse model of infantile Batten disease, engraft, migrate throughout the brain, produce the missing PPT1 enzyme, measurably reduce the toxic storage material in the brain, and protect host neurons so that more of them survive; in addition, we have shown that the lifetime of the HuCNS-SC transplanted mice is extended compared to the control group. We have also demonstrated </w:t>
      </w:r>
      <w:r>
        <w:rPr>
          <w:rFonts w:ascii="Arial" w:cs="Arial" w:eastAsia="Arial" w:hAnsi="Arial"/>
          <w:sz w:val="11"/>
          <w:szCs w:val="11"/>
          <w:i w:val="1"/>
          <w:iCs w:val="1"/>
          <w:color w:val="auto"/>
        </w:rPr>
        <w:t>in vitro</w:t>
      </w:r>
      <w:r>
        <w:rPr>
          <w:rFonts w:ascii="Arial" w:cs="Arial" w:eastAsia="Arial" w:hAnsi="Arial"/>
          <w:sz w:val="11"/>
          <w:szCs w:val="11"/>
          <w:color w:val="auto"/>
        </w:rPr>
        <w:t xml:space="preserve"> that HuCNS-SC produce TPP-I, the enzyme that is deficient in late infantile Batten disease.</w:t>
      </w:r>
    </w:p>
    <w:p>
      <w:pPr>
        <w:spacing w:after="0" w:line="111"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Other Lysosomal Storage Diseases.</w:t>
      </w:r>
    </w:p>
    <w:p>
      <w:pPr>
        <w:spacing w:after="0" w:line="96" w:lineRule="exact"/>
        <w:rPr>
          <w:sz w:val="20"/>
          <w:szCs w:val="20"/>
          <w:color w:val="auto"/>
        </w:rPr>
      </w:pPr>
    </w:p>
    <w:p>
      <w:pPr>
        <w:ind w:left="680" w:right="20" w:firstLine="399"/>
        <w:spacing w:after="0" w:line="282" w:lineRule="auto"/>
        <w:rPr>
          <w:sz w:val="20"/>
          <w:szCs w:val="20"/>
          <w:color w:val="auto"/>
        </w:rPr>
      </w:pPr>
      <w:r>
        <w:rPr>
          <w:rFonts w:ascii="Arial" w:cs="Arial" w:eastAsia="Arial" w:hAnsi="Arial"/>
          <w:sz w:val="12"/>
          <w:szCs w:val="12"/>
          <w:color w:val="auto"/>
        </w:rPr>
        <w:t>Batten disease is one of a group of approximately 46 lysosomal storage diseases (“LSDs”). Some of these LSDs, which are all caused by defective or missing enzymes, can be treated by enzyme replacement therapies. Examples of enzyme replacement products used in these therapies are Cerezyme</w:t>
      </w:r>
      <w:r>
        <w:rPr>
          <w:rFonts w:ascii="Arial" w:cs="Arial" w:eastAsia="Arial" w:hAnsi="Arial"/>
          <w:sz w:val="7"/>
          <w:szCs w:val="7"/>
          <w:color w:val="auto"/>
        </w:rPr>
        <w:t>TM</w:t>
      </w:r>
      <w:r>
        <w:rPr>
          <w:rFonts w:ascii="Arial" w:cs="Arial" w:eastAsia="Arial" w:hAnsi="Arial"/>
          <w:sz w:val="12"/>
          <w:szCs w:val="12"/>
          <w:color w:val="auto"/>
        </w:rPr>
        <w:t xml:space="preserve"> for Gaucher disease, Fabryzyme</w:t>
      </w:r>
      <w:r>
        <w:rPr>
          <w:rFonts w:ascii="Arial" w:cs="Arial" w:eastAsia="Arial" w:hAnsi="Arial"/>
          <w:sz w:val="7"/>
          <w:szCs w:val="7"/>
          <w:color w:val="auto"/>
        </w:rPr>
        <w:t>TM</w:t>
      </w:r>
      <w:r>
        <w:rPr>
          <w:rFonts w:ascii="Arial" w:cs="Arial" w:eastAsia="Arial" w:hAnsi="Arial"/>
          <w:sz w:val="12"/>
          <w:szCs w:val="12"/>
          <w:color w:val="auto"/>
        </w:rPr>
        <w:t xml:space="preserve"> for Fabry disease, Myozyme for Pompe disease, Aldurazyme</w:t>
      </w:r>
      <w:r>
        <w:rPr>
          <w:rFonts w:ascii="Arial" w:cs="Arial" w:eastAsia="Arial" w:hAnsi="Arial"/>
          <w:sz w:val="7"/>
          <w:szCs w:val="7"/>
          <w:color w:val="auto"/>
        </w:rPr>
        <w:t>TM</w:t>
      </w:r>
      <w:r>
        <w:rPr>
          <w:rFonts w:ascii="Arial" w:cs="Arial" w:eastAsia="Arial" w:hAnsi="Arial"/>
          <w:sz w:val="12"/>
          <w:szCs w:val="12"/>
          <w:color w:val="auto"/>
        </w:rPr>
        <w:t xml:space="preserve"> for MPS I and Naglazyme</w:t>
      </w:r>
      <w:r>
        <w:rPr>
          <w:rFonts w:ascii="Arial" w:cs="Arial" w:eastAsia="Arial" w:hAnsi="Arial"/>
          <w:sz w:val="7"/>
          <w:szCs w:val="7"/>
          <w:color w:val="auto"/>
        </w:rPr>
        <w:t>TM</w:t>
      </w:r>
      <w:r>
        <w:rPr>
          <w:rFonts w:ascii="Arial" w:cs="Arial" w:eastAsia="Arial" w:hAnsi="Arial"/>
          <w:sz w:val="12"/>
          <w:szCs w:val="12"/>
          <w:color w:val="auto"/>
        </w:rPr>
        <w:t xml:space="preserve"> for MPS VI. About half of the lysosomal storage diseases, however, affect the central nervous system; consequently, enzyme replacement therapy is not currently a practical treatment option for this subset of LSDs because enzymes are typically too large to cross the blood-brain barrier. We believe that HuCNS-SC may have the potential to treat some LSDs that affect the CNS by acting as cellular mini-pumps for the secretion and supply of missing enzymes to the brain. To date, we have found that HuCNS-SC can produce the relevant enzyme in several LSDs that affect the CNS, including the infantile and late infantile forms of Batten disease.</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Spinal Cord Indications.</w:t>
      </w:r>
    </w:p>
    <w:p>
      <w:pPr>
        <w:spacing w:after="0" w:line="96" w:lineRule="exact"/>
        <w:rPr>
          <w:sz w:val="20"/>
          <w:szCs w:val="20"/>
          <w:color w:val="auto"/>
        </w:rPr>
      </w:pPr>
    </w:p>
    <w:p>
      <w:pPr>
        <w:ind w:left="680" w:firstLine="399"/>
        <w:spacing w:after="0" w:line="281" w:lineRule="auto"/>
        <w:rPr>
          <w:sz w:val="20"/>
          <w:szCs w:val="20"/>
          <w:color w:val="auto"/>
        </w:rPr>
      </w:pPr>
      <w:r>
        <w:rPr>
          <w:rFonts w:ascii="Arial" w:cs="Arial" w:eastAsia="Arial" w:hAnsi="Arial"/>
          <w:sz w:val="12"/>
          <w:szCs w:val="12"/>
          <w:color w:val="auto"/>
        </w:rPr>
        <w:t>Stem cells may have the potential to treat various spinal cord indications. Using a mouse model of spinal cord injury, our collaborators, Drs. Aileen Anderson and Brian Cummings of the Reeve-Irvine Center at the University of California, have shown that HuCNS-SC have the potential to protect and regenerate damaged nerves and nerve fibers, and that injured mice transplanted with our human neural stem cells showed improved motor function compared to control animals. Inspection of the spinal cords from these mice showed significant levels of human neural cells derived from the transplanted stem cells. Moreover, the human cells that are found in the spinal cord of the transplanted mice matured into oligodendrocytes, the specialized neural cell that forms the myelin sheath around axons, insulating them and enabling them to conduct signals to other axons. Drs. Anderson and Cummings then selectively ablated the human cells, and found that the functional improvement was lost, thus demonstrating that the human cells had played a direct role in the functional recovery of the transplanted mice. We continue to conduct preclinical research on using HuCNS-SC as a potential therapeutic for various spinal cord indications.</w:t>
      </w:r>
    </w:p>
    <w:p>
      <w:pPr>
        <w:spacing w:after="0" w:line="265"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9" w:name="page10"/>
    <w:bookmarkEnd w:id="9"/>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Other Remyelination Indications.</w:t>
      </w:r>
    </w:p>
    <w:p>
      <w:pPr>
        <w:spacing w:after="0" w:line="96" w:lineRule="exact"/>
        <w:rPr>
          <w:sz w:val="20"/>
          <w:szCs w:val="20"/>
          <w:color w:val="auto"/>
        </w:rPr>
      </w:pPr>
    </w:p>
    <w:p>
      <w:pPr>
        <w:ind w:left="680" w:right="20" w:firstLine="399"/>
        <w:spacing w:after="0" w:line="257" w:lineRule="auto"/>
        <w:rPr>
          <w:sz w:val="20"/>
          <w:szCs w:val="20"/>
          <w:color w:val="auto"/>
        </w:rPr>
      </w:pPr>
      <w:r>
        <w:rPr>
          <w:rFonts w:ascii="Arial" w:cs="Arial" w:eastAsia="Arial" w:hAnsi="Arial"/>
          <w:sz w:val="13"/>
          <w:szCs w:val="13"/>
          <w:color w:val="auto"/>
        </w:rPr>
        <w:t>In addition to certain spinal cord indications, loss of myelin characterizes conditions such as multiple sclerosis, cerebral palsy and certain genetic disorders (for example, Krabbe’s disease and metachormatic leukodystrophy). We have transplanted HuCNS-SC into the brain of the mutant shiverer mouse, which is deficient in myelin, and shown widespread engraftment of human cells that matured into oligodendrocytes, the myelin producing cells, and that these oligodendrocytes produce myelin. Furthermore, analysis of the brain tissue of these mice shows the myelin produced by the human cells ensheathes the mouse nerve, providing the proper layers of insulation. Further studies are in progress to demonstrate proper function of the newly produced myelin. Pilot studies for understanding myelin production and repair were conducted in collaboration with researchers at the Oregon Health &amp; Science University and the Yale University School of Medicine.</w:t>
      </w:r>
    </w:p>
    <w:p>
      <w:pPr>
        <w:spacing w:after="0" w:line="150"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Alzheimer’s Disease.</w:t>
      </w:r>
    </w:p>
    <w:p>
      <w:pPr>
        <w:spacing w:after="0" w:line="96"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color w:val="auto"/>
        </w:rPr>
        <w:t>We have an NIH-funded collaboration with Dr. George A. Carlson of the McLaughlin Research Institute to understand the role of Alzheimer’s plaques in neuronal cell death in Alzheimer’s disease. Dr. Carson has transplanted HuCNS-SC into mouse models of Alzheimer’s disease and the cells showed robust engraftment in an environment riddled with Alzheimer’s plaques. Longer term studies are in progress to determine whether the HuCNS-SC produce new neurons in specific target areas such as the hippocampus, an area significantly affected in Alzheimer’s patients.</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Other Neural Collaborations.</w:t>
      </w:r>
    </w:p>
    <w:p>
      <w:pPr>
        <w:spacing w:after="0" w:line="96" w:lineRule="exact"/>
        <w:rPr>
          <w:sz w:val="20"/>
          <w:szCs w:val="20"/>
          <w:color w:val="auto"/>
        </w:rPr>
      </w:pPr>
    </w:p>
    <w:p>
      <w:pPr>
        <w:ind w:left="680" w:right="200" w:firstLine="399"/>
        <w:spacing w:after="0" w:line="334" w:lineRule="auto"/>
        <w:rPr>
          <w:sz w:val="20"/>
          <w:szCs w:val="20"/>
          <w:color w:val="auto"/>
        </w:rPr>
      </w:pPr>
      <w:r>
        <w:rPr>
          <w:rFonts w:ascii="Arial" w:cs="Arial" w:eastAsia="Arial" w:hAnsi="Arial"/>
          <w:sz w:val="11"/>
          <w:szCs w:val="11"/>
          <w:color w:val="auto"/>
        </w:rPr>
        <w:t>We have established a number of other research collaborations in the neural field to assess the effects of transplanting HuCNS-SC into preclinical animal models, including a collaboration with researchers at the Stanford University School of Medicine pertaining to the evaluation of our human neural stem cells in animal models of stroke. Collaborative studies regarding the formation of specific populations of neurons have also been done with researchers at The University of Texas Medical Branch and the University of California, San Diego.</w:t>
      </w:r>
    </w:p>
    <w:p>
      <w:pPr>
        <w:spacing w:after="0" w:line="111"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Liver Program</w:t>
      </w:r>
    </w:p>
    <w:p>
      <w:pPr>
        <w:spacing w:after="0" w:line="96" w:lineRule="exact"/>
        <w:rPr>
          <w:sz w:val="20"/>
          <w:szCs w:val="20"/>
          <w:color w:val="auto"/>
        </w:rPr>
      </w:pPr>
    </w:p>
    <w:p>
      <w:pPr>
        <w:ind w:left="680" w:right="40" w:firstLine="399"/>
        <w:spacing w:after="0" w:line="289" w:lineRule="auto"/>
        <w:rPr>
          <w:sz w:val="20"/>
          <w:szCs w:val="20"/>
          <w:color w:val="auto"/>
        </w:rPr>
      </w:pPr>
      <w:r>
        <w:rPr>
          <w:rFonts w:ascii="Arial" w:cs="Arial" w:eastAsia="Arial" w:hAnsi="Arial"/>
          <w:sz w:val="12"/>
          <w:szCs w:val="12"/>
          <w:color w:val="auto"/>
        </w:rPr>
        <w:t>Approximately 1 in 10 Americans suffers from diseases and disorders of the liver for many of which there currently are no effective, long-term treatments. Liver stem cells may be useful in the treatment of some of these diseases, such as hepatitis, liver failure, blood-clotting disorder, cirrhosis of the liver and liver cancer. We focus on isolating candidate liver stem and progenitor cells with therapeutic potential, and seek to establish purified cell populations suitable for transplantation. A source of defined human cells capable of engraftment and substantial liver regeneration could provide a cell-based therapeutic product available to a wider patient base than whole liver (or organ) transplants.</w:t>
      </w:r>
    </w:p>
    <w:p>
      <w:pPr>
        <w:spacing w:after="0" w:line="53" w:lineRule="exact"/>
        <w:rPr>
          <w:sz w:val="20"/>
          <w:szCs w:val="20"/>
          <w:color w:val="auto"/>
        </w:rPr>
      </w:pPr>
    </w:p>
    <w:p>
      <w:pPr>
        <w:ind w:left="680" w:right="20" w:firstLine="399"/>
        <w:spacing w:after="0" w:line="258" w:lineRule="auto"/>
        <w:rPr>
          <w:sz w:val="20"/>
          <w:szCs w:val="20"/>
          <w:color w:val="auto"/>
        </w:rPr>
      </w:pPr>
      <w:r>
        <w:rPr>
          <w:rFonts w:ascii="Arial" w:cs="Arial" w:eastAsia="Arial" w:hAnsi="Arial"/>
          <w:sz w:val="13"/>
          <w:szCs w:val="13"/>
          <w:color w:val="auto"/>
        </w:rPr>
        <w:t xml:space="preserve">We have identified and purified a candidate human liver stem/progenitor cell (hLEC). When tested in our </w:t>
      </w:r>
      <w:r>
        <w:rPr>
          <w:rFonts w:ascii="Arial" w:cs="Arial" w:eastAsia="Arial" w:hAnsi="Arial"/>
          <w:sz w:val="13"/>
          <w:szCs w:val="13"/>
          <w:i w:val="1"/>
          <w:iCs w:val="1"/>
          <w:color w:val="auto"/>
        </w:rPr>
        <w:t>in vitro</w:t>
      </w:r>
      <w:r>
        <w:rPr>
          <w:rFonts w:ascii="Arial" w:cs="Arial" w:eastAsia="Arial" w:hAnsi="Arial"/>
          <w:sz w:val="13"/>
          <w:szCs w:val="13"/>
          <w:color w:val="auto"/>
        </w:rPr>
        <w:t xml:space="preserve"> culture assay, these cells produce human serum albumin, a measure of hepatocyte generation. Our research also shows that hLECs can produce human serum albumin in mouse serum following transplantation into immunodeficient mice, suggesting that once transplanted, hLECs become functional cells. Further, we have demonstrated the robust engraftment and function of these hLECs in a preclinical animal model of liver degeneration, thereby establishing proof of principle of a therapeutic cell for liver disease. Our efforts are now focused on determining which clinical applications of the hLECs to pursue and moving the hLECs into product development.</w:t>
      </w:r>
    </w:p>
    <w:p>
      <w:pPr>
        <w:spacing w:after="0" w:line="15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Pancreas Program</w:t>
      </w:r>
    </w:p>
    <w:p>
      <w:pPr>
        <w:spacing w:after="0" w:line="96" w:lineRule="exact"/>
        <w:rPr>
          <w:sz w:val="20"/>
          <w:szCs w:val="20"/>
          <w:color w:val="auto"/>
        </w:rPr>
      </w:pPr>
    </w:p>
    <w:p>
      <w:pPr>
        <w:ind w:left="680" w:right="60" w:firstLine="399"/>
        <w:spacing w:after="0" w:line="260" w:lineRule="auto"/>
        <w:rPr>
          <w:sz w:val="20"/>
          <w:szCs w:val="20"/>
          <w:color w:val="auto"/>
        </w:rPr>
      </w:pPr>
      <w:r>
        <w:rPr>
          <w:rFonts w:ascii="Arial" w:cs="Arial" w:eastAsia="Arial" w:hAnsi="Arial"/>
          <w:sz w:val="13"/>
          <w:szCs w:val="13"/>
          <w:color w:val="auto"/>
        </w:rPr>
        <w:t>We have used our monoclonal antibody-based search methodology to identify a rare subset of human pancreatic cells that may be candidate pancreatic stem/progenitor cells. If those cells can be differentiated into islet cells, the pancreas cells that produce insulin, they may be useful in the treatment of Type 1 diabetes and those cases of Type 2 diabetes where insulin secretion is defective. We have filed a patent application on the monoclonal antibodies used and have developed what we believe to be an appropriate animal model to test the biological activity of the purified candidate pancreatic stem cells.</w:t>
      </w:r>
    </w:p>
    <w:p>
      <w:pPr>
        <w:spacing w:after="0" w:line="276"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10" w:name="page11"/>
    <w:bookmarkEnd w:id="10"/>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Note on State and Federal Grants</w:t>
      </w:r>
    </w:p>
    <w:p>
      <w:pPr>
        <w:spacing w:after="0" w:line="100" w:lineRule="exact"/>
        <w:rPr>
          <w:sz w:val="20"/>
          <w:szCs w:val="20"/>
          <w:color w:val="auto"/>
        </w:rPr>
      </w:pPr>
    </w:p>
    <w:p>
      <w:pPr>
        <w:ind w:left="680" w:firstLine="399"/>
        <w:spacing w:after="0" w:line="280" w:lineRule="auto"/>
        <w:rPr>
          <w:sz w:val="20"/>
          <w:szCs w:val="20"/>
          <w:color w:val="auto"/>
        </w:rPr>
      </w:pPr>
      <w:r>
        <w:rPr>
          <w:rFonts w:ascii="Arial" w:cs="Arial" w:eastAsia="Arial" w:hAnsi="Arial"/>
          <w:sz w:val="12"/>
          <w:szCs w:val="12"/>
          <w:color w:val="auto"/>
        </w:rPr>
        <w:t>In November 2004, California State Proposition 71 (Prop. 71), the California Stem Cell Research and Cures Initiative, was adopted by the electorate. It is intended to encourage stem cell research in the State of California, and to finance such research with State funds of approximately $295 million annually for 10 years beginning with 2005. It is our understanding that the California Institute for Regenerative Medicine created under the Initiative will provide grants, primarily but not exclusively to academic institutions, to advance both embryonic stem cell research and adult stem cell research; the latter is the current and exclusive focus at StemCells. We are eligible to receive Prop. 71 generated funds and we do intend to apply for such funding; no funding is now available, however, pending resolution of legal issue challenges to Prop 71. We also remain eligible for federal government support from the National Institutes of Health (NIH) due to our focus on adult stem cells. NIH grants to us or to our academic collaborators assist research in the use of our cells for various diseases and conditions such as Alzheimer’s disease and spinal cord injuries. Prop. 71 funds will not go to any project that receives NIH funding. We consider government grants to be important confirmation of the quality of our science and intellectual property, but do not rely on them as a significant source of financial support.</w:t>
      </w:r>
    </w:p>
    <w:p>
      <w:pPr>
        <w:spacing w:after="0" w:line="133"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License Agreements</w:t>
      </w:r>
    </w:p>
    <w:p>
      <w:pPr>
        <w:spacing w:after="0" w:line="100" w:lineRule="exact"/>
        <w:rPr>
          <w:sz w:val="20"/>
          <w:szCs w:val="20"/>
          <w:color w:val="auto"/>
        </w:rPr>
      </w:pPr>
    </w:p>
    <w:p>
      <w:pPr>
        <w:ind w:left="680" w:right="40" w:firstLine="399"/>
        <w:spacing w:after="0" w:line="281" w:lineRule="auto"/>
        <w:rPr>
          <w:sz w:val="20"/>
          <w:szCs w:val="20"/>
          <w:color w:val="auto"/>
        </w:rPr>
      </w:pPr>
      <w:r>
        <w:rPr>
          <w:rFonts w:ascii="Arial" w:cs="Arial" w:eastAsia="Arial" w:hAnsi="Arial"/>
          <w:sz w:val="12"/>
          <w:szCs w:val="12"/>
          <w:color w:val="auto"/>
        </w:rPr>
        <w:t>We have entered into a number of research-plus-license agreements with academic organizations including The Scripps Research Institute (Scripps), the California Institute of Technology (Cal Tech), the Oregon Health &amp; Science University (OHSU), and the University of Texas Medical Branch. The research components of these agreements have been concluded and have resulted in a number of licenses for resultant technology. Under the license agreements, we are typically subject to obligations of due diligence and the requirement to pay royalties on products that use patented technology licensed under such agreements. The license agreements with these institutions relate largely to stem or progenitor cells and or to processes and methods for the isolation, identification, expansion or culturing of stem or progenitor cells. Generally speaking, these license agreements will terminate upon expiration, revocation or invalidation of the patents licensed to us, unless governmental regulations require a shorter term. They also will terminate earlier if we breach our obligations under the agreement and do not cure the breach, or if we declare bankruptcy, and we can terminate the license agreements at any time upon notice.</w:t>
      </w:r>
    </w:p>
    <w:p>
      <w:pPr>
        <w:spacing w:after="0" w:line="58" w:lineRule="exact"/>
        <w:rPr>
          <w:sz w:val="20"/>
          <w:szCs w:val="20"/>
          <w:color w:val="auto"/>
        </w:rPr>
      </w:pPr>
    </w:p>
    <w:p>
      <w:pPr>
        <w:ind w:left="680" w:right="100" w:firstLine="399"/>
        <w:spacing w:after="0" w:line="276" w:lineRule="auto"/>
        <w:rPr>
          <w:sz w:val="20"/>
          <w:szCs w:val="20"/>
          <w:color w:val="auto"/>
        </w:rPr>
      </w:pPr>
      <w:r>
        <w:rPr>
          <w:rFonts w:ascii="Arial" w:cs="Arial" w:eastAsia="Arial" w:hAnsi="Arial"/>
          <w:sz w:val="13"/>
          <w:szCs w:val="13"/>
          <w:color w:val="auto"/>
        </w:rPr>
        <w:t>In the case of Scripps, we must pay $50,000 upon the initiation of the Phase II trial for our first product using Scripps licensed technology, and upon completion of that Phase II trial we must pay Scripps an additional $125,000. Upon approval of the first product for sale in the market, we must pay Scripps $250,000.</w:t>
      </w:r>
    </w:p>
    <w:p>
      <w:pPr>
        <w:spacing w:after="0" w:line="59" w:lineRule="exact"/>
        <w:rPr>
          <w:sz w:val="20"/>
          <w:szCs w:val="20"/>
          <w:color w:val="auto"/>
        </w:rPr>
      </w:pPr>
    </w:p>
    <w:p>
      <w:pPr>
        <w:ind w:left="680" w:right="100" w:firstLine="399"/>
        <w:spacing w:after="0" w:line="282" w:lineRule="auto"/>
        <w:rPr>
          <w:sz w:val="20"/>
          <w:szCs w:val="20"/>
          <w:color w:val="auto"/>
        </w:rPr>
      </w:pPr>
      <w:r>
        <w:rPr>
          <w:rFonts w:ascii="Arial" w:cs="Arial" w:eastAsia="Arial" w:hAnsi="Arial"/>
          <w:sz w:val="12"/>
          <w:szCs w:val="12"/>
          <w:color w:val="auto"/>
        </w:rPr>
        <w:t>Pursuant to the terms of our license agreement with Cal Tech, we must pay $10,000 upon the issuance of the first patent in each family licensed to us under the relevant agreement and $5,000 on the first anniversary of the issuance of each such patent. We have paid $30,000 on account of these patents through December 31, 2005. These amounts are creditable against royalties we must pay under the license agreements. The maximum royalties that we will have to pay to the California Institute of Technology will be $2 million per year, with an overall maximum of $15 million. Once we pay the $15 million maximum royalty, the licenses will become fully paid and irrevocable. In August 2002 we acquired an additional license from Cal Tech to different technology, pursuant to which we issued 27,535 shares of our common stock with a market value of approximately $35,000; we have also issued 9,535 shares of our common stock with a market value of approximately $15,000 to Cal Tech on the issuance of two patents covered under this additional license.</w:t>
      </w:r>
    </w:p>
    <w:p>
      <w:pPr>
        <w:spacing w:after="0" w:line="59" w:lineRule="exact"/>
        <w:rPr>
          <w:sz w:val="20"/>
          <w:szCs w:val="20"/>
          <w:color w:val="auto"/>
        </w:rPr>
      </w:pPr>
    </w:p>
    <w:p>
      <w:pPr>
        <w:ind w:left="680" w:right="120" w:firstLine="399"/>
        <w:spacing w:after="0" w:line="334" w:lineRule="auto"/>
        <w:rPr>
          <w:sz w:val="20"/>
          <w:szCs w:val="20"/>
          <w:color w:val="auto"/>
        </w:rPr>
      </w:pPr>
      <w:r>
        <w:rPr>
          <w:rFonts w:ascii="Arial" w:cs="Arial" w:eastAsia="Arial" w:hAnsi="Arial"/>
          <w:sz w:val="11"/>
          <w:szCs w:val="11"/>
          <w:color w:val="auto"/>
        </w:rPr>
        <w:t>In 2002, we issued a license to BioWhittaker, Inc., for the exclusive right to make, sell and distribute one of our proprietary cells for the research market only. In 2003 and 2004 respectively, we issued non-exclusive licenses to StemCell Technologies, Inc. to make, use and sell certain proprietary mouse and rat neural stem cells and culture media for all mammalian neural stem cells, and to R&amp;D Systems to make, use and sell certain stem cell expansion kits, also for the research market. These licenses are not expected to generate material revenues.</w:t>
      </w:r>
    </w:p>
    <w:p>
      <w:pPr>
        <w:spacing w:after="0" w:line="111"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Signal Pharmaceuticals, Inc.</w:t>
      </w:r>
    </w:p>
    <w:p>
      <w:pPr>
        <w:spacing w:after="0" w:line="96" w:lineRule="exact"/>
        <w:rPr>
          <w:sz w:val="20"/>
          <w:szCs w:val="20"/>
          <w:color w:val="auto"/>
        </w:rPr>
      </w:pPr>
    </w:p>
    <w:p>
      <w:pPr>
        <w:ind w:left="680" w:right="220" w:firstLine="399"/>
        <w:spacing w:after="0" w:line="276" w:lineRule="auto"/>
        <w:rPr>
          <w:sz w:val="20"/>
          <w:szCs w:val="20"/>
          <w:color w:val="auto"/>
        </w:rPr>
      </w:pPr>
      <w:r>
        <w:rPr>
          <w:rFonts w:ascii="Arial" w:cs="Arial" w:eastAsia="Arial" w:hAnsi="Arial"/>
          <w:sz w:val="13"/>
          <w:szCs w:val="13"/>
          <w:color w:val="auto"/>
        </w:rPr>
        <w:t>In December 1997, we entered into two sublicense agreements with Signal Pharmaceuticals (Signal), Inc. under which each party sublicensed to the other certain patent rights and biological materials for use in defined fields. Signal has now been acquired by Celgene, which in 2004 relinquished its license to the University of</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1" w:name="page12"/>
    <w:bookmarkEnd w:id="1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California, which then terminated the sublicense to StemCells for lack of diligence. Effective September 11, 2005, StemCells terminated the remaining sublicense.</w:t>
      </w:r>
    </w:p>
    <w:p>
      <w:pPr>
        <w:spacing w:after="0" w:line="175"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NeuroSpheres, Ltd.</w:t>
      </w:r>
    </w:p>
    <w:p>
      <w:pPr>
        <w:spacing w:after="0" w:line="96" w:lineRule="exact"/>
        <w:rPr>
          <w:sz w:val="20"/>
          <w:szCs w:val="20"/>
          <w:color w:val="auto"/>
        </w:rPr>
      </w:pPr>
    </w:p>
    <w:p>
      <w:pPr>
        <w:ind w:left="680" w:right="20" w:firstLine="399"/>
        <w:spacing w:after="0" w:line="277" w:lineRule="auto"/>
        <w:rPr>
          <w:sz w:val="20"/>
          <w:szCs w:val="20"/>
          <w:color w:val="auto"/>
        </w:rPr>
      </w:pPr>
      <w:r>
        <w:rPr>
          <w:rFonts w:ascii="Arial" w:cs="Arial" w:eastAsia="Arial" w:hAnsi="Arial"/>
          <w:sz w:val="12"/>
          <w:szCs w:val="12"/>
          <w:color w:val="auto"/>
        </w:rPr>
        <w:t>In March 1994, we entered into a Contract Research and License Agreement with NeuroSpheres, Ltd., which was clarified in a License Agreement dated as of April 1, 1997. Under the agreement as clarified, we obtained an exclusive patent license from NeuroSpheres for neural stem cells in the field of transplantation, subject to a limited right of NeuroSpheres to purchase a nonexclusive license from us, which right was not exercised and has expired. We have developed additional intellectual property relating to the subject matter of the license. We entered into an additional license agreement with NeuroSpheres as of October 30, 2000, under which we obtained an exclusive license in the field of non-transplant uses, such as drug discovery and drug testing. Together, our rights under the licenses are exclusive for all uses of the technology. We made up-front payments to NeuroSpheres of 65,000 shares of our common stock in October 2000 and $50,000 in January 2001, and we will make additional cash payments when milestones are achieved in the non-transplant field, or in any products employing NeuroSpheres patents for generating cells of the blood and immune system from neural stem cells. In addition, in October 2000 we reimbursed Neurospheres for patent costs amounting to $341,000. Milestone payments, payable at various stages in the development of potential products, would total $500,000 for each product that is approved for market. The first milestone for a potential product is $50,000, became due in 2004 when the product candidate for Batten disease entered preclinical development in a non-rodent model, and has been paid. The next milestone for that product candidate will be $75,000, due upon the commencement of a clinical trial. In addition, we made our second annual payment of $50,000 in 2005; the annual payments are due by the last day of the year and are fully creditable against royalties due to NeuroSpheres. Our agreements with NeuroSpheres will terminate at the expiration of all patents licensed to us, but can terminate earlier if we breach our obligations under the agreement and do not cure the breach, or if we declare bankruptcy. We have a security interest in the licensed technology.</w:t>
      </w:r>
    </w:p>
    <w:p>
      <w:pPr>
        <w:spacing w:after="0" w:line="137"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Manufacturing</w:t>
      </w:r>
    </w:p>
    <w:p>
      <w:pPr>
        <w:spacing w:after="0" w:line="100" w:lineRule="exact"/>
        <w:rPr>
          <w:sz w:val="20"/>
          <w:szCs w:val="20"/>
          <w:color w:val="auto"/>
        </w:rPr>
      </w:pPr>
    </w:p>
    <w:p>
      <w:pPr>
        <w:ind w:left="680" w:right="100" w:firstLine="399"/>
        <w:spacing w:after="0" w:line="260" w:lineRule="auto"/>
        <w:rPr>
          <w:sz w:val="20"/>
          <w:szCs w:val="20"/>
          <w:color w:val="auto"/>
        </w:rPr>
      </w:pPr>
      <w:r>
        <w:rPr>
          <w:rFonts w:ascii="Arial" w:cs="Arial" w:eastAsia="Arial" w:hAnsi="Arial"/>
          <w:sz w:val="13"/>
          <w:szCs w:val="13"/>
          <w:color w:val="auto"/>
        </w:rPr>
        <w:t>We believe that our facility in Palo Alto has the capacity to be used for cell processing under FDA-determined Good Manufacturing Practices-like conditions in quantities sufficient for clinical trials, and we believe we have developed a robust and replicable process for producing and processing the cells. In June 2005, we received a manufacturing license for our California-based cell processing facility from the State of California Department of Health Services. In March 2006, we entered an agreement under which additional GMP space for manufacturing and cell processing will be available to us.</w:t>
      </w:r>
    </w:p>
    <w:p>
      <w:pPr>
        <w:spacing w:after="0" w:line="14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Marketing</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Because of the early stage of our stem and progenitor cell programs, we have not yet addressed questions of channels of distribution and marketing of potential future products.</w:t>
      </w:r>
    </w:p>
    <w:p>
      <w:pPr>
        <w:spacing w:after="0" w:line="18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Patents, Proprietary Rights and Licenses</w:t>
      </w:r>
    </w:p>
    <w:p>
      <w:pPr>
        <w:spacing w:after="0" w:line="100" w:lineRule="exact"/>
        <w:rPr>
          <w:sz w:val="20"/>
          <w:szCs w:val="20"/>
          <w:color w:val="auto"/>
        </w:rPr>
      </w:pPr>
    </w:p>
    <w:p>
      <w:pPr>
        <w:ind w:left="680" w:right="140" w:firstLine="399"/>
        <w:spacing w:after="0" w:line="334" w:lineRule="auto"/>
        <w:rPr>
          <w:sz w:val="20"/>
          <w:szCs w:val="20"/>
          <w:color w:val="auto"/>
        </w:rPr>
      </w:pPr>
      <w:r>
        <w:rPr>
          <w:rFonts w:ascii="Arial" w:cs="Arial" w:eastAsia="Arial" w:hAnsi="Arial"/>
          <w:sz w:val="11"/>
          <w:szCs w:val="11"/>
          <w:color w:val="auto"/>
        </w:rPr>
        <w:t>We believe that proprietary protection of our inventions will be critical to our future business. We vigorously seek out intellectual property that we believe might be useful in connection with our products, and have an aggressive program of protecting our intellectual property. We believe that our know-how will also provide a significant competitive advantage, and we intend to continue to develop and protect our proprietary know-how. We may also from time to time seek to acquire licenses to important externally developed technologies.</w:t>
      </w:r>
    </w:p>
    <w:p>
      <w:pPr>
        <w:spacing w:after="0" w:line="32" w:lineRule="exact"/>
        <w:rPr>
          <w:sz w:val="20"/>
          <w:szCs w:val="20"/>
          <w:color w:val="auto"/>
        </w:rPr>
      </w:pPr>
    </w:p>
    <w:p>
      <w:pPr>
        <w:jc w:val="both"/>
        <w:ind w:left="680" w:firstLine="399"/>
        <w:spacing w:after="0" w:line="258" w:lineRule="auto"/>
        <w:rPr>
          <w:sz w:val="20"/>
          <w:szCs w:val="20"/>
          <w:color w:val="auto"/>
        </w:rPr>
      </w:pPr>
      <w:r>
        <w:rPr>
          <w:rFonts w:ascii="Arial" w:cs="Arial" w:eastAsia="Arial" w:hAnsi="Arial"/>
          <w:sz w:val="13"/>
          <w:szCs w:val="13"/>
          <w:color w:val="auto"/>
        </w:rPr>
        <w:t>We have exclusive or non-exclusive rights to a portfolio of patents and patent applications related to various stem and progenitor cells and methods of deriving and using them. These patents and patent applications relate to compositions of matter, methods of obtaining such cells, and methods for preparing, transplanting and utilizing such cells. Currently, our U.S. patent portfolio includes forty-one issued U.S. patents, three of which issued in 2005. More than thirty additional patent applications are pending, three of which have been allowed. In addition, we have foreign counterparts to many of the U.S. applications and patents; counterparts to twelve of our U.S. patents or applications have issued in various countries, making a total of over 100 individual non-U.S. patents from those</w:t>
      </w:r>
    </w:p>
    <w:p>
      <w:pPr>
        <w:spacing w:after="0" w:line="278"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20"/>
          </w:cols>
          <w:pgMar w:left="220" w:top="343" w:right="1059" w:bottom="1440" w:gutter="0" w:footer="0" w:header="0"/>
        </w:sectPr>
      </w:pPr>
    </w:p>
    <w:bookmarkStart w:id="12" w:name="page13"/>
    <w:bookmarkEnd w:id="12"/>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line="256" w:lineRule="auto"/>
        <w:rPr>
          <w:sz w:val="20"/>
          <w:szCs w:val="20"/>
          <w:color w:val="auto"/>
        </w:rPr>
      </w:pPr>
      <w:r>
        <w:rPr>
          <w:rFonts w:ascii="Arial" w:cs="Arial" w:eastAsia="Arial" w:hAnsi="Arial"/>
          <w:sz w:val="13"/>
          <w:szCs w:val="13"/>
          <w:color w:val="auto"/>
        </w:rPr>
        <w:t xml:space="preserve">twelve cases. In 2003, one party filed an opposition to two of our issued European patent cases, which pertains to methods for the </w:t>
      </w:r>
      <w:r>
        <w:rPr>
          <w:rFonts w:ascii="Arial" w:cs="Arial" w:eastAsia="Arial" w:hAnsi="Arial"/>
          <w:sz w:val="13"/>
          <w:szCs w:val="13"/>
          <w:i w:val="1"/>
          <w:iCs w:val="1"/>
          <w:color w:val="auto"/>
        </w:rPr>
        <w:t>in vitro</w:t>
      </w:r>
      <w:r>
        <w:rPr>
          <w:rFonts w:ascii="Arial" w:cs="Arial" w:eastAsia="Arial" w:hAnsi="Arial"/>
          <w:sz w:val="13"/>
          <w:szCs w:val="13"/>
          <w:color w:val="auto"/>
        </w:rPr>
        <w:t xml:space="preserve"> production of a cell culture of multipotent neural stem cells and to methods for the differentiation of human neural stem cells into the different types of mature neural cells </w:t>
      </w:r>
      <w:r>
        <w:rPr>
          <w:rFonts w:ascii="Arial" w:cs="Arial" w:eastAsia="Arial" w:hAnsi="Arial"/>
          <w:sz w:val="13"/>
          <w:szCs w:val="13"/>
          <w:i w:val="1"/>
          <w:iCs w:val="1"/>
          <w:color w:val="auto"/>
        </w:rPr>
        <w:t>in vitro</w:t>
      </w:r>
      <w:r>
        <w:rPr>
          <w:rFonts w:ascii="Arial" w:cs="Arial" w:eastAsia="Arial" w:hAnsi="Arial"/>
          <w:sz w:val="13"/>
          <w:szCs w:val="13"/>
          <w:color w:val="auto"/>
        </w:rPr>
        <w:t>. Both oppositions were heard in 2005, and the patents were maintained in somewhat altered form by the Opposition Division of the European Patent Office. The time for appeal begins to run in each case when the Opposition Division issues its written opinions, which has not yet occurred. While we are confident that, should the decision be appealed by the opposing party, it will be upheld, there can be no guarantee of this. If we are ultimately unsuccessful in our defense of the opposed patents, all claimed rights in the opposed patents will be lost in Europe. U.S. counterparts to these patents are part of our issued patent portfolio; they are not subject to opposition, since that procedure does not exist under U.S. patent law, although other types of proceedings may be available to third parties to contest our U.S. patents.</w:t>
      </w:r>
    </w:p>
    <w:p>
      <w:pPr>
        <w:spacing w:after="0" w:line="73"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Among our most significant patents are:</w:t>
      </w:r>
    </w:p>
    <w:p>
      <w:pPr>
        <w:spacing w:after="0" w:line="96" w:lineRule="exact"/>
        <w:rPr>
          <w:sz w:val="20"/>
          <w:szCs w:val="20"/>
          <w:color w:val="auto"/>
        </w:rPr>
      </w:pPr>
    </w:p>
    <w:p>
      <w:pPr>
        <w:jc w:val="both"/>
        <w:ind w:left="1180" w:right="100" w:hanging="90"/>
        <w:spacing w:after="0" w:line="264" w:lineRule="auto"/>
        <w:tabs>
          <w:tab w:leader="none" w:pos="1180" w:val="left"/>
        </w:tabs>
        <w:numPr>
          <w:ilvl w:val="0"/>
          <w:numId w:val="10"/>
        </w:numPr>
        <w:rPr>
          <w:rFonts w:ascii="Arial" w:cs="Arial" w:eastAsia="Arial" w:hAnsi="Arial"/>
          <w:sz w:val="13"/>
          <w:szCs w:val="13"/>
          <w:color w:val="auto"/>
        </w:rPr>
      </w:pPr>
      <w:r>
        <w:rPr>
          <w:rFonts w:ascii="Arial" w:cs="Arial" w:eastAsia="Arial" w:hAnsi="Arial"/>
          <w:sz w:val="13"/>
          <w:szCs w:val="13"/>
          <w:color w:val="auto"/>
        </w:rPr>
        <w:t>U.S. Patent No. 5,851,832, directed to our methods for the human CNS cell cultures containing central nervous system stem cells, for compositions of human CNS cells expanded by these methods, and for use of these cultures in human transplantation. These human CNS stem and progenitor cells expanded in culture may be useful for repairing or replacing damaged central nervous system tissue, including the brain and the spinal cord;</w:t>
      </w:r>
    </w:p>
    <w:p>
      <w:pPr>
        <w:spacing w:after="0" w:line="57" w:lineRule="exact"/>
        <w:rPr>
          <w:rFonts w:ascii="Arial" w:cs="Arial" w:eastAsia="Arial" w:hAnsi="Arial"/>
          <w:sz w:val="13"/>
          <w:szCs w:val="13"/>
          <w:color w:val="auto"/>
        </w:rPr>
      </w:pPr>
    </w:p>
    <w:p>
      <w:pPr>
        <w:ind w:left="1180" w:hanging="90"/>
        <w:spacing w:after="0"/>
        <w:tabs>
          <w:tab w:leader="none" w:pos="1180" w:val="left"/>
        </w:tabs>
        <w:numPr>
          <w:ilvl w:val="0"/>
          <w:numId w:val="10"/>
        </w:numPr>
        <w:rPr>
          <w:rFonts w:ascii="Arial" w:cs="Arial" w:eastAsia="Arial" w:hAnsi="Arial"/>
          <w:sz w:val="13"/>
          <w:szCs w:val="13"/>
          <w:color w:val="auto"/>
        </w:rPr>
      </w:pPr>
      <w:r>
        <w:rPr>
          <w:rFonts w:ascii="Arial" w:cs="Arial" w:eastAsia="Arial" w:hAnsi="Arial"/>
          <w:sz w:val="13"/>
          <w:szCs w:val="13"/>
          <w:color w:val="auto"/>
        </w:rPr>
        <w:t>U.S. Patent No. 5,968,829, entitled “Human CNS Neural Stem Cells,” which is directed to our composition of matter for human CNS stem cells;</w:t>
      </w:r>
    </w:p>
    <w:p>
      <w:pPr>
        <w:spacing w:after="0" w:line="86" w:lineRule="exact"/>
        <w:rPr>
          <w:rFonts w:ascii="Arial" w:cs="Arial" w:eastAsia="Arial" w:hAnsi="Arial"/>
          <w:sz w:val="13"/>
          <w:szCs w:val="13"/>
          <w:color w:val="auto"/>
        </w:rPr>
      </w:pPr>
    </w:p>
    <w:p>
      <w:pPr>
        <w:ind w:left="1180" w:hanging="90"/>
        <w:spacing w:after="0"/>
        <w:tabs>
          <w:tab w:leader="none" w:pos="1180" w:val="left"/>
        </w:tabs>
        <w:numPr>
          <w:ilvl w:val="0"/>
          <w:numId w:val="10"/>
        </w:numPr>
        <w:rPr>
          <w:rFonts w:ascii="Arial" w:cs="Arial" w:eastAsia="Arial" w:hAnsi="Arial"/>
          <w:sz w:val="13"/>
          <w:szCs w:val="13"/>
          <w:color w:val="auto"/>
        </w:rPr>
      </w:pPr>
      <w:r>
        <w:rPr>
          <w:rFonts w:ascii="Arial" w:cs="Arial" w:eastAsia="Arial" w:hAnsi="Arial"/>
          <w:sz w:val="13"/>
          <w:szCs w:val="13"/>
          <w:color w:val="auto"/>
        </w:rPr>
        <w:t>U.S. Patent No. 6,103,530, directed to our media for culturing human CNS stem cells;</w:t>
      </w:r>
    </w:p>
    <w:p>
      <w:pPr>
        <w:spacing w:after="0" w:line="86" w:lineRule="exact"/>
        <w:rPr>
          <w:rFonts w:ascii="Arial" w:cs="Arial" w:eastAsia="Arial" w:hAnsi="Arial"/>
          <w:sz w:val="13"/>
          <w:szCs w:val="13"/>
          <w:color w:val="auto"/>
        </w:rPr>
      </w:pPr>
    </w:p>
    <w:p>
      <w:pPr>
        <w:ind w:left="1180" w:right="180" w:hanging="90"/>
        <w:spacing w:after="0" w:line="276" w:lineRule="auto"/>
        <w:tabs>
          <w:tab w:leader="none" w:pos="1180" w:val="left"/>
        </w:tabs>
        <w:numPr>
          <w:ilvl w:val="0"/>
          <w:numId w:val="10"/>
        </w:numPr>
        <w:rPr>
          <w:rFonts w:ascii="Arial" w:cs="Arial" w:eastAsia="Arial" w:hAnsi="Arial"/>
          <w:sz w:val="13"/>
          <w:szCs w:val="13"/>
          <w:color w:val="auto"/>
        </w:rPr>
      </w:pPr>
      <w:r>
        <w:rPr>
          <w:rFonts w:ascii="Arial" w:cs="Arial" w:eastAsia="Arial" w:hAnsi="Arial"/>
          <w:sz w:val="13"/>
          <w:szCs w:val="13"/>
          <w:color w:val="auto"/>
        </w:rPr>
        <w:t>U.S. Patent Number 6,468,794, entitled “Enriched central nervous system stem cell and progenitor cell populations, and methods for identifying, isolating and enriching for such populations” which pertains to the identification and purification of the human CNS stem cell;</w:t>
      </w:r>
    </w:p>
    <w:p>
      <w:pPr>
        <w:spacing w:after="0" w:line="49" w:lineRule="exact"/>
        <w:rPr>
          <w:rFonts w:ascii="Arial" w:cs="Arial" w:eastAsia="Arial" w:hAnsi="Arial"/>
          <w:sz w:val="13"/>
          <w:szCs w:val="13"/>
          <w:color w:val="auto"/>
        </w:rPr>
      </w:pPr>
    </w:p>
    <w:p>
      <w:pPr>
        <w:ind w:left="1180" w:right="20" w:hanging="90"/>
        <w:spacing w:after="0" w:line="260" w:lineRule="auto"/>
        <w:tabs>
          <w:tab w:leader="none" w:pos="1180" w:val="left"/>
        </w:tabs>
        <w:numPr>
          <w:ilvl w:val="0"/>
          <w:numId w:val="10"/>
        </w:numPr>
        <w:rPr>
          <w:rFonts w:ascii="Arial" w:cs="Arial" w:eastAsia="Arial" w:hAnsi="Arial"/>
          <w:sz w:val="13"/>
          <w:szCs w:val="13"/>
          <w:color w:val="auto"/>
        </w:rPr>
      </w:pPr>
      <w:r>
        <w:rPr>
          <w:rFonts w:ascii="Arial" w:cs="Arial" w:eastAsia="Arial" w:hAnsi="Arial"/>
          <w:sz w:val="13"/>
          <w:szCs w:val="13"/>
          <w:color w:val="auto"/>
        </w:rPr>
        <w:t xml:space="preserve">U.S. Patent No. 6,238,922 (“Use of collagenase in the preparation of neural stem cell cultures”), which described methods to advance the </w:t>
      </w:r>
      <w:r>
        <w:rPr>
          <w:rFonts w:ascii="Arial" w:cs="Arial" w:eastAsia="Arial" w:hAnsi="Arial"/>
          <w:sz w:val="13"/>
          <w:szCs w:val="13"/>
          <w:i w:val="1"/>
          <w:iCs w:val="1"/>
          <w:color w:val="auto"/>
        </w:rPr>
        <w:t>in vivo</w:t>
      </w:r>
      <w:r>
        <w:rPr>
          <w:rFonts w:ascii="Arial" w:cs="Arial" w:eastAsia="Arial" w:hAnsi="Arial"/>
          <w:sz w:val="13"/>
          <w:szCs w:val="13"/>
          <w:color w:val="auto"/>
        </w:rPr>
        <w:t xml:space="preserve"> culture and passage of human CNS stem cells that result in a 100-fold increase in CNS stem and progenitor cell production after 6 passages. We believe the methodologies of this patent and the one mentioned immediately above together gives us a dominant intellectual property position in the stem cell field by providing a reproducible proprietary method for obtaining and expanding stem cells for therapeutic uses;</w:t>
      </w:r>
    </w:p>
    <w:p>
      <w:pPr>
        <w:spacing w:after="0" w:line="59" w:lineRule="exact"/>
        <w:rPr>
          <w:rFonts w:ascii="Arial" w:cs="Arial" w:eastAsia="Arial" w:hAnsi="Arial"/>
          <w:sz w:val="13"/>
          <w:szCs w:val="13"/>
          <w:color w:val="auto"/>
        </w:rPr>
      </w:pPr>
    </w:p>
    <w:p>
      <w:pPr>
        <w:ind w:left="1180" w:hanging="90"/>
        <w:spacing w:after="0"/>
        <w:tabs>
          <w:tab w:leader="none" w:pos="1180" w:val="left"/>
        </w:tabs>
        <w:numPr>
          <w:ilvl w:val="0"/>
          <w:numId w:val="10"/>
        </w:numPr>
        <w:rPr>
          <w:rFonts w:ascii="Arial" w:cs="Arial" w:eastAsia="Arial" w:hAnsi="Arial"/>
          <w:sz w:val="13"/>
          <w:szCs w:val="13"/>
          <w:color w:val="auto"/>
        </w:rPr>
      </w:pPr>
      <w:r>
        <w:rPr>
          <w:rFonts w:ascii="Arial" w:cs="Arial" w:eastAsia="Arial" w:hAnsi="Arial"/>
          <w:sz w:val="13"/>
          <w:szCs w:val="13"/>
          <w:color w:val="auto"/>
        </w:rPr>
        <w:t>U.S. Patent Number 6,294,346 (“Use of multipotent neural stem cells and their progeny for the screening of drugs and other biological agents”); and</w:t>
      </w:r>
    </w:p>
    <w:p>
      <w:pPr>
        <w:spacing w:after="0" w:line="86" w:lineRule="exact"/>
        <w:rPr>
          <w:rFonts w:ascii="Arial" w:cs="Arial" w:eastAsia="Arial" w:hAnsi="Arial"/>
          <w:sz w:val="13"/>
          <w:szCs w:val="13"/>
          <w:color w:val="auto"/>
        </w:rPr>
      </w:pPr>
    </w:p>
    <w:p>
      <w:pPr>
        <w:ind w:left="1180" w:right="20" w:hanging="90"/>
        <w:spacing w:after="0" w:line="264" w:lineRule="auto"/>
        <w:tabs>
          <w:tab w:leader="none" w:pos="1180" w:val="left"/>
        </w:tabs>
        <w:numPr>
          <w:ilvl w:val="0"/>
          <w:numId w:val="10"/>
        </w:numPr>
        <w:rPr>
          <w:rFonts w:ascii="Arial" w:cs="Arial" w:eastAsia="Arial" w:hAnsi="Arial"/>
          <w:sz w:val="13"/>
          <w:szCs w:val="13"/>
          <w:color w:val="auto"/>
        </w:rPr>
      </w:pPr>
      <w:r>
        <w:rPr>
          <w:rFonts w:ascii="Arial" w:cs="Arial" w:eastAsia="Arial" w:hAnsi="Arial"/>
          <w:sz w:val="13"/>
          <w:szCs w:val="13"/>
          <w:color w:val="auto"/>
        </w:rPr>
        <w:t>U.S. Patent Number 6,497,872, entitled “Neural transplantation using proliferated multipotent neural stem cells and their progeny,” pertains to transplanting any neural stem cells or their differentiated progeny, whether the cells have been cultured in suspension or as adherent cells, for the treatment of any disease. We are the exclusive licensees of the patent, which gives us the right to exclude others from practicing the claimed invention.</w:t>
      </w:r>
    </w:p>
    <w:p>
      <w:pPr>
        <w:spacing w:after="0" w:line="67" w:lineRule="exact"/>
        <w:rPr>
          <w:sz w:val="20"/>
          <w:szCs w:val="20"/>
          <w:color w:val="auto"/>
        </w:rPr>
      </w:pPr>
    </w:p>
    <w:p>
      <w:pPr>
        <w:ind w:left="680" w:right="120" w:firstLine="399"/>
        <w:spacing w:after="0" w:line="282" w:lineRule="auto"/>
        <w:rPr>
          <w:sz w:val="20"/>
          <w:szCs w:val="20"/>
          <w:color w:val="auto"/>
        </w:rPr>
      </w:pPr>
      <w:r>
        <w:rPr>
          <w:rFonts w:ascii="Arial" w:cs="Arial" w:eastAsia="Arial" w:hAnsi="Arial"/>
          <w:sz w:val="12"/>
          <w:szCs w:val="12"/>
          <w:color w:val="auto"/>
        </w:rPr>
        <w:t xml:space="preserve">Among the recent patents issued or exclusively licensed to us are two neurogenin-related patents (U.S. Patents Numbers 12,555,337 and 6,566,496), U.S. Patent Number 6,541,251, relating to a novel pancreatic progenitor gene and its uses, U.S. Patent Number 6,777,233, relating to a cell culture composition of multipotent human neural stem cells regardless of the source of tissue from which the cells are derived, U.S. Patent Number 6,824,774, relating to antibodies that specifically bind to a neuron-restrictive silencer factor protein, and U.S. Patent Number 6,753,153, relating to markers for identification and isolation of certain pancreatic islet progenitors. In addition, we have been informed that three patents pertaining to methods of enriching for neural stem cells, methods of drug screening or drug discovery using enriched populations of neural stem cells, and methods for the </w:t>
      </w:r>
      <w:r>
        <w:rPr>
          <w:rFonts w:ascii="Arial" w:cs="Arial" w:eastAsia="Arial" w:hAnsi="Arial"/>
          <w:sz w:val="12"/>
          <w:szCs w:val="12"/>
          <w:i w:val="1"/>
          <w:iCs w:val="1"/>
          <w:color w:val="auto"/>
        </w:rPr>
        <w:t>in vitro</w:t>
      </w:r>
      <w:r>
        <w:rPr>
          <w:rFonts w:ascii="Arial" w:cs="Arial" w:eastAsia="Arial" w:hAnsi="Arial"/>
          <w:sz w:val="12"/>
          <w:szCs w:val="12"/>
          <w:color w:val="auto"/>
        </w:rPr>
        <w:t xml:space="preserve"> proliferation of neural stem cell cultures have been allowed by the U.S. Patent and Trademark Office. We expect these cases to issue shortly.</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3" w:name="page14"/>
    <w:bookmarkEnd w:id="13"/>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160" w:firstLine="399"/>
        <w:spacing w:after="0" w:line="276" w:lineRule="auto"/>
        <w:rPr>
          <w:sz w:val="20"/>
          <w:szCs w:val="20"/>
          <w:color w:val="auto"/>
        </w:rPr>
      </w:pPr>
      <w:r>
        <w:rPr>
          <w:rFonts w:ascii="Arial" w:cs="Arial" w:eastAsia="Arial" w:hAnsi="Arial"/>
          <w:sz w:val="13"/>
          <w:szCs w:val="13"/>
          <w:color w:val="auto"/>
        </w:rPr>
        <w:t>These new patents have strengthened our already extensive patent portfolio and, we believe, give StemCells the dominant intellectual property position in the field, covering methods for identification, isolation, expansion, and transplantation of neural stem cells as well as drug discovery and testing.</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table lists our issued U.S. patents:</w:t>
      </w:r>
    </w:p>
    <w:p>
      <w:pPr>
        <w:spacing w:after="0" w:line="98" w:lineRule="exact"/>
        <w:rPr>
          <w:sz w:val="20"/>
          <w:szCs w:val="20"/>
          <w:color w:val="auto"/>
        </w:rPr>
      </w:pPr>
    </w:p>
    <w:tbl>
      <w:tblPr>
        <w:tblLayout w:type="fixed"/>
        <w:tblInd w:w="1100" w:type="dxa"/>
        <w:tblCellMar>
          <w:top w:w="0" w:type="dxa"/>
          <w:left w:w="0" w:type="dxa"/>
          <w:bottom w:w="0" w:type="dxa"/>
          <w:right w:w="0" w:type="dxa"/>
        </w:tblCellMar>
      </w:tblPr>
      <w:tr>
        <w:trPr>
          <w:trHeight w:val="135"/>
        </w:trPr>
        <w:tc>
          <w:tcPr>
            <w:tcW w:w="1480" w:type="dxa"/>
            <w:vAlign w:val="bottom"/>
          </w:tcPr>
          <w:p>
            <w:pPr>
              <w:ind w:left="480"/>
              <w:spacing w:after="0"/>
              <w:rPr>
                <w:sz w:val="20"/>
                <w:szCs w:val="20"/>
                <w:color w:val="auto"/>
              </w:rPr>
            </w:pPr>
            <w:r>
              <w:rPr>
                <w:rFonts w:ascii="Arial" w:cs="Arial" w:eastAsia="Arial" w:hAnsi="Arial"/>
                <w:sz w:val="10"/>
                <w:szCs w:val="10"/>
                <w:b w:val="1"/>
                <w:bCs w:val="1"/>
                <w:color w:val="auto"/>
              </w:rPr>
              <w:t>U.S. Patent Number</w:t>
            </w:r>
          </w:p>
        </w:tc>
        <w:tc>
          <w:tcPr>
            <w:tcW w:w="6780" w:type="dxa"/>
            <w:vAlign w:val="bottom"/>
          </w:tcPr>
          <w:p>
            <w:pPr>
              <w:ind w:left="3320"/>
              <w:spacing w:after="0"/>
              <w:rPr>
                <w:sz w:val="20"/>
                <w:szCs w:val="20"/>
                <w:color w:val="auto"/>
              </w:rPr>
            </w:pPr>
            <w:r>
              <w:rPr>
                <w:rFonts w:ascii="Arial" w:cs="Arial" w:eastAsia="Arial" w:hAnsi="Arial"/>
                <w:sz w:val="10"/>
                <w:szCs w:val="10"/>
                <w:b w:val="1"/>
                <w:bCs w:val="1"/>
                <w:u w:val="single" w:color="auto"/>
                <w:color w:val="auto"/>
              </w:rPr>
              <w:t>S</w:t>
            </w:r>
            <w:r>
              <w:rPr>
                <w:rFonts w:ascii="Arial" w:cs="Arial" w:eastAsia="Arial" w:hAnsi="Arial"/>
                <w:sz w:val="10"/>
                <w:szCs w:val="10"/>
                <w:b w:val="1"/>
                <w:bCs w:val="1"/>
                <w:color w:val="auto"/>
              </w:rPr>
              <w:t>ubject</w:t>
            </w:r>
          </w:p>
        </w:tc>
        <w:tc>
          <w:tcPr>
            <w:tcW w:w="1420" w:type="dxa"/>
            <w:vAlign w:val="bottom"/>
          </w:tcPr>
          <w:p>
            <w:pPr>
              <w:ind w:left="700"/>
              <w:spacing w:after="0"/>
              <w:rPr>
                <w:sz w:val="20"/>
                <w:szCs w:val="20"/>
                <w:color w:val="auto"/>
              </w:rPr>
            </w:pPr>
            <w:r>
              <w:rPr>
                <w:rFonts w:ascii="Arial" w:cs="Arial" w:eastAsia="Arial" w:hAnsi="Arial"/>
                <w:sz w:val="10"/>
                <w:szCs w:val="10"/>
                <w:b w:val="1"/>
                <w:bCs w:val="1"/>
                <w:color w:val="auto"/>
                <w:w w:val="95"/>
              </w:rPr>
              <w:t>Expiration Date</w:t>
            </w:r>
          </w:p>
        </w:tc>
      </w:tr>
      <w:tr>
        <w:trPr>
          <w:trHeight w:val="197"/>
        </w:trPr>
        <w:tc>
          <w:tcPr>
            <w:tcW w:w="1480" w:type="dxa"/>
            <w:vAlign w:val="bottom"/>
          </w:tcPr>
          <w:p>
            <w:pPr>
              <w:jc w:val="center"/>
              <w:ind w:right="435"/>
              <w:spacing w:after="0"/>
              <w:rPr>
                <w:sz w:val="20"/>
                <w:szCs w:val="20"/>
                <w:color w:val="auto"/>
              </w:rPr>
            </w:pPr>
            <w:r>
              <w:rPr>
                <w:rFonts w:ascii="Arial" w:cs="Arial" w:eastAsia="Arial" w:hAnsi="Arial"/>
                <w:sz w:val="13"/>
                <w:szCs w:val="13"/>
                <w:color w:val="auto"/>
                <w:w w:val="92"/>
              </w:rPr>
              <w:t>Owned by</w:t>
            </w:r>
          </w:p>
        </w:tc>
        <w:tc>
          <w:tcPr>
            <w:tcW w:w="678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157"/>
        </w:trPr>
        <w:tc>
          <w:tcPr>
            <w:tcW w:w="1480" w:type="dxa"/>
            <w:vAlign w:val="bottom"/>
          </w:tcPr>
          <w:p>
            <w:pPr>
              <w:jc w:val="center"/>
              <w:ind w:right="435"/>
              <w:spacing w:after="0"/>
              <w:rPr>
                <w:sz w:val="20"/>
                <w:szCs w:val="20"/>
                <w:color w:val="auto"/>
              </w:rPr>
            </w:pPr>
            <w:r>
              <w:rPr>
                <w:rFonts w:ascii="Arial" w:cs="Arial" w:eastAsia="Arial" w:hAnsi="Arial"/>
                <w:sz w:val="13"/>
                <w:szCs w:val="13"/>
                <w:color w:val="auto"/>
                <w:w w:val="91"/>
              </w:rPr>
              <w:t>StemCells</w:t>
            </w:r>
          </w:p>
        </w:tc>
        <w:tc>
          <w:tcPr>
            <w:tcW w:w="6780" w:type="dxa"/>
            <w:vAlign w:val="bottom"/>
          </w:tcPr>
          <w:p>
            <w:pPr>
              <w:spacing w:after="0"/>
              <w:rPr>
                <w:sz w:val="13"/>
                <w:szCs w:val="13"/>
                <w:color w:val="auto"/>
              </w:rPr>
            </w:pPr>
          </w:p>
        </w:tc>
        <w:tc>
          <w:tcPr>
            <w:tcW w:w="1420" w:type="dxa"/>
            <w:vAlign w:val="bottom"/>
          </w:tcPr>
          <w:p>
            <w:pPr>
              <w:spacing w:after="0"/>
              <w:rPr>
                <w:sz w:val="13"/>
                <w:szCs w:val="13"/>
                <w:color w:val="auto"/>
              </w:rPr>
            </w:pPr>
          </w:p>
        </w:tc>
      </w:tr>
      <w:tr>
        <w:trPr>
          <w:trHeight w:val="157"/>
        </w:trPr>
        <w:tc>
          <w:tcPr>
            <w:tcW w:w="1480" w:type="dxa"/>
            <w:vAlign w:val="bottom"/>
          </w:tcPr>
          <w:p>
            <w:pPr>
              <w:jc w:val="center"/>
              <w:ind w:right="455"/>
              <w:spacing w:after="0"/>
              <w:rPr>
                <w:sz w:val="20"/>
                <w:szCs w:val="20"/>
                <w:color w:val="auto"/>
              </w:rPr>
            </w:pPr>
            <w:r>
              <w:rPr>
                <w:rFonts w:ascii="Arial" w:cs="Arial" w:eastAsia="Arial" w:hAnsi="Arial"/>
                <w:sz w:val="13"/>
                <w:szCs w:val="13"/>
                <w:color w:val="auto"/>
                <w:w w:val="89"/>
              </w:rPr>
              <w:t>5,968,829</w:t>
            </w:r>
          </w:p>
        </w:tc>
        <w:tc>
          <w:tcPr>
            <w:tcW w:w="6780" w:type="dxa"/>
            <w:vAlign w:val="bottom"/>
          </w:tcPr>
          <w:p>
            <w:pPr>
              <w:ind w:left="120"/>
              <w:spacing w:after="0"/>
              <w:rPr>
                <w:sz w:val="20"/>
                <w:szCs w:val="20"/>
                <w:color w:val="auto"/>
              </w:rPr>
            </w:pPr>
            <w:r>
              <w:rPr>
                <w:rFonts w:ascii="Arial" w:cs="Arial" w:eastAsia="Arial" w:hAnsi="Arial"/>
                <w:sz w:val="13"/>
                <w:szCs w:val="13"/>
                <w:color w:val="auto"/>
              </w:rPr>
              <w:t>Human CNS neural stem cells</w:t>
            </w:r>
          </w:p>
        </w:tc>
        <w:tc>
          <w:tcPr>
            <w:tcW w:w="1420" w:type="dxa"/>
            <w:vAlign w:val="bottom"/>
          </w:tcPr>
          <w:p>
            <w:pPr>
              <w:jc w:val="center"/>
              <w:spacing w:after="0"/>
              <w:rPr>
                <w:sz w:val="20"/>
                <w:szCs w:val="20"/>
                <w:color w:val="auto"/>
              </w:rPr>
            </w:pPr>
            <w:r>
              <w:rPr>
                <w:rFonts w:ascii="Arial" w:cs="Arial" w:eastAsia="Arial" w:hAnsi="Arial"/>
                <w:sz w:val="13"/>
                <w:szCs w:val="13"/>
                <w:color w:val="auto"/>
                <w:w w:val="92"/>
              </w:rPr>
              <w:t>5/12/15</w:t>
            </w:r>
          </w:p>
        </w:tc>
      </w:tr>
      <w:tr>
        <w:trPr>
          <w:trHeight w:val="165"/>
        </w:trPr>
        <w:tc>
          <w:tcPr>
            <w:tcW w:w="1480" w:type="dxa"/>
            <w:vAlign w:val="bottom"/>
          </w:tcPr>
          <w:p>
            <w:pPr>
              <w:jc w:val="center"/>
              <w:ind w:right="455"/>
              <w:spacing w:after="0"/>
              <w:rPr>
                <w:sz w:val="20"/>
                <w:szCs w:val="20"/>
                <w:color w:val="auto"/>
              </w:rPr>
            </w:pPr>
            <w:r>
              <w:rPr>
                <w:rFonts w:ascii="Arial" w:cs="Arial" w:eastAsia="Arial" w:hAnsi="Arial"/>
                <w:sz w:val="13"/>
                <w:szCs w:val="13"/>
                <w:color w:val="auto"/>
                <w:w w:val="89"/>
              </w:rPr>
              <w:t>6,103,530</w:t>
            </w:r>
          </w:p>
        </w:tc>
        <w:tc>
          <w:tcPr>
            <w:tcW w:w="6780" w:type="dxa"/>
            <w:vAlign w:val="bottom"/>
          </w:tcPr>
          <w:p>
            <w:pPr>
              <w:ind w:left="120"/>
              <w:spacing w:after="0"/>
              <w:rPr>
                <w:sz w:val="20"/>
                <w:szCs w:val="20"/>
                <w:color w:val="auto"/>
              </w:rPr>
            </w:pPr>
            <w:r>
              <w:rPr>
                <w:rFonts w:ascii="Arial" w:cs="Arial" w:eastAsia="Arial" w:hAnsi="Arial"/>
                <w:sz w:val="13"/>
                <w:szCs w:val="13"/>
                <w:color w:val="auto"/>
              </w:rPr>
              <w:t>Human CNS neural stem cells — culture media</w:t>
            </w:r>
          </w:p>
        </w:tc>
        <w:tc>
          <w:tcPr>
            <w:tcW w:w="1420" w:type="dxa"/>
            <w:vAlign w:val="bottom"/>
          </w:tcPr>
          <w:p>
            <w:pPr>
              <w:jc w:val="center"/>
              <w:spacing w:after="0"/>
              <w:rPr>
                <w:sz w:val="20"/>
                <w:szCs w:val="20"/>
                <w:color w:val="auto"/>
              </w:rPr>
            </w:pPr>
            <w:r>
              <w:rPr>
                <w:rFonts w:ascii="Arial" w:cs="Arial" w:eastAsia="Arial" w:hAnsi="Arial"/>
                <w:sz w:val="13"/>
                <w:szCs w:val="13"/>
                <w:color w:val="auto"/>
                <w:w w:val="90"/>
              </w:rPr>
              <w:t>12/22/15</w:t>
            </w:r>
          </w:p>
        </w:tc>
      </w:tr>
      <w:tr>
        <w:trPr>
          <w:trHeight w:val="442"/>
        </w:trPr>
        <w:tc>
          <w:tcPr>
            <w:tcW w:w="1480" w:type="dxa"/>
            <w:vAlign w:val="bottom"/>
          </w:tcPr>
          <w:p>
            <w:pPr>
              <w:jc w:val="center"/>
              <w:ind w:right="455"/>
              <w:spacing w:after="0"/>
              <w:rPr>
                <w:sz w:val="20"/>
                <w:szCs w:val="20"/>
                <w:color w:val="auto"/>
              </w:rPr>
            </w:pPr>
            <w:r>
              <w:rPr>
                <w:rFonts w:ascii="Arial" w:cs="Arial" w:eastAsia="Arial" w:hAnsi="Arial"/>
                <w:sz w:val="13"/>
                <w:szCs w:val="13"/>
                <w:color w:val="auto"/>
                <w:w w:val="89"/>
              </w:rPr>
              <w:t>6,238,922</w:t>
            </w:r>
          </w:p>
        </w:tc>
        <w:tc>
          <w:tcPr>
            <w:tcW w:w="6780" w:type="dxa"/>
            <w:vAlign w:val="bottom"/>
          </w:tcPr>
          <w:p>
            <w:pPr>
              <w:ind w:left="120"/>
              <w:spacing w:after="0"/>
              <w:rPr>
                <w:sz w:val="20"/>
                <w:szCs w:val="20"/>
                <w:color w:val="auto"/>
              </w:rPr>
            </w:pPr>
            <w:r>
              <w:rPr>
                <w:rFonts w:ascii="Arial" w:cs="Arial" w:eastAsia="Arial" w:hAnsi="Arial"/>
                <w:sz w:val="13"/>
                <w:szCs w:val="13"/>
                <w:color w:val="auto"/>
              </w:rPr>
              <w:t>Use of collagenase in the preparation of neural stem cell cultures</w:t>
            </w:r>
          </w:p>
        </w:tc>
        <w:tc>
          <w:tcPr>
            <w:tcW w:w="1420" w:type="dxa"/>
            <w:vAlign w:val="bottom"/>
          </w:tcPr>
          <w:p>
            <w:pPr>
              <w:jc w:val="center"/>
              <w:spacing w:after="0"/>
              <w:rPr>
                <w:sz w:val="20"/>
                <w:szCs w:val="20"/>
                <w:color w:val="auto"/>
              </w:rPr>
            </w:pPr>
            <w:r>
              <w:rPr>
                <w:rFonts w:ascii="Arial" w:cs="Arial" w:eastAsia="Arial" w:hAnsi="Arial"/>
                <w:sz w:val="13"/>
                <w:szCs w:val="13"/>
                <w:color w:val="auto"/>
                <w:w w:val="87"/>
              </w:rPr>
              <w:t>11/9/16</w:t>
            </w:r>
          </w:p>
        </w:tc>
      </w:tr>
      <w:tr>
        <w:trPr>
          <w:trHeight w:val="442"/>
        </w:trPr>
        <w:tc>
          <w:tcPr>
            <w:tcW w:w="1480" w:type="dxa"/>
            <w:vAlign w:val="bottom"/>
          </w:tcPr>
          <w:p>
            <w:pPr>
              <w:jc w:val="center"/>
              <w:ind w:right="455"/>
              <w:spacing w:after="0"/>
              <w:rPr>
                <w:sz w:val="20"/>
                <w:szCs w:val="20"/>
                <w:color w:val="auto"/>
              </w:rPr>
            </w:pPr>
            <w:r>
              <w:rPr>
                <w:rFonts w:ascii="Arial" w:cs="Arial" w:eastAsia="Arial" w:hAnsi="Arial"/>
                <w:sz w:val="13"/>
                <w:szCs w:val="13"/>
                <w:color w:val="auto"/>
                <w:w w:val="89"/>
              </w:rPr>
              <w:t>6,468,794</w:t>
            </w:r>
          </w:p>
        </w:tc>
        <w:tc>
          <w:tcPr>
            <w:tcW w:w="6780" w:type="dxa"/>
            <w:vAlign w:val="bottom"/>
          </w:tcPr>
          <w:p>
            <w:pPr>
              <w:ind w:left="120"/>
              <w:spacing w:after="0"/>
              <w:rPr>
                <w:sz w:val="20"/>
                <w:szCs w:val="20"/>
                <w:color w:val="auto"/>
              </w:rPr>
            </w:pPr>
            <w:r>
              <w:rPr>
                <w:rFonts w:ascii="Arial" w:cs="Arial" w:eastAsia="Arial" w:hAnsi="Arial"/>
                <w:sz w:val="13"/>
                <w:szCs w:val="13"/>
                <w:color w:val="auto"/>
              </w:rPr>
              <w:t>Enriched neural stem cell populations, and methods for identifying, isolating and enriching for neural stem cells</w:t>
            </w:r>
          </w:p>
        </w:tc>
        <w:tc>
          <w:tcPr>
            <w:tcW w:w="1420" w:type="dxa"/>
            <w:vAlign w:val="bottom"/>
          </w:tcPr>
          <w:p>
            <w:pPr>
              <w:jc w:val="center"/>
              <w:spacing w:after="0"/>
              <w:rPr>
                <w:sz w:val="20"/>
                <w:szCs w:val="20"/>
                <w:color w:val="auto"/>
              </w:rPr>
            </w:pPr>
            <w:r>
              <w:rPr>
                <w:rFonts w:ascii="Arial" w:cs="Arial" w:eastAsia="Arial" w:hAnsi="Arial"/>
                <w:sz w:val="13"/>
                <w:szCs w:val="13"/>
                <w:color w:val="auto"/>
                <w:w w:val="87"/>
              </w:rPr>
              <w:t>11/9/16</w:t>
            </w:r>
          </w:p>
        </w:tc>
      </w:tr>
      <w:tr>
        <w:trPr>
          <w:trHeight w:val="442"/>
        </w:trPr>
        <w:tc>
          <w:tcPr>
            <w:tcW w:w="1480" w:type="dxa"/>
            <w:vAlign w:val="bottom"/>
          </w:tcPr>
          <w:p>
            <w:pPr>
              <w:jc w:val="center"/>
              <w:ind w:right="455"/>
              <w:spacing w:after="0"/>
              <w:rPr>
                <w:sz w:val="20"/>
                <w:szCs w:val="20"/>
                <w:color w:val="auto"/>
              </w:rPr>
            </w:pPr>
            <w:r>
              <w:rPr>
                <w:rFonts w:ascii="Arial" w:cs="Arial" w:eastAsia="Arial" w:hAnsi="Arial"/>
                <w:sz w:val="13"/>
                <w:szCs w:val="13"/>
                <w:color w:val="auto"/>
                <w:w w:val="89"/>
              </w:rPr>
              <w:t>6,498,018</w:t>
            </w:r>
          </w:p>
        </w:tc>
        <w:tc>
          <w:tcPr>
            <w:tcW w:w="6780" w:type="dxa"/>
            <w:vAlign w:val="bottom"/>
          </w:tcPr>
          <w:p>
            <w:pPr>
              <w:ind w:left="120"/>
              <w:spacing w:after="0"/>
              <w:rPr>
                <w:sz w:val="20"/>
                <w:szCs w:val="20"/>
                <w:color w:val="auto"/>
              </w:rPr>
            </w:pPr>
            <w:r>
              <w:rPr>
                <w:rFonts w:ascii="Arial" w:cs="Arial" w:eastAsia="Arial" w:hAnsi="Arial"/>
                <w:sz w:val="13"/>
                <w:szCs w:val="13"/>
                <w:color w:val="auto"/>
              </w:rPr>
              <w:t>Human CNS neural stem cells</w:t>
            </w:r>
          </w:p>
        </w:tc>
        <w:tc>
          <w:tcPr>
            <w:tcW w:w="1420" w:type="dxa"/>
            <w:vAlign w:val="bottom"/>
          </w:tcPr>
          <w:p>
            <w:pPr>
              <w:jc w:val="center"/>
              <w:spacing w:after="0"/>
              <w:rPr>
                <w:sz w:val="20"/>
                <w:szCs w:val="20"/>
                <w:color w:val="auto"/>
              </w:rPr>
            </w:pPr>
            <w:r>
              <w:rPr>
                <w:rFonts w:ascii="Arial" w:cs="Arial" w:eastAsia="Arial" w:hAnsi="Arial"/>
                <w:sz w:val="13"/>
                <w:szCs w:val="13"/>
                <w:color w:val="auto"/>
                <w:w w:val="92"/>
              </w:rPr>
              <w:t>6/19/17</w:t>
            </w:r>
          </w:p>
        </w:tc>
      </w:tr>
      <w:tr>
        <w:trPr>
          <w:trHeight w:val="435"/>
        </w:trPr>
        <w:tc>
          <w:tcPr>
            <w:tcW w:w="1480" w:type="dxa"/>
            <w:vAlign w:val="bottom"/>
          </w:tcPr>
          <w:p>
            <w:pPr>
              <w:jc w:val="center"/>
              <w:ind w:right="455"/>
              <w:spacing w:after="0"/>
              <w:rPr>
                <w:sz w:val="20"/>
                <w:szCs w:val="20"/>
                <w:color w:val="auto"/>
              </w:rPr>
            </w:pPr>
            <w:r>
              <w:rPr>
                <w:rFonts w:ascii="Arial" w:cs="Arial" w:eastAsia="Arial" w:hAnsi="Arial"/>
                <w:sz w:val="13"/>
                <w:szCs w:val="13"/>
                <w:color w:val="auto"/>
                <w:w w:val="89"/>
              </w:rPr>
              <w:t>6,777,233</w:t>
            </w:r>
          </w:p>
        </w:tc>
        <w:tc>
          <w:tcPr>
            <w:tcW w:w="6780" w:type="dxa"/>
            <w:vAlign w:val="bottom"/>
          </w:tcPr>
          <w:p>
            <w:pPr>
              <w:ind w:left="120"/>
              <w:spacing w:after="0"/>
              <w:rPr>
                <w:sz w:val="20"/>
                <w:szCs w:val="20"/>
                <w:color w:val="auto"/>
              </w:rPr>
            </w:pPr>
            <w:r>
              <w:rPr>
                <w:rFonts w:ascii="Arial" w:cs="Arial" w:eastAsia="Arial" w:hAnsi="Arial"/>
                <w:sz w:val="13"/>
                <w:szCs w:val="13"/>
                <w:color w:val="auto"/>
              </w:rPr>
              <w:t>Cultures of human CNS neural stem cells</w:t>
            </w:r>
          </w:p>
        </w:tc>
        <w:tc>
          <w:tcPr>
            <w:tcW w:w="1420" w:type="dxa"/>
            <w:vAlign w:val="bottom"/>
          </w:tcPr>
          <w:p>
            <w:pPr>
              <w:jc w:val="center"/>
              <w:spacing w:after="0"/>
              <w:rPr>
                <w:sz w:val="20"/>
                <w:szCs w:val="20"/>
                <w:color w:val="auto"/>
              </w:rPr>
            </w:pPr>
            <w:r>
              <w:rPr>
                <w:rFonts w:ascii="Arial" w:cs="Arial" w:eastAsia="Arial" w:hAnsi="Arial"/>
                <w:sz w:val="13"/>
                <w:szCs w:val="13"/>
                <w:color w:val="auto"/>
                <w:w w:val="92"/>
              </w:rPr>
              <w:t>6/19/18</w:t>
            </w:r>
          </w:p>
        </w:tc>
      </w:tr>
      <w:tr>
        <w:trPr>
          <w:trHeight w:val="165"/>
        </w:trPr>
        <w:tc>
          <w:tcPr>
            <w:tcW w:w="1480" w:type="dxa"/>
            <w:vAlign w:val="bottom"/>
          </w:tcPr>
          <w:p>
            <w:pPr>
              <w:spacing w:after="0"/>
              <w:rPr>
                <w:sz w:val="14"/>
                <w:szCs w:val="14"/>
                <w:color w:val="auto"/>
              </w:rPr>
            </w:pPr>
          </w:p>
        </w:tc>
        <w:tc>
          <w:tcPr>
            <w:tcW w:w="6780" w:type="dxa"/>
            <w:vAlign w:val="bottom"/>
          </w:tcPr>
          <w:p>
            <w:pPr>
              <w:spacing w:after="0"/>
              <w:rPr>
                <w:sz w:val="14"/>
                <w:szCs w:val="14"/>
                <w:color w:val="auto"/>
              </w:rPr>
            </w:pPr>
          </w:p>
        </w:tc>
        <w:tc>
          <w:tcPr>
            <w:tcW w:w="1420" w:type="dxa"/>
            <w:vAlign w:val="bottom"/>
          </w:tcPr>
          <w:p>
            <w:pPr>
              <w:jc w:val="center"/>
              <w:spacing w:after="0"/>
              <w:rPr>
                <w:sz w:val="20"/>
                <w:szCs w:val="20"/>
                <w:color w:val="auto"/>
              </w:rPr>
            </w:pPr>
            <w:r>
              <w:rPr>
                <w:rFonts w:ascii="Arial" w:cs="Arial" w:eastAsia="Arial" w:hAnsi="Arial"/>
                <w:sz w:val="13"/>
                <w:szCs w:val="13"/>
                <w:color w:val="auto"/>
                <w:w w:val="90"/>
              </w:rPr>
              <w:t>10/20/18</w:t>
            </w:r>
          </w:p>
        </w:tc>
      </w:tr>
      <w:tr>
        <w:trPr>
          <w:trHeight w:val="435"/>
        </w:trPr>
        <w:tc>
          <w:tcPr>
            <w:tcW w:w="1480" w:type="dxa"/>
            <w:vAlign w:val="bottom"/>
          </w:tcPr>
          <w:p>
            <w:pPr>
              <w:ind w:left="100"/>
              <w:spacing w:after="0"/>
              <w:rPr>
                <w:sz w:val="20"/>
                <w:szCs w:val="20"/>
                <w:color w:val="auto"/>
              </w:rPr>
            </w:pPr>
            <w:r>
              <w:rPr>
                <w:rFonts w:ascii="Arial" w:cs="Arial" w:eastAsia="Arial" w:hAnsi="Arial"/>
                <w:sz w:val="13"/>
                <w:szCs w:val="13"/>
                <w:color w:val="auto"/>
              </w:rPr>
              <w:t>Licensed from</w:t>
            </w:r>
          </w:p>
        </w:tc>
        <w:tc>
          <w:tcPr>
            <w:tcW w:w="6780" w:type="dxa"/>
            <w:vAlign w:val="bottom"/>
          </w:tcPr>
          <w:p>
            <w:pPr>
              <w:spacing w:after="0"/>
              <w:rPr>
                <w:sz w:val="24"/>
                <w:szCs w:val="24"/>
                <w:color w:val="auto"/>
              </w:rPr>
            </w:pPr>
          </w:p>
        </w:tc>
        <w:tc>
          <w:tcPr>
            <w:tcW w:w="1420" w:type="dxa"/>
            <w:vAlign w:val="bottom"/>
          </w:tcPr>
          <w:p>
            <w:pPr>
              <w:jc w:val="center"/>
              <w:spacing w:after="0"/>
              <w:rPr>
                <w:sz w:val="20"/>
                <w:szCs w:val="20"/>
                <w:color w:val="auto"/>
              </w:rPr>
            </w:pPr>
            <w:r>
              <w:rPr>
                <w:rFonts w:ascii="Arial" w:cs="Arial" w:eastAsia="Arial" w:hAnsi="Arial"/>
                <w:sz w:val="13"/>
                <w:szCs w:val="13"/>
                <w:color w:val="auto"/>
                <w:w w:val="92"/>
              </w:rPr>
              <w:t>9/25/18</w:t>
            </w:r>
          </w:p>
        </w:tc>
      </w:tr>
      <w:tr>
        <w:trPr>
          <w:trHeight w:val="165"/>
        </w:trPr>
        <w:tc>
          <w:tcPr>
            <w:tcW w:w="1480" w:type="dxa"/>
            <w:vAlign w:val="bottom"/>
          </w:tcPr>
          <w:p>
            <w:pPr>
              <w:jc w:val="center"/>
              <w:ind w:right="435"/>
              <w:spacing w:after="0"/>
              <w:rPr>
                <w:sz w:val="20"/>
                <w:szCs w:val="20"/>
                <w:color w:val="auto"/>
              </w:rPr>
            </w:pPr>
            <w:r>
              <w:rPr>
                <w:rFonts w:ascii="Arial" w:cs="Arial" w:eastAsia="Arial" w:hAnsi="Arial"/>
                <w:sz w:val="13"/>
                <w:szCs w:val="13"/>
                <w:color w:val="auto"/>
                <w:w w:val="88"/>
              </w:rPr>
              <w:t>NeuroSpheres</w:t>
            </w:r>
          </w:p>
        </w:tc>
        <w:tc>
          <w:tcPr>
            <w:tcW w:w="678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442"/>
        </w:trPr>
        <w:tc>
          <w:tcPr>
            <w:tcW w:w="1480" w:type="dxa"/>
            <w:vAlign w:val="bottom"/>
          </w:tcPr>
          <w:p>
            <w:pPr>
              <w:jc w:val="center"/>
              <w:ind w:right="455"/>
              <w:spacing w:after="0"/>
              <w:rPr>
                <w:sz w:val="20"/>
                <w:szCs w:val="20"/>
                <w:color w:val="auto"/>
              </w:rPr>
            </w:pPr>
            <w:r>
              <w:rPr>
                <w:rFonts w:ascii="Arial" w:cs="Arial" w:eastAsia="Arial" w:hAnsi="Arial"/>
                <w:sz w:val="13"/>
                <w:szCs w:val="13"/>
                <w:color w:val="auto"/>
                <w:w w:val="89"/>
              </w:rPr>
              <w:t>5,750,376</w:t>
            </w:r>
          </w:p>
        </w:tc>
        <w:tc>
          <w:tcPr>
            <w:tcW w:w="6780" w:type="dxa"/>
            <w:vAlign w:val="bottom"/>
          </w:tcPr>
          <w:p>
            <w:pPr>
              <w:ind w:left="120"/>
              <w:spacing w:after="0"/>
              <w:rPr>
                <w:sz w:val="20"/>
                <w:szCs w:val="20"/>
                <w:color w:val="auto"/>
              </w:rPr>
            </w:pPr>
            <w:r>
              <w:rPr>
                <w:rFonts w:ascii="Arial" w:cs="Arial" w:eastAsia="Arial" w:hAnsi="Arial"/>
                <w:sz w:val="13"/>
                <w:szCs w:val="13"/>
                <w:i w:val="1"/>
                <w:iCs w:val="1"/>
                <w:color w:val="auto"/>
              </w:rPr>
              <w:t xml:space="preserve">In vitro </w:t>
            </w:r>
            <w:r>
              <w:rPr>
                <w:rFonts w:ascii="Arial" w:cs="Arial" w:eastAsia="Arial" w:hAnsi="Arial"/>
                <w:sz w:val="13"/>
                <w:szCs w:val="13"/>
                <w:color w:val="auto"/>
              </w:rPr>
              <w:t>genetic modification</w:t>
            </w:r>
          </w:p>
        </w:tc>
        <w:tc>
          <w:tcPr>
            <w:tcW w:w="1420" w:type="dxa"/>
            <w:vAlign w:val="bottom"/>
          </w:tcPr>
          <w:p>
            <w:pPr>
              <w:jc w:val="center"/>
              <w:spacing w:after="0"/>
              <w:rPr>
                <w:sz w:val="20"/>
                <w:szCs w:val="20"/>
                <w:color w:val="auto"/>
              </w:rPr>
            </w:pPr>
            <w:r>
              <w:rPr>
                <w:rFonts w:ascii="Arial" w:cs="Arial" w:eastAsia="Arial" w:hAnsi="Arial"/>
                <w:sz w:val="13"/>
                <w:szCs w:val="13"/>
                <w:color w:val="auto"/>
                <w:w w:val="90"/>
              </w:rPr>
              <w:t>10/20/18</w:t>
            </w:r>
          </w:p>
        </w:tc>
      </w:tr>
      <w:tr>
        <w:trPr>
          <w:trHeight w:val="442"/>
        </w:trPr>
        <w:tc>
          <w:tcPr>
            <w:tcW w:w="1480" w:type="dxa"/>
            <w:vAlign w:val="bottom"/>
          </w:tcPr>
          <w:p>
            <w:pPr>
              <w:jc w:val="center"/>
              <w:ind w:right="455"/>
              <w:spacing w:after="0"/>
              <w:rPr>
                <w:sz w:val="20"/>
                <w:szCs w:val="20"/>
                <w:color w:val="auto"/>
              </w:rPr>
            </w:pPr>
            <w:r>
              <w:rPr>
                <w:rFonts w:ascii="Arial" w:cs="Arial" w:eastAsia="Arial" w:hAnsi="Arial"/>
                <w:sz w:val="13"/>
                <w:szCs w:val="13"/>
                <w:color w:val="auto"/>
                <w:w w:val="89"/>
              </w:rPr>
              <w:t>5,851,832</w:t>
            </w:r>
          </w:p>
        </w:tc>
        <w:tc>
          <w:tcPr>
            <w:tcW w:w="6780" w:type="dxa"/>
            <w:vAlign w:val="bottom"/>
          </w:tcPr>
          <w:p>
            <w:pPr>
              <w:ind w:left="120"/>
              <w:spacing w:after="0"/>
              <w:rPr>
                <w:sz w:val="20"/>
                <w:szCs w:val="20"/>
                <w:color w:val="auto"/>
              </w:rPr>
            </w:pPr>
            <w:r>
              <w:rPr>
                <w:rFonts w:ascii="Arial" w:cs="Arial" w:eastAsia="Arial" w:hAnsi="Arial"/>
                <w:sz w:val="13"/>
                <w:szCs w:val="13"/>
                <w:i w:val="1"/>
                <w:iCs w:val="1"/>
                <w:color w:val="auto"/>
              </w:rPr>
              <w:t xml:space="preserve">In vitro </w:t>
            </w:r>
            <w:r>
              <w:rPr>
                <w:rFonts w:ascii="Arial" w:cs="Arial" w:eastAsia="Arial" w:hAnsi="Arial"/>
                <w:sz w:val="13"/>
                <w:szCs w:val="13"/>
                <w:color w:val="auto"/>
              </w:rPr>
              <w:t>proliferation</w:t>
            </w:r>
          </w:p>
        </w:tc>
        <w:tc>
          <w:tcPr>
            <w:tcW w:w="1420" w:type="dxa"/>
            <w:vAlign w:val="bottom"/>
          </w:tcPr>
          <w:p>
            <w:pPr>
              <w:jc w:val="center"/>
              <w:spacing w:after="0"/>
              <w:rPr>
                <w:sz w:val="20"/>
                <w:szCs w:val="20"/>
                <w:color w:val="auto"/>
              </w:rPr>
            </w:pPr>
            <w:r>
              <w:rPr>
                <w:rFonts w:ascii="Arial" w:cs="Arial" w:eastAsia="Arial" w:hAnsi="Arial"/>
                <w:sz w:val="13"/>
                <w:szCs w:val="13"/>
                <w:color w:val="auto"/>
                <w:w w:val="93"/>
              </w:rPr>
              <w:t>6/4/19</w:t>
            </w:r>
          </w:p>
        </w:tc>
      </w:tr>
      <w:tr>
        <w:trPr>
          <w:trHeight w:val="442"/>
        </w:trPr>
        <w:tc>
          <w:tcPr>
            <w:tcW w:w="1480" w:type="dxa"/>
            <w:vAlign w:val="bottom"/>
          </w:tcPr>
          <w:p>
            <w:pPr>
              <w:jc w:val="center"/>
              <w:ind w:right="455"/>
              <w:spacing w:after="0"/>
              <w:rPr>
                <w:sz w:val="20"/>
                <w:szCs w:val="20"/>
                <w:color w:val="auto"/>
              </w:rPr>
            </w:pPr>
            <w:r>
              <w:rPr>
                <w:rFonts w:ascii="Arial" w:cs="Arial" w:eastAsia="Arial" w:hAnsi="Arial"/>
                <w:sz w:val="13"/>
                <w:szCs w:val="13"/>
                <w:color w:val="auto"/>
                <w:w w:val="89"/>
              </w:rPr>
              <w:t>5,980,885</w:t>
            </w:r>
          </w:p>
        </w:tc>
        <w:tc>
          <w:tcPr>
            <w:tcW w:w="6780" w:type="dxa"/>
            <w:vAlign w:val="bottom"/>
          </w:tcPr>
          <w:p>
            <w:pPr>
              <w:ind w:left="120"/>
              <w:spacing w:after="0"/>
              <w:rPr>
                <w:sz w:val="20"/>
                <w:szCs w:val="20"/>
                <w:color w:val="auto"/>
              </w:rPr>
            </w:pPr>
            <w:r>
              <w:rPr>
                <w:rFonts w:ascii="Arial" w:cs="Arial" w:eastAsia="Arial" w:hAnsi="Arial"/>
                <w:sz w:val="13"/>
                <w:szCs w:val="13"/>
                <w:color w:val="auto"/>
              </w:rPr>
              <w:t xml:space="preserve">Methods for inducing </w:t>
            </w:r>
            <w:r>
              <w:rPr>
                <w:rFonts w:ascii="Arial" w:cs="Arial" w:eastAsia="Arial" w:hAnsi="Arial"/>
                <w:sz w:val="13"/>
                <w:szCs w:val="13"/>
                <w:i w:val="1"/>
                <w:iCs w:val="1"/>
                <w:color w:val="auto"/>
              </w:rPr>
              <w:t>in vivo</w:t>
            </w:r>
            <w:r>
              <w:rPr>
                <w:rFonts w:ascii="Arial" w:cs="Arial" w:eastAsia="Arial" w:hAnsi="Arial"/>
                <w:sz w:val="13"/>
                <w:szCs w:val="13"/>
                <w:color w:val="auto"/>
              </w:rPr>
              <w:t xml:space="preserve"> proliferation of precursor cells</w:t>
            </w:r>
          </w:p>
        </w:tc>
        <w:tc>
          <w:tcPr>
            <w:tcW w:w="1420" w:type="dxa"/>
            <w:vAlign w:val="bottom"/>
          </w:tcPr>
          <w:p>
            <w:pPr>
              <w:jc w:val="center"/>
              <w:spacing w:after="0"/>
              <w:rPr>
                <w:sz w:val="20"/>
                <w:szCs w:val="20"/>
                <w:color w:val="auto"/>
              </w:rPr>
            </w:pPr>
            <w:r>
              <w:rPr>
                <w:rFonts w:ascii="Arial" w:cs="Arial" w:eastAsia="Arial" w:hAnsi="Arial"/>
                <w:sz w:val="13"/>
                <w:szCs w:val="13"/>
                <w:color w:val="auto"/>
                <w:w w:val="90"/>
              </w:rPr>
              <w:t>12/24/19</w:t>
            </w:r>
          </w:p>
        </w:tc>
      </w:tr>
      <w:tr>
        <w:trPr>
          <w:trHeight w:val="442"/>
        </w:trPr>
        <w:tc>
          <w:tcPr>
            <w:tcW w:w="1480" w:type="dxa"/>
            <w:vAlign w:val="bottom"/>
          </w:tcPr>
          <w:p>
            <w:pPr>
              <w:jc w:val="center"/>
              <w:ind w:right="455"/>
              <w:spacing w:after="0"/>
              <w:rPr>
                <w:sz w:val="20"/>
                <w:szCs w:val="20"/>
                <w:color w:val="auto"/>
              </w:rPr>
            </w:pPr>
            <w:r>
              <w:rPr>
                <w:rFonts w:ascii="Arial" w:cs="Arial" w:eastAsia="Arial" w:hAnsi="Arial"/>
                <w:sz w:val="13"/>
                <w:szCs w:val="13"/>
                <w:color w:val="auto"/>
                <w:w w:val="89"/>
              </w:rPr>
              <w:t>5,981,165</w:t>
            </w:r>
          </w:p>
        </w:tc>
        <w:tc>
          <w:tcPr>
            <w:tcW w:w="6780" w:type="dxa"/>
            <w:vAlign w:val="bottom"/>
          </w:tcPr>
          <w:p>
            <w:pPr>
              <w:ind w:left="120"/>
              <w:spacing w:after="0"/>
              <w:rPr>
                <w:sz w:val="20"/>
                <w:szCs w:val="20"/>
                <w:color w:val="auto"/>
              </w:rPr>
            </w:pPr>
            <w:r>
              <w:rPr>
                <w:rFonts w:ascii="Arial" w:cs="Arial" w:eastAsia="Arial" w:hAnsi="Arial"/>
                <w:sz w:val="13"/>
                <w:szCs w:val="13"/>
                <w:i w:val="1"/>
                <w:iCs w:val="1"/>
                <w:color w:val="auto"/>
                <w:w w:val="99"/>
              </w:rPr>
              <w:t xml:space="preserve">In vitro </w:t>
            </w:r>
            <w:r>
              <w:rPr>
                <w:rFonts w:ascii="Arial" w:cs="Arial" w:eastAsia="Arial" w:hAnsi="Arial"/>
                <w:sz w:val="13"/>
                <w:szCs w:val="13"/>
                <w:color w:val="auto"/>
                <w:w w:val="99"/>
              </w:rPr>
              <w:t>production of dopaminergic cells from mammalian central nervous system multipotent stem cell compositions</w:t>
            </w:r>
          </w:p>
        </w:tc>
        <w:tc>
          <w:tcPr>
            <w:tcW w:w="1420" w:type="dxa"/>
            <w:vAlign w:val="bottom"/>
          </w:tcPr>
          <w:p>
            <w:pPr>
              <w:jc w:val="center"/>
              <w:spacing w:after="0"/>
              <w:rPr>
                <w:sz w:val="20"/>
                <w:szCs w:val="20"/>
                <w:color w:val="auto"/>
              </w:rPr>
            </w:pPr>
            <w:r>
              <w:rPr>
                <w:rFonts w:ascii="Arial" w:cs="Arial" w:eastAsia="Arial" w:hAnsi="Arial"/>
                <w:sz w:val="13"/>
                <w:szCs w:val="13"/>
                <w:color w:val="auto"/>
                <w:w w:val="92"/>
              </w:rPr>
              <w:t>6/19/18</w:t>
            </w:r>
          </w:p>
        </w:tc>
      </w:tr>
      <w:tr>
        <w:trPr>
          <w:trHeight w:val="442"/>
        </w:trPr>
        <w:tc>
          <w:tcPr>
            <w:tcW w:w="1480" w:type="dxa"/>
            <w:vAlign w:val="bottom"/>
          </w:tcPr>
          <w:p>
            <w:pPr>
              <w:jc w:val="center"/>
              <w:ind w:right="455"/>
              <w:spacing w:after="0"/>
              <w:rPr>
                <w:sz w:val="20"/>
                <w:szCs w:val="20"/>
                <w:color w:val="auto"/>
              </w:rPr>
            </w:pPr>
            <w:r>
              <w:rPr>
                <w:rFonts w:ascii="Arial" w:cs="Arial" w:eastAsia="Arial" w:hAnsi="Arial"/>
                <w:sz w:val="13"/>
                <w:szCs w:val="13"/>
                <w:color w:val="auto"/>
                <w:w w:val="89"/>
              </w:rPr>
              <w:t>6,071,889</w:t>
            </w:r>
          </w:p>
        </w:tc>
        <w:tc>
          <w:tcPr>
            <w:tcW w:w="6780" w:type="dxa"/>
            <w:vAlign w:val="bottom"/>
          </w:tcPr>
          <w:p>
            <w:pPr>
              <w:ind w:left="120"/>
              <w:spacing w:after="0"/>
              <w:rPr>
                <w:sz w:val="20"/>
                <w:szCs w:val="20"/>
                <w:color w:val="auto"/>
              </w:rPr>
            </w:pPr>
            <w:r>
              <w:rPr>
                <w:rFonts w:ascii="Arial" w:cs="Arial" w:eastAsia="Arial" w:hAnsi="Arial"/>
                <w:sz w:val="13"/>
                <w:szCs w:val="13"/>
                <w:color w:val="auto"/>
              </w:rPr>
              <w:t xml:space="preserve">Methods for </w:t>
            </w:r>
            <w:r>
              <w:rPr>
                <w:rFonts w:ascii="Arial" w:cs="Arial" w:eastAsia="Arial" w:hAnsi="Arial"/>
                <w:sz w:val="13"/>
                <w:szCs w:val="13"/>
                <w:i w:val="1"/>
                <w:iCs w:val="1"/>
                <w:color w:val="auto"/>
              </w:rPr>
              <w:t>in vivo</w:t>
            </w:r>
            <w:r>
              <w:rPr>
                <w:rFonts w:ascii="Arial" w:cs="Arial" w:eastAsia="Arial" w:hAnsi="Arial"/>
                <w:sz w:val="13"/>
                <w:szCs w:val="13"/>
                <w:color w:val="auto"/>
              </w:rPr>
              <w:t xml:space="preserve"> transfer of a nucleic acid sequence to proliferating neural cells</w:t>
            </w:r>
          </w:p>
        </w:tc>
        <w:tc>
          <w:tcPr>
            <w:tcW w:w="1420" w:type="dxa"/>
            <w:vAlign w:val="bottom"/>
          </w:tcPr>
          <w:p>
            <w:pPr>
              <w:jc w:val="center"/>
              <w:spacing w:after="0"/>
              <w:rPr>
                <w:sz w:val="20"/>
                <w:szCs w:val="20"/>
                <w:color w:val="auto"/>
              </w:rPr>
            </w:pPr>
            <w:r>
              <w:rPr>
                <w:rFonts w:ascii="Arial" w:cs="Arial" w:eastAsia="Arial" w:hAnsi="Arial"/>
                <w:sz w:val="13"/>
                <w:szCs w:val="13"/>
                <w:color w:val="auto"/>
                <w:w w:val="92"/>
              </w:rPr>
              <w:t>6/19/18</w:t>
            </w:r>
          </w:p>
        </w:tc>
      </w:tr>
      <w:tr>
        <w:trPr>
          <w:trHeight w:val="442"/>
        </w:trPr>
        <w:tc>
          <w:tcPr>
            <w:tcW w:w="1480" w:type="dxa"/>
            <w:vAlign w:val="bottom"/>
          </w:tcPr>
          <w:p>
            <w:pPr>
              <w:jc w:val="center"/>
              <w:ind w:right="455"/>
              <w:spacing w:after="0"/>
              <w:rPr>
                <w:sz w:val="20"/>
                <w:szCs w:val="20"/>
                <w:color w:val="auto"/>
              </w:rPr>
            </w:pPr>
            <w:r>
              <w:rPr>
                <w:rFonts w:ascii="Arial" w:cs="Arial" w:eastAsia="Arial" w:hAnsi="Arial"/>
                <w:sz w:val="13"/>
                <w:szCs w:val="13"/>
                <w:color w:val="auto"/>
                <w:w w:val="89"/>
              </w:rPr>
              <w:t>6,093,531</w:t>
            </w:r>
          </w:p>
        </w:tc>
        <w:tc>
          <w:tcPr>
            <w:tcW w:w="6780" w:type="dxa"/>
            <w:vAlign w:val="bottom"/>
          </w:tcPr>
          <w:p>
            <w:pPr>
              <w:ind w:left="120"/>
              <w:spacing w:after="0"/>
              <w:rPr>
                <w:sz w:val="20"/>
                <w:szCs w:val="20"/>
                <w:color w:val="auto"/>
              </w:rPr>
            </w:pPr>
            <w:r>
              <w:rPr>
                <w:rFonts w:ascii="Arial" w:cs="Arial" w:eastAsia="Arial" w:hAnsi="Arial"/>
                <w:sz w:val="13"/>
                <w:szCs w:val="13"/>
                <w:color w:val="auto"/>
              </w:rPr>
              <w:t>Generation of hematopoietic cells from multipotent neural stem cells</w:t>
            </w:r>
          </w:p>
        </w:tc>
        <w:tc>
          <w:tcPr>
            <w:tcW w:w="1420" w:type="dxa"/>
            <w:vAlign w:val="bottom"/>
          </w:tcPr>
          <w:p>
            <w:pPr>
              <w:jc w:val="center"/>
              <w:spacing w:after="0"/>
              <w:rPr>
                <w:sz w:val="20"/>
                <w:szCs w:val="20"/>
                <w:color w:val="auto"/>
              </w:rPr>
            </w:pPr>
            <w:r>
              <w:rPr>
                <w:rFonts w:ascii="Arial" w:cs="Arial" w:eastAsia="Arial" w:hAnsi="Arial"/>
                <w:sz w:val="13"/>
                <w:szCs w:val="13"/>
                <w:color w:val="auto"/>
                <w:w w:val="90"/>
              </w:rPr>
              <w:t>10/20/18</w:t>
            </w:r>
          </w:p>
        </w:tc>
      </w:tr>
      <w:tr>
        <w:trPr>
          <w:trHeight w:val="442"/>
        </w:trPr>
        <w:tc>
          <w:tcPr>
            <w:tcW w:w="1480" w:type="dxa"/>
            <w:vAlign w:val="bottom"/>
          </w:tcPr>
          <w:p>
            <w:pPr>
              <w:jc w:val="center"/>
              <w:ind w:right="455"/>
              <w:spacing w:after="0"/>
              <w:rPr>
                <w:sz w:val="20"/>
                <w:szCs w:val="20"/>
                <w:color w:val="auto"/>
              </w:rPr>
            </w:pPr>
            <w:r>
              <w:rPr>
                <w:rFonts w:ascii="Arial" w:cs="Arial" w:eastAsia="Arial" w:hAnsi="Arial"/>
                <w:sz w:val="13"/>
                <w:szCs w:val="13"/>
                <w:color w:val="auto"/>
                <w:w w:val="89"/>
              </w:rPr>
              <w:t>6,165,783</w:t>
            </w:r>
          </w:p>
        </w:tc>
        <w:tc>
          <w:tcPr>
            <w:tcW w:w="6780" w:type="dxa"/>
            <w:vAlign w:val="bottom"/>
          </w:tcPr>
          <w:p>
            <w:pPr>
              <w:ind w:left="120"/>
              <w:spacing w:after="0"/>
              <w:rPr>
                <w:sz w:val="20"/>
                <w:szCs w:val="20"/>
                <w:color w:val="auto"/>
              </w:rPr>
            </w:pPr>
            <w:r>
              <w:rPr>
                <w:rFonts w:ascii="Arial" w:cs="Arial" w:eastAsia="Arial" w:hAnsi="Arial"/>
                <w:sz w:val="13"/>
                <w:szCs w:val="13"/>
                <w:color w:val="auto"/>
              </w:rPr>
              <w:t>Methods of inducing differentiation of multipotent neural stem cells</w:t>
            </w:r>
          </w:p>
        </w:tc>
        <w:tc>
          <w:tcPr>
            <w:tcW w:w="1420" w:type="dxa"/>
            <w:vAlign w:val="bottom"/>
          </w:tcPr>
          <w:p>
            <w:pPr>
              <w:spacing w:after="0"/>
              <w:rPr>
                <w:sz w:val="24"/>
                <w:szCs w:val="24"/>
                <w:color w:val="auto"/>
              </w:rPr>
            </w:pPr>
          </w:p>
        </w:tc>
      </w:tr>
      <w:tr>
        <w:trPr>
          <w:trHeight w:val="442"/>
        </w:trPr>
        <w:tc>
          <w:tcPr>
            <w:tcW w:w="1480" w:type="dxa"/>
            <w:vAlign w:val="bottom"/>
          </w:tcPr>
          <w:p>
            <w:pPr>
              <w:jc w:val="center"/>
              <w:ind w:right="455"/>
              <w:spacing w:after="0"/>
              <w:rPr>
                <w:sz w:val="20"/>
                <w:szCs w:val="20"/>
                <w:color w:val="auto"/>
              </w:rPr>
            </w:pPr>
            <w:r>
              <w:rPr>
                <w:rFonts w:ascii="Arial" w:cs="Arial" w:eastAsia="Arial" w:hAnsi="Arial"/>
                <w:sz w:val="13"/>
                <w:szCs w:val="13"/>
                <w:color w:val="auto"/>
                <w:w w:val="89"/>
              </w:rPr>
              <w:t>6,294,346</w:t>
            </w:r>
          </w:p>
        </w:tc>
        <w:tc>
          <w:tcPr>
            <w:tcW w:w="6780" w:type="dxa"/>
            <w:vAlign w:val="bottom"/>
          </w:tcPr>
          <w:p>
            <w:pPr>
              <w:ind w:left="120"/>
              <w:spacing w:after="0"/>
              <w:rPr>
                <w:sz w:val="20"/>
                <w:szCs w:val="20"/>
                <w:color w:val="auto"/>
              </w:rPr>
            </w:pPr>
            <w:r>
              <w:rPr>
                <w:rFonts w:ascii="Arial" w:cs="Arial" w:eastAsia="Arial" w:hAnsi="Arial"/>
                <w:sz w:val="13"/>
                <w:szCs w:val="13"/>
                <w:color w:val="auto"/>
              </w:rPr>
              <w:t>Methods for screening biological agents</w:t>
            </w:r>
          </w:p>
        </w:tc>
        <w:tc>
          <w:tcPr>
            <w:tcW w:w="1420" w:type="dxa"/>
            <w:vAlign w:val="bottom"/>
          </w:tcPr>
          <w:p>
            <w:pPr>
              <w:spacing w:after="0"/>
              <w:rPr>
                <w:sz w:val="24"/>
                <w:szCs w:val="24"/>
                <w:color w:val="auto"/>
              </w:rPr>
            </w:pPr>
          </w:p>
        </w:tc>
      </w:tr>
      <w:tr>
        <w:trPr>
          <w:trHeight w:val="442"/>
        </w:trPr>
        <w:tc>
          <w:tcPr>
            <w:tcW w:w="1480" w:type="dxa"/>
            <w:vAlign w:val="bottom"/>
          </w:tcPr>
          <w:p>
            <w:pPr>
              <w:jc w:val="center"/>
              <w:ind w:right="455"/>
              <w:spacing w:after="0"/>
              <w:rPr>
                <w:sz w:val="20"/>
                <w:szCs w:val="20"/>
                <w:color w:val="auto"/>
              </w:rPr>
            </w:pPr>
            <w:r>
              <w:rPr>
                <w:rFonts w:ascii="Arial" w:cs="Arial" w:eastAsia="Arial" w:hAnsi="Arial"/>
                <w:sz w:val="13"/>
                <w:szCs w:val="13"/>
                <w:color w:val="auto"/>
                <w:w w:val="89"/>
              </w:rPr>
              <w:t>6,368,854</w:t>
            </w:r>
          </w:p>
        </w:tc>
        <w:tc>
          <w:tcPr>
            <w:tcW w:w="6780" w:type="dxa"/>
            <w:vAlign w:val="bottom"/>
          </w:tcPr>
          <w:p>
            <w:pPr>
              <w:ind w:left="120"/>
              <w:spacing w:after="0"/>
              <w:rPr>
                <w:sz w:val="20"/>
                <w:szCs w:val="20"/>
                <w:color w:val="auto"/>
              </w:rPr>
            </w:pPr>
            <w:r>
              <w:rPr>
                <w:rFonts w:ascii="Arial" w:cs="Arial" w:eastAsia="Arial" w:hAnsi="Arial"/>
                <w:sz w:val="13"/>
                <w:szCs w:val="13"/>
                <w:color w:val="auto"/>
              </w:rPr>
              <w:t>Hypoxia-mediated neurogenesis</w:t>
            </w:r>
          </w:p>
        </w:tc>
        <w:tc>
          <w:tcPr>
            <w:tcW w:w="1420" w:type="dxa"/>
            <w:vAlign w:val="bottom"/>
          </w:tcPr>
          <w:p>
            <w:pPr>
              <w:jc w:val="center"/>
              <w:spacing w:after="0"/>
              <w:rPr>
                <w:sz w:val="20"/>
                <w:szCs w:val="20"/>
                <w:color w:val="auto"/>
              </w:rPr>
            </w:pPr>
            <w:r>
              <w:rPr>
                <w:rFonts w:ascii="Arial" w:cs="Arial" w:eastAsia="Arial" w:hAnsi="Arial"/>
                <w:sz w:val="13"/>
                <w:szCs w:val="13"/>
                <w:color w:val="auto"/>
                <w:w w:val="90"/>
              </w:rPr>
              <w:t>12/31/13</w:t>
            </w:r>
          </w:p>
        </w:tc>
      </w:tr>
      <w:tr>
        <w:trPr>
          <w:trHeight w:val="442"/>
        </w:trPr>
        <w:tc>
          <w:tcPr>
            <w:tcW w:w="1480" w:type="dxa"/>
            <w:vAlign w:val="bottom"/>
          </w:tcPr>
          <w:p>
            <w:pPr>
              <w:jc w:val="center"/>
              <w:ind w:right="455"/>
              <w:spacing w:after="0"/>
              <w:rPr>
                <w:sz w:val="20"/>
                <w:szCs w:val="20"/>
                <w:color w:val="auto"/>
              </w:rPr>
            </w:pPr>
            <w:r>
              <w:rPr>
                <w:rFonts w:ascii="Arial" w:cs="Arial" w:eastAsia="Arial" w:hAnsi="Arial"/>
                <w:sz w:val="13"/>
                <w:szCs w:val="13"/>
                <w:color w:val="auto"/>
                <w:w w:val="89"/>
              </w:rPr>
              <w:t>6,399,369</w:t>
            </w:r>
          </w:p>
        </w:tc>
        <w:tc>
          <w:tcPr>
            <w:tcW w:w="6780" w:type="dxa"/>
            <w:vAlign w:val="bottom"/>
          </w:tcPr>
          <w:p>
            <w:pPr>
              <w:ind w:left="120"/>
              <w:spacing w:after="0"/>
              <w:rPr>
                <w:sz w:val="20"/>
                <w:szCs w:val="20"/>
                <w:color w:val="auto"/>
              </w:rPr>
            </w:pPr>
            <w:r>
              <w:rPr>
                <w:rFonts w:ascii="Arial" w:cs="Arial" w:eastAsia="Arial" w:hAnsi="Arial"/>
                <w:sz w:val="13"/>
                <w:szCs w:val="13"/>
                <w:color w:val="auto"/>
              </w:rPr>
              <w:t>cDNA libraries derived from populations of non-primary neural cells</w:t>
            </w:r>
          </w:p>
        </w:tc>
        <w:tc>
          <w:tcPr>
            <w:tcW w:w="1420" w:type="dxa"/>
            <w:vAlign w:val="bottom"/>
          </w:tcPr>
          <w:p>
            <w:pPr>
              <w:jc w:val="center"/>
              <w:spacing w:after="0"/>
              <w:rPr>
                <w:sz w:val="20"/>
                <w:szCs w:val="20"/>
                <w:color w:val="auto"/>
              </w:rPr>
            </w:pPr>
            <w:r>
              <w:rPr>
                <w:rFonts w:ascii="Arial" w:cs="Arial" w:eastAsia="Arial" w:hAnsi="Arial"/>
                <w:sz w:val="13"/>
                <w:szCs w:val="13"/>
                <w:color w:val="auto"/>
                <w:w w:val="92"/>
              </w:rPr>
              <w:t>5/13/14</w:t>
            </w:r>
          </w:p>
        </w:tc>
      </w:tr>
      <w:tr>
        <w:trPr>
          <w:trHeight w:val="442"/>
        </w:trPr>
        <w:tc>
          <w:tcPr>
            <w:tcW w:w="1480" w:type="dxa"/>
            <w:vAlign w:val="bottom"/>
          </w:tcPr>
          <w:p>
            <w:pPr>
              <w:jc w:val="center"/>
              <w:ind w:right="455"/>
              <w:spacing w:after="0"/>
              <w:rPr>
                <w:sz w:val="20"/>
                <w:szCs w:val="20"/>
                <w:color w:val="auto"/>
              </w:rPr>
            </w:pPr>
            <w:r>
              <w:rPr>
                <w:rFonts w:ascii="Arial" w:cs="Arial" w:eastAsia="Arial" w:hAnsi="Arial"/>
                <w:sz w:val="13"/>
                <w:szCs w:val="13"/>
                <w:color w:val="auto"/>
                <w:w w:val="89"/>
              </w:rPr>
              <w:t>6,497,872</w:t>
            </w:r>
          </w:p>
        </w:tc>
        <w:tc>
          <w:tcPr>
            <w:tcW w:w="6780" w:type="dxa"/>
            <w:vAlign w:val="bottom"/>
          </w:tcPr>
          <w:p>
            <w:pPr>
              <w:ind w:left="120"/>
              <w:spacing w:after="0"/>
              <w:rPr>
                <w:sz w:val="20"/>
                <w:szCs w:val="20"/>
                <w:color w:val="auto"/>
              </w:rPr>
            </w:pPr>
            <w:r>
              <w:rPr>
                <w:rFonts w:ascii="Arial" w:cs="Arial" w:eastAsia="Arial" w:hAnsi="Arial"/>
                <w:sz w:val="13"/>
                <w:szCs w:val="13"/>
                <w:color w:val="auto"/>
              </w:rPr>
              <w:t>Neural transplantation using proliferated multipotent neural stem cells and their progeny</w:t>
            </w:r>
          </w:p>
        </w:tc>
        <w:tc>
          <w:tcPr>
            <w:tcW w:w="1420" w:type="dxa"/>
            <w:vAlign w:val="bottom"/>
          </w:tcPr>
          <w:p>
            <w:pPr>
              <w:jc w:val="center"/>
              <w:spacing w:after="0"/>
              <w:rPr>
                <w:sz w:val="20"/>
                <w:szCs w:val="20"/>
                <w:color w:val="auto"/>
              </w:rPr>
            </w:pPr>
            <w:r>
              <w:rPr>
                <w:rFonts w:ascii="Arial" w:cs="Arial" w:eastAsia="Arial" w:hAnsi="Arial"/>
                <w:sz w:val="13"/>
                <w:szCs w:val="13"/>
                <w:color w:val="auto"/>
                <w:w w:val="93"/>
              </w:rPr>
              <w:t>8/5/14</w:t>
            </w:r>
          </w:p>
        </w:tc>
      </w:tr>
      <w:tr>
        <w:trPr>
          <w:trHeight w:val="442"/>
        </w:trPr>
        <w:tc>
          <w:tcPr>
            <w:tcW w:w="1480" w:type="dxa"/>
            <w:vAlign w:val="bottom"/>
          </w:tcPr>
          <w:p>
            <w:pPr>
              <w:jc w:val="center"/>
              <w:ind w:right="455"/>
              <w:spacing w:after="0"/>
              <w:rPr>
                <w:sz w:val="20"/>
                <w:szCs w:val="20"/>
                <w:color w:val="auto"/>
              </w:rPr>
            </w:pPr>
            <w:r>
              <w:rPr>
                <w:rFonts w:ascii="Arial" w:cs="Arial" w:eastAsia="Arial" w:hAnsi="Arial"/>
                <w:sz w:val="13"/>
                <w:szCs w:val="13"/>
                <w:color w:val="auto"/>
                <w:w w:val="89"/>
              </w:rPr>
              <w:t>6,638,501</w:t>
            </w:r>
          </w:p>
        </w:tc>
        <w:tc>
          <w:tcPr>
            <w:tcW w:w="6780" w:type="dxa"/>
            <w:vAlign w:val="bottom"/>
          </w:tcPr>
          <w:p>
            <w:pPr>
              <w:ind w:left="120"/>
              <w:spacing w:after="0"/>
              <w:rPr>
                <w:sz w:val="20"/>
                <w:szCs w:val="20"/>
                <w:color w:val="auto"/>
              </w:rPr>
            </w:pPr>
            <w:r>
              <w:rPr>
                <w:rFonts w:ascii="Arial" w:cs="Arial" w:eastAsia="Arial" w:hAnsi="Arial"/>
                <w:sz w:val="13"/>
                <w:szCs w:val="13"/>
                <w:color w:val="auto"/>
              </w:rPr>
              <w:t>Use of multipotent neural stem cell progeny to augment non-neural tissues</w:t>
            </w:r>
          </w:p>
        </w:tc>
        <w:tc>
          <w:tcPr>
            <w:tcW w:w="1420" w:type="dxa"/>
            <w:vAlign w:val="bottom"/>
          </w:tcPr>
          <w:p>
            <w:pPr>
              <w:jc w:val="center"/>
              <w:spacing w:after="0"/>
              <w:rPr>
                <w:sz w:val="20"/>
                <w:szCs w:val="20"/>
                <w:color w:val="auto"/>
              </w:rPr>
            </w:pPr>
            <w:r>
              <w:rPr>
                <w:rFonts w:ascii="Arial" w:cs="Arial" w:eastAsia="Arial" w:hAnsi="Arial"/>
                <w:sz w:val="13"/>
                <w:szCs w:val="13"/>
                <w:color w:val="auto"/>
                <w:w w:val="92"/>
              </w:rPr>
              <w:t>9/30/14</w:t>
            </w:r>
          </w:p>
        </w:tc>
      </w:tr>
      <w:tr>
        <w:trPr>
          <w:trHeight w:val="442"/>
        </w:trPr>
        <w:tc>
          <w:tcPr>
            <w:tcW w:w="1480" w:type="dxa"/>
            <w:vAlign w:val="bottom"/>
          </w:tcPr>
          <w:p>
            <w:pPr>
              <w:jc w:val="center"/>
              <w:ind w:right="435"/>
              <w:spacing w:after="0"/>
              <w:rPr>
                <w:sz w:val="20"/>
                <w:szCs w:val="20"/>
                <w:color w:val="auto"/>
              </w:rPr>
            </w:pPr>
            <w:r>
              <w:rPr>
                <w:rFonts w:ascii="Arial" w:cs="Arial" w:eastAsia="Arial" w:hAnsi="Arial"/>
                <w:sz w:val="13"/>
                <w:szCs w:val="13"/>
                <w:color w:val="auto"/>
                <w:w w:val="90"/>
              </w:rPr>
              <w:t>6,897,060 B1</w:t>
            </w:r>
          </w:p>
        </w:tc>
        <w:tc>
          <w:tcPr>
            <w:tcW w:w="6780" w:type="dxa"/>
            <w:vAlign w:val="bottom"/>
          </w:tcPr>
          <w:p>
            <w:pPr>
              <w:ind w:left="120"/>
              <w:spacing w:after="0"/>
              <w:rPr>
                <w:sz w:val="20"/>
                <w:szCs w:val="20"/>
                <w:color w:val="auto"/>
              </w:rPr>
            </w:pPr>
            <w:r>
              <w:rPr>
                <w:rFonts w:ascii="Arial" w:cs="Arial" w:eastAsia="Arial" w:hAnsi="Arial"/>
                <w:sz w:val="13"/>
                <w:szCs w:val="13"/>
                <w:color w:val="auto"/>
              </w:rPr>
              <w:t>Generation of hematopoietic cells</w:t>
            </w:r>
          </w:p>
        </w:tc>
        <w:tc>
          <w:tcPr>
            <w:tcW w:w="1420" w:type="dxa"/>
            <w:vAlign w:val="bottom"/>
          </w:tcPr>
          <w:p>
            <w:pPr>
              <w:jc w:val="center"/>
              <w:spacing w:after="0"/>
              <w:rPr>
                <w:sz w:val="20"/>
                <w:szCs w:val="20"/>
                <w:color w:val="auto"/>
              </w:rPr>
            </w:pPr>
            <w:r>
              <w:rPr>
                <w:rFonts w:ascii="Arial" w:cs="Arial" w:eastAsia="Arial" w:hAnsi="Arial"/>
                <w:sz w:val="13"/>
                <w:szCs w:val="13"/>
                <w:color w:val="auto"/>
                <w:w w:val="92"/>
              </w:rPr>
              <w:t>12/2/14</w:t>
            </w:r>
          </w:p>
        </w:tc>
      </w:tr>
      <w:tr>
        <w:trPr>
          <w:trHeight w:val="442"/>
        </w:trPr>
        <w:tc>
          <w:tcPr>
            <w:tcW w:w="1480" w:type="dxa"/>
            <w:vAlign w:val="bottom"/>
          </w:tcPr>
          <w:p>
            <w:pPr>
              <w:jc w:val="center"/>
              <w:ind w:right="435"/>
              <w:spacing w:after="0"/>
              <w:rPr>
                <w:sz w:val="20"/>
                <w:szCs w:val="20"/>
                <w:color w:val="auto"/>
              </w:rPr>
            </w:pPr>
            <w:r>
              <w:rPr>
                <w:rFonts w:ascii="Arial" w:cs="Arial" w:eastAsia="Arial" w:hAnsi="Arial"/>
                <w:sz w:val="13"/>
                <w:szCs w:val="13"/>
                <w:color w:val="auto"/>
                <w:w w:val="90"/>
              </w:rPr>
              <w:t>6,924,142 B2</w:t>
            </w:r>
          </w:p>
        </w:tc>
        <w:tc>
          <w:tcPr>
            <w:tcW w:w="6780" w:type="dxa"/>
            <w:vAlign w:val="bottom"/>
          </w:tcPr>
          <w:p>
            <w:pPr>
              <w:ind w:left="120"/>
              <w:spacing w:after="0"/>
              <w:rPr>
                <w:sz w:val="20"/>
                <w:szCs w:val="20"/>
                <w:color w:val="auto"/>
              </w:rPr>
            </w:pPr>
            <w:r>
              <w:rPr>
                <w:rFonts w:ascii="Arial" w:cs="Arial" w:eastAsia="Arial" w:hAnsi="Arial"/>
                <w:sz w:val="13"/>
                <w:szCs w:val="13"/>
                <w:color w:val="auto"/>
              </w:rPr>
              <w:t>Hypoxia-mediated neurogenesis assay</w:t>
            </w:r>
          </w:p>
        </w:tc>
        <w:tc>
          <w:tcPr>
            <w:tcW w:w="1420" w:type="dxa"/>
            <w:vAlign w:val="bottom"/>
          </w:tcPr>
          <w:p>
            <w:pPr>
              <w:jc w:val="center"/>
              <w:spacing w:after="0"/>
              <w:rPr>
                <w:sz w:val="20"/>
                <w:szCs w:val="20"/>
                <w:color w:val="auto"/>
              </w:rPr>
            </w:pPr>
            <w:r>
              <w:rPr>
                <w:rFonts w:ascii="Arial" w:cs="Arial" w:eastAsia="Arial" w:hAnsi="Arial"/>
                <w:sz w:val="13"/>
                <w:szCs w:val="13"/>
                <w:color w:val="auto"/>
                <w:w w:val="90"/>
              </w:rPr>
              <w:t>10/20/15</w:t>
            </w:r>
          </w:p>
        </w:tc>
      </w:tr>
      <w:tr>
        <w:trPr>
          <w:trHeight w:val="442"/>
        </w:trPr>
        <w:tc>
          <w:tcPr>
            <w:tcW w:w="1480" w:type="dxa"/>
            <w:vAlign w:val="bottom"/>
          </w:tcPr>
          <w:p>
            <w:pPr>
              <w:spacing w:after="0"/>
              <w:rPr>
                <w:sz w:val="24"/>
                <w:szCs w:val="24"/>
                <w:color w:val="auto"/>
              </w:rPr>
            </w:pPr>
          </w:p>
        </w:tc>
        <w:tc>
          <w:tcPr>
            <w:tcW w:w="6780" w:type="dxa"/>
            <w:vAlign w:val="bottom"/>
          </w:tcPr>
          <w:p>
            <w:pPr>
              <w:spacing w:after="0"/>
              <w:rPr>
                <w:sz w:val="24"/>
                <w:szCs w:val="24"/>
                <w:color w:val="auto"/>
              </w:rPr>
            </w:pPr>
          </w:p>
        </w:tc>
        <w:tc>
          <w:tcPr>
            <w:tcW w:w="1420" w:type="dxa"/>
            <w:vAlign w:val="bottom"/>
          </w:tcPr>
          <w:p>
            <w:pPr>
              <w:jc w:val="center"/>
              <w:spacing w:after="0"/>
              <w:rPr>
                <w:sz w:val="20"/>
                <w:szCs w:val="20"/>
                <w:color w:val="auto"/>
              </w:rPr>
            </w:pPr>
            <w:r>
              <w:rPr>
                <w:rFonts w:ascii="Arial" w:cs="Arial" w:eastAsia="Arial" w:hAnsi="Arial"/>
                <w:sz w:val="13"/>
                <w:szCs w:val="13"/>
                <w:color w:val="auto"/>
                <w:w w:val="90"/>
              </w:rPr>
              <w:t>12/15/15</w:t>
            </w:r>
          </w:p>
        </w:tc>
      </w:tr>
      <w:tr>
        <w:trPr>
          <w:trHeight w:val="435"/>
        </w:trPr>
        <w:tc>
          <w:tcPr>
            <w:tcW w:w="1480" w:type="dxa"/>
            <w:vAlign w:val="bottom"/>
          </w:tcPr>
          <w:p>
            <w:pPr>
              <w:jc w:val="center"/>
              <w:ind w:right="475"/>
              <w:spacing w:after="0"/>
              <w:rPr>
                <w:sz w:val="20"/>
                <w:szCs w:val="20"/>
                <w:color w:val="auto"/>
              </w:rPr>
            </w:pPr>
            <w:r>
              <w:rPr>
                <w:rFonts w:ascii="Arial" w:cs="Arial" w:eastAsia="Arial" w:hAnsi="Arial"/>
                <w:sz w:val="13"/>
                <w:szCs w:val="13"/>
                <w:color w:val="auto"/>
                <w:w w:val="90"/>
              </w:rPr>
              <w:t>Licensed from the</w:t>
            </w:r>
          </w:p>
        </w:tc>
        <w:tc>
          <w:tcPr>
            <w:tcW w:w="6780" w:type="dxa"/>
            <w:vAlign w:val="bottom"/>
          </w:tcPr>
          <w:p>
            <w:pPr>
              <w:spacing w:after="0"/>
              <w:rPr>
                <w:sz w:val="24"/>
                <w:szCs w:val="24"/>
                <w:color w:val="auto"/>
              </w:rPr>
            </w:pPr>
          </w:p>
        </w:tc>
        <w:tc>
          <w:tcPr>
            <w:tcW w:w="1420" w:type="dxa"/>
            <w:vAlign w:val="bottom"/>
          </w:tcPr>
          <w:p>
            <w:pPr>
              <w:jc w:val="center"/>
              <w:spacing w:after="0"/>
              <w:rPr>
                <w:sz w:val="20"/>
                <w:szCs w:val="20"/>
                <w:color w:val="auto"/>
              </w:rPr>
            </w:pPr>
            <w:r>
              <w:rPr>
                <w:rFonts w:ascii="Arial" w:cs="Arial" w:eastAsia="Arial" w:hAnsi="Arial"/>
                <w:sz w:val="13"/>
                <w:szCs w:val="13"/>
                <w:color w:val="auto"/>
                <w:w w:val="92"/>
              </w:rPr>
              <w:t>7/27/16</w:t>
            </w:r>
          </w:p>
        </w:tc>
      </w:tr>
      <w:tr>
        <w:trPr>
          <w:trHeight w:val="157"/>
        </w:trPr>
        <w:tc>
          <w:tcPr>
            <w:tcW w:w="1480" w:type="dxa"/>
            <w:vAlign w:val="bottom"/>
          </w:tcPr>
          <w:p>
            <w:pPr>
              <w:jc w:val="center"/>
              <w:ind w:right="435"/>
              <w:spacing w:after="0"/>
              <w:rPr>
                <w:sz w:val="20"/>
                <w:szCs w:val="20"/>
                <w:color w:val="auto"/>
              </w:rPr>
            </w:pPr>
            <w:r>
              <w:rPr>
                <w:rFonts w:ascii="Arial" w:cs="Arial" w:eastAsia="Arial" w:hAnsi="Arial"/>
                <w:sz w:val="13"/>
                <w:szCs w:val="13"/>
                <w:color w:val="auto"/>
                <w:w w:val="94"/>
              </w:rPr>
              <w:t>California Institute</w:t>
            </w:r>
          </w:p>
        </w:tc>
        <w:tc>
          <w:tcPr>
            <w:tcW w:w="6780" w:type="dxa"/>
            <w:vAlign w:val="bottom"/>
          </w:tcPr>
          <w:p>
            <w:pPr>
              <w:spacing w:after="0"/>
              <w:rPr>
                <w:sz w:val="13"/>
                <w:szCs w:val="13"/>
                <w:color w:val="auto"/>
              </w:rPr>
            </w:pPr>
          </w:p>
        </w:tc>
        <w:tc>
          <w:tcPr>
            <w:tcW w:w="1420" w:type="dxa"/>
            <w:vAlign w:val="bottom"/>
          </w:tcPr>
          <w:p>
            <w:pPr>
              <w:spacing w:after="0"/>
              <w:rPr>
                <w:sz w:val="13"/>
                <w:szCs w:val="13"/>
                <w:color w:val="auto"/>
              </w:rPr>
            </w:pPr>
          </w:p>
        </w:tc>
      </w:tr>
      <w:tr>
        <w:trPr>
          <w:trHeight w:val="165"/>
        </w:trPr>
        <w:tc>
          <w:tcPr>
            <w:tcW w:w="1480" w:type="dxa"/>
            <w:vAlign w:val="bottom"/>
          </w:tcPr>
          <w:p>
            <w:pPr>
              <w:jc w:val="center"/>
              <w:ind w:right="455"/>
              <w:spacing w:after="0"/>
              <w:rPr>
                <w:sz w:val="20"/>
                <w:szCs w:val="20"/>
                <w:color w:val="auto"/>
              </w:rPr>
            </w:pPr>
            <w:r>
              <w:rPr>
                <w:rFonts w:ascii="Arial" w:cs="Arial" w:eastAsia="Arial" w:hAnsi="Arial"/>
                <w:sz w:val="13"/>
                <w:szCs w:val="13"/>
                <w:color w:val="auto"/>
                <w:w w:val="93"/>
              </w:rPr>
              <w:t>of Technology</w:t>
            </w:r>
          </w:p>
        </w:tc>
        <w:tc>
          <w:tcPr>
            <w:tcW w:w="678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442"/>
        </w:trPr>
        <w:tc>
          <w:tcPr>
            <w:tcW w:w="1480" w:type="dxa"/>
            <w:vAlign w:val="bottom"/>
          </w:tcPr>
          <w:p>
            <w:pPr>
              <w:jc w:val="center"/>
              <w:ind w:right="455"/>
              <w:spacing w:after="0"/>
              <w:rPr>
                <w:sz w:val="20"/>
                <w:szCs w:val="20"/>
                <w:color w:val="auto"/>
              </w:rPr>
            </w:pPr>
            <w:r>
              <w:rPr>
                <w:rFonts w:ascii="Arial" w:cs="Arial" w:eastAsia="Arial" w:hAnsi="Arial"/>
                <w:sz w:val="13"/>
                <w:szCs w:val="13"/>
                <w:color w:val="auto"/>
                <w:w w:val="89"/>
              </w:rPr>
              <w:t>5,589,376</w:t>
            </w:r>
          </w:p>
        </w:tc>
        <w:tc>
          <w:tcPr>
            <w:tcW w:w="6780" w:type="dxa"/>
            <w:vAlign w:val="bottom"/>
          </w:tcPr>
          <w:p>
            <w:pPr>
              <w:ind w:left="120"/>
              <w:spacing w:after="0"/>
              <w:rPr>
                <w:sz w:val="20"/>
                <w:szCs w:val="20"/>
                <w:color w:val="auto"/>
              </w:rPr>
            </w:pPr>
            <w:r>
              <w:rPr>
                <w:rFonts w:ascii="Arial" w:cs="Arial" w:eastAsia="Arial" w:hAnsi="Arial"/>
                <w:sz w:val="13"/>
                <w:szCs w:val="13"/>
                <w:color w:val="auto"/>
              </w:rPr>
              <w:t>Mammalian neural crest stem cells</w:t>
            </w:r>
          </w:p>
        </w:tc>
        <w:tc>
          <w:tcPr>
            <w:tcW w:w="1420" w:type="dxa"/>
            <w:vAlign w:val="bottom"/>
          </w:tcPr>
          <w:p>
            <w:pPr>
              <w:jc w:val="center"/>
              <w:spacing w:after="0"/>
              <w:rPr>
                <w:sz w:val="20"/>
                <w:szCs w:val="20"/>
                <w:color w:val="auto"/>
              </w:rPr>
            </w:pPr>
            <w:r>
              <w:rPr>
                <w:rFonts w:ascii="Arial" w:cs="Arial" w:eastAsia="Arial" w:hAnsi="Arial"/>
                <w:sz w:val="13"/>
                <w:szCs w:val="13"/>
                <w:color w:val="auto"/>
                <w:w w:val="92"/>
              </w:rPr>
              <w:t>8/10/16</w:t>
            </w:r>
          </w:p>
        </w:tc>
      </w:tr>
      <w:tr>
        <w:trPr>
          <w:trHeight w:val="442"/>
        </w:trPr>
        <w:tc>
          <w:tcPr>
            <w:tcW w:w="1480" w:type="dxa"/>
            <w:vAlign w:val="bottom"/>
          </w:tcPr>
          <w:p>
            <w:pPr>
              <w:jc w:val="center"/>
              <w:ind w:right="455"/>
              <w:spacing w:after="0"/>
              <w:rPr>
                <w:sz w:val="20"/>
                <w:szCs w:val="20"/>
                <w:color w:val="auto"/>
              </w:rPr>
            </w:pPr>
            <w:r>
              <w:rPr>
                <w:rFonts w:ascii="Arial" w:cs="Arial" w:eastAsia="Arial" w:hAnsi="Arial"/>
                <w:sz w:val="13"/>
                <w:szCs w:val="13"/>
                <w:color w:val="auto"/>
                <w:w w:val="89"/>
              </w:rPr>
              <w:t>5,629,159</w:t>
            </w:r>
          </w:p>
        </w:tc>
        <w:tc>
          <w:tcPr>
            <w:tcW w:w="6780" w:type="dxa"/>
            <w:vAlign w:val="bottom"/>
          </w:tcPr>
          <w:p>
            <w:pPr>
              <w:ind w:left="120"/>
              <w:spacing w:after="0"/>
              <w:rPr>
                <w:sz w:val="20"/>
                <w:szCs w:val="20"/>
                <w:color w:val="auto"/>
              </w:rPr>
            </w:pPr>
            <w:r>
              <w:rPr>
                <w:rFonts w:ascii="Arial" w:cs="Arial" w:eastAsia="Arial" w:hAnsi="Arial"/>
                <w:sz w:val="13"/>
                <w:szCs w:val="13"/>
                <w:color w:val="auto"/>
              </w:rPr>
              <w:t>Immortalization and disimmortalization of cells</w:t>
            </w:r>
          </w:p>
        </w:tc>
        <w:tc>
          <w:tcPr>
            <w:tcW w:w="1420" w:type="dxa"/>
            <w:vAlign w:val="bottom"/>
          </w:tcPr>
          <w:p>
            <w:pPr>
              <w:jc w:val="center"/>
              <w:spacing w:after="0"/>
              <w:rPr>
                <w:sz w:val="20"/>
                <w:szCs w:val="20"/>
                <w:color w:val="auto"/>
              </w:rPr>
            </w:pPr>
            <w:r>
              <w:rPr>
                <w:rFonts w:ascii="Arial" w:cs="Arial" w:eastAsia="Arial" w:hAnsi="Arial"/>
                <w:sz w:val="13"/>
                <w:szCs w:val="13"/>
                <w:color w:val="auto"/>
                <w:w w:val="92"/>
              </w:rPr>
              <w:t>7/27/12</w:t>
            </w:r>
          </w:p>
        </w:tc>
      </w:tr>
      <w:tr>
        <w:trPr>
          <w:trHeight w:val="442"/>
        </w:trPr>
        <w:tc>
          <w:tcPr>
            <w:tcW w:w="1480" w:type="dxa"/>
            <w:vAlign w:val="bottom"/>
          </w:tcPr>
          <w:p>
            <w:pPr>
              <w:jc w:val="center"/>
              <w:ind w:right="455"/>
              <w:spacing w:after="0"/>
              <w:rPr>
                <w:sz w:val="20"/>
                <w:szCs w:val="20"/>
                <w:color w:val="auto"/>
              </w:rPr>
            </w:pPr>
            <w:r>
              <w:rPr>
                <w:rFonts w:ascii="Arial" w:cs="Arial" w:eastAsia="Arial" w:hAnsi="Arial"/>
                <w:sz w:val="13"/>
                <w:szCs w:val="13"/>
                <w:color w:val="auto"/>
                <w:w w:val="89"/>
              </w:rPr>
              <w:t>5,654,183</w:t>
            </w:r>
          </w:p>
        </w:tc>
        <w:tc>
          <w:tcPr>
            <w:tcW w:w="6780" w:type="dxa"/>
            <w:vAlign w:val="bottom"/>
          </w:tcPr>
          <w:p>
            <w:pPr>
              <w:ind w:left="120"/>
              <w:spacing w:after="0"/>
              <w:rPr>
                <w:sz w:val="20"/>
                <w:szCs w:val="20"/>
                <w:color w:val="auto"/>
              </w:rPr>
            </w:pPr>
            <w:r>
              <w:rPr>
                <w:rFonts w:ascii="Arial" w:cs="Arial" w:eastAsia="Arial" w:hAnsi="Arial"/>
                <w:sz w:val="13"/>
                <w:szCs w:val="13"/>
                <w:color w:val="auto"/>
              </w:rPr>
              <w:t>Genetically engineered mammalian neural crest stem cells</w:t>
            </w:r>
          </w:p>
        </w:tc>
        <w:tc>
          <w:tcPr>
            <w:tcW w:w="1420" w:type="dxa"/>
            <w:vAlign w:val="bottom"/>
          </w:tcPr>
          <w:p>
            <w:pPr>
              <w:jc w:val="center"/>
              <w:spacing w:after="0"/>
              <w:rPr>
                <w:sz w:val="20"/>
                <w:szCs w:val="20"/>
                <w:color w:val="auto"/>
              </w:rPr>
            </w:pPr>
            <w:r>
              <w:rPr>
                <w:rFonts w:ascii="Arial" w:cs="Arial" w:eastAsia="Arial" w:hAnsi="Arial"/>
                <w:sz w:val="13"/>
                <w:szCs w:val="13"/>
                <w:color w:val="auto"/>
                <w:w w:val="93"/>
              </w:rPr>
              <w:t>3/7/17</w:t>
            </w:r>
          </w:p>
        </w:tc>
      </w:tr>
      <w:tr>
        <w:trPr>
          <w:trHeight w:val="442"/>
        </w:trPr>
        <w:tc>
          <w:tcPr>
            <w:tcW w:w="1480" w:type="dxa"/>
            <w:vAlign w:val="bottom"/>
          </w:tcPr>
          <w:p>
            <w:pPr>
              <w:jc w:val="center"/>
              <w:ind w:right="455"/>
              <w:spacing w:after="0"/>
              <w:rPr>
                <w:sz w:val="20"/>
                <w:szCs w:val="20"/>
                <w:color w:val="auto"/>
              </w:rPr>
            </w:pPr>
            <w:r>
              <w:rPr>
                <w:rFonts w:ascii="Arial" w:cs="Arial" w:eastAsia="Arial" w:hAnsi="Arial"/>
                <w:sz w:val="13"/>
                <w:szCs w:val="13"/>
                <w:color w:val="auto"/>
                <w:w w:val="89"/>
              </w:rPr>
              <w:t>5,672,499</w:t>
            </w:r>
          </w:p>
        </w:tc>
        <w:tc>
          <w:tcPr>
            <w:tcW w:w="6780" w:type="dxa"/>
            <w:vAlign w:val="bottom"/>
          </w:tcPr>
          <w:p>
            <w:pPr>
              <w:ind w:left="120"/>
              <w:spacing w:after="0"/>
              <w:rPr>
                <w:sz w:val="20"/>
                <w:szCs w:val="20"/>
                <w:color w:val="auto"/>
              </w:rPr>
            </w:pPr>
            <w:r>
              <w:rPr>
                <w:rFonts w:ascii="Arial" w:cs="Arial" w:eastAsia="Arial" w:hAnsi="Arial"/>
                <w:sz w:val="13"/>
                <w:szCs w:val="13"/>
                <w:color w:val="auto"/>
              </w:rPr>
              <w:t>Methods for immortalizing multipotent neural crest stem cells</w:t>
            </w:r>
          </w:p>
        </w:tc>
        <w:tc>
          <w:tcPr>
            <w:tcW w:w="1420" w:type="dxa"/>
            <w:vAlign w:val="bottom"/>
          </w:tcPr>
          <w:p>
            <w:pPr>
              <w:jc w:val="center"/>
              <w:spacing w:after="0"/>
              <w:rPr>
                <w:sz w:val="20"/>
                <w:szCs w:val="20"/>
                <w:color w:val="auto"/>
              </w:rPr>
            </w:pPr>
            <w:r>
              <w:rPr>
                <w:rFonts w:ascii="Arial" w:cs="Arial" w:eastAsia="Arial" w:hAnsi="Arial"/>
                <w:sz w:val="13"/>
                <w:szCs w:val="13"/>
                <w:color w:val="auto"/>
                <w:w w:val="93"/>
              </w:rPr>
              <w:t>3/3/15</w:t>
            </w:r>
          </w:p>
        </w:tc>
      </w:tr>
      <w:tr>
        <w:trPr>
          <w:trHeight w:val="442"/>
        </w:trPr>
        <w:tc>
          <w:tcPr>
            <w:tcW w:w="1480" w:type="dxa"/>
            <w:vAlign w:val="bottom"/>
          </w:tcPr>
          <w:p>
            <w:pPr>
              <w:jc w:val="center"/>
              <w:ind w:right="455"/>
              <w:spacing w:after="0"/>
              <w:rPr>
                <w:sz w:val="20"/>
                <w:szCs w:val="20"/>
                <w:color w:val="auto"/>
              </w:rPr>
            </w:pPr>
            <w:r>
              <w:rPr>
                <w:rFonts w:ascii="Arial" w:cs="Arial" w:eastAsia="Arial" w:hAnsi="Arial"/>
                <w:sz w:val="13"/>
                <w:szCs w:val="13"/>
                <w:color w:val="auto"/>
                <w:w w:val="89"/>
              </w:rPr>
              <w:t>5,693,482</w:t>
            </w:r>
          </w:p>
        </w:tc>
        <w:tc>
          <w:tcPr>
            <w:tcW w:w="6780" w:type="dxa"/>
            <w:vAlign w:val="bottom"/>
          </w:tcPr>
          <w:p>
            <w:pPr>
              <w:ind w:left="120"/>
              <w:spacing w:after="0"/>
              <w:rPr>
                <w:sz w:val="20"/>
                <w:szCs w:val="20"/>
                <w:color w:val="auto"/>
              </w:rPr>
            </w:pPr>
            <w:r>
              <w:rPr>
                <w:rFonts w:ascii="Arial" w:cs="Arial" w:eastAsia="Arial" w:hAnsi="Arial"/>
                <w:sz w:val="13"/>
                <w:szCs w:val="13"/>
                <w:i w:val="1"/>
                <w:iCs w:val="1"/>
                <w:color w:val="auto"/>
              </w:rPr>
              <w:t xml:space="preserve">In vitro </w:t>
            </w:r>
            <w:r>
              <w:rPr>
                <w:rFonts w:ascii="Arial" w:cs="Arial" w:eastAsia="Arial" w:hAnsi="Arial"/>
                <w:sz w:val="13"/>
                <w:szCs w:val="13"/>
                <w:color w:val="auto"/>
              </w:rPr>
              <w:t>neural crest stem cell assay</w:t>
            </w:r>
          </w:p>
        </w:tc>
        <w:tc>
          <w:tcPr>
            <w:tcW w:w="1420" w:type="dxa"/>
            <w:vAlign w:val="bottom"/>
          </w:tcPr>
          <w:p>
            <w:pPr>
              <w:jc w:val="center"/>
              <w:spacing w:after="0"/>
              <w:rPr>
                <w:sz w:val="20"/>
                <w:szCs w:val="20"/>
                <w:color w:val="auto"/>
              </w:rPr>
            </w:pPr>
            <w:r>
              <w:rPr>
                <w:rFonts w:ascii="Arial" w:cs="Arial" w:eastAsia="Arial" w:hAnsi="Arial"/>
                <w:sz w:val="13"/>
                <w:szCs w:val="13"/>
                <w:color w:val="auto"/>
                <w:w w:val="92"/>
              </w:rPr>
              <w:t>9/27/16</w:t>
            </w:r>
          </w:p>
        </w:tc>
      </w:tr>
      <w:tr>
        <w:trPr>
          <w:trHeight w:val="442"/>
        </w:trPr>
        <w:tc>
          <w:tcPr>
            <w:tcW w:w="1480" w:type="dxa"/>
            <w:vAlign w:val="bottom"/>
          </w:tcPr>
          <w:p>
            <w:pPr>
              <w:jc w:val="center"/>
              <w:ind w:right="455"/>
              <w:spacing w:after="0"/>
              <w:rPr>
                <w:sz w:val="20"/>
                <w:szCs w:val="20"/>
                <w:color w:val="auto"/>
              </w:rPr>
            </w:pPr>
            <w:r>
              <w:rPr>
                <w:rFonts w:ascii="Arial" w:cs="Arial" w:eastAsia="Arial" w:hAnsi="Arial"/>
                <w:sz w:val="13"/>
                <w:szCs w:val="13"/>
                <w:color w:val="auto"/>
                <w:w w:val="89"/>
              </w:rPr>
              <w:t>5,824,489</w:t>
            </w:r>
          </w:p>
        </w:tc>
        <w:tc>
          <w:tcPr>
            <w:tcW w:w="6780" w:type="dxa"/>
            <w:vAlign w:val="bottom"/>
          </w:tcPr>
          <w:p>
            <w:pPr>
              <w:ind w:left="120"/>
              <w:spacing w:after="0"/>
              <w:rPr>
                <w:sz w:val="20"/>
                <w:szCs w:val="20"/>
                <w:color w:val="auto"/>
              </w:rPr>
            </w:pPr>
            <w:r>
              <w:rPr>
                <w:rFonts w:ascii="Arial" w:cs="Arial" w:eastAsia="Arial" w:hAnsi="Arial"/>
                <w:sz w:val="13"/>
                <w:szCs w:val="13"/>
                <w:color w:val="auto"/>
              </w:rPr>
              <w:t>Methods for isolating mammalian multipotent neural crest stem cells</w:t>
            </w:r>
          </w:p>
        </w:tc>
        <w:tc>
          <w:tcPr>
            <w:tcW w:w="1420" w:type="dxa"/>
            <w:vAlign w:val="bottom"/>
          </w:tcPr>
          <w:p>
            <w:pPr>
              <w:jc w:val="center"/>
              <w:spacing w:after="0"/>
              <w:rPr>
                <w:sz w:val="20"/>
                <w:szCs w:val="20"/>
                <w:color w:val="auto"/>
              </w:rPr>
            </w:pPr>
            <w:r>
              <w:rPr>
                <w:rFonts w:ascii="Arial" w:cs="Arial" w:eastAsia="Arial" w:hAnsi="Arial"/>
                <w:sz w:val="13"/>
                <w:szCs w:val="13"/>
                <w:color w:val="auto"/>
                <w:w w:val="92"/>
              </w:rPr>
              <w:t>9/27/16</w:t>
            </w:r>
          </w:p>
        </w:tc>
      </w:tr>
      <w:tr>
        <w:trPr>
          <w:trHeight w:val="442"/>
        </w:trPr>
        <w:tc>
          <w:tcPr>
            <w:tcW w:w="1480" w:type="dxa"/>
            <w:vAlign w:val="bottom"/>
          </w:tcPr>
          <w:p>
            <w:pPr>
              <w:jc w:val="center"/>
              <w:ind w:right="455"/>
              <w:spacing w:after="0"/>
              <w:rPr>
                <w:sz w:val="20"/>
                <w:szCs w:val="20"/>
                <w:color w:val="auto"/>
              </w:rPr>
            </w:pPr>
            <w:r>
              <w:rPr>
                <w:rFonts w:ascii="Arial" w:cs="Arial" w:eastAsia="Arial" w:hAnsi="Arial"/>
                <w:sz w:val="13"/>
                <w:szCs w:val="13"/>
                <w:color w:val="auto"/>
                <w:w w:val="89"/>
              </w:rPr>
              <w:t>5,849,553</w:t>
            </w:r>
          </w:p>
        </w:tc>
        <w:tc>
          <w:tcPr>
            <w:tcW w:w="6780" w:type="dxa"/>
            <w:vAlign w:val="bottom"/>
          </w:tcPr>
          <w:p>
            <w:pPr>
              <w:ind w:left="120"/>
              <w:spacing w:after="0"/>
              <w:rPr>
                <w:sz w:val="20"/>
                <w:szCs w:val="20"/>
                <w:color w:val="auto"/>
              </w:rPr>
            </w:pPr>
            <w:r>
              <w:rPr>
                <w:rFonts w:ascii="Arial" w:cs="Arial" w:eastAsia="Arial" w:hAnsi="Arial"/>
                <w:sz w:val="13"/>
                <w:szCs w:val="13"/>
                <w:color w:val="auto"/>
              </w:rPr>
              <w:t>Immortalizing and disimmortalizing multipotent neural crest stem cells</w:t>
            </w:r>
          </w:p>
        </w:tc>
        <w:tc>
          <w:tcPr>
            <w:tcW w:w="1420" w:type="dxa"/>
            <w:vAlign w:val="bottom"/>
          </w:tcPr>
          <w:p>
            <w:pPr>
              <w:jc w:val="center"/>
              <w:spacing w:after="0"/>
              <w:rPr>
                <w:sz w:val="20"/>
                <w:szCs w:val="20"/>
                <w:color w:val="auto"/>
              </w:rPr>
            </w:pPr>
            <w:r>
              <w:rPr>
                <w:rFonts w:ascii="Arial" w:cs="Arial" w:eastAsia="Arial" w:hAnsi="Arial"/>
                <w:sz w:val="13"/>
                <w:szCs w:val="13"/>
                <w:color w:val="auto"/>
                <w:w w:val="93"/>
              </w:rPr>
              <w:t>3/3/15</w:t>
            </w:r>
          </w:p>
        </w:tc>
      </w:tr>
      <w:tr>
        <w:trPr>
          <w:trHeight w:val="442"/>
        </w:trPr>
        <w:tc>
          <w:tcPr>
            <w:tcW w:w="1480" w:type="dxa"/>
            <w:vAlign w:val="bottom"/>
          </w:tcPr>
          <w:p>
            <w:pPr>
              <w:jc w:val="center"/>
              <w:ind w:right="455"/>
              <w:spacing w:after="0"/>
              <w:rPr>
                <w:sz w:val="20"/>
                <w:szCs w:val="20"/>
                <w:color w:val="auto"/>
              </w:rPr>
            </w:pPr>
            <w:r>
              <w:rPr>
                <w:rFonts w:ascii="Arial" w:cs="Arial" w:eastAsia="Arial" w:hAnsi="Arial"/>
                <w:sz w:val="13"/>
                <w:szCs w:val="13"/>
                <w:color w:val="auto"/>
                <w:w w:val="89"/>
              </w:rPr>
              <w:t>5,928,947</w:t>
            </w:r>
          </w:p>
        </w:tc>
        <w:tc>
          <w:tcPr>
            <w:tcW w:w="6780" w:type="dxa"/>
            <w:vAlign w:val="bottom"/>
          </w:tcPr>
          <w:p>
            <w:pPr>
              <w:ind w:left="120"/>
              <w:spacing w:after="0"/>
              <w:rPr>
                <w:sz w:val="20"/>
                <w:szCs w:val="20"/>
                <w:color w:val="auto"/>
              </w:rPr>
            </w:pPr>
            <w:r>
              <w:rPr>
                <w:rFonts w:ascii="Arial" w:cs="Arial" w:eastAsia="Arial" w:hAnsi="Arial"/>
                <w:sz w:val="13"/>
                <w:szCs w:val="13"/>
                <w:color w:val="auto"/>
              </w:rPr>
              <w:t>Mammalian multipotent neural crest stem cells</w:t>
            </w:r>
          </w:p>
        </w:tc>
        <w:tc>
          <w:tcPr>
            <w:tcW w:w="1420" w:type="dxa"/>
            <w:vAlign w:val="bottom"/>
          </w:tcPr>
          <w:p>
            <w:pPr>
              <w:jc w:val="center"/>
              <w:spacing w:after="0"/>
              <w:rPr>
                <w:sz w:val="20"/>
                <w:szCs w:val="20"/>
                <w:color w:val="auto"/>
              </w:rPr>
            </w:pPr>
            <w:r>
              <w:rPr>
                <w:rFonts w:ascii="Arial" w:cs="Arial" w:eastAsia="Arial" w:hAnsi="Arial"/>
                <w:sz w:val="13"/>
                <w:szCs w:val="13"/>
                <w:color w:val="auto"/>
                <w:w w:val="92"/>
              </w:rPr>
              <w:t>9/25/16</w:t>
            </w:r>
          </w:p>
        </w:tc>
      </w:tr>
      <w:tr>
        <w:trPr>
          <w:trHeight w:val="442"/>
        </w:trPr>
        <w:tc>
          <w:tcPr>
            <w:tcW w:w="1480" w:type="dxa"/>
            <w:vAlign w:val="bottom"/>
          </w:tcPr>
          <w:p>
            <w:pPr>
              <w:jc w:val="center"/>
              <w:ind w:right="455"/>
              <w:spacing w:after="0"/>
              <w:rPr>
                <w:sz w:val="20"/>
                <w:szCs w:val="20"/>
                <w:color w:val="auto"/>
              </w:rPr>
            </w:pPr>
            <w:r>
              <w:rPr>
                <w:rFonts w:ascii="Arial" w:cs="Arial" w:eastAsia="Arial" w:hAnsi="Arial"/>
                <w:sz w:val="13"/>
                <w:szCs w:val="13"/>
                <w:color w:val="auto"/>
                <w:w w:val="89"/>
              </w:rPr>
              <w:t>5,935,811</w:t>
            </w:r>
          </w:p>
        </w:tc>
        <w:tc>
          <w:tcPr>
            <w:tcW w:w="6780" w:type="dxa"/>
            <w:vAlign w:val="bottom"/>
          </w:tcPr>
          <w:p>
            <w:pPr>
              <w:ind w:left="120"/>
              <w:spacing w:after="0"/>
              <w:rPr>
                <w:sz w:val="20"/>
                <w:szCs w:val="20"/>
                <w:color w:val="auto"/>
              </w:rPr>
            </w:pPr>
            <w:r>
              <w:rPr>
                <w:rFonts w:ascii="Arial" w:cs="Arial" w:eastAsia="Arial" w:hAnsi="Arial"/>
                <w:sz w:val="13"/>
                <w:szCs w:val="13"/>
                <w:color w:val="auto"/>
              </w:rPr>
              <w:t>Neuron restrictive silencer factor proteins</w:t>
            </w:r>
          </w:p>
        </w:tc>
        <w:tc>
          <w:tcPr>
            <w:tcW w:w="1420" w:type="dxa"/>
            <w:vAlign w:val="bottom"/>
          </w:tcPr>
          <w:p>
            <w:pPr>
              <w:spacing w:after="0"/>
              <w:rPr>
                <w:sz w:val="24"/>
                <w:szCs w:val="24"/>
                <w:color w:val="auto"/>
              </w:rPr>
            </w:pPr>
          </w:p>
        </w:tc>
      </w:tr>
      <w:tr>
        <w:trPr>
          <w:trHeight w:val="442"/>
        </w:trPr>
        <w:tc>
          <w:tcPr>
            <w:tcW w:w="1480" w:type="dxa"/>
            <w:vAlign w:val="bottom"/>
          </w:tcPr>
          <w:p>
            <w:pPr>
              <w:jc w:val="center"/>
              <w:ind w:right="455"/>
              <w:spacing w:after="0"/>
              <w:rPr>
                <w:sz w:val="20"/>
                <w:szCs w:val="20"/>
                <w:color w:val="auto"/>
              </w:rPr>
            </w:pPr>
            <w:r>
              <w:rPr>
                <w:rFonts w:ascii="Arial" w:cs="Arial" w:eastAsia="Arial" w:hAnsi="Arial"/>
                <w:sz w:val="13"/>
                <w:szCs w:val="13"/>
                <w:color w:val="auto"/>
                <w:w w:val="89"/>
              </w:rPr>
              <w:t>6,001,654</w:t>
            </w:r>
          </w:p>
        </w:tc>
        <w:tc>
          <w:tcPr>
            <w:tcW w:w="6780" w:type="dxa"/>
            <w:vAlign w:val="bottom"/>
          </w:tcPr>
          <w:p>
            <w:pPr>
              <w:ind w:left="120"/>
              <w:spacing w:after="0"/>
              <w:rPr>
                <w:sz w:val="20"/>
                <w:szCs w:val="20"/>
                <w:color w:val="auto"/>
              </w:rPr>
            </w:pPr>
            <w:r>
              <w:rPr>
                <w:rFonts w:ascii="Arial" w:cs="Arial" w:eastAsia="Arial" w:hAnsi="Arial"/>
                <w:sz w:val="13"/>
                <w:szCs w:val="13"/>
                <w:color w:val="auto"/>
              </w:rPr>
              <w:t>Methods for differentiating neural stem cells to neurons or smooth muscle cells (TGFb)</w:t>
            </w:r>
          </w:p>
        </w:tc>
        <w:tc>
          <w:tcPr>
            <w:tcW w:w="14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1003935</wp:posOffset>
            </wp:positionH>
            <wp:positionV relativeFrom="paragraph">
              <wp:posOffset>-9535795</wp:posOffset>
            </wp:positionV>
            <wp:extent cx="12700" cy="63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6390640</wp:posOffset>
            </wp:positionH>
            <wp:positionV relativeFrom="paragraph">
              <wp:posOffset>-9535795</wp:posOffset>
            </wp:positionV>
            <wp:extent cx="6350" cy="63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350" cy="6350"/>
                    </a:xfrm>
                    <a:prstGeom prst="rect">
                      <a:avLst/>
                    </a:prstGeom>
                    <a:noFill/>
                  </pic:spPr>
                </pic:pic>
              </a:graphicData>
            </a:graphic>
          </wp:anchor>
        </w:drawing>
      </w:r>
    </w:p>
    <w:p>
      <w:pPr>
        <w:sectPr>
          <w:pgSz w:w="11900" w:h="16838" w:orient="portrait"/>
          <w:cols w:equalWidth="0" w:num="1">
            <w:col w:w="10780"/>
          </w:cols>
          <w:pgMar w:left="220" w:top="343" w:right="899" w:bottom="0" w:gutter="0" w:footer="0" w:header="0"/>
        </w:sectPr>
      </w:pPr>
    </w:p>
    <w:bookmarkStart w:id="14" w:name="page15"/>
    <w:bookmarkEnd w:id="14"/>
    <w:p>
      <w:pPr>
        <w:jc w:val="center"/>
        <w:ind w:right="99"/>
        <w:spacing w:after="0"/>
        <w:rPr>
          <w:sz w:val="20"/>
          <w:szCs w:val="20"/>
          <w:color w:val="auto"/>
        </w:rPr>
      </w:pPr>
      <w:r>
        <w:rPr>
          <w:rFonts w:ascii="Arial" w:cs="Arial" w:eastAsia="Arial" w:hAnsi="Arial"/>
          <w:sz w:val="10"/>
          <w:szCs w:val="10"/>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-777875</wp:posOffset>
            </wp:positionH>
            <wp:positionV relativeFrom="paragraph">
              <wp:posOffset>128905</wp:posOffset>
            </wp:positionV>
            <wp:extent cx="7290435" cy="190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019"/>
          </w:cols>
          <w:pgMar w:left="1440" w:top="288" w:right="1440" w:bottom="1440" w:gutter="0" w:footer="0" w:header="0"/>
        </w:sectPr>
      </w:pPr>
    </w:p>
    <w:bookmarkStart w:id="15" w:name="page16"/>
    <w:bookmarkEnd w:id="15"/>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9" w:lineRule="exact"/>
        <w:rPr>
          <w:sz w:val="20"/>
          <w:szCs w:val="20"/>
          <w:color w:val="auto"/>
        </w:rPr>
      </w:pPr>
    </w:p>
    <w:tbl>
      <w:tblPr>
        <w:tblLayout w:type="fixed"/>
        <w:tblInd w:w="1100" w:type="dxa"/>
        <w:tblCellMar>
          <w:top w:w="0" w:type="dxa"/>
          <w:left w:w="0" w:type="dxa"/>
          <w:bottom w:w="0" w:type="dxa"/>
          <w:right w:w="0" w:type="dxa"/>
        </w:tblCellMar>
      </w:tblPr>
      <w:tr>
        <w:trPr>
          <w:trHeight w:val="135"/>
        </w:trPr>
        <w:tc>
          <w:tcPr>
            <w:tcW w:w="1480" w:type="dxa"/>
            <w:vAlign w:val="bottom"/>
          </w:tcPr>
          <w:p>
            <w:pPr>
              <w:ind w:left="480"/>
              <w:spacing w:after="0"/>
              <w:rPr>
                <w:sz w:val="20"/>
                <w:szCs w:val="20"/>
                <w:color w:val="auto"/>
              </w:rPr>
            </w:pPr>
            <w:r>
              <w:rPr>
                <w:rFonts w:ascii="Arial" w:cs="Arial" w:eastAsia="Arial" w:hAnsi="Arial"/>
                <w:sz w:val="10"/>
                <w:szCs w:val="10"/>
                <w:b w:val="1"/>
                <w:bCs w:val="1"/>
                <w:color w:val="auto"/>
              </w:rPr>
              <w:t>U.S. Patent Number</w:t>
            </w:r>
          </w:p>
        </w:tc>
        <w:tc>
          <w:tcPr>
            <w:tcW w:w="6140" w:type="dxa"/>
            <w:vAlign w:val="bottom"/>
          </w:tcPr>
          <w:p>
            <w:pPr>
              <w:ind w:left="3320"/>
              <w:spacing w:after="0"/>
              <w:rPr>
                <w:sz w:val="20"/>
                <w:szCs w:val="20"/>
                <w:color w:val="auto"/>
              </w:rPr>
            </w:pPr>
            <w:r>
              <w:rPr>
                <w:rFonts w:ascii="Arial" w:cs="Arial" w:eastAsia="Arial" w:hAnsi="Arial"/>
                <w:sz w:val="10"/>
                <w:szCs w:val="10"/>
                <w:b w:val="1"/>
                <w:bCs w:val="1"/>
                <w:u w:val="single" w:color="auto"/>
                <w:color w:val="auto"/>
              </w:rPr>
              <w:t>S</w:t>
            </w:r>
            <w:r>
              <w:rPr>
                <w:rFonts w:ascii="Arial" w:cs="Arial" w:eastAsia="Arial" w:hAnsi="Arial"/>
                <w:sz w:val="10"/>
                <w:szCs w:val="10"/>
                <w:b w:val="1"/>
                <w:bCs w:val="1"/>
                <w:color w:val="auto"/>
              </w:rPr>
              <w:t>ubject</w:t>
            </w:r>
          </w:p>
        </w:tc>
        <w:tc>
          <w:tcPr>
            <w:tcW w:w="2060" w:type="dxa"/>
            <w:vAlign w:val="bottom"/>
          </w:tcPr>
          <w:p>
            <w:pPr>
              <w:ind w:left="1340"/>
              <w:spacing w:after="0"/>
              <w:rPr>
                <w:sz w:val="20"/>
                <w:szCs w:val="20"/>
                <w:color w:val="auto"/>
              </w:rPr>
            </w:pPr>
            <w:r>
              <w:rPr>
                <w:rFonts w:ascii="Arial" w:cs="Arial" w:eastAsia="Arial" w:hAnsi="Arial"/>
                <w:sz w:val="10"/>
                <w:szCs w:val="10"/>
                <w:b w:val="1"/>
                <w:bCs w:val="1"/>
                <w:color w:val="auto"/>
                <w:w w:val="95"/>
              </w:rPr>
              <w:t>Expiration Date</w:t>
            </w:r>
          </w:p>
        </w:tc>
      </w:tr>
      <w:tr>
        <w:trPr>
          <w:trHeight w:val="205"/>
        </w:trPr>
        <w:tc>
          <w:tcPr>
            <w:tcW w:w="1480" w:type="dxa"/>
            <w:vAlign w:val="bottom"/>
          </w:tcPr>
          <w:p>
            <w:pPr>
              <w:jc w:val="center"/>
              <w:ind w:right="455"/>
              <w:spacing w:after="0"/>
              <w:rPr>
                <w:sz w:val="20"/>
                <w:szCs w:val="20"/>
                <w:color w:val="auto"/>
              </w:rPr>
            </w:pPr>
            <w:r>
              <w:rPr>
                <w:rFonts w:ascii="Arial" w:cs="Arial" w:eastAsia="Arial" w:hAnsi="Arial"/>
                <w:sz w:val="13"/>
                <w:szCs w:val="13"/>
                <w:color w:val="auto"/>
                <w:w w:val="89"/>
              </w:rPr>
              <w:t>6,033,906</w:t>
            </w:r>
          </w:p>
        </w:tc>
        <w:tc>
          <w:tcPr>
            <w:tcW w:w="6140" w:type="dxa"/>
            <w:vAlign w:val="bottom"/>
          </w:tcPr>
          <w:p>
            <w:pPr>
              <w:ind w:left="120"/>
              <w:spacing w:after="0"/>
              <w:rPr>
                <w:sz w:val="20"/>
                <w:szCs w:val="20"/>
                <w:color w:val="auto"/>
              </w:rPr>
            </w:pPr>
            <w:r>
              <w:rPr>
                <w:rFonts w:ascii="Arial" w:cs="Arial" w:eastAsia="Arial" w:hAnsi="Arial"/>
                <w:sz w:val="13"/>
                <w:szCs w:val="13"/>
                <w:color w:val="auto"/>
              </w:rPr>
              <w:t>Differentiating mammalian neural stem cells to glial cells using neuregulins</w:t>
            </w:r>
          </w:p>
        </w:tc>
        <w:tc>
          <w:tcPr>
            <w:tcW w:w="2060" w:type="dxa"/>
            <w:vAlign w:val="bottom"/>
          </w:tcPr>
          <w:p>
            <w:pPr>
              <w:jc w:val="center"/>
              <w:ind w:left="575"/>
              <w:spacing w:after="0"/>
              <w:rPr>
                <w:sz w:val="20"/>
                <w:szCs w:val="20"/>
                <w:color w:val="auto"/>
              </w:rPr>
            </w:pPr>
            <w:r>
              <w:rPr>
                <w:rFonts w:ascii="Arial" w:cs="Arial" w:eastAsia="Arial" w:hAnsi="Arial"/>
                <w:sz w:val="13"/>
                <w:szCs w:val="13"/>
                <w:color w:val="auto"/>
                <w:w w:val="90"/>
              </w:rPr>
              <w:t>12/16/18</w:t>
            </w:r>
          </w:p>
        </w:tc>
      </w:tr>
      <w:tr>
        <w:trPr>
          <w:trHeight w:val="442"/>
        </w:trPr>
        <w:tc>
          <w:tcPr>
            <w:tcW w:w="1480" w:type="dxa"/>
            <w:vAlign w:val="bottom"/>
          </w:tcPr>
          <w:p>
            <w:pPr>
              <w:jc w:val="center"/>
              <w:ind w:right="455"/>
              <w:spacing w:after="0"/>
              <w:rPr>
                <w:sz w:val="20"/>
                <w:szCs w:val="20"/>
                <w:color w:val="auto"/>
              </w:rPr>
            </w:pPr>
            <w:r>
              <w:rPr>
                <w:rFonts w:ascii="Arial" w:cs="Arial" w:eastAsia="Arial" w:hAnsi="Arial"/>
                <w:sz w:val="13"/>
                <w:szCs w:val="13"/>
                <w:color w:val="auto"/>
                <w:w w:val="89"/>
              </w:rPr>
              <w:t>6,270,990</w:t>
            </w:r>
          </w:p>
        </w:tc>
        <w:tc>
          <w:tcPr>
            <w:tcW w:w="6140" w:type="dxa"/>
            <w:vAlign w:val="bottom"/>
          </w:tcPr>
          <w:p>
            <w:pPr>
              <w:ind w:left="120"/>
              <w:spacing w:after="0"/>
              <w:rPr>
                <w:sz w:val="20"/>
                <w:szCs w:val="20"/>
                <w:color w:val="auto"/>
              </w:rPr>
            </w:pPr>
            <w:r>
              <w:rPr>
                <w:rFonts w:ascii="Arial" w:cs="Arial" w:eastAsia="Arial" w:hAnsi="Arial"/>
                <w:sz w:val="13"/>
                <w:szCs w:val="13"/>
                <w:color w:val="auto"/>
              </w:rPr>
              <w:t>Neuron restrictive silencer factor proteins</w:t>
            </w:r>
          </w:p>
        </w:tc>
        <w:tc>
          <w:tcPr>
            <w:tcW w:w="2060" w:type="dxa"/>
            <w:vAlign w:val="bottom"/>
          </w:tcPr>
          <w:p>
            <w:pPr>
              <w:jc w:val="center"/>
              <w:ind w:left="595"/>
              <w:spacing w:after="0"/>
              <w:rPr>
                <w:sz w:val="20"/>
                <w:szCs w:val="20"/>
                <w:color w:val="auto"/>
              </w:rPr>
            </w:pPr>
            <w:r>
              <w:rPr>
                <w:rFonts w:ascii="Arial" w:cs="Arial" w:eastAsia="Arial" w:hAnsi="Arial"/>
                <w:sz w:val="13"/>
                <w:szCs w:val="13"/>
                <w:color w:val="auto"/>
                <w:w w:val="92"/>
              </w:rPr>
              <w:t>4/26/21</w:t>
            </w:r>
          </w:p>
        </w:tc>
      </w:tr>
      <w:tr>
        <w:trPr>
          <w:trHeight w:val="442"/>
        </w:trPr>
        <w:tc>
          <w:tcPr>
            <w:tcW w:w="1480" w:type="dxa"/>
            <w:vAlign w:val="bottom"/>
          </w:tcPr>
          <w:p>
            <w:pPr>
              <w:jc w:val="center"/>
              <w:ind w:right="455"/>
              <w:spacing w:after="0"/>
              <w:rPr>
                <w:sz w:val="20"/>
                <w:szCs w:val="20"/>
                <w:color w:val="auto"/>
              </w:rPr>
            </w:pPr>
            <w:r>
              <w:rPr>
                <w:rFonts w:ascii="Arial" w:cs="Arial" w:eastAsia="Arial" w:hAnsi="Arial"/>
                <w:sz w:val="13"/>
                <w:szCs w:val="13"/>
                <w:color w:val="auto"/>
                <w:w w:val="89"/>
              </w:rPr>
              <w:t>6,555,337</w:t>
            </w:r>
          </w:p>
        </w:tc>
        <w:tc>
          <w:tcPr>
            <w:tcW w:w="6140" w:type="dxa"/>
            <w:vAlign w:val="bottom"/>
          </w:tcPr>
          <w:p>
            <w:pPr>
              <w:ind w:left="120"/>
              <w:spacing w:after="0"/>
              <w:rPr>
                <w:sz w:val="20"/>
                <w:szCs w:val="20"/>
                <w:color w:val="auto"/>
              </w:rPr>
            </w:pPr>
            <w:r>
              <w:rPr>
                <w:rFonts w:ascii="Arial" w:cs="Arial" w:eastAsia="Arial" w:hAnsi="Arial"/>
                <w:sz w:val="13"/>
                <w:szCs w:val="13"/>
                <w:color w:val="auto"/>
              </w:rPr>
              <w:t>Neurogenin</w:t>
            </w:r>
          </w:p>
        </w:tc>
        <w:tc>
          <w:tcPr>
            <w:tcW w:w="2060" w:type="dxa"/>
            <w:vAlign w:val="bottom"/>
          </w:tcPr>
          <w:p>
            <w:pPr>
              <w:jc w:val="center"/>
              <w:ind w:left="575"/>
              <w:spacing w:after="0"/>
              <w:rPr>
                <w:sz w:val="20"/>
                <w:szCs w:val="20"/>
                <w:color w:val="auto"/>
              </w:rPr>
            </w:pPr>
            <w:r>
              <w:rPr>
                <w:rFonts w:ascii="Arial" w:cs="Arial" w:eastAsia="Arial" w:hAnsi="Arial"/>
                <w:sz w:val="13"/>
                <w:szCs w:val="13"/>
                <w:color w:val="auto"/>
                <w:w w:val="90"/>
              </w:rPr>
              <w:t>12/13/20</w:t>
            </w:r>
          </w:p>
        </w:tc>
      </w:tr>
      <w:tr>
        <w:trPr>
          <w:trHeight w:val="442"/>
        </w:trPr>
        <w:tc>
          <w:tcPr>
            <w:tcW w:w="1480" w:type="dxa"/>
            <w:vAlign w:val="bottom"/>
          </w:tcPr>
          <w:p>
            <w:pPr>
              <w:jc w:val="center"/>
              <w:ind w:right="455"/>
              <w:spacing w:after="0"/>
              <w:rPr>
                <w:sz w:val="20"/>
                <w:szCs w:val="20"/>
                <w:color w:val="auto"/>
              </w:rPr>
            </w:pPr>
            <w:r>
              <w:rPr>
                <w:rFonts w:ascii="Arial" w:cs="Arial" w:eastAsia="Arial" w:hAnsi="Arial"/>
                <w:sz w:val="13"/>
                <w:szCs w:val="13"/>
                <w:color w:val="auto"/>
                <w:w w:val="89"/>
              </w:rPr>
              <w:t>6,566,496</w:t>
            </w:r>
          </w:p>
        </w:tc>
        <w:tc>
          <w:tcPr>
            <w:tcW w:w="6140" w:type="dxa"/>
            <w:vAlign w:val="bottom"/>
          </w:tcPr>
          <w:p>
            <w:pPr>
              <w:ind w:left="120"/>
              <w:spacing w:after="0"/>
              <w:rPr>
                <w:sz w:val="20"/>
                <w:szCs w:val="20"/>
                <w:color w:val="auto"/>
              </w:rPr>
            </w:pPr>
            <w:r>
              <w:rPr>
                <w:rFonts w:ascii="Arial" w:cs="Arial" w:eastAsia="Arial" w:hAnsi="Arial"/>
                <w:sz w:val="13"/>
                <w:szCs w:val="13"/>
                <w:color w:val="auto"/>
              </w:rPr>
              <w:t>Neurogenin</w:t>
            </w:r>
          </w:p>
        </w:tc>
        <w:tc>
          <w:tcPr>
            <w:tcW w:w="2060" w:type="dxa"/>
            <w:vAlign w:val="bottom"/>
          </w:tcPr>
          <w:p>
            <w:pPr>
              <w:jc w:val="center"/>
              <w:ind w:left="595"/>
              <w:spacing w:after="0"/>
              <w:rPr>
                <w:sz w:val="20"/>
                <w:szCs w:val="20"/>
                <w:color w:val="auto"/>
              </w:rPr>
            </w:pPr>
            <w:r>
              <w:rPr>
                <w:rFonts w:ascii="Arial" w:cs="Arial" w:eastAsia="Arial" w:hAnsi="Arial"/>
                <w:sz w:val="13"/>
                <w:szCs w:val="13"/>
                <w:color w:val="auto"/>
                <w:w w:val="92"/>
              </w:rPr>
              <w:t>4/26/21</w:t>
            </w:r>
          </w:p>
        </w:tc>
      </w:tr>
      <w:tr>
        <w:trPr>
          <w:trHeight w:val="442"/>
        </w:trPr>
        <w:tc>
          <w:tcPr>
            <w:tcW w:w="1480" w:type="dxa"/>
            <w:vAlign w:val="bottom"/>
          </w:tcPr>
          <w:p>
            <w:pPr>
              <w:jc w:val="center"/>
              <w:ind w:right="455"/>
              <w:spacing w:after="0"/>
              <w:rPr>
                <w:sz w:val="20"/>
                <w:szCs w:val="20"/>
                <w:color w:val="auto"/>
              </w:rPr>
            </w:pPr>
            <w:r>
              <w:rPr>
                <w:rFonts w:ascii="Arial" w:cs="Arial" w:eastAsia="Arial" w:hAnsi="Arial"/>
                <w:sz w:val="13"/>
                <w:szCs w:val="13"/>
                <w:color w:val="auto"/>
                <w:w w:val="89"/>
              </w:rPr>
              <w:t>6,824,774</w:t>
            </w:r>
          </w:p>
        </w:tc>
        <w:tc>
          <w:tcPr>
            <w:tcW w:w="6140" w:type="dxa"/>
            <w:vAlign w:val="bottom"/>
          </w:tcPr>
          <w:p>
            <w:pPr>
              <w:ind w:left="120"/>
              <w:spacing w:after="0"/>
              <w:rPr>
                <w:sz w:val="20"/>
                <w:szCs w:val="20"/>
                <w:color w:val="auto"/>
              </w:rPr>
            </w:pPr>
            <w:r>
              <w:rPr>
                <w:rFonts w:ascii="Arial" w:cs="Arial" w:eastAsia="Arial" w:hAnsi="Arial"/>
                <w:sz w:val="13"/>
                <w:szCs w:val="13"/>
                <w:color w:val="auto"/>
              </w:rPr>
              <w:t>Antibodies that bind neuron-restrictive silencer factor proteins</w:t>
            </w:r>
          </w:p>
        </w:tc>
        <w:tc>
          <w:tcPr>
            <w:tcW w:w="2060" w:type="dxa"/>
            <w:vAlign w:val="bottom"/>
          </w:tcPr>
          <w:p>
            <w:pPr>
              <w:spacing w:after="0"/>
              <w:rPr>
                <w:sz w:val="24"/>
                <w:szCs w:val="24"/>
                <w:color w:val="auto"/>
              </w:rPr>
            </w:pPr>
          </w:p>
        </w:tc>
      </w:tr>
      <w:tr>
        <w:trPr>
          <w:trHeight w:val="442"/>
        </w:trPr>
        <w:tc>
          <w:tcPr>
            <w:tcW w:w="1480" w:type="dxa"/>
            <w:vAlign w:val="bottom"/>
          </w:tcPr>
          <w:p>
            <w:pPr>
              <w:jc w:val="center"/>
              <w:ind w:right="435"/>
              <w:spacing w:after="0"/>
              <w:rPr>
                <w:sz w:val="20"/>
                <w:szCs w:val="20"/>
                <w:color w:val="auto"/>
              </w:rPr>
            </w:pPr>
            <w:r>
              <w:rPr>
                <w:rFonts w:ascii="Arial" w:cs="Arial" w:eastAsia="Arial" w:hAnsi="Arial"/>
                <w:sz w:val="13"/>
                <w:szCs w:val="13"/>
                <w:color w:val="auto"/>
                <w:w w:val="90"/>
              </w:rPr>
              <w:t>6,890,724 B2</w:t>
            </w:r>
          </w:p>
        </w:tc>
        <w:tc>
          <w:tcPr>
            <w:tcW w:w="6140" w:type="dxa"/>
            <w:vAlign w:val="bottom"/>
          </w:tcPr>
          <w:p>
            <w:pPr>
              <w:ind w:left="120"/>
              <w:spacing w:after="0"/>
              <w:rPr>
                <w:sz w:val="20"/>
                <w:szCs w:val="20"/>
                <w:color w:val="auto"/>
              </w:rPr>
            </w:pPr>
            <w:r>
              <w:rPr>
                <w:rFonts w:ascii="Arial" w:cs="Arial" w:eastAsia="Arial" w:hAnsi="Arial"/>
                <w:sz w:val="13"/>
                <w:szCs w:val="13"/>
                <w:color w:val="auto"/>
              </w:rPr>
              <w:t>Methods and Compositions for Neural Progenitor Cells (cRET)</w:t>
            </w:r>
          </w:p>
        </w:tc>
        <w:tc>
          <w:tcPr>
            <w:tcW w:w="2060" w:type="dxa"/>
            <w:vAlign w:val="bottom"/>
          </w:tcPr>
          <w:p>
            <w:pPr>
              <w:spacing w:after="0"/>
              <w:rPr>
                <w:sz w:val="24"/>
                <w:szCs w:val="24"/>
                <w:color w:val="auto"/>
              </w:rPr>
            </w:pPr>
          </w:p>
        </w:tc>
      </w:tr>
      <w:tr>
        <w:trPr>
          <w:trHeight w:val="442"/>
        </w:trPr>
        <w:tc>
          <w:tcPr>
            <w:tcW w:w="1480" w:type="dxa"/>
            <w:vAlign w:val="bottom"/>
          </w:tcPr>
          <w:p>
            <w:pPr>
              <w:spacing w:after="0"/>
              <w:rPr>
                <w:sz w:val="24"/>
                <w:szCs w:val="24"/>
                <w:color w:val="auto"/>
              </w:rPr>
            </w:pPr>
          </w:p>
        </w:tc>
        <w:tc>
          <w:tcPr>
            <w:tcW w:w="6140" w:type="dxa"/>
            <w:vAlign w:val="bottom"/>
          </w:tcPr>
          <w:p>
            <w:pPr>
              <w:spacing w:after="0"/>
              <w:rPr>
                <w:sz w:val="24"/>
                <w:szCs w:val="24"/>
                <w:color w:val="auto"/>
              </w:rPr>
            </w:pPr>
          </w:p>
        </w:tc>
        <w:tc>
          <w:tcPr>
            <w:tcW w:w="2060" w:type="dxa"/>
            <w:vAlign w:val="bottom"/>
          </w:tcPr>
          <w:p>
            <w:pPr>
              <w:jc w:val="center"/>
              <w:ind w:left="575"/>
              <w:spacing w:after="0"/>
              <w:rPr>
                <w:sz w:val="20"/>
                <w:szCs w:val="20"/>
                <w:color w:val="auto"/>
              </w:rPr>
            </w:pPr>
            <w:r>
              <w:rPr>
                <w:rFonts w:ascii="Arial" w:cs="Arial" w:eastAsia="Arial" w:hAnsi="Arial"/>
                <w:sz w:val="13"/>
                <w:szCs w:val="13"/>
                <w:color w:val="auto"/>
                <w:w w:val="90"/>
              </w:rPr>
              <w:t>10/10/17</w:t>
            </w:r>
          </w:p>
        </w:tc>
      </w:tr>
      <w:tr>
        <w:trPr>
          <w:trHeight w:val="435"/>
        </w:trPr>
        <w:tc>
          <w:tcPr>
            <w:tcW w:w="1480" w:type="dxa"/>
            <w:vAlign w:val="bottom"/>
          </w:tcPr>
          <w:p>
            <w:pPr>
              <w:jc w:val="center"/>
              <w:ind w:right="435"/>
              <w:spacing w:after="0"/>
              <w:rPr>
                <w:sz w:val="20"/>
                <w:szCs w:val="20"/>
                <w:color w:val="auto"/>
              </w:rPr>
            </w:pPr>
            <w:r>
              <w:rPr>
                <w:rFonts w:ascii="Arial" w:cs="Arial" w:eastAsia="Arial" w:hAnsi="Arial"/>
                <w:sz w:val="13"/>
                <w:szCs w:val="13"/>
                <w:color w:val="auto"/>
                <w:w w:val="90"/>
              </w:rPr>
              <w:t>Licensed from the</w:t>
            </w:r>
          </w:p>
        </w:tc>
        <w:tc>
          <w:tcPr>
            <w:tcW w:w="6140" w:type="dxa"/>
            <w:vAlign w:val="bottom"/>
          </w:tcPr>
          <w:p>
            <w:pPr>
              <w:spacing w:after="0"/>
              <w:rPr>
                <w:sz w:val="24"/>
                <w:szCs w:val="24"/>
                <w:color w:val="auto"/>
              </w:rPr>
            </w:pPr>
          </w:p>
        </w:tc>
        <w:tc>
          <w:tcPr>
            <w:tcW w:w="2060" w:type="dxa"/>
            <w:vAlign w:val="bottom"/>
          </w:tcPr>
          <w:p>
            <w:pPr>
              <w:jc w:val="center"/>
              <w:ind w:left="595"/>
              <w:spacing w:after="0"/>
              <w:rPr>
                <w:sz w:val="20"/>
                <w:szCs w:val="20"/>
                <w:color w:val="auto"/>
              </w:rPr>
            </w:pPr>
            <w:r>
              <w:rPr>
                <w:rFonts w:ascii="Arial" w:cs="Arial" w:eastAsia="Arial" w:hAnsi="Arial"/>
                <w:sz w:val="13"/>
                <w:szCs w:val="13"/>
                <w:color w:val="auto"/>
                <w:w w:val="92"/>
              </w:rPr>
              <w:t>5/12/15</w:t>
            </w:r>
          </w:p>
        </w:tc>
      </w:tr>
      <w:tr>
        <w:trPr>
          <w:trHeight w:val="157"/>
        </w:trPr>
        <w:tc>
          <w:tcPr>
            <w:tcW w:w="1480" w:type="dxa"/>
            <w:vAlign w:val="bottom"/>
          </w:tcPr>
          <w:p>
            <w:pPr>
              <w:jc w:val="center"/>
              <w:ind w:right="435"/>
              <w:spacing w:after="0"/>
              <w:rPr>
                <w:sz w:val="20"/>
                <w:szCs w:val="20"/>
                <w:color w:val="auto"/>
              </w:rPr>
            </w:pPr>
            <w:r>
              <w:rPr>
                <w:rFonts w:ascii="Arial" w:cs="Arial" w:eastAsia="Arial" w:hAnsi="Arial"/>
                <w:sz w:val="13"/>
                <w:szCs w:val="13"/>
                <w:color w:val="auto"/>
                <w:w w:val="87"/>
              </w:rPr>
              <w:t>Scripps Research</w:t>
            </w:r>
          </w:p>
        </w:tc>
        <w:tc>
          <w:tcPr>
            <w:tcW w:w="6140" w:type="dxa"/>
            <w:vAlign w:val="bottom"/>
          </w:tcPr>
          <w:p>
            <w:pPr>
              <w:spacing w:after="0"/>
              <w:rPr>
                <w:sz w:val="13"/>
                <w:szCs w:val="13"/>
                <w:color w:val="auto"/>
              </w:rPr>
            </w:pPr>
          </w:p>
        </w:tc>
        <w:tc>
          <w:tcPr>
            <w:tcW w:w="2060" w:type="dxa"/>
            <w:vAlign w:val="bottom"/>
          </w:tcPr>
          <w:p>
            <w:pPr>
              <w:spacing w:after="0"/>
              <w:rPr>
                <w:sz w:val="13"/>
                <w:szCs w:val="13"/>
                <w:color w:val="auto"/>
              </w:rPr>
            </w:pPr>
          </w:p>
        </w:tc>
      </w:tr>
      <w:tr>
        <w:trPr>
          <w:trHeight w:val="165"/>
        </w:trPr>
        <w:tc>
          <w:tcPr>
            <w:tcW w:w="1480" w:type="dxa"/>
            <w:vAlign w:val="bottom"/>
          </w:tcPr>
          <w:p>
            <w:pPr>
              <w:jc w:val="center"/>
              <w:ind w:right="435"/>
              <w:spacing w:after="0"/>
              <w:rPr>
                <w:sz w:val="20"/>
                <w:szCs w:val="20"/>
                <w:color w:val="auto"/>
              </w:rPr>
            </w:pPr>
            <w:r>
              <w:rPr>
                <w:rFonts w:ascii="Arial" w:cs="Arial" w:eastAsia="Arial" w:hAnsi="Arial"/>
                <w:sz w:val="13"/>
                <w:szCs w:val="13"/>
                <w:color w:val="auto"/>
                <w:w w:val="92"/>
              </w:rPr>
              <w:t>Institute</w:t>
            </w:r>
          </w:p>
        </w:tc>
        <w:tc>
          <w:tcPr>
            <w:tcW w:w="6140" w:type="dxa"/>
            <w:vAlign w:val="bottom"/>
          </w:tcPr>
          <w:p>
            <w:pPr>
              <w:spacing w:after="0"/>
              <w:rPr>
                <w:sz w:val="14"/>
                <w:szCs w:val="14"/>
                <w:color w:val="auto"/>
              </w:rPr>
            </w:pPr>
          </w:p>
        </w:tc>
        <w:tc>
          <w:tcPr>
            <w:tcW w:w="2060" w:type="dxa"/>
            <w:vAlign w:val="bottom"/>
          </w:tcPr>
          <w:p>
            <w:pPr>
              <w:spacing w:after="0"/>
              <w:rPr>
                <w:sz w:val="14"/>
                <w:szCs w:val="14"/>
                <w:color w:val="auto"/>
              </w:rPr>
            </w:pPr>
          </w:p>
        </w:tc>
      </w:tr>
      <w:tr>
        <w:trPr>
          <w:trHeight w:val="442"/>
        </w:trPr>
        <w:tc>
          <w:tcPr>
            <w:tcW w:w="1480" w:type="dxa"/>
            <w:vAlign w:val="bottom"/>
          </w:tcPr>
          <w:p>
            <w:pPr>
              <w:jc w:val="center"/>
              <w:ind w:right="455"/>
              <w:spacing w:after="0"/>
              <w:rPr>
                <w:sz w:val="20"/>
                <w:szCs w:val="20"/>
                <w:color w:val="auto"/>
              </w:rPr>
            </w:pPr>
            <w:r>
              <w:rPr>
                <w:rFonts w:ascii="Arial" w:cs="Arial" w:eastAsia="Arial" w:hAnsi="Arial"/>
                <w:sz w:val="13"/>
                <w:szCs w:val="13"/>
                <w:color w:val="auto"/>
                <w:w w:val="89"/>
              </w:rPr>
              <w:t>6,242,666</w:t>
            </w:r>
          </w:p>
        </w:tc>
        <w:tc>
          <w:tcPr>
            <w:tcW w:w="6140" w:type="dxa"/>
            <w:vAlign w:val="bottom"/>
          </w:tcPr>
          <w:p>
            <w:pPr>
              <w:ind w:left="120"/>
              <w:spacing w:after="0"/>
              <w:rPr>
                <w:sz w:val="20"/>
                <w:szCs w:val="20"/>
                <w:color w:val="auto"/>
              </w:rPr>
            </w:pPr>
            <w:r>
              <w:rPr>
                <w:rFonts w:ascii="Arial" w:cs="Arial" w:eastAsia="Arial" w:hAnsi="Arial"/>
                <w:sz w:val="13"/>
                <w:szCs w:val="13"/>
                <w:color w:val="auto"/>
              </w:rPr>
              <w:t>An animal model for identifying a common stem/progenitor to liver cells and pancreatic cells</w:t>
            </w:r>
          </w:p>
        </w:tc>
        <w:tc>
          <w:tcPr>
            <w:tcW w:w="2060" w:type="dxa"/>
            <w:vAlign w:val="bottom"/>
          </w:tcPr>
          <w:p>
            <w:pPr>
              <w:jc w:val="center"/>
              <w:ind w:left="575"/>
              <w:spacing w:after="0"/>
              <w:rPr>
                <w:sz w:val="20"/>
                <w:szCs w:val="20"/>
                <w:color w:val="auto"/>
              </w:rPr>
            </w:pPr>
            <w:r>
              <w:rPr>
                <w:rFonts w:ascii="Arial" w:cs="Arial" w:eastAsia="Arial" w:hAnsi="Arial"/>
                <w:sz w:val="13"/>
                <w:szCs w:val="13"/>
                <w:color w:val="auto"/>
                <w:w w:val="90"/>
              </w:rPr>
              <w:t>12/22/15</w:t>
            </w:r>
          </w:p>
        </w:tc>
      </w:tr>
      <w:tr>
        <w:trPr>
          <w:trHeight w:val="442"/>
        </w:trPr>
        <w:tc>
          <w:tcPr>
            <w:tcW w:w="1480" w:type="dxa"/>
            <w:vAlign w:val="bottom"/>
          </w:tcPr>
          <w:p>
            <w:pPr>
              <w:jc w:val="center"/>
              <w:ind w:right="455"/>
              <w:spacing w:after="0"/>
              <w:rPr>
                <w:sz w:val="20"/>
                <w:szCs w:val="20"/>
                <w:color w:val="auto"/>
              </w:rPr>
            </w:pPr>
            <w:r>
              <w:rPr>
                <w:rFonts w:ascii="Arial" w:cs="Arial" w:eastAsia="Arial" w:hAnsi="Arial"/>
                <w:sz w:val="13"/>
                <w:szCs w:val="13"/>
                <w:color w:val="auto"/>
                <w:w w:val="89"/>
              </w:rPr>
              <w:t>6,541,251</w:t>
            </w:r>
          </w:p>
        </w:tc>
        <w:tc>
          <w:tcPr>
            <w:tcW w:w="6140" w:type="dxa"/>
            <w:vAlign w:val="bottom"/>
          </w:tcPr>
          <w:p>
            <w:pPr>
              <w:ind w:left="120"/>
              <w:spacing w:after="0"/>
              <w:rPr>
                <w:sz w:val="20"/>
                <w:szCs w:val="20"/>
                <w:color w:val="auto"/>
              </w:rPr>
            </w:pPr>
            <w:r>
              <w:rPr>
                <w:rFonts w:ascii="Arial" w:cs="Arial" w:eastAsia="Arial" w:hAnsi="Arial"/>
                <w:sz w:val="13"/>
                <w:szCs w:val="13"/>
                <w:color w:val="auto"/>
              </w:rPr>
              <w:t>Pancreatic progenitor 1 gene and its uses</w:t>
            </w:r>
          </w:p>
        </w:tc>
        <w:tc>
          <w:tcPr>
            <w:tcW w:w="2060" w:type="dxa"/>
            <w:vAlign w:val="bottom"/>
          </w:tcPr>
          <w:p>
            <w:pPr>
              <w:jc w:val="center"/>
              <w:ind w:left="575"/>
              <w:spacing w:after="0"/>
              <w:rPr>
                <w:sz w:val="20"/>
                <w:szCs w:val="20"/>
                <w:color w:val="auto"/>
              </w:rPr>
            </w:pPr>
            <w:r>
              <w:rPr>
                <w:rFonts w:ascii="Arial" w:cs="Arial" w:eastAsia="Arial" w:hAnsi="Arial"/>
                <w:sz w:val="13"/>
                <w:szCs w:val="13"/>
                <w:color w:val="auto"/>
                <w:w w:val="87"/>
              </w:rPr>
              <w:t>11/9/16</w:t>
            </w:r>
          </w:p>
        </w:tc>
      </w:tr>
      <w:tr>
        <w:trPr>
          <w:trHeight w:val="442"/>
        </w:trPr>
        <w:tc>
          <w:tcPr>
            <w:tcW w:w="1480" w:type="dxa"/>
            <w:vAlign w:val="bottom"/>
          </w:tcPr>
          <w:p>
            <w:pPr>
              <w:jc w:val="center"/>
              <w:ind w:right="455"/>
              <w:spacing w:after="0"/>
              <w:rPr>
                <w:sz w:val="20"/>
                <w:szCs w:val="20"/>
                <w:color w:val="auto"/>
              </w:rPr>
            </w:pPr>
            <w:r>
              <w:rPr>
                <w:rFonts w:ascii="Arial" w:cs="Arial" w:eastAsia="Arial" w:hAnsi="Arial"/>
                <w:sz w:val="13"/>
                <w:szCs w:val="13"/>
                <w:color w:val="auto"/>
                <w:w w:val="89"/>
              </w:rPr>
              <w:t>6,753,153</w:t>
            </w:r>
          </w:p>
        </w:tc>
        <w:tc>
          <w:tcPr>
            <w:tcW w:w="6140" w:type="dxa"/>
            <w:vAlign w:val="bottom"/>
          </w:tcPr>
          <w:p>
            <w:pPr>
              <w:ind w:left="120"/>
              <w:spacing w:after="0"/>
              <w:rPr>
                <w:sz w:val="20"/>
                <w:szCs w:val="20"/>
                <w:color w:val="auto"/>
              </w:rPr>
            </w:pPr>
            <w:r>
              <w:rPr>
                <w:rFonts w:ascii="Arial" w:cs="Arial" w:eastAsia="Arial" w:hAnsi="Arial"/>
                <w:sz w:val="13"/>
                <w:szCs w:val="13"/>
                <w:color w:val="auto"/>
              </w:rPr>
              <w:t>Markers for identification and isolation of pancreatic islet alpha and beta progenitors</w:t>
            </w:r>
          </w:p>
        </w:tc>
        <w:tc>
          <w:tcPr>
            <w:tcW w:w="2060" w:type="dxa"/>
            <w:vAlign w:val="bottom"/>
          </w:tcPr>
          <w:p>
            <w:pPr>
              <w:jc w:val="center"/>
              <w:ind w:left="575"/>
              <w:spacing w:after="0"/>
              <w:rPr>
                <w:sz w:val="20"/>
                <w:szCs w:val="20"/>
                <w:color w:val="auto"/>
              </w:rPr>
            </w:pPr>
            <w:r>
              <w:rPr>
                <w:rFonts w:ascii="Arial" w:cs="Arial" w:eastAsia="Arial" w:hAnsi="Arial"/>
                <w:sz w:val="13"/>
                <w:szCs w:val="13"/>
                <w:color w:val="auto"/>
                <w:w w:val="87"/>
              </w:rPr>
              <w:t>11/9/16</w:t>
            </w:r>
          </w:p>
        </w:tc>
      </w:tr>
      <w:tr>
        <w:trPr>
          <w:trHeight w:val="442"/>
        </w:trPr>
        <w:tc>
          <w:tcPr>
            <w:tcW w:w="1480" w:type="dxa"/>
            <w:vAlign w:val="bottom"/>
          </w:tcPr>
          <w:p>
            <w:pPr>
              <w:jc w:val="center"/>
              <w:ind w:right="455"/>
              <w:spacing w:after="0"/>
              <w:rPr>
                <w:sz w:val="20"/>
                <w:szCs w:val="20"/>
                <w:color w:val="auto"/>
              </w:rPr>
            </w:pPr>
            <w:r>
              <w:rPr>
                <w:rFonts w:ascii="Arial" w:cs="Arial" w:eastAsia="Arial" w:hAnsi="Arial"/>
                <w:sz w:val="13"/>
                <w:szCs w:val="13"/>
                <w:color w:val="auto"/>
                <w:w w:val="89"/>
              </w:rPr>
              <w:t>6,911,533</w:t>
            </w:r>
          </w:p>
        </w:tc>
        <w:tc>
          <w:tcPr>
            <w:tcW w:w="6140" w:type="dxa"/>
            <w:vAlign w:val="bottom"/>
          </w:tcPr>
          <w:p>
            <w:pPr>
              <w:ind w:left="120"/>
              <w:spacing w:after="0"/>
              <w:rPr>
                <w:sz w:val="20"/>
                <w:szCs w:val="20"/>
                <w:color w:val="auto"/>
              </w:rPr>
            </w:pPr>
            <w:r>
              <w:rPr>
                <w:rFonts w:ascii="Arial" w:cs="Arial" w:eastAsia="Arial" w:hAnsi="Arial"/>
                <w:sz w:val="13"/>
                <w:szCs w:val="13"/>
                <w:color w:val="auto"/>
              </w:rPr>
              <w:t>Pancreatic progenitor I gene and its uses</w:t>
            </w:r>
          </w:p>
        </w:tc>
        <w:tc>
          <w:tcPr>
            <w:tcW w:w="2060" w:type="dxa"/>
            <w:vAlign w:val="bottom"/>
          </w:tcPr>
          <w:p>
            <w:pPr>
              <w:jc w:val="center"/>
              <w:ind w:left="575"/>
              <w:spacing w:after="0"/>
              <w:rPr>
                <w:sz w:val="20"/>
                <w:szCs w:val="20"/>
                <w:color w:val="auto"/>
              </w:rPr>
            </w:pPr>
            <w:r>
              <w:rPr>
                <w:rFonts w:ascii="Arial" w:cs="Arial" w:eastAsia="Arial" w:hAnsi="Arial"/>
                <w:sz w:val="13"/>
                <w:szCs w:val="13"/>
                <w:color w:val="auto"/>
                <w:w w:val="93"/>
              </w:rPr>
              <w:t>6/6/17</w:t>
            </w:r>
          </w:p>
        </w:tc>
      </w:tr>
      <w:tr>
        <w:trPr>
          <w:trHeight w:val="315"/>
        </w:trPr>
        <w:tc>
          <w:tcPr>
            <w:tcW w:w="1480" w:type="dxa"/>
            <w:vAlign w:val="bottom"/>
          </w:tcPr>
          <w:p>
            <w:pPr>
              <w:spacing w:after="0"/>
              <w:rPr>
                <w:sz w:val="24"/>
                <w:szCs w:val="24"/>
                <w:color w:val="auto"/>
              </w:rPr>
            </w:pPr>
          </w:p>
        </w:tc>
        <w:tc>
          <w:tcPr>
            <w:tcW w:w="6140" w:type="dxa"/>
            <w:vAlign w:val="bottom"/>
          </w:tcPr>
          <w:p>
            <w:pPr>
              <w:spacing w:after="0"/>
              <w:rPr>
                <w:sz w:val="24"/>
                <w:szCs w:val="24"/>
                <w:color w:val="auto"/>
              </w:rPr>
            </w:pPr>
          </w:p>
        </w:tc>
        <w:tc>
          <w:tcPr>
            <w:tcW w:w="2060" w:type="dxa"/>
            <w:vAlign w:val="bottom"/>
          </w:tcPr>
          <w:p>
            <w:pPr>
              <w:jc w:val="center"/>
              <w:ind w:left="595"/>
              <w:spacing w:after="0"/>
              <w:rPr>
                <w:sz w:val="20"/>
                <w:szCs w:val="20"/>
                <w:color w:val="auto"/>
              </w:rPr>
            </w:pPr>
            <w:r>
              <w:rPr>
                <w:rFonts w:ascii="Arial" w:cs="Arial" w:eastAsia="Arial" w:hAnsi="Arial"/>
                <w:sz w:val="13"/>
                <w:szCs w:val="13"/>
                <w:color w:val="auto"/>
                <w:w w:val="92"/>
              </w:rPr>
              <w:t>6/19/18</w:t>
            </w:r>
          </w:p>
        </w:tc>
      </w:tr>
      <w:tr>
        <w:trPr>
          <w:trHeight w:val="563"/>
        </w:trPr>
        <w:tc>
          <w:tcPr>
            <w:tcW w:w="1480" w:type="dxa"/>
            <w:vAlign w:val="bottom"/>
          </w:tcPr>
          <w:p>
            <w:pPr>
              <w:jc w:val="center"/>
              <w:ind w:right="455"/>
              <w:spacing w:after="0"/>
              <w:rPr>
                <w:sz w:val="20"/>
                <w:szCs w:val="20"/>
                <w:color w:val="auto"/>
              </w:rPr>
            </w:pPr>
            <w:r>
              <w:rPr>
                <w:rFonts w:ascii="Arial" w:cs="Arial" w:eastAsia="Arial" w:hAnsi="Arial"/>
                <w:sz w:val="13"/>
                <w:szCs w:val="13"/>
                <w:color w:val="auto"/>
                <w:w w:val="93"/>
              </w:rPr>
              <w:t>Licensed from</w:t>
            </w:r>
          </w:p>
        </w:tc>
        <w:tc>
          <w:tcPr>
            <w:tcW w:w="6140" w:type="dxa"/>
            <w:vAlign w:val="bottom"/>
          </w:tcPr>
          <w:p>
            <w:pPr>
              <w:spacing w:after="0"/>
              <w:rPr>
                <w:sz w:val="24"/>
                <w:szCs w:val="24"/>
                <w:color w:val="auto"/>
              </w:rPr>
            </w:pPr>
          </w:p>
        </w:tc>
        <w:tc>
          <w:tcPr>
            <w:tcW w:w="2060" w:type="dxa"/>
            <w:vAlign w:val="bottom"/>
          </w:tcPr>
          <w:p>
            <w:pPr>
              <w:jc w:val="center"/>
              <w:ind w:left="575"/>
              <w:spacing w:after="0"/>
              <w:rPr>
                <w:sz w:val="20"/>
                <w:szCs w:val="20"/>
                <w:color w:val="auto"/>
              </w:rPr>
            </w:pPr>
            <w:r>
              <w:rPr>
                <w:rFonts w:ascii="Arial" w:cs="Arial" w:eastAsia="Arial" w:hAnsi="Arial"/>
                <w:sz w:val="13"/>
                <w:szCs w:val="13"/>
                <w:color w:val="auto"/>
                <w:w w:val="90"/>
              </w:rPr>
              <w:t>10/20/18</w:t>
            </w:r>
          </w:p>
        </w:tc>
      </w:tr>
      <w:tr>
        <w:trPr>
          <w:trHeight w:val="157"/>
        </w:trPr>
        <w:tc>
          <w:tcPr>
            <w:tcW w:w="1480" w:type="dxa"/>
            <w:vAlign w:val="bottom"/>
          </w:tcPr>
          <w:p>
            <w:pPr>
              <w:jc w:val="center"/>
              <w:ind w:right="435"/>
              <w:spacing w:after="0"/>
              <w:rPr>
                <w:sz w:val="20"/>
                <w:szCs w:val="20"/>
                <w:color w:val="auto"/>
              </w:rPr>
            </w:pPr>
            <w:r>
              <w:rPr>
                <w:rFonts w:ascii="Arial" w:cs="Arial" w:eastAsia="Arial" w:hAnsi="Arial"/>
                <w:sz w:val="13"/>
                <w:szCs w:val="13"/>
                <w:color w:val="auto"/>
                <w:w w:val="92"/>
              </w:rPr>
              <w:t>Oregon Health &amp;</w:t>
            </w:r>
          </w:p>
        </w:tc>
        <w:tc>
          <w:tcPr>
            <w:tcW w:w="6140" w:type="dxa"/>
            <w:vAlign w:val="bottom"/>
          </w:tcPr>
          <w:p>
            <w:pPr>
              <w:spacing w:after="0"/>
              <w:rPr>
                <w:sz w:val="13"/>
                <w:szCs w:val="13"/>
                <w:color w:val="auto"/>
              </w:rPr>
            </w:pPr>
          </w:p>
        </w:tc>
        <w:tc>
          <w:tcPr>
            <w:tcW w:w="2060" w:type="dxa"/>
            <w:vAlign w:val="bottom"/>
          </w:tcPr>
          <w:p>
            <w:pPr>
              <w:spacing w:after="0"/>
              <w:rPr>
                <w:sz w:val="13"/>
                <w:szCs w:val="13"/>
                <w:color w:val="auto"/>
              </w:rPr>
            </w:pPr>
          </w:p>
        </w:tc>
      </w:tr>
      <w:tr>
        <w:trPr>
          <w:trHeight w:val="165"/>
        </w:trPr>
        <w:tc>
          <w:tcPr>
            <w:tcW w:w="1480" w:type="dxa"/>
            <w:vAlign w:val="bottom"/>
          </w:tcPr>
          <w:p>
            <w:pPr>
              <w:jc w:val="center"/>
              <w:ind w:right="435"/>
              <w:spacing w:after="0"/>
              <w:rPr>
                <w:sz w:val="20"/>
                <w:szCs w:val="20"/>
                <w:color w:val="auto"/>
              </w:rPr>
            </w:pPr>
            <w:r>
              <w:rPr>
                <w:rFonts w:ascii="Arial" w:cs="Arial" w:eastAsia="Arial" w:hAnsi="Arial"/>
                <w:sz w:val="13"/>
                <w:szCs w:val="13"/>
                <w:color w:val="auto"/>
                <w:w w:val="91"/>
              </w:rPr>
              <w:t>Science University</w:t>
            </w:r>
          </w:p>
        </w:tc>
        <w:tc>
          <w:tcPr>
            <w:tcW w:w="6140" w:type="dxa"/>
            <w:vAlign w:val="bottom"/>
          </w:tcPr>
          <w:p>
            <w:pPr>
              <w:spacing w:after="0"/>
              <w:rPr>
                <w:sz w:val="14"/>
                <w:szCs w:val="14"/>
                <w:color w:val="auto"/>
              </w:rPr>
            </w:pPr>
          </w:p>
        </w:tc>
        <w:tc>
          <w:tcPr>
            <w:tcW w:w="2060" w:type="dxa"/>
            <w:vAlign w:val="bottom"/>
          </w:tcPr>
          <w:p>
            <w:pPr>
              <w:spacing w:after="0"/>
              <w:rPr>
                <w:sz w:val="14"/>
                <w:szCs w:val="14"/>
                <w:color w:val="auto"/>
              </w:rPr>
            </w:pPr>
          </w:p>
        </w:tc>
      </w:tr>
      <w:tr>
        <w:trPr>
          <w:trHeight w:val="442"/>
        </w:trPr>
        <w:tc>
          <w:tcPr>
            <w:tcW w:w="1480" w:type="dxa"/>
            <w:vAlign w:val="bottom"/>
          </w:tcPr>
          <w:p>
            <w:pPr>
              <w:jc w:val="center"/>
              <w:ind w:right="455"/>
              <w:spacing w:after="0"/>
              <w:rPr>
                <w:sz w:val="20"/>
                <w:szCs w:val="20"/>
                <w:color w:val="auto"/>
              </w:rPr>
            </w:pPr>
            <w:r>
              <w:rPr>
                <w:rFonts w:ascii="Arial" w:cs="Arial" w:eastAsia="Arial" w:hAnsi="Arial"/>
                <w:sz w:val="13"/>
                <w:szCs w:val="13"/>
                <w:color w:val="auto"/>
                <w:w w:val="89"/>
              </w:rPr>
              <w:t>6,132,708</w:t>
            </w:r>
          </w:p>
        </w:tc>
        <w:tc>
          <w:tcPr>
            <w:tcW w:w="6140" w:type="dxa"/>
            <w:vAlign w:val="bottom"/>
          </w:tcPr>
          <w:p>
            <w:pPr>
              <w:ind w:left="120"/>
              <w:spacing w:after="0"/>
              <w:rPr>
                <w:sz w:val="20"/>
                <w:szCs w:val="20"/>
                <w:color w:val="auto"/>
              </w:rPr>
            </w:pPr>
            <w:r>
              <w:rPr>
                <w:rFonts w:ascii="Arial" w:cs="Arial" w:eastAsia="Arial" w:hAnsi="Arial"/>
                <w:sz w:val="13"/>
                <w:szCs w:val="13"/>
                <w:color w:val="auto"/>
              </w:rPr>
              <w:t>Liver regeneration using pancreas cells</w:t>
            </w:r>
          </w:p>
        </w:tc>
        <w:tc>
          <w:tcPr>
            <w:tcW w:w="2060" w:type="dxa"/>
            <w:vAlign w:val="bottom"/>
          </w:tcPr>
          <w:p>
            <w:pPr>
              <w:jc w:val="center"/>
              <w:ind w:left="595"/>
              <w:spacing w:after="0"/>
              <w:rPr>
                <w:sz w:val="20"/>
                <w:szCs w:val="20"/>
                <w:color w:val="auto"/>
              </w:rPr>
            </w:pPr>
            <w:r>
              <w:rPr>
                <w:rFonts w:ascii="Arial" w:cs="Arial" w:eastAsia="Arial" w:hAnsi="Arial"/>
                <w:sz w:val="13"/>
                <w:szCs w:val="13"/>
                <w:color w:val="auto"/>
                <w:w w:val="92"/>
              </w:rPr>
              <w:t>9/25/18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1003935</wp:posOffset>
            </wp:positionH>
            <wp:positionV relativeFrom="paragraph">
              <wp:posOffset>-4461510</wp:posOffset>
            </wp:positionV>
            <wp:extent cx="12700" cy="63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6390640</wp:posOffset>
            </wp:positionH>
            <wp:positionV relativeFrom="paragraph">
              <wp:posOffset>-4461510</wp:posOffset>
            </wp:positionV>
            <wp:extent cx="6350" cy="63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350" cy="6350"/>
                    </a:xfrm>
                    <a:prstGeom prst="rect">
                      <a:avLst/>
                    </a:prstGeom>
                    <a:noFill/>
                  </pic:spPr>
                </pic:pic>
              </a:graphicData>
            </a:graphic>
          </wp:anchor>
        </w:drawing>
      </w:r>
    </w:p>
    <w:p>
      <w:pPr>
        <w:spacing w:after="0" w:line="61"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We also rely upon trade-secret protection for our confidential and proprietary information and take active measures to control access to that information.</w:t>
      </w:r>
    </w:p>
    <w:p>
      <w:pPr>
        <w:spacing w:after="0" w:line="96" w:lineRule="exact"/>
        <w:rPr>
          <w:sz w:val="20"/>
          <w:szCs w:val="20"/>
          <w:color w:val="auto"/>
        </w:rPr>
      </w:pPr>
    </w:p>
    <w:p>
      <w:pPr>
        <w:ind w:left="680" w:right="120" w:firstLine="399"/>
        <w:spacing w:after="0" w:line="289" w:lineRule="auto"/>
        <w:rPr>
          <w:sz w:val="20"/>
          <w:szCs w:val="20"/>
          <w:color w:val="auto"/>
        </w:rPr>
      </w:pPr>
      <w:r>
        <w:rPr>
          <w:rFonts w:ascii="Arial" w:cs="Arial" w:eastAsia="Arial" w:hAnsi="Arial"/>
          <w:sz w:val="12"/>
          <w:szCs w:val="12"/>
          <w:color w:val="auto"/>
        </w:rPr>
        <w:t>Our policy is to require our employees, consultants and significant scientific collaborators and sponsored researchers to execute confidentiality agreements upon the commencement of an employment or consulting relationship with us. These agreements generally provide that all confidential information developed or made known to the individual by us during the course of the individual’s relationship with us is to be kept confidential and not disclosed to third parties except in specific circumstances. In the case of employees and consultants, the agreements generally provide that all inventions conceived by the individual in the course of rendering services to us shall be our exclusive property.</w:t>
      </w:r>
    </w:p>
    <w:p>
      <w:pPr>
        <w:spacing w:after="0" w:line="53" w:lineRule="exact"/>
        <w:rPr>
          <w:sz w:val="20"/>
          <w:szCs w:val="20"/>
          <w:color w:val="auto"/>
        </w:rPr>
      </w:pPr>
    </w:p>
    <w:p>
      <w:pPr>
        <w:ind w:left="680" w:right="180" w:firstLine="399"/>
        <w:spacing w:after="0" w:line="257" w:lineRule="auto"/>
        <w:rPr>
          <w:sz w:val="20"/>
          <w:szCs w:val="20"/>
          <w:color w:val="auto"/>
        </w:rPr>
      </w:pPr>
      <w:r>
        <w:rPr>
          <w:rFonts w:ascii="Arial" w:cs="Arial" w:eastAsia="Arial" w:hAnsi="Arial"/>
          <w:sz w:val="13"/>
          <w:szCs w:val="13"/>
          <w:color w:val="auto"/>
        </w:rPr>
        <w:t>We have obtained rights from universities and research institutions to technologies, processes and compounds that we believe may be important to the development of our products. These agreements typically require us to pay license fees, meet certain diligence obligations and, upon commercial introduction of certain products, pay royalties. These include exclusive license agreements with NeuroSpheres, The Scripps Institute, the California Institute of Technology and the Oregon Health &amp; Science University, to certain patents and know-how regarding present and certain future developments in CNS, liver and pancreas stem cells. Our licenses may be canceled or converted to non-exclusive licenses if we fail to use the relevant technology or if we breach our agreements. Loss of such licenses could expose us to the risks of third party patents and/or technology. There can be no assurance that any of these licenses will provide effective protection against our competitors.</w:t>
      </w:r>
    </w:p>
    <w:p>
      <w:pPr>
        <w:spacing w:after="0" w:line="72" w:lineRule="exact"/>
        <w:rPr>
          <w:sz w:val="20"/>
          <w:szCs w:val="20"/>
          <w:color w:val="auto"/>
        </w:rPr>
      </w:pPr>
    </w:p>
    <w:p>
      <w:pPr>
        <w:ind w:left="680" w:right="120" w:firstLine="399"/>
        <w:spacing w:after="0" w:line="257" w:lineRule="auto"/>
        <w:rPr>
          <w:sz w:val="20"/>
          <w:szCs w:val="20"/>
          <w:color w:val="auto"/>
        </w:rPr>
      </w:pPr>
      <w:r>
        <w:rPr>
          <w:rFonts w:ascii="Arial" w:cs="Arial" w:eastAsia="Arial" w:hAnsi="Arial"/>
          <w:sz w:val="13"/>
          <w:szCs w:val="13"/>
          <w:color w:val="auto"/>
        </w:rPr>
        <w:t>The patent positions of pharmaceutical and biotechnology companies, including ours, are uncertain and involve complex and evolving legal and factual questions. The coverage sought in a patent application can be denied or significantly reduced before or after the patent is issued. Consequently, we do not know whether any of our pending applications will result in the issuance of patents, or if any existing or future patents will provide significant protection or commercial advantage or will be circumvented by others. Since patent applications are secret until the applications are published (usually eighteen months after the earliest effective filing date), and since publication of discoveries in the scientific or patent literature often lags behind actual discoveries, we cannot be certain that we were the first to make the inventions covered by each of our pending patent applications or that we were the first to file patent applications for such inventions. There can be no assurance that patents will issue from our pending or</w:t>
      </w:r>
    </w:p>
    <w:p>
      <w:pPr>
        <w:spacing w:after="0" w:line="121"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780"/>
          </w:cols>
          <w:pgMar w:left="220" w:top="343" w:right="899" w:bottom="1440" w:gutter="0" w:footer="0" w:header="0"/>
        </w:sectPr>
      </w:pPr>
    </w:p>
    <w:bookmarkStart w:id="16" w:name="page17"/>
    <w:bookmarkEnd w:id="16"/>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rPr>
          <w:sz w:val="20"/>
          <w:szCs w:val="20"/>
          <w:color w:val="auto"/>
        </w:rPr>
      </w:pPr>
      <w:r>
        <w:rPr>
          <w:rFonts w:ascii="Arial" w:cs="Arial" w:eastAsia="Arial" w:hAnsi="Arial"/>
          <w:sz w:val="11"/>
          <w:szCs w:val="11"/>
          <w:color w:val="auto"/>
        </w:rPr>
        <w:t>future patent applications or, if issued, that such patents will be of commercial benefit to us, afford us adequate protection from competing products, or not be challenged or declared invalid.</w:t>
      </w:r>
    </w:p>
    <w:p>
      <w:pPr>
        <w:spacing w:after="0" w:line="119" w:lineRule="exact"/>
        <w:rPr>
          <w:sz w:val="20"/>
          <w:szCs w:val="20"/>
          <w:color w:val="auto"/>
        </w:rPr>
      </w:pPr>
    </w:p>
    <w:p>
      <w:pPr>
        <w:ind w:left="680" w:right="120" w:firstLine="399"/>
        <w:spacing w:after="0" w:line="264" w:lineRule="auto"/>
        <w:rPr>
          <w:sz w:val="20"/>
          <w:szCs w:val="20"/>
          <w:color w:val="auto"/>
        </w:rPr>
      </w:pPr>
      <w:r>
        <w:rPr>
          <w:rFonts w:ascii="Arial" w:cs="Arial" w:eastAsia="Arial" w:hAnsi="Arial"/>
          <w:sz w:val="13"/>
          <w:szCs w:val="13"/>
          <w:color w:val="auto"/>
        </w:rPr>
        <w:t>In the event that a third party has also filed a patent application relating to inventions claimed in our patent applications, we may have to participate in interference proceedings declared by the United States Patent and Trademark Office to determine priority of invention, which could result in substantial uncertainties and cost for us, even if the eventual outcome is favorable to us. There can be no assurance that our patents, if issued, would be held valid by a court of competent jurisdiction.</w:t>
      </w:r>
    </w:p>
    <w:p>
      <w:pPr>
        <w:spacing w:after="0" w:line="67" w:lineRule="exact"/>
        <w:rPr>
          <w:sz w:val="20"/>
          <w:szCs w:val="20"/>
          <w:color w:val="auto"/>
        </w:rPr>
      </w:pPr>
    </w:p>
    <w:p>
      <w:pPr>
        <w:ind w:left="680" w:firstLine="399"/>
        <w:spacing w:after="0" w:line="264" w:lineRule="auto"/>
        <w:rPr>
          <w:sz w:val="20"/>
          <w:szCs w:val="20"/>
          <w:color w:val="auto"/>
        </w:rPr>
      </w:pPr>
      <w:r>
        <w:rPr>
          <w:rFonts w:ascii="Arial" w:cs="Arial" w:eastAsia="Arial" w:hAnsi="Arial"/>
          <w:sz w:val="13"/>
          <w:szCs w:val="13"/>
          <w:color w:val="auto"/>
        </w:rPr>
        <w:t>A number of pharmaceutical, biotechnology and other companies, universities and research institutions have filed patent applications or have been issued patents relating to cell therapy, stem cells and other technologies potentially relevant to or required by our expected products. We cannot predict which, if any, of such applications will issue as patents or the claims that might be allowed.</w:t>
      </w:r>
    </w:p>
    <w:p>
      <w:pPr>
        <w:spacing w:after="0" w:line="67" w:lineRule="exact"/>
        <w:rPr>
          <w:sz w:val="20"/>
          <w:szCs w:val="20"/>
          <w:color w:val="auto"/>
        </w:rPr>
      </w:pPr>
    </w:p>
    <w:p>
      <w:pPr>
        <w:ind w:left="680" w:right="40" w:firstLine="399"/>
        <w:spacing w:after="0" w:line="257" w:lineRule="auto"/>
        <w:rPr>
          <w:sz w:val="20"/>
          <w:szCs w:val="20"/>
          <w:color w:val="auto"/>
        </w:rPr>
      </w:pPr>
      <w:r>
        <w:rPr>
          <w:rFonts w:ascii="Arial" w:cs="Arial" w:eastAsia="Arial" w:hAnsi="Arial"/>
          <w:sz w:val="13"/>
          <w:szCs w:val="13"/>
          <w:color w:val="auto"/>
        </w:rPr>
        <w:t>If third party patents or patent applications contain claims infringed by our technology and such claims or claims in issued patents are ultimately determined to be valid, there can be no assurance that we would be able to obtain licenses to these patents at a reasonable cost, if at all, or be able to develop or obtain alternative non-infringing technology. If we are unable to obtain such licenses or develop or obtain alternative non-infringing technology at a reasonable cost, we may not be able to develop certain products commercially. There can be no assurance that we will not be obliged to defend ourselves in court against allegations of infringement of third party patents. Patent litigation is very expensive and could consume substantial resources and create significant uncertainties. An adverse outcome in such a suit could subject us to significant liabilities to third parties, require us to seek licenses from third parties, or require us to cease using such technology.</w:t>
      </w:r>
    </w:p>
    <w:p>
      <w:pPr>
        <w:spacing w:after="0" w:line="146"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Competition</w:t>
      </w:r>
    </w:p>
    <w:p>
      <w:pPr>
        <w:spacing w:after="0" w:line="100" w:lineRule="exact"/>
        <w:rPr>
          <w:sz w:val="20"/>
          <w:szCs w:val="20"/>
          <w:color w:val="auto"/>
        </w:rPr>
      </w:pPr>
    </w:p>
    <w:p>
      <w:pPr>
        <w:ind w:left="680" w:firstLine="399"/>
        <w:spacing w:after="0" w:line="279" w:lineRule="auto"/>
        <w:rPr>
          <w:sz w:val="20"/>
          <w:szCs w:val="20"/>
          <w:color w:val="auto"/>
        </w:rPr>
      </w:pPr>
      <w:r>
        <w:rPr>
          <w:rFonts w:ascii="Arial" w:cs="Arial" w:eastAsia="Arial" w:hAnsi="Arial"/>
          <w:sz w:val="12"/>
          <w:szCs w:val="12"/>
          <w:color w:val="auto"/>
        </w:rPr>
        <w:t>The targeted disease states for our initial products in some instances currently have no effective long-term therapies. However, we do expect that our initial products will have to compete with a variety of therapeutic products and procedures. Major pharmaceutical companies currently offer a number of pharmaceutical products to treat lysosomal storage disorders, neurodegenerative and liver diseases, diabetes and other diseases for which our technologies may be applicable. Many pharmaceutical and biotechnology companies are investigating new drugs and therapeutic approaches for the same purposes, which may achieve new efficacy profiles, extend the therapeutic window for such products, alter the prognosis of these diseases, or prevent their onset. We believe that our products, when and if successfully developed, will compete with these products principally on the basis of improved and extended efficacy and safety and their overall economic benefit to the health care system. The market for therapeutic products that address degenerative diseases is large, and competition is intense. We expect competition to increase. We believe that our most significant competitors will be fully integrated pharmaceutical companies and more established biotechnology companies. Smaller companies may also be significant competitors, particularly through collaborative arrangements with large pharmaceutical or biotechnology companies. Many of these competitors have significant products approved or in development that could be competitive with our potential products.</w:t>
      </w:r>
    </w:p>
    <w:p>
      <w:pPr>
        <w:spacing w:after="0" w:line="60" w:lineRule="exact"/>
        <w:rPr>
          <w:sz w:val="20"/>
          <w:szCs w:val="20"/>
          <w:color w:val="auto"/>
        </w:rPr>
      </w:pPr>
    </w:p>
    <w:p>
      <w:pPr>
        <w:ind w:left="680" w:right="40" w:firstLine="399"/>
        <w:spacing w:after="0" w:line="264" w:lineRule="auto"/>
        <w:rPr>
          <w:sz w:val="20"/>
          <w:szCs w:val="20"/>
          <w:color w:val="auto"/>
        </w:rPr>
      </w:pPr>
      <w:r>
        <w:rPr>
          <w:rFonts w:ascii="Arial" w:cs="Arial" w:eastAsia="Arial" w:hAnsi="Arial"/>
          <w:sz w:val="13"/>
          <w:szCs w:val="13"/>
          <w:color w:val="auto"/>
        </w:rPr>
        <w:t>Competition for any stem and progenitor cell products that we may develop may be in the form of existing and new drugs, other forms of cell transplantation, ablative and simulative procedures, and gene therapy. We believe that some of our competitors are also trying to develop stem and progenitor cell-based technologies. We expect that all of these products will compete with our potential stem and progenitor cell products based on efficacy, safety, cost and intellectual property positions.</w:t>
      </w:r>
    </w:p>
    <w:p>
      <w:pPr>
        <w:spacing w:after="0" w:line="67" w:lineRule="exact"/>
        <w:rPr>
          <w:sz w:val="20"/>
          <w:szCs w:val="20"/>
          <w:color w:val="auto"/>
        </w:rPr>
      </w:pPr>
    </w:p>
    <w:p>
      <w:pPr>
        <w:jc w:val="both"/>
        <w:ind w:left="680" w:right="120" w:firstLine="399"/>
        <w:spacing w:after="0" w:line="264" w:lineRule="auto"/>
        <w:rPr>
          <w:sz w:val="20"/>
          <w:szCs w:val="20"/>
          <w:color w:val="auto"/>
        </w:rPr>
      </w:pPr>
      <w:r>
        <w:rPr>
          <w:rFonts w:ascii="Arial" w:cs="Arial" w:eastAsia="Arial" w:hAnsi="Arial"/>
          <w:sz w:val="13"/>
          <w:szCs w:val="13"/>
          <w:color w:val="auto"/>
        </w:rPr>
        <w:t>We may also face competition from companies that have filed patent applications relating to the use of genetically modified cells to treat disease, disorder or injury. In the event our therapies should require the use of such genetically modified cells, we may be required to seek licenses from these competitors in order to commercialize certain of our proposed products, and such licenses may not be granted or may be available only on unfavorable terms.</w:t>
      </w:r>
    </w:p>
    <w:p>
      <w:pPr>
        <w:spacing w:after="0" w:line="67" w:lineRule="exact"/>
        <w:rPr>
          <w:sz w:val="20"/>
          <w:szCs w:val="20"/>
          <w:color w:val="auto"/>
        </w:rPr>
      </w:pPr>
    </w:p>
    <w:p>
      <w:pPr>
        <w:ind w:left="680" w:right="40" w:firstLine="399"/>
        <w:spacing w:after="0" w:line="276" w:lineRule="auto"/>
        <w:rPr>
          <w:sz w:val="20"/>
          <w:szCs w:val="20"/>
          <w:color w:val="auto"/>
        </w:rPr>
      </w:pPr>
      <w:r>
        <w:rPr>
          <w:rFonts w:ascii="Arial" w:cs="Arial" w:eastAsia="Arial" w:hAnsi="Arial"/>
          <w:sz w:val="13"/>
          <w:szCs w:val="13"/>
          <w:color w:val="auto"/>
        </w:rPr>
        <w:t>If we develop products that receive regulatory approval, they would then have to compete for market acceptance and market share. For certain of our potential products, an important success factor will be the timing of</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17" w:name="page18"/>
    <w:bookmarkEnd w:id="17"/>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40"/>
        <w:spacing w:after="0" w:line="264" w:lineRule="auto"/>
        <w:rPr>
          <w:sz w:val="20"/>
          <w:szCs w:val="20"/>
          <w:color w:val="auto"/>
        </w:rPr>
      </w:pPr>
      <w:r>
        <w:rPr>
          <w:rFonts w:ascii="Arial" w:cs="Arial" w:eastAsia="Arial" w:hAnsi="Arial"/>
          <w:sz w:val="13"/>
          <w:szCs w:val="13"/>
          <w:color w:val="auto"/>
        </w:rPr>
        <w:t>market introduction of competitive products. This is a function of the relative speed with which we and our competitors can develop products, complete the clinical testing and approval processes, and supply commercial quantities of a product to market. These competitive products may also impact the timing of clinical testing and approval processes by limiting the number of clinical investigators and patients available to test our potential products.</w:t>
      </w:r>
    </w:p>
    <w:p>
      <w:pPr>
        <w:spacing w:after="0" w:line="67" w:lineRule="exact"/>
        <w:rPr>
          <w:sz w:val="20"/>
          <w:szCs w:val="20"/>
          <w:color w:val="auto"/>
        </w:rPr>
      </w:pPr>
    </w:p>
    <w:p>
      <w:pPr>
        <w:ind w:left="680" w:right="240" w:firstLine="399"/>
        <w:spacing w:after="0" w:line="371" w:lineRule="auto"/>
        <w:rPr>
          <w:sz w:val="20"/>
          <w:szCs w:val="20"/>
          <w:color w:val="auto"/>
        </w:rPr>
      </w:pPr>
      <w:r>
        <w:rPr>
          <w:rFonts w:ascii="Arial" w:cs="Arial" w:eastAsia="Arial" w:hAnsi="Arial"/>
          <w:sz w:val="11"/>
          <w:szCs w:val="11"/>
          <w:color w:val="auto"/>
        </w:rPr>
        <w:t>While we believe that the primary competitive factors will be product efficacy, safety, and the timing and scope of regulatory approvals, other factors include, in certain instances, obtaining marketing exclusivity under the Orphan Drug Act, availability of supply, marketing and sales capability, reimbursement coverage, price, and patent and technology position.</w:t>
      </w:r>
    </w:p>
    <w:p>
      <w:pPr>
        <w:spacing w:after="0" w:line="87"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Government Regulation</w:t>
      </w:r>
    </w:p>
    <w:p>
      <w:pPr>
        <w:spacing w:after="0" w:line="100" w:lineRule="exact"/>
        <w:rPr>
          <w:sz w:val="20"/>
          <w:szCs w:val="20"/>
          <w:color w:val="auto"/>
        </w:rPr>
      </w:pPr>
    </w:p>
    <w:p>
      <w:pPr>
        <w:ind w:left="680" w:firstLine="399"/>
        <w:spacing w:after="0" w:line="276" w:lineRule="auto"/>
        <w:rPr>
          <w:sz w:val="20"/>
          <w:szCs w:val="20"/>
          <w:color w:val="auto"/>
        </w:rPr>
      </w:pPr>
      <w:r>
        <w:rPr>
          <w:rFonts w:ascii="Arial" w:cs="Arial" w:eastAsia="Arial" w:hAnsi="Arial"/>
          <w:sz w:val="13"/>
          <w:szCs w:val="13"/>
          <w:color w:val="auto"/>
        </w:rPr>
        <w:t>Our research and development activities and the future manufacturing and marketing of our potential products are, and will continue to be, subject to regulation for safety and efficacy by numerous governmental authorities in the United States and other countries.</w:t>
      </w:r>
    </w:p>
    <w:p>
      <w:pPr>
        <w:spacing w:after="0" w:line="59" w:lineRule="exact"/>
        <w:rPr>
          <w:sz w:val="20"/>
          <w:szCs w:val="20"/>
          <w:color w:val="auto"/>
        </w:rPr>
      </w:pPr>
    </w:p>
    <w:p>
      <w:pPr>
        <w:ind w:left="680" w:firstLine="399"/>
        <w:spacing w:after="0" w:line="258" w:lineRule="auto"/>
        <w:rPr>
          <w:sz w:val="20"/>
          <w:szCs w:val="20"/>
          <w:color w:val="auto"/>
        </w:rPr>
      </w:pPr>
      <w:r>
        <w:rPr>
          <w:rFonts w:ascii="Arial" w:cs="Arial" w:eastAsia="Arial" w:hAnsi="Arial"/>
          <w:sz w:val="13"/>
          <w:szCs w:val="13"/>
          <w:color w:val="auto"/>
        </w:rPr>
        <w:t>In the United States, pharmaceuticals, biologicals and medical devices are subject to rigorous Food and Drug Administration, or FDA, regulation. The Federal Food, Drug and Cosmetic Act, as amended, and the Public Health Service Act, as amended, the regulations promulgated thereunder, and other Federal and state statutes and regulations govern, among other things, the testing, manufacture, safety, efficacy, labeling, storage, export, record keeping, approval, marketing, advertising and promotion of our potential products. Product development and approval within this regulatory framework takes a number of years and involves significant uncertainty combined with the expenditure of substantial resources. In addition, the federal, state, and other jurisdictions have restrictions on the use of fetal tissue.</w:t>
      </w:r>
    </w:p>
    <w:p>
      <w:pPr>
        <w:spacing w:after="0" w:line="15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FDA Approval</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steps required before our potential products may be marketed in the United States include:</w:t>
      </w:r>
    </w:p>
    <w:p>
      <w:pPr>
        <w:spacing w:after="0" w:line="98" w:lineRule="exact"/>
        <w:rPr>
          <w:sz w:val="20"/>
          <w:szCs w:val="20"/>
          <w:color w:val="auto"/>
        </w:rPr>
      </w:pPr>
    </w:p>
    <w:p>
      <w:pPr>
        <w:ind w:left="3160"/>
        <w:spacing w:after="0"/>
        <w:tabs>
          <w:tab w:leader="none" w:pos="8220" w:val="left"/>
        </w:tabs>
        <w:rPr>
          <w:sz w:val="20"/>
          <w:szCs w:val="20"/>
          <w:color w:val="auto"/>
        </w:rPr>
      </w:pPr>
      <w:r>
        <w:rPr>
          <w:rFonts w:ascii="Arial" w:cs="Arial" w:eastAsia="Arial" w:hAnsi="Arial"/>
          <w:sz w:val="10"/>
          <w:szCs w:val="10"/>
          <w:b w:val="1"/>
          <w:bCs w:val="1"/>
          <w:u w:val="single" w:color="auto"/>
          <w:color w:val="auto"/>
        </w:rPr>
        <w:t>S</w:t>
      </w:r>
      <w:r>
        <w:rPr>
          <w:rFonts w:ascii="Arial" w:cs="Arial" w:eastAsia="Arial" w:hAnsi="Arial"/>
          <w:sz w:val="10"/>
          <w:szCs w:val="10"/>
          <w:b w:val="1"/>
          <w:bCs w:val="1"/>
          <w:color w:val="auto"/>
        </w:rPr>
        <w:t>teps</w:t>
      </w:r>
      <w:r>
        <w:rPr>
          <w:sz w:val="20"/>
          <w:szCs w:val="20"/>
          <w:color w:val="auto"/>
        </w:rPr>
        <w:tab/>
      </w:r>
      <w:r>
        <w:rPr>
          <w:rFonts w:ascii="Arial" w:cs="Arial" w:eastAsia="Arial" w:hAnsi="Arial"/>
          <w:sz w:val="9"/>
          <w:szCs w:val="9"/>
          <w:b w:val="1"/>
          <w:bCs w:val="1"/>
          <w:u w:val="single" w:color="auto"/>
          <w:color w:val="auto"/>
        </w:rPr>
        <w:t>C</w:t>
      </w:r>
      <w:r>
        <w:rPr>
          <w:rFonts w:ascii="Arial" w:cs="Arial" w:eastAsia="Arial" w:hAnsi="Arial"/>
          <w:sz w:val="9"/>
          <w:szCs w:val="9"/>
          <w:b w:val="1"/>
          <w:bCs w:val="1"/>
          <w:color w:val="auto"/>
        </w:rPr>
        <w:t>onsiderations</w:t>
      </w:r>
    </w:p>
    <w:p>
      <w:pPr>
        <w:spacing w:after="0" w:line="60" w:lineRule="exact"/>
        <w:rPr>
          <w:sz w:val="20"/>
          <w:szCs w:val="20"/>
          <w:color w:val="auto"/>
        </w:rPr>
      </w:pPr>
    </w:p>
    <w:p>
      <w:pPr>
        <w:ind w:left="680"/>
        <w:spacing w:after="0"/>
        <w:tabs>
          <w:tab w:leader="none" w:pos="5860" w:val="left"/>
        </w:tabs>
        <w:rPr>
          <w:sz w:val="20"/>
          <w:szCs w:val="20"/>
          <w:color w:val="auto"/>
        </w:rPr>
      </w:pPr>
      <w:r>
        <w:rPr>
          <w:rFonts w:ascii="Arial" w:cs="Arial" w:eastAsia="Arial" w:hAnsi="Arial"/>
          <w:sz w:val="13"/>
          <w:szCs w:val="13"/>
          <w:color w:val="auto"/>
        </w:rPr>
        <w:t>1. Preclinical laboratory and animal tests</w:t>
      </w:r>
      <w:r>
        <w:rPr>
          <w:sz w:val="20"/>
          <w:szCs w:val="20"/>
          <w:color w:val="auto"/>
        </w:rPr>
        <w:tab/>
      </w:r>
      <w:r>
        <w:rPr>
          <w:rFonts w:ascii="Arial" w:cs="Arial" w:eastAsia="Arial" w:hAnsi="Arial"/>
          <w:sz w:val="12"/>
          <w:szCs w:val="12"/>
          <w:color w:val="auto"/>
        </w:rPr>
        <w:t>Preclinical tests include laboratory evaluation of the cells and the formulation intended for</w:t>
      </w:r>
    </w:p>
    <w:p>
      <w:pPr>
        <w:spacing w:after="0" w:line="15" w:lineRule="exact"/>
        <w:rPr>
          <w:sz w:val="20"/>
          <w:szCs w:val="20"/>
          <w:color w:val="auto"/>
        </w:rPr>
      </w:pPr>
    </w:p>
    <w:p>
      <w:pPr>
        <w:ind w:left="5880"/>
        <w:spacing w:after="0"/>
        <w:rPr>
          <w:sz w:val="20"/>
          <w:szCs w:val="20"/>
          <w:color w:val="auto"/>
        </w:rPr>
      </w:pPr>
      <w:r>
        <w:rPr>
          <w:rFonts w:ascii="Arial" w:cs="Arial" w:eastAsia="Arial" w:hAnsi="Arial"/>
          <w:sz w:val="11"/>
          <w:szCs w:val="11"/>
          <w:color w:val="auto"/>
        </w:rPr>
        <w:t xml:space="preserve">use in humans for quality and consistency. </w:t>
      </w:r>
      <w:r>
        <w:rPr>
          <w:rFonts w:ascii="Arial" w:cs="Arial" w:eastAsia="Arial" w:hAnsi="Arial"/>
          <w:sz w:val="11"/>
          <w:szCs w:val="11"/>
          <w:i w:val="1"/>
          <w:iCs w:val="1"/>
          <w:color w:val="auto"/>
        </w:rPr>
        <w:t>In vivo</w:t>
      </w:r>
      <w:r>
        <w:rPr>
          <w:rFonts w:ascii="Arial" w:cs="Arial" w:eastAsia="Arial" w:hAnsi="Arial"/>
          <w:sz w:val="11"/>
          <w:szCs w:val="11"/>
          <w:color w:val="auto"/>
        </w:rPr>
        <w:t xml:space="preserve"> studies are performed in normal animals</w:t>
      </w:r>
    </w:p>
    <w:p>
      <w:pPr>
        <w:spacing w:after="0" w:line="31" w:lineRule="exact"/>
        <w:rPr>
          <w:sz w:val="20"/>
          <w:szCs w:val="20"/>
          <w:color w:val="auto"/>
        </w:rPr>
      </w:pPr>
    </w:p>
    <w:p>
      <w:pPr>
        <w:ind w:left="5880"/>
        <w:spacing w:after="0"/>
        <w:rPr>
          <w:sz w:val="20"/>
          <w:szCs w:val="20"/>
          <w:color w:val="auto"/>
        </w:rPr>
      </w:pPr>
      <w:r>
        <w:rPr>
          <w:rFonts w:ascii="Arial" w:cs="Arial" w:eastAsia="Arial" w:hAnsi="Arial"/>
          <w:sz w:val="12"/>
          <w:szCs w:val="12"/>
          <w:color w:val="auto"/>
        </w:rPr>
        <w:t>and specific disease models to assess the potential safety and efficacy of the cell therapy</w:t>
      </w:r>
    </w:p>
    <w:p>
      <w:pPr>
        <w:spacing w:after="0" w:line="19" w:lineRule="exact"/>
        <w:rPr>
          <w:sz w:val="20"/>
          <w:szCs w:val="20"/>
          <w:color w:val="auto"/>
        </w:rPr>
      </w:pPr>
    </w:p>
    <w:p>
      <w:pPr>
        <w:ind w:left="5880"/>
        <w:spacing w:after="0"/>
        <w:rPr>
          <w:sz w:val="20"/>
          <w:szCs w:val="20"/>
          <w:color w:val="auto"/>
        </w:rPr>
      </w:pPr>
      <w:r>
        <w:rPr>
          <w:rFonts w:ascii="Arial" w:cs="Arial" w:eastAsia="Arial" w:hAnsi="Arial"/>
          <w:sz w:val="13"/>
          <w:szCs w:val="13"/>
          <w:color w:val="auto"/>
        </w:rPr>
        <w:t>product.</w:t>
      </w:r>
    </w:p>
    <w:p>
      <w:pPr>
        <w:sectPr>
          <w:pgSz w:w="11900" w:h="16838" w:orient="portrait"/>
          <w:cols w:equalWidth="0" w:num="1">
            <w:col w:w="10660"/>
          </w:cols>
          <w:pgMar w:left="220" w:top="343" w:right="1019" w:bottom="1440" w:gutter="0" w:footer="0" w:header="0"/>
        </w:sectPr>
      </w:pPr>
    </w:p>
    <w:p>
      <w:pPr>
        <w:spacing w:after="0" w:line="158" w:lineRule="exact"/>
        <w:rPr>
          <w:sz w:val="20"/>
          <w:szCs w:val="20"/>
          <w:color w:val="auto"/>
        </w:rPr>
      </w:pPr>
    </w:p>
    <w:p>
      <w:pPr>
        <w:ind w:left="680" w:right="260" w:firstLine="8"/>
        <w:spacing w:after="0" w:line="276" w:lineRule="auto"/>
        <w:tabs>
          <w:tab w:leader="none" w:pos="844" w:val="left"/>
        </w:tabs>
        <w:numPr>
          <w:ilvl w:val="0"/>
          <w:numId w:val="11"/>
        </w:numPr>
        <w:rPr>
          <w:rFonts w:ascii="Arial" w:cs="Arial" w:eastAsia="Arial" w:hAnsi="Arial"/>
          <w:sz w:val="13"/>
          <w:szCs w:val="13"/>
          <w:color w:val="auto"/>
        </w:rPr>
      </w:pPr>
      <w:r>
        <w:rPr>
          <w:rFonts w:ascii="Arial" w:cs="Arial" w:eastAsia="Arial" w:hAnsi="Arial"/>
          <w:sz w:val="13"/>
          <w:szCs w:val="13"/>
          <w:color w:val="auto"/>
        </w:rPr>
        <w:t>Submission to the FDA of an Investigational New Drug application (IND), which must become effective before U.S. human clinical trials may commence</w:t>
      </w:r>
    </w:p>
    <w:p>
      <w:pPr>
        <w:spacing w:after="0" w:line="200" w:lineRule="exact"/>
        <w:rPr>
          <w:rFonts w:ascii="Arial" w:cs="Arial" w:eastAsia="Arial" w:hAnsi="Arial"/>
          <w:sz w:val="13"/>
          <w:szCs w:val="13"/>
          <w:color w:val="auto"/>
        </w:rPr>
      </w:pPr>
    </w:p>
    <w:p>
      <w:pPr>
        <w:spacing w:after="0" w:line="399" w:lineRule="exact"/>
        <w:rPr>
          <w:rFonts w:ascii="Arial" w:cs="Arial" w:eastAsia="Arial" w:hAnsi="Arial"/>
          <w:sz w:val="13"/>
          <w:szCs w:val="13"/>
          <w:color w:val="auto"/>
        </w:rPr>
      </w:pPr>
    </w:p>
    <w:p>
      <w:pPr>
        <w:ind w:left="680" w:firstLine="8"/>
        <w:spacing w:after="0" w:line="276" w:lineRule="auto"/>
        <w:tabs>
          <w:tab w:leader="none" w:pos="837" w:val="left"/>
        </w:tabs>
        <w:numPr>
          <w:ilvl w:val="0"/>
          <w:numId w:val="11"/>
        </w:numPr>
        <w:rPr>
          <w:rFonts w:ascii="Arial" w:cs="Arial" w:eastAsia="Arial" w:hAnsi="Arial"/>
          <w:sz w:val="13"/>
          <w:szCs w:val="13"/>
          <w:color w:val="auto"/>
        </w:rPr>
      </w:pPr>
      <w:r>
        <w:rPr>
          <w:rFonts w:ascii="Arial" w:cs="Arial" w:eastAsia="Arial" w:hAnsi="Arial"/>
          <w:sz w:val="13"/>
          <w:szCs w:val="13"/>
          <w:color w:val="auto"/>
        </w:rPr>
        <w:t>Adequate and well-controlled human clinical trials to establish the safety and efficacy of the product</w:t>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ind w:right="20"/>
        <w:spacing w:after="0" w:line="285" w:lineRule="auto"/>
        <w:rPr>
          <w:sz w:val="20"/>
          <w:szCs w:val="20"/>
          <w:color w:val="auto"/>
        </w:rPr>
      </w:pPr>
      <w:r>
        <w:rPr>
          <w:rFonts w:ascii="Arial" w:cs="Arial" w:eastAsia="Arial" w:hAnsi="Arial"/>
          <w:sz w:val="12"/>
          <w:szCs w:val="12"/>
          <w:color w:val="auto"/>
        </w:rPr>
        <w:t>The IND is submitted to the FDA with the preclinical and manufacturing data, a proposed development plan and a proposed protocol for a study in humans. The IND becomes effective 30 days following receipt by the FDA, provided there are no questions, requests for delay or objections from the FDA. If the FDA has questions or concerns, it notifies the sponsor, and the IND will then be on clinical hold until the sponsor responds satisfactorily.</w:t>
      </w:r>
    </w:p>
    <w:p>
      <w:pPr>
        <w:spacing w:after="0" w:line="124" w:lineRule="exact"/>
        <w:rPr>
          <w:sz w:val="20"/>
          <w:szCs w:val="20"/>
          <w:color w:val="auto"/>
        </w:rPr>
      </w:pPr>
    </w:p>
    <w:p>
      <w:pPr>
        <w:ind w:right="40"/>
        <w:spacing w:after="0" w:line="282" w:lineRule="auto"/>
        <w:rPr>
          <w:sz w:val="20"/>
          <w:szCs w:val="20"/>
          <w:color w:val="auto"/>
        </w:rPr>
      </w:pPr>
      <w:r>
        <w:rPr>
          <w:rFonts w:ascii="Arial" w:cs="Arial" w:eastAsia="Arial" w:hAnsi="Arial"/>
          <w:sz w:val="12"/>
          <w:szCs w:val="12"/>
          <w:color w:val="auto"/>
        </w:rPr>
        <w:t>Clinical trials involve the evaluation of a potential product under the supervision of a qualified physician, in accordance with a protocol that details the objectives of the study, the parameters to be used to monitor safety and the efficacy criteria to be evaluated. Each protocol is submitted to the FDA as part of the IND. The protocol for each clinical study must be approved by an independent Institutional Review Board (IRB) of the institution at which the study is conducted and the informed consent of all</w:t>
      </w:r>
    </w:p>
    <w:p>
      <w:pPr>
        <w:spacing w:after="0" w:line="200" w:lineRule="exact"/>
        <w:rPr>
          <w:sz w:val="20"/>
          <w:szCs w:val="20"/>
          <w:color w:val="auto"/>
        </w:rPr>
      </w:pPr>
    </w:p>
    <w:p>
      <w:pPr>
        <w:sectPr>
          <w:pgSz w:w="11900" w:h="16838" w:orient="portrait"/>
          <w:cols w:equalWidth="0" w:num="2">
            <w:col w:w="5680" w:space="200"/>
            <w:col w:w="4780"/>
          </w:cols>
          <w:pgMar w:left="220" w:top="343" w:right="1019" w:bottom="1440" w:gutter="0" w:footer="0" w:header="0"/>
          <w:type w:val="continuous"/>
        </w:sectPr>
      </w:pPr>
    </w:p>
    <w:p>
      <w:pPr>
        <w:spacing w:after="0" w:line="66" w:lineRule="exact"/>
        <w:rPr>
          <w:sz w:val="20"/>
          <w:szCs w:val="20"/>
          <w:color w:val="auto"/>
        </w:rPr>
      </w:pPr>
    </w:p>
    <w:p>
      <w:pPr>
        <w:ind w:left="5620"/>
        <w:spacing w:after="0"/>
        <w:rPr>
          <w:sz w:val="20"/>
          <w:szCs w:val="20"/>
          <w:color w:val="auto"/>
        </w:rPr>
      </w:pPr>
      <w:r>
        <w:rPr>
          <w:rFonts w:ascii="Arial" w:cs="Arial" w:eastAsia="Arial" w:hAnsi="Arial"/>
          <w:sz w:val="10"/>
          <w:szCs w:val="10"/>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128905</wp:posOffset>
            </wp:positionV>
            <wp:extent cx="7290435" cy="190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type w:val="continuous"/>
        </w:sectPr>
      </w:pPr>
    </w:p>
    <w:bookmarkStart w:id="18" w:name="page19"/>
    <w:bookmarkEnd w:id="18"/>
    <w:p>
      <w:pPr>
        <w:spacing w:after="0"/>
        <w:rPr>
          <w:rFonts w:ascii="Arial" w:cs="Arial" w:eastAsia="Arial" w:hAnsi="Arial"/>
          <w:sz w:val="11"/>
          <w:szCs w:val="11"/>
          <w:b w:val="1"/>
          <w:bCs w:val="1"/>
          <w:u w:val="single" w:color="auto"/>
          <w:color w:val="0000EE"/>
        </w:rPr>
      </w:pPr>
      <w:hyperlink w:anchor="page3">
        <w:r>
          <w:rPr>
            <w:rFonts w:ascii="Arial" w:cs="Arial" w:eastAsia="Arial" w:hAnsi="Arial"/>
            <w:sz w:val="11"/>
            <w:szCs w:val="11"/>
            <w:b w:val="1"/>
            <w:bCs w:val="1"/>
            <w:u w:val="single" w:color="auto"/>
            <w:color w:val="0000EE"/>
          </w:rPr>
          <w:t>Table of Contents</w:t>
        </w:r>
      </w:hyperlink>
    </w:p>
    <w:p>
      <w:pPr>
        <w:sectPr>
          <w:pgSz w:w="11900" w:h="16838" w:orient="portrait"/>
          <w:cols w:equalWidth="0" w:num="1">
            <w:col w:w="10660"/>
          </w:cols>
          <w:pgMar w:left="220" w:top="343" w:right="1019" w:bottom="1440" w:gutter="0" w:footer="0" w:header="0"/>
        </w:sectPr>
      </w:pPr>
    </w:p>
    <w:p>
      <w:pPr>
        <w:spacing w:after="0" w:line="252" w:lineRule="exact"/>
        <w:rPr>
          <w:sz w:val="20"/>
          <w:szCs w:val="20"/>
          <w:color w:val="auto"/>
        </w:rPr>
      </w:pPr>
    </w:p>
    <w:p>
      <w:pPr>
        <w:ind w:left="3160"/>
        <w:spacing w:after="0"/>
        <w:rPr>
          <w:sz w:val="20"/>
          <w:szCs w:val="20"/>
          <w:color w:val="auto"/>
        </w:rPr>
      </w:pPr>
      <w:r>
        <w:rPr>
          <w:rFonts w:ascii="Arial" w:cs="Arial" w:eastAsia="Arial" w:hAnsi="Arial"/>
          <w:sz w:val="10"/>
          <w:szCs w:val="10"/>
          <w:b w:val="1"/>
          <w:bCs w:val="1"/>
          <w:u w:val="single" w:color="auto"/>
          <w:color w:val="auto"/>
        </w:rPr>
        <w:t>S</w:t>
      </w:r>
      <w:r>
        <w:rPr>
          <w:rFonts w:ascii="Arial" w:cs="Arial" w:eastAsia="Arial" w:hAnsi="Arial"/>
          <w:sz w:val="10"/>
          <w:szCs w:val="10"/>
          <w:b w:val="1"/>
          <w:bCs w:val="1"/>
          <w:color w:val="auto"/>
        </w:rPr>
        <w:t>teps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860" w:hanging="172"/>
        <w:spacing w:after="0"/>
        <w:tabs>
          <w:tab w:leader="none" w:pos="860" w:val="left"/>
        </w:tabs>
        <w:numPr>
          <w:ilvl w:val="0"/>
          <w:numId w:val="12"/>
        </w:numPr>
        <w:rPr>
          <w:rFonts w:ascii="Arial" w:cs="Arial" w:eastAsia="Arial" w:hAnsi="Arial"/>
          <w:sz w:val="13"/>
          <w:szCs w:val="13"/>
          <w:color w:val="auto"/>
        </w:rPr>
      </w:pPr>
      <w:r>
        <w:rPr>
          <w:rFonts w:ascii="Arial" w:cs="Arial" w:eastAsia="Arial" w:hAnsi="Arial"/>
          <w:sz w:val="13"/>
          <w:szCs w:val="13"/>
          <w:color w:val="auto"/>
        </w:rPr>
        <w:t>Submission to the FDA of marketing authorization applications</w:t>
      </w:r>
    </w:p>
    <w:p>
      <w:pPr>
        <w:spacing w:after="0" w:line="322" w:lineRule="exact"/>
        <w:rPr>
          <w:rFonts w:ascii="Arial" w:cs="Arial" w:eastAsia="Arial" w:hAnsi="Arial"/>
          <w:sz w:val="13"/>
          <w:szCs w:val="13"/>
          <w:color w:val="auto"/>
        </w:rPr>
      </w:pPr>
    </w:p>
    <w:p>
      <w:pPr>
        <w:ind w:left="680" w:firstLine="8"/>
        <w:spacing w:after="0" w:line="264" w:lineRule="auto"/>
        <w:tabs>
          <w:tab w:leader="none" w:pos="844" w:val="left"/>
        </w:tabs>
        <w:numPr>
          <w:ilvl w:val="0"/>
          <w:numId w:val="12"/>
        </w:numPr>
        <w:rPr>
          <w:rFonts w:ascii="Arial" w:cs="Arial" w:eastAsia="Arial" w:hAnsi="Arial"/>
          <w:sz w:val="13"/>
          <w:szCs w:val="13"/>
          <w:color w:val="auto"/>
        </w:rPr>
      </w:pPr>
      <w:r>
        <w:rPr>
          <w:rFonts w:ascii="Arial" w:cs="Arial" w:eastAsia="Arial" w:hAnsi="Arial"/>
          <w:sz w:val="13"/>
          <w:szCs w:val="13"/>
          <w:color w:val="auto"/>
        </w:rPr>
        <w:t>FDA approval of the application(s) prior to any commercial sale or shipment of the drug. Biologic product manufacturing establishments located in certain states also may be subject to separate regulatory and licensing requirement</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ind w:left="2360"/>
        <w:spacing w:after="0"/>
        <w:rPr>
          <w:sz w:val="20"/>
          <w:szCs w:val="20"/>
          <w:color w:val="auto"/>
        </w:rPr>
      </w:pPr>
      <w:r>
        <w:rPr>
          <w:rFonts w:ascii="Arial" w:cs="Arial" w:eastAsia="Arial" w:hAnsi="Arial"/>
          <w:sz w:val="10"/>
          <w:szCs w:val="10"/>
          <w:b w:val="1"/>
          <w:bCs w:val="1"/>
          <w:u w:val="single" w:color="auto"/>
          <w:color w:val="auto"/>
        </w:rPr>
        <w:t>C</w:t>
      </w:r>
      <w:r>
        <w:rPr>
          <w:rFonts w:ascii="Arial" w:cs="Arial" w:eastAsia="Arial" w:hAnsi="Arial"/>
          <w:sz w:val="10"/>
          <w:szCs w:val="10"/>
          <w:b w:val="1"/>
          <w:bCs w:val="1"/>
          <w:color w:val="auto"/>
        </w:rPr>
        <w:t>onsiderations</w:t>
      </w:r>
    </w:p>
    <w:p>
      <w:pPr>
        <w:spacing w:after="0" w:line="60" w:lineRule="exact"/>
        <w:rPr>
          <w:sz w:val="20"/>
          <w:szCs w:val="20"/>
          <w:color w:val="auto"/>
        </w:rPr>
      </w:pPr>
    </w:p>
    <w:p>
      <w:pPr>
        <w:ind w:right="40"/>
        <w:spacing w:after="0" w:line="289" w:lineRule="auto"/>
        <w:rPr>
          <w:sz w:val="20"/>
          <w:szCs w:val="20"/>
          <w:color w:val="auto"/>
        </w:rPr>
      </w:pPr>
      <w:r>
        <w:rPr>
          <w:rFonts w:ascii="Arial" w:cs="Arial" w:eastAsia="Arial" w:hAnsi="Arial"/>
          <w:sz w:val="12"/>
          <w:szCs w:val="12"/>
          <w:color w:val="auto"/>
        </w:rPr>
        <w:t>participants must be obtained. The IRB reviews the existing information on the product, considers ethical factors, the safety of human subjects, the potential benefits of the therapy and the possible liability of the institution. The IRB is responsible for ongoing safety assessment of the subjects during the clinical investigation.</w:t>
      </w:r>
    </w:p>
    <w:p>
      <w:pPr>
        <w:spacing w:after="0" w:line="122" w:lineRule="exact"/>
        <w:rPr>
          <w:sz w:val="20"/>
          <w:szCs w:val="20"/>
          <w:color w:val="auto"/>
        </w:rPr>
      </w:pPr>
    </w:p>
    <w:p>
      <w:pPr>
        <w:ind w:right="60"/>
        <w:spacing w:after="0" w:line="276" w:lineRule="auto"/>
        <w:rPr>
          <w:sz w:val="20"/>
          <w:szCs w:val="20"/>
          <w:color w:val="auto"/>
        </w:rPr>
      </w:pPr>
      <w:r>
        <w:rPr>
          <w:rFonts w:ascii="Arial" w:cs="Arial" w:eastAsia="Arial" w:hAnsi="Arial"/>
          <w:sz w:val="13"/>
          <w:szCs w:val="13"/>
          <w:color w:val="auto"/>
        </w:rPr>
        <w:t>Clinical development is traditionally conducted in three sequential phases, Phase 1, 2 and 3.</w:t>
      </w:r>
    </w:p>
    <w:p>
      <w:pPr>
        <w:spacing w:after="0" w:line="128" w:lineRule="exact"/>
        <w:rPr>
          <w:sz w:val="20"/>
          <w:szCs w:val="20"/>
          <w:color w:val="auto"/>
        </w:rPr>
      </w:pPr>
    </w:p>
    <w:p>
      <w:pPr>
        <w:ind w:right="260"/>
        <w:spacing w:after="0" w:line="260" w:lineRule="auto"/>
        <w:rPr>
          <w:sz w:val="20"/>
          <w:szCs w:val="20"/>
          <w:color w:val="auto"/>
        </w:rPr>
      </w:pPr>
      <w:r>
        <w:rPr>
          <w:rFonts w:ascii="Arial" w:cs="Arial" w:eastAsia="Arial" w:hAnsi="Arial"/>
          <w:sz w:val="13"/>
          <w:szCs w:val="13"/>
          <w:color w:val="auto"/>
        </w:rPr>
        <w:t>Phase 1 studies for a cell therapy product are designed to evaluate safety in a small number subjects in a selected patient population by assessing adverse effects, and may include multiple dose levels. This study may also gather preliminary evidence of a beneficial effect on the disease.</w:t>
      </w:r>
    </w:p>
    <w:p>
      <w:pPr>
        <w:spacing w:after="0" w:line="139" w:lineRule="exact"/>
        <w:rPr>
          <w:sz w:val="20"/>
          <w:szCs w:val="20"/>
          <w:color w:val="auto"/>
        </w:rPr>
      </w:pPr>
    </w:p>
    <w:p>
      <w:pPr>
        <w:spacing w:after="0" w:line="264" w:lineRule="auto"/>
        <w:rPr>
          <w:sz w:val="20"/>
          <w:szCs w:val="20"/>
          <w:color w:val="auto"/>
        </w:rPr>
      </w:pPr>
      <w:r>
        <w:rPr>
          <w:rFonts w:ascii="Arial" w:cs="Arial" w:eastAsia="Arial" w:hAnsi="Arial"/>
          <w:sz w:val="13"/>
          <w:szCs w:val="13"/>
          <w:color w:val="auto"/>
        </w:rPr>
        <w:t>Phase 2 may involve studies in a limited patient population to determine biological and clinical effects of the product and to identify possible adverse effects and safety risks of the product in the selected patient population.</w:t>
      </w:r>
    </w:p>
    <w:p>
      <w:pPr>
        <w:spacing w:after="0" w:line="136" w:lineRule="exact"/>
        <w:rPr>
          <w:sz w:val="20"/>
          <w:szCs w:val="20"/>
          <w:color w:val="auto"/>
        </w:rPr>
      </w:pPr>
    </w:p>
    <w:p>
      <w:pPr>
        <w:ind w:right="140"/>
        <w:spacing w:after="0" w:line="264" w:lineRule="auto"/>
        <w:rPr>
          <w:sz w:val="20"/>
          <w:szCs w:val="20"/>
          <w:color w:val="auto"/>
        </w:rPr>
      </w:pPr>
      <w:r>
        <w:rPr>
          <w:rFonts w:ascii="Arial" w:cs="Arial" w:eastAsia="Arial" w:hAnsi="Arial"/>
          <w:sz w:val="13"/>
          <w:szCs w:val="13"/>
          <w:color w:val="auto"/>
        </w:rPr>
        <w:t>Phase 3 trials would be undertaken to conclusively demonstrate clinical benefit or effect and to test further for safety within a broader patient population, generally at multiple study sites.</w:t>
      </w:r>
    </w:p>
    <w:p>
      <w:pPr>
        <w:spacing w:after="0" w:line="136" w:lineRule="exact"/>
        <w:rPr>
          <w:sz w:val="20"/>
          <w:szCs w:val="20"/>
          <w:color w:val="auto"/>
        </w:rPr>
      </w:pPr>
    </w:p>
    <w:p>
      <w:pPr>
        <w:ind w:right="100"/>
        <w:spacing w:after="0" w:line="371" w:lineRule="auto"/>
        <w:rPr>
          <w:sz w:val="20"/>
          <w:szCs w:val="20"/>
          <w:color w:val="auto"/>
        </w:rPr>
      </w:pPr>
      <w:r>
        <w:rPr>
          <w:rFonts w:ascii="Arial" w:cs="Arial" w:eastAsia="Arial" w:hAnsi="Arial"/>
          <w:sz w:val="11"/>
          <w:szCs w:val="11"/>
          <w:color w:val="auto"/>
        </w:rPr>
        <w:t>The FDA continually reviews the clinical trial plans and results and may suggest changes or may require discontinuance of the trials at any time if significant safety issues arise.</w:t>
      </w:r>
    </w:p>
    <w:p>
      <w:pPr>
        <w:spacing w:after="0" w:line="81" w:lineRule="exact"/>
        <w:rPr>
          <w:sz w:val="20"/>
          <w:szCs w:val="20"/>
          <w:color w:val="auto"/>
        </w:rPr>
      </w:pPr>
    </w:p>
    <w:p>
      <w:pPr>
        <w:ind w:right="160"/>
        <w:spacing w:after="0" w:line="276" w:lineRule="auto"/>
        <w:rPr>
          <w:sz w:val="20"/>
          <w:szCs w:val="20"/>
          <w:color w:val="auto"/>
        </w:rPr>
      </w:pPr>
      <w:r>
        <w:rPr>
          <w:rFonts w:ascii="Arial" w:cs="Arial" w:eastAsia="Arial" w:hAnsi="Arial"/>
          <w:sz w:val="13"/>
          <w:szCs w:val="13"/>
          <w:color w:val="auto"/>
        </w:rPr>
        <w:t>The results of the preclinical studies and clinical studies are submitted to the FDA in the form of marketing approval authorization applications.</w:t>
      </w:r>
    </w:p>
    <w:p>
      <w:pPr>
        <w:spacing w:after="0" w:line="128" w:lineRule="exact"/>
        <w:rPr>
          <w:sz w:val="20"/>
          <w:szCs w:val="20"/>
          <w:color w:val="auto"/>
        </w:rPr>
      </w:pPr>
    </w:p>
    <w:p>
      <w:pPr>
        <w:ind w:right="80"/>
        <w:spacing w:after="0" w:line="285" w:lineRule="auto"/>
        <w:rPr>
          <w:sz w:val="20"/>
          <w:szCs w:val="20"/>
          <w:color w:val="auto"/>
        </w:rPr>
      </w:pPr>
      <w:r>
        <w:rPr>
          <w:rFonts w:ascii="Arial" w:cs="Arial" w:eastAsia="Arial" w:hAnsi="Arial"/>
          <w:sz w:val="12"/>
          <w:szCs w:val="12"/>
          <w:color w:val="auto"/>
        </w:rPr>
        <w:t>The testing and approval process will require substantial time, effort and expense. The time for approval is affected by a number of factors, including relative risks and benefits demonstrated in clinical trials, the availability of alternative treatments and the severity of the disease. Additional animal studies or clinical trials may be requested during the FDA review period, which might add to that time.</w:t>
      </w:r>
    </w:p>
    <w:p>
      <w:pPr>
        <w:spacing w:after="0" w:line="55" w:lineRule="exact"/>
        <w:rPr>
          <w:sz w:val="20"/>
          <w:szCs w:val="20"/>
          <w:color w:val="auto"/>
        </w:rPr>
      </w:pPr>
    </w:p>
    <w:p>
      <w:pPr>
        <w:sectPr>
          <w:pgSz w:w="11900" w:h="16838" w:orient="portrait"/>
          <w:cols w:equalWidth="0" w:num="2">
            <w:col w:w="5620" w:space="260"/>
            <w:col w:w="4780"/>
          </w:cols>
          <w:pgMar w:left="220" w:top="343" w:right="1019" w:bottom="1440" w:gutter="0" w:footer="0" w:header="0"/>
          <w:type w:val="continuous"/>
        </w:sectPr>
      </w:pPr>
    </w:p>
    <w:p>
      <w:pPr>
        <w:ind w:left="680" w:right="100" w:firstLine="399"/>
        <w:spacing w:after="0" w:line="264" w:lineRule="auto"/>
        <w:rPr>
          <w:sz w:val="20"/>
          <w:szCs w:val="20"/>
          <w:color w:val="auto"/>
        </w:rPr>
      </w:pPr>
      <w:r>
        <w:rPr>
          <w:rFonts w:ascii="Arial" w:cs="Arial" w:eastAsia="Arial" w:hAnsi="Arial"/>
          <w:sz w:val="13"/>
          <w:szCs w:val="13"/>
          <w:color w:val="auto"/>
        </w:rPr>
        <w:t>After FDA approval for the product, the manufacturing and the initial indications, further clinical trials may be required to gain approval for the use of the product for additional indications. The FDA may also require unusual or restrictive post-marketing testing and surveillance to monitor for adverse effects, which could involve significant expense, or may elect to grant only conditional approvals.</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FDA Manufacturing Requirements</w:t>
      </w:r>
    </w:p>
    <w:p>
      <w:pPr>
        <w:spacing w:after="0" w:line="96" w:lineRule="exact"/>
        <w:rPr>
          <w:sz w:val="20"/>
          <w:szCs w:val="20"/>
          <w:color w:val="auto"/>
        </w:rPr>
      </w:pPr>
    </w:p>
    <w:p>
      <w:pPr>
        <w:ind w:left="680" w:right="120" w:firstLine="399"/>
        <w:spacing w:after="0" w:line="296" w:lineRule="auto"/>
        <w:rPr>
          <w:sz w:val="20"/>
          <w:szCs w:val="20"/>
          <w:color w:val="auto"/>
        </w:rPr>
      </w:pPr>
      <w:r>
        <w:rPr>
          <w:rFonts w:ascii="Arial" w:cs="Arial" w:eastAsia="Arial" w:hAnsi="Arial"/>
          <w:sz w:val="12"/>
          <w:szCs w:val="12"/>
          <w:color w:val="auto"/>
        </w:rPr>
        <w:t>Among the conditions for product licensure is the requirement that the prospective manufacturer’s quality control and manufacturing procedures conform to the FDA’s current good manufacturing practice (cGMP) requirements. Even after product licensure approval, the manufacturer must comply with cGMP on a continuing basis, and what constitutes cGMP may change as the state of the art of manufacturing changes. Domestic manufacturing facilities are subject to regular FDA inspections for cGMP compliance, which are normally held at</w:t>
      </w:r>
    </w:p>
    <w:p>
      <w:pPr>
        <w:spacing w:after="0" w:line="99"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type w:val="continuous"/>
        </w:sectPr>
      </w:pPr>
    </w:p>
    <w:bookmarkStart w:id="19" w:name="page20"/>
    <w:bookmarkEnd w:id="19"/>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20"/>
        <w:spacing w:after="0" w:line="276" w:lineRule="auto"/>
        <w:rPr>
          <w:sz w:val="20"/>
          <w:szCs w:val="20"/>
          <w:color w:val="auto"/>
        </w:rPr>
      </w:pPr>
      <w:r>
        <w:rPr>
          <w:rFonts w:ascii="Arial" w:cs="Arial" w:eastAsia="Arial" w:hAnsi="Arial"/>
          <w:sz w:val="13"/>
          <w:szCs w:val="13"/>
          <w:color w:val="auto"/>
        </w:rPr>
        <w:t>least every two years. Foreign manufacturing facilities are subject to periodic FDA inspections or inspections by the foreign regulatory authorities with reciprocal inspection agreements with the FDA. Domestic manufacturing facilities may also be subject to inspection by foreign authorities.</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Orphan Drug Act</w:t>
      </w:r>
    </w:p>
    <w:p>
      <w:pPr>
        <w:spacing w:after="0" w:line="96" w:lineRule="exact"/>
        <w:rPr>
          <w:sz w:val="20"/>
          <w:szCs w:val="20"/>
          <w:color w:val="auto"/>
        </w:rPr>
      </w:pPr>
    </w:p>
    <w:p>
      <w:pPr>
        <w:ind w:left="680" w:firstLine="399"/>
        <w:spacing w:after="0" w:line="256" w:lineRule="auto"/>
        <w:rPr>
          <w:sz w:val="20"/>
          <w:szCs w:val="20"/>
          <w:color w:val="auto"/>
        </w:rPr>
      </w:pPr>
      <w:r>
        <w:rPr>
          <w:rFonts w:ascii="Arial" w:cs="Arial" w:eastAsia="Arial" w:hAnsi="Arial"/>
          <w:sz w:val="13"/>
          <w:szCs w:val="13"/>
          <w:color w:val="auto"/>
        </w:rPr>
        <w:t>The Orphan Drug Act provides incentives to drug manufacturers to develop and manufacture drugs for the treatment of diseases or conditions that affect fewer than 200,000 individuals in the United States. Orphan drug status can also be sought for treatments for diseases or conditions that affect more than 200,000 individuals in the United States if the sponsor does not realistically anticipate its product becoming profitable from sales in the United States. We may apply for orphan drug status for certain of our therapies. Under the Orphan Drug Act, a manufacturer of a designated orphan product can seek tax benefits, and the holder of the first FDA approval of a designated orphan product will be granted a seven-year period of marketing exclusivity in the United States for that product for the orphan indication. While the marketing exclusivity of an orphan drug would prevent other sponsors from obtaining approval of the same compound for the same indication, it would not prevent other compounds or products from being approved for the same use including, in some cases, slight variations on the originally designated orphan product.</w:t>
      </w:r>
    </w:p>
    <w:p>
      <w:pPr>
        <w:spacing w:after="0" w:line="152"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FDA Human Cell and Tissue Regulations</w:t>
      </w:r>
    </w:p>
    <w:p>
      <w:pPr>
        <w:spacing w:after="0" w:line="96" w:lineRule="exact"/>
        <w:rPr>
          <w:sz w:val="20"/>
          <w:szCs w:val="20"/>
          <w:color w:val="auto"/>
        </w:rPr>
      </w:pPr>
    </w:p>
    <w:p>
      <w:pPr>
        <w:ind w:left="680" w:firstLine="399"/>
        <w:spacing w:after="0" w:line="282" w:lineRule="auto"/>
        <w:rPr>
          <w:sz w:val="20"/>
          <w:szCs w:val="20"/>
          <w:color w:val="auto"/>
        </w:rPr>
      </w:pPr>
      <w:r>
        <w:rPr>
          <w:rFonts w:ascii="Arial" w:cs="Arial" w:eastAsia="Arial" w:hAnsi="Arial"/>
          <w:sz w:val="12"/>
          <w:szCs w:val="12"/>
          <w:color w:val="auto"/>
        </w:rPr>
        <w:t>Our research and development is based on the use of human stem and progenitor cells. The FDA has initiated a risk-based approach to regulating Human Cell, Tissue and Cellular and Tissue-based products and has published current Good Tissue Practice (cGTP) regulations. As part of this approach, the FDA has published final rules for registration of establishments that engage in the recovery, screening, testing, processing, storage or distribution of human cells, tissues, and cellular and tissue-based products, and for the listing of such products. In addition, the FDA has published rules for making suitability and eligibility determinations for donors of cells and tissue and for current good tissue practice for manufacturers using them, which came into effect in May 2005. We cannot yet determine the full effects of this regulatory initiative, including precisely how it may affect the extent of regulatory obligations associated with multipotent stem cell research, and the manufacture and marketing of stem cell products.</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Other Regulations</w:t>
      </w:r>
    </w:p>
    <w:p>
      <w:pPr>
        <w:spacing w:after="0" w:line="96" w:lineRule="exact"/>
        <w:rPr>
          <w:sz w:val="20"/>
          <w:szCs w:val="20"/>
          <w:color w:val="auto"/>
        </w:rPr>
      </w:pPr>
    </w:p>
    <w:p>
      <w:pPr>
        <w:ind w:left="680" w:right="100" w:firstLine="399"/>
        <w:spacing w:after="0" w:line="276" w:lineRule="auto"/>
        <w:rPr>
          <w:sz w:val="20"/>
          <w:szCs w:val="20"/>
          <w:color w:val="auto"/>
        </w:rPr>
      </w:pPr>
      <w:r>
        <w:rPr>
          <w:rFonts w:ascii="Arial" w:cs="Arial" w:eastAsia="Arial" w:hAnsi="Arial"/>
          <w:sz w:val="13"/>
          <w:szCs w:val="13"/>
          <w:color w:val="auto"/>
        </w:rPr>
        <w:t>In addition to safety regulations enforced by the FDA, we are also subject to regulations under the Occupational Safety and Health Act, the Environmental Protection Act, the Toxic Substances Control Act and other present and potential future foreign, Federal, state and local regulations.</w:t>
      </w:r>
    </w:p>
    <w:p>
      <w:pPr>
        <w:spacing w:after="0" w:line="59" w:lineRule="exact"/>
        <w:rPr>
          <w:sz w:val="20"/>
          <w:szCs w:val="20"/>
          <w:color w:val="auto"/>
        </w:rPr>
      </w:pPr>
    </w:p>
    <w:p>
      <w:pPr>
        <w:ind w:left="680" w:right="180" w:firstLine="399"/>
        <w:spacing w:after="0" w:line="289" w:lineRule="auto"/>
        <w:rPr>
          <w:sz w:val="20"/>
          <w:szCs w:val="20"/>
          <w:color w:val="auto"/>
        </w:rPr>
      </w:pPr>
      <w:r>
        <w:rPr>
          <w:rFonts w:ascii="Arial" w:cs="Arial" w:eastAsia="Arial" w:hAnsi="Arial"/>
          <w:sz w:val="12"/>
          <w:szCs w:val="12"/>
          <w:color w:val="auto"/>
        </w:rPr>
        <w:t>Outside the United States, we will be subject to regulations that govern the import of drug products from the United States or other manufacturing sites and foreign regulatory requirements governing human clinical trials and marketing approval for our products. The requirements governing the conduct of clinical trials, product licensing, pricing and reimbursements vary widely from country to country. In particular, the European Union, or EU, is revising its regulatory approach to biotechnology products, and representatives from the United States, Japan and the EU are in the process of harmonizing and making more uniform the regulations for the registration of pharmaceutical products in these three markets.</w:t>
      </w:r>
    </w:p>
    <w:p>
      <w:pPr>
        <w:spacing w:after="0" w:line="128"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Reimbursement and Health Care Cost Control</w:t>
      </w:r>
    </w:p>
    <w:p>
      <w:pPr>
        <w:spacing w:after="0" w:line="100" w:lineRule="exact"/>
        <w:rPr>
          <w:sz w:val="20"/>
          <w:szCs w:val="20"/>
          <w:color w:val="auto"/>
        </w:rPr>
      </w:pPr>
    </w:p>
    <w:p>
      <w:pPr>
        <w:ind w:left="680" w:right="140" w:firstLine="399"/>
        <w:spacing w:after="0" w:line="371" w:lineRule="auto"/>
        <w:rPr>
          <w:sz w:val="20"/>
          <w:szCs w:val="20"/>
          <w:color w:val="auto"/>
        </w:rPr>
      </w:pPr>
      <w:r>
        <w:rPr>
          <w:rFonts w:ascii="Arial" w:cs="Arial" w:eastAsia="Arial" w:hAnsi="Arial"/>
          <w:sz w:val="11"/>
          <w:szCs w:val="11"/>
          <w:color w:val="auto"/>
        </w:rPr>
        <w:t>Reimbursement for the costs of treatments and products such as ours from government health administration authorities, private health insurers and others both in the United States and abroad is a key element in the success of new health care products. Significant uncertainty often exists as to the reimbursement status of newly approved health care products.</w:t>
      </w:r>
    </w:p>
    <w:p>
      <w:pPr>
        <w:spacing w:after="0" w:line="12" w:lineRule="exact"/>
        <w:rPr>
          <w:sz w:val="20"/>
          <w:szCs w:val="20"/>
          <w:color w:val="auto"/>
        </w:rPr>
      </w:pPr>
    </w:p>
    <w:p>
      <w:pPr>
        <w:ind w:left="680" w:firstLine="399"/>
        <w:spacing w:after="0" w:line="264" w:lineRule="auto"/>
        <w:rPr>
          <w:sz w:val="20"/>
          <w:szCs w:val="20"/>
          <w:color w:val="auto"/>
        </w:rPr>
      </w:pPr>
      <w:r>
        <w:rPr>
          <w:rFonts w:ascii="Arial" w:cs="Arial" w:eastAsia="Arial" w:hAnsi="Arial"/>
          <w:sz w:val="13"/>
          <w:szCs w:val="13"/>
          <w:color w:val="auto"/>
        </w:rPr>
        <w:t>The revenues and profitability of some health care-related companies have been affected by the continuing efforts of governmental and third party payers to contain or reduce the cost of health care through various means. Payers are increasingly attempting to limit both coverage and the levels of reimbursement for new therapeutic products approved for marketing by the FDA, and are refusing, in some cases, to provide any coverage for uses of</w:t>
      </w:r>
    </w:p>
    <w:p>
      <w:pPr>
        <w:spacing w:after="0" w:line="27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20" w:name="page21"/>
    <w:bookmarkEnd w:id="20"/>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line="320" w:lineRule="auto"/>
        <w:rPr>
          <w:sz w:val="20"/>
          <w:szCs w:val="20"/>
          <w:color w:val="auto"/>
        </w:rPr>
      </w:pPr>
      <w:r>
        <w:rPr>
          <w:rFonts w:ascii="Arial" w:cs="Arial" w:eastAsia="Arial" w:hAnsi="Arial"/>
          <w:sz w:val="12"/>
          <w:szCs w:val="12"/>
          <w:color w:val="auto"/>
        </w:rPr>
        <w:t>approved products for disease indications for which the FDA has not granted marketing approval. In certain foreign markets, pricing or profitability of prescription pharmaceuticals is subject to government control. In the United States, there have been a number of Federal and state proposals to implement government control over health care costs.</w:t>
      </w:r>
    </w:p>
    <w:p>
      <w:pPr>
        <w:spacing w:after="0" w:line="110"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Employees</w:t>
      </w:r>
    </w:p>
    <w:p>
      <w:pPr>
        <w:spacing w:after="0" w:line="100" w:lineRule="exact"/>
        <w:rPr>
          <w:sz w:val="20"/>
          <w:szCs w:val="20"/>
          <w:color w:val="auto"/>
        </w:rPr>
      </w:pPr>
    </w:p>
    <w:p>
      <w:pPr>
        <w:ind w:left="680" w:right="360" w:firstLine="399"/>
        <w:spacing w:after="0" w:line="276" w:lineRule="auto"/>
        <w:rPr>
          <w:sz w:val="20"/>
          <w:szCs w:val="20"/>
          <w:color w:val="auto"/>
        </w:rPr>
      </w:pPr>
      <w:r>
        <w:rPr>
          <w:rFonts w:ascii="Arial" w:cs="Arial" w:eastAsia="Arial" w:hAnsi="Arial"/>
          <w:sz w:val="13"/>
          <w:szCs w:val="13"/>
          <w:color w:val="auto"/>
        </w:rPr>
        <w:t>As of December 31, 2005, we had forty-five full-time employees, of whom eleven have Ph.D. degrees. Thirty-three full-time employees work in research and development and laboratory support services. No employees are covered by collective bargaining agreements.</w:t>
      </w:r>
    </w:p>
    <w:p>
      <w:pPr>
        <w:spacing w:after="0" w:line="13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Scientific Advisory Board</w:t>
      </w:r>
    </w:p>
    <w:p>
      <w:pPr>
        <w:spacing w:after="0" w:line="100" w:lineRule="exact"/>
        <w:rPr>
          <w:sz w:val="20"/>
          <w:szCs w:val="20"/>
          <w:color w:val="auto"/>
        </w:rPr>
      </w:pPr>
    </w:p>
    <w:p>
      <w:pPr>
        <w:ind w:left="680" w:firstLine="399"/>
        <w:spacing w:after="0" w:line="281" w:lineRule="auto"/>
        <w:rPr>
          <w:sz w:val="20"/>
          <w:szCs w:val="20"/>
          <w:color w:val="auto"/>
        </w:rPr>
      </w:pPr>
      <w:r>
        <w:rPr>
          <w:rFonts w:ascii="Arial" w:cs="Arial" w:eastAsia="Arial" w:hAnsi="Arial"/>
          <w:sz w:val="12"/>
          <w:szCs w:val="12"/>
          <w:color w:val="auto"/>
        </w:rPr>
        <w:t>Members of our Scientific Advisory Board (SAB) provide us with strategic guidance in regard to our research and product development programs, as well as assistance in recruiting employees and collaborators. Each SAB member has entered into a consulting agreement with us. These consulting agreements specify the compensation to be paid to the consultant and require that all information about our products and technology be kept confidential. All of the SAB members are employed by employers other than us and may have commitments to or consulting or advising agreements with other entities that limit their availability to us. The SAB members have generally agreed, however, for so long as they serve as consultants to us, not to provide any services to any other entities that would conflict with the services the member provides to us. We are entitled to terminate the arrangements if we determine that there is such a conflict. Members of the SAB offer consultation on specific issues encountered by us as well as general advice on the directions of appropriate scientific inquiry for us. In addition, SAB members assist us in assessing the appropriateness of moving our projects to more advanced stages. The following persons are members of our SAB:</w:t>
      </w:r>
    </w:p>
    <w:p>
      <w:pPr>
        <w:spacing w:after="0" w:line="58" w:lineRule="exact"/>
        <w:rPr>
          <w:sz w:val="20"/>
          <w:szCs w:val="20"/>
          <w:color w:val="auto"/>
        </w:rPr>
      </w:pPr>
    </w:p>
    <w:p>
      <w:pPr>
        <w:ind w:left="1180" w:hanging="90"/>
        <w:spacing w:after="0" w:line="303" w:lineRule="auto"/>
        <w:tabs>
          <w:tab w:leader="none" w:pos="1180" w:val="left"/>
        </w:tabs>
        <w:numPr>
          <w:ilvl w:val="0"/>
          <w:numId w:val="13"/>
        </w:numPr>
        <w:rPr>
          <w:rFonts w:ascii="Arial" w:cs="Arial" w:eastAsia="Arial" w:hAnsi="Arial"/>
          <w:sz w:val="11"/>
          <w:szCs w:val="11"/>
          <w:color w:val="auto"/>
        </w:rPr>
      </w:pPr>
      <w:r>
        <w:rPr>
          <w:rFonts w:ascii="Arial" w:cs="Arial" w:eastAsia="Arial" w:hAnsi="Arial"/>
          <w:sz w:val="11"/>
          <w:szCs w:val="11"/>
          <w:color w:val="auto"/>
        </w:rPr>
        <w:t>Irving L. Weissman, M.D., is the Virginia and Daniel K. Ludwig Professor of Cancer Research, Professor of Pathology and Professor of Developmental Biology at Stanford University, Stanford California, and Director of the Stanford University Institute for Stem Cell Biology and Regenerative Medicine, as well as Director of the Stanford Comprehensive Cancer Center. Dr. Weissman’s lab was responsible for the discovery of the first ever mammalian stem cell, the hematopoietic (blood-forming) stem cell. Dr. Weissman was responsible for the formation of three stem cell companies, SyStemix, Inc., StemCells, Inc., and Cellerant, Inc. He is a member of the Board of Directors and Chairman of the Scientific Advisory Boards of StemCells and Cellerant. Dr. Weissman co-discovered the mammalian and human hematopoietic stem cells and the human neural stem cell. He has extended these stem cell discoveries to cancer and leukemia, discovering the leukemic stem cells in human and mouse acute myeloid leukemias, and has enriched the cancer stem cells in several human brain cancers. Past achievements of Dr. Weissman’s laboratory include identification of the states of development between stem cells and mature blood cells, the discovery and molecular isolation and characterization of lymphocyte and stem cell homing receptors, and identification of the states of thymic lymphocyte development. His laboratory at Stanford has developed accurate mouse models of human leukemias, and has shown the central role of inhibition of programmed cell death in that process. He has also established the evolutionary origins of pre-vertebrate stem cells, and identified and cloned the transplantation genes that prevent their passage from one organism to another. Dr. Weissman has been elected to the National Academy of Science, the Institute of Medicine of the National Academies, the American Association of the Arts and Sciences, the American Society of Microbiology, and several other societies. He has received the Kaiser Award for Excellence in Preclinical Teaching, the Pasarow Foundation Award for Cancer Research, the California Scientist of the Year (2002), the Kovalenko Medal of the National Academy of Sciences, the Elliott Joslin Medal for Diabetes Research, the de Villiers Award for Leukemia Research, the Irvington Award for Immunologist of the Year, the Bass Award of the Society of Neurosurgeons, the New York Academy of Medicine Award for Medical Research, the Alan Cranston Award for Aging Research, the Linus Pauling Award for Biomedical Research, the E. Donnall Thomas Award for Hematology Research, the van Bekkum Award for Stem Cell Research, the Outstanding Investigator Award from the National Institutes of Health, and many other awards.</w:t>
      </w:r>
    </w:p>
    <w:p>
      <w:pPr>
        <w:spacing w:after="0" w:line="200" w:lineRule="exact"/>
        <w:rPr>
          <w:sz w:val="20"/>
          <w:szCs w:val="20"/>
          <w:color w:val="auto"/>
        </w:rPr>
      </w:pPr>
    </w:p>
    <w:p>
      <w:pPr>
        <w:spacing w:after="0" w:line="21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21" w:name="page22"/>
    <w:bookmarkEnd w:id="2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1180" w:hanging="90"/>
        <w:spacing w:after="0" w:line="279" w:lineRule="auto"/>
        <w:tabs>
          <w:tab w:leader="none" w:pos="1180" w:val="left"/>
        </w:tabs>
        <w:numPr>
          <w:ilvl w:val="0"/>
          <w:numId w:val="14"/>
        </w:numPr>
        <w:rPr>
          <w:rFonts w:ascii="Arial" w:cs="Arial" w:eastAsia="Arial" w:hAnsi="Arial"/>
          <w:sz w:val="12"/>
          <w:szCs w:val="12"/>
          <w:color w:val="auto"/>
        </w:rPr>
      </w:pPr>
      <w:r>
        <w:rPr>
          <w:rFonts w:ascii="Arial" w:cs="Arial" w:eastAsia="Arial" w:hAnsi="Arial"/>
          <w:sz w:val="12"/>
          <w:szCs w:val="12"/>
          <w:color w:val="auto"/>
        </w:rPr>
        <w:t>David J. Anderson, Ph.D., is Roger W. Sperry Professor of Biology, California Institute of Technology, Pasadena, California and Investigator, Howard Hughes Medical Institute. His laboratory was the first to isolate a multipotent, self-renewing, stem cell for the peripheral nervous system, the first to identify instructive signals that promote the differentiation of these stem cells along various lineages, and the first to accomplish a direct purification of peripheral neural stem cells from uncultured tissue. Dr. Anderson’s laboratory also was the first to isolate transcription factors that act as master regulators of neuronal fate. More recently, he has identified signals that tell a neural stem cell to differentiate to oligodendrocytes, the myelinating glia of the central nervous system. Dr. Anderson is a co-founder of StemCells and a member of its SAB, and was a founding SAB member of the International Society for Stem Cell Research. Dr. Anderson also serves on the SAB of Allen Institute for Brain Science. He has held a presidential Young Investigator Award from the National Science Foundation, a Sloan Foundation Fellowship in Neuroscience, and has been Donald D. Matson lecturer at Harvard Medical School. He has received the Charles Judson Herrick Award from the American Association of Anatomy, the 1999 W. Alden Spencer Award in Neurobiology from Columbia University, and the Alexander von Humboldt Foundation Award. Dr. Anderson is a member of the American Academy of Arts and Sciences.</w:t>
      </w:r>
    </w:p>
    <w:p>
      <w:pPr>
        <w:spacing w:after="0" w:line="50" w:lineRule="exact"/>
        <w:rPr>
          <w:rFonts w:ascii="Arial" w:cs="Arial" w:eastAsia="Arial" w:hAnsi="Arial"/>
          <w:sz w:val="12"/>
          <w:szCs w:val="12"/>
          <w:color w:val="auto"/>
        </w:rPr>
      </w:pPr>
    </w:p>
    <w:p>
      <w:pPr>
        <w:ind w:left="1180" w:right="40" w:hanging="90"/>
        <w:spacing w:after="0" w:line="256" w:lineRule="auto"/>
        <w:tabs>
          <w:tab w:leader="none" w:pos="1180" w:val="left"/>
        </w:tabs>
        <w:numPr>
          <w:ilvl w:val="0"/>
          <w:numId w:val="14"/>
        </w:numPr>
        <w:rPr>
          <w:rFonts w:ascii="Arial" w:cs="Arial" w:eastAsia="Arial" w:hAnsi="Arial"/>
          <w:sz w:val="13"/>
          <w:szCs w:val="13"/>
          <w:color w:val="auto"/>
        </w:rPr>
      </w:pPr>
      <w:r>
        <w:rPr>
          <w:rFonts w:ascii="Arial" w:cs="Arial" w:eastAsia="Arial" w:hAnsi="Arial"/>
          <w:sz w:val="13"/>
          <w:szCs w:val="13"/>
          <w:color w:val="auto"/>
        </w:rPr>
        <w:t>Fred H. Gage, Ph.D., is Professor, Laboratory of Genetics, The Salk Institute for Biological Studies, La Jolla, California and Adjunct Professor, Department of neurosciences, University of California, San Diego, California. Dr. Gage’s lab was the first to discover Neurogenesis in the adult human brain. His research focus is on the development of strategies to induce recovery of function following central nervous system (CNS) damage. Dr. Gage is a co-founder of StemCells and of BrainCells, Inc., and a member of the SAB of each. Dr. Gage also serves on the Scientific Advisory Board of Ceregene, Inc. Dr. Gage has been the recipient of numerous awards, including the 1993 Charles A. Dana Award for Pioneering Achievements in Health and Education, the Christopher Reeves Medal, the Decade of the Brain Medal, the Max Planck Research Award, and the Pasarow Foundation Award. Professor Gage is a member of the Institute of Medicine, a member of the National Academy of Science, and a Fellow of the American Academy of Arts and Science.</w:t>
      </w:r>
    </w:p>
    <w:p>
      <w:pPr>
        <w:spacing w:after="0" w:line="73"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Consultants to our SAB include William C. Mobley, M.D., Ph.D., Ben Barres, Ph.D., and Seung Kim, M.D., Ph.D., all of Stanford University.</w:t>
      </w:r>
    </w:p>
    <w:p>
      <w:pPr>
        <w:spacing w:after="0" w:line="171"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AVAILABLE INFORMATION</w:t>
      </w:r>
    </w:p>
    <w:p>
      <w:pPr>
        <w:spacing w:after="0" w:line="100" w:lineRule="exact"/>
        <w:rPr>
          <w:sz w:val="20"/>
          <w:szCs w:val="20"/>
          <w:color w:val="auto"/>
        </w:rPr>
      </w:pPr>
    </w:p>
    <w:p>
      <w:pPr>
        <w:ind w:left="680" w:right="20" w:firstLine="399"/>
        <w:spacing w:after="0" w:line="257" w:lineRule="auto"/>
        <w:rPr>
          <w:sz w:val="20"/>
          <w:szCs w:val="20"/>
          <w:color w:val="auto"/>
        </w:rPr>
      </w:pPr>
      <w:r>
        <w:rPr>
          <w:rFonts w:ascii="Arial" w:cs="Arial" w:eastAsia="Arial" w:hAnsi="Arial"/>
          <w:sz w:val="13"/>
          <w:szCs w:val="13"/>
          <w:color w:val="auto"/>
        </w:rPr>
        <w:t>Our principal executive offices are located at 3155 Porter Drive, Palo Alto, CA 94304, and our main telephone number is (650) 475-3100. Investors can obtain access to this annual report on Form 10-K, our quarterly reports on Form 10-Q, our current reports on Form 8-K and all amendments to these reports, free of charge, on our website at http://www.stemcellsinc.com as soon as reasonably practicable after such filings are electronically filed with the Securities and Exchange Commission (SEC). The public may read and copy any material we file with the SEC at the SEC’s Public Reference Room at 450 Fifth Street, N.W., Washington D.C., 20549. The public may obtain information on the operations of the Public Reference Room by calling the SEC at 1-800-SEC-0330. The SEC maintains an Internet site, http://www.sec.gov, which contains reports, proxy and information statements and other information regarding issuers that file electronically with the SEC.</w:t>
      </w:r>
    </w:p>
    <w:p>
      <w:pPr>
        <w:spacing w:after="0" w:line="146" w:lineRule="exact"/>
        <w:rPr>
          <w:sz w:val="20"/>
          <w:szCs w:val="20"/>
          <w:color w:val="auto"/>
        </w:rPr>
      </w:pPr>
    </w:p>
    <w:p>
      <w:pPr>
        <w:ind w:left="680"/>
        <w:spacing w:after="0"/>
        <w:tabs>
          <w:tab w:leader="none" w:pos="1760" w:val="left"/>
        </w:tabs>
        <w:rPr>
          <w:sz w:val="20"/>
          <w:szCs w:val="20"/>
          <w:color w:val="auto"/>
        </w:rPr>
      </w:pPr>
      <w:r>
        <w:rPr>
          <w:rFonts w:ascii="Arial" w:cs="Arial" w:eastAsia="Arial" w:hAnsi="Arial"/>
          <w:sz w:val="13"/>
          <w:szCs w:val="13"/>
          <w:b w:val="1"/>
          <w:bCs w:val="1"/>
          <w:color w:val="auto"/>
        </w:rPr>
        <w:t>ITEM 1A.</w:t>
      </w:r>
      <w:r>
        <w:rPr>
          <w:sz w:val="20"/>
          <w:szCs w:val="20"/>
          <w:color w:val="auto"/>
        </w:rPr>
        <w:tab/>
      </w:r>
      <w:r>
        <w:rPr>
          <w:rFonts w:ascii="Arial" w:cs="Arial" w:eastAsia="Arial" w:hAnsi="Arial"/>
          <w:sz w:val="12"/>
          <w:szCs w:val="12"/>
          <w:b w:val="1"/>
          <w:bCs w:val="1"/>
          <w:i w:val="1"/>
          <w:iCs w:val="1"/>
          <w:color w:val="auto"/>
        </w:rPr>
        <w:t>RISK FACTORS</w:t>
      </w:r>
    </w:p>
    <w:p>
      <w:pPr>
        <w:spacing w:after="0" w:line="96"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Risks Related to our Business</w:t>
      </w:r>
    </w:p>
    <w:p>
      <w:pPr>
        <w:spacing w:after="0" w:line="100" w:lineRule="exact"/>
        <w:rPr>
          <w:sz w:val="20"/>
          <w:szCs w:val="20"/>
          <w:color w:val="auto"/>
        </w:rPr>
      </w:pPr>
    </w:p>
    <w:p>
      <w:pPr>
        <w:ind w:left="880" w:right="200"/>
        <w:spacing w:after="0" w:line="276" w:lineRule="auto"/>
        <w:rPr>
          <w:sz w:val="20"/>
          <w:szCs w:val="20"/>
          <w:color w:val="auto"/>
        </w:rPr>
      </w:pPr>
      <w:r>
        <w:rPr>
          <w:rFonts w:ascii="Arial" w:cs="Arial" w:eastAsia="Arial" w:hAnsi="Arial"/>
          <w:sz w:val="13"/>
          <w:szCs w:val="13"/>
          <w:b w:val="1"/>
          <w:bCs w:val="1"/>
          <w:i w:val="1"/>
          <w:iCs w:val="1"/>
          <w:color w:val="auto"/>
        </w:rPr>
        <w:t>Any adverse development in the initial clinical trial for our stem cell technology could substantially depress our stock price and prevent us from raising the capital we will need to further develop our stem cell technology.</w:t>
      </w:r>
    </w:p>
    <w:p>
      <w:pPr>
        <w:spacing w:after="0" w:line="59" w:lineRule="exact"/>
        <w:rPr>
          <w:sz w:val="20"/>
          <w:szCs w:val="20"/>
          <w:color w:val="auto"/>
        </w:rPr>
      </w:pPr>
    </w:p>
    <w:p>
      <w:pPr>
        <w:jc w:val="both"/>
        <w:ind w:left="680" w:right="100" w:firstLine="399"/>
        <w:spacing w:after="0" w:line="260" w:lineRule="auto"/>
        <w:rPr>
          <w:sz w:val="20"/>
          <w:szCs w:val="20"/>
          <w:color w:val="auto"/>
        </w:rPr>
      </w:pPr>
      <w:r>
        <w:rPr>
          <w:rFonts w:ascii="Arial" w:cs="Arial" w:eastAsia="Arial" w:hAnsi="Arial"/>
          <w:sz w:val="13"/>
          <w:szCs w:val="13"/>
          <w:color w:val="auto"/>
        </w:rPr>
        <w:t>To an unusual extent, our ability to progress as a company is significantly dependent on a single early stage clinical trial. Any clinical, regulatory or other development that prevents or delays us from conducting our initial clinical trial for Batten disease, or any safety issue or adverse side effect to any patient that occurs during the trial, or the failure of this initial trial to enroll patients and proceed to completion as anticipated or to show the results expected by investors, would likely significantly depress our stock price and could prevent us from raising the substantial additional capital we will require to further develop our stem cell technologies.</w:t>
      </w:r>
    </w:p>
    <w:p>
      <w:pPr>
        <w:spacing w:after="0" w:line="27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22" w:name="page23"/>
    <w:bookmarkEnd w:id="22"/>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880" w:right="200"/>
        <w:spacing w:after="0" w:line="276" w:lineRule="auto"/>
        <w:rPr>
          <w:sz w:val="20"/>
          <w:szCs w:val="20"/>
          <w:color w:val="auto"/>
        </w:rPr>
      </w:pPr>
      <w:r>
        <w:rPr>
          <w:rFonts w:ascii="Arial" w:cs="Arial" w:eastAsia="Arial" w:hAnsi="Arial"/>
          <w:sz w:val="13"/>
          <w:szCs w:val="13"/>
          <w:b w:val="1"/>
          <w:bCs w:val="1"/>
          <w:i w:val="1"/>
          <w:iCs w:val="1"/>
          <w:color w:val="auto"/>
        </w:rPr>
        <w:t>Our financial situation is precarious and, based on currently estimated operating expenses, our existing capital resources may not be sufficient to fund our operations beyond the next eighteen months.</w:t>
      </w:r>
    </w:p>
    <w:p>
      <w:pPr>
        <w:spacing w:after="0" w:line="59" w:lineRule="exact"/>
        <w:rPr>
          <w:sz w:val="20"/>
          <w:szCs w:val="20"/>
          <w:color w:val="auto"/>
        </w:rPr>
      </w:pPr>
    </w:p>
    <w:p>
      <w:pPr>
        <w:ind w:left="680" w:firstLine="399"/>
        <w:spacing w:after="0" w:line="305" w:lineRule="auto"/>
        <w:rPr>
          <w:sz w:val="20"/>
          <w:szCs w:val="20"/>
          <w:color w:val="auto"/>
        </w:rPr>
      </w:pPr>
      <w:r>
        <w:rPr>
          <w:rFonts w:ascii="Arial" w:cs="Arial" w:eastAsia="Arial" w:hAnsi="Arial"/>
          <w:sz w:val="11"/>
          <w:szCs w:val="11"/>
          <w:color w:val="auto"/>
        </w:rPr>
        <w:t>We have incurred significant operating losses and negative cash flows since inception. We have not achieved profitability and may not be able to realize sufficient revenues to achieve or sustain profitability in the future. We do not expect to be profitable in the next several years, but rather expect to incur additional and increasing operating losses. We have limited liquidity and capital resources and must obtain significant additional capital resources in order to sustain our product development efforts and for acquisition of technologies and intellectual property rights, preclinical and clinical testing of our anticipated products, pursuit of regulatory approvals, acquisition of capital equipment, laboratory and office facilities, establishment of production capabilities, maintaining and enforcing our intellectual property portfolio, general and administrative expenses and other working capital requirements. We rely on cash reserves and proceeds from equity and debt offerings, proceeds from the transfer or sale of our intellectual property rights, equipment, facilities or investments, and government grants and funding from collaborative arrangements, if obtainable, to fund our operations. If we exhaust our cash reserves and are unable to realize adequate financing, we may be unable to meet operating obligations and be required to initiate bankruptcy proceedings. Our existing capital resources may not be sufficient to fund our operations beyond the next eighteen months. We intend to pursue opportunities to obtain additional financing in the future through equity and debt financings, corporate alliances, grants and collaborative research arrangements. The source, timing and availability of any future financing will depend principally upon market conditions, interest rates and, more specifically, on our progress in our exploratory, preclinical and future clinical development programs. Funding may not be available when needed — at all or on terms acceptable to us. Lack of necessary funds may require us to delay, scale back or eliminate some or all of our research and product development programs and/or our capital expenditures or to license our potential products or technologies to third parties.</w:t>
      </w:r>
    </w:p>
    <w:p>
      <w:pPr>
        <w:spacing w:after="0" w:line="28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Our product development programs are based on novel technologies and are inherently risky.</w:t>
      </w:r>
    </w:p>
    <w:p>
      <w:pPr>
        <w:spacing w:after="0" w:line="96" w:lineRule="exact"/>
        <w:rPr>
          <w:sz w:val="20"/>
          <w:szCs w:val="20"/>
          <w:color w:val="auto"/>
        </w:rPr>
      </w:pPr>
    </w:p>
    <w:p>
      <w:pPr>
        <w:jc w:val="both"/>
        <w:ind w:left="680" w:right="40" w:firstLine="399"/>
        <w:spacing w:after="0" w:line="289" w:lineRule="auto"/>
        <w:rPr>
          <w:sz w:val="20"/>
          <w:szCs w:val="20"/>
          <w:color w:val="auto"/>
        </w:rPr>
      </w:pPr>
      <w:r>
        <w:rPr>
          <w:rFonts w:ascii="Arial" w:cs="Arial" w:eastAsia="Arial" w:hAnsi="Arial"/>
          <w:sz w:val="12"/>
          <w:szCs w:val="12"/>
          <w:color w:val="auto"/>
        </w:rPr>
        <w:t>We are subject to the risks of failure inherent in the development of products based on new technologies. The novel nature of the therapies creates significant challenges in regards to product development and optimization, manufacturing, government regulation, third party reimbursement and market acceptance. For example, the FDA has relatively little experience with stem cell-based therapeutics, and the pathway to regulatory approval for our product candidates may accordingly be more complex and lengthy than the pathway for new conventional drugs. These challenges may prevent us from developing and commercializing products on a timely or profitable basis or at all.</w:t>
      </w:r>
    </w:p>
    <w:p>
      <w:pPr>
        <w:spacing w:after="0" w:line="132"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Our technology is at an early stage of discovery and development, and we may fail to develop any commercially acceptable or profitable products.</w:t>
      </w:r>
    </w:p>
    <w:p>
      <w:pPr>
        <w:spacing w:after="0" w:line="96" w:lineRule="exact"/>
        <w:rPr>
          <w:sz w:val="20"/>
          <w:szCs w:val="20"/>
          <w:color w:val="auto"/>
        </w:rPr>
      </w:pPr>
    </w:p>
    <w:p>
      <w:pPr>
        <w:ind w:left="680" w:right="300" w:firstLine="399"/>
        <w:spacing w:after="0" w:line="296" w:lineRule="auto"/>
        <w:rPr>
          <w:sz w:val="20"/>
          <w:szCs w:val="20"/>
          <w:color w:val="auto"/>
        </w:rPr>
      </w:pPr>
      <w:r>
        <w:rPr>
          <w:rFonts w:ascii="Arial" w:cs="Arial" w:eastAsia="Arial" w:hAnsi="Arial"/>
          <w:sz w:val="12"/>
          <w:szCs w:val="12"/>
          <w:color w:val="auto"/>
        </w:rPr>
        <w:t>We have yet to develop any products. Before we may market any product, we must obtain regulatory approval from the FDA and equivalent foreign agencies after conducting extensive preclinical studies and clinical trials that demonstrate that our product candidates are safe and effective for each disease for which we seek approval. We have no experience in conducting clinical trials. We expect that none of our cellular therapy product candidates will be commercially available for several years, if at all.</w:t>
      </w:r>
    </w:p>
    <w:p>
      <w:pPr>
        <w:spacing w:after="0" w:line="50" w:lineRule="exact"/>
        <w:rPr>
          <w:sz w:val="20"/>
          <w:szCs w:val="20"/>
          <w:color w:val="auto"/>
        </w:rPr>
      </w:pPr>
    </w:p>
    <w:p>
      <w:pPr>
        <w:ind w:left="680" w:right="100" w:firstLine="399"/>
        <w:spacing w:after="0" w:line="282" w:lineRule="auto"/>
        <w:rPr>
          <w:sz w:val="20"/>
          <w:szCs w:val="20"/>
          <w:color w:val="auto"/>
        </w:rPr>
      </w:pPr>
      <w:r>
        <w:rPr>
          <w:rFonts w:ascii="Arial" w:cs="Arial" w:eastAsia="Arial" w:hAnsi="Arial"/>
          <w:sz w:val="12"/>
          <w:szCs w:val="12"/>
          <w:color w:val="auto"/>
        </w:rPr>
        <w:t>Our programs are still at the preclinical phase for our candidate human liver stem cell, and at the discovery phase for our candidate human pancreas stem cell. While the U.S. Food and Drug Administration (FDA) has permitted us to go forward with our proposed Phase I clinical trial of our proprietary neural stem cell therapy product — HuCNS SC — in Batten disease, and the Institutional Review Board of the Oregon Health &amp; Science University has approved the protocol, that trial has not yet enrolled or treated any patients and there can be no assurance that the clinical investigators will be able to identify suitable candidates for the trial or of a successful outcome of the trial if candidates are enrolled. We may fail to discover the stem cells we are seeking, to develop any products, to obtain regulatory approvals, to enter clinical trials, or to commercialize any products. We may elect to delay or discontinue preclinical studies or clinical trials based on unfavorable results. Any product using stem cell technology may fail to:</w:t>
      </w:r>
    </w:p>
    <w:p>
      <w:pPr>
        <w:spacing w:after="0" w:line="59" w:lineRule="exact"/>
        <w:rPr>
          <w:sz w:val="20"/>
          <w:szCs w:val="20"/>
          <w:color w:val="auto"/>
        </w:rPr>
      </w:pPr>
    </w:p>
    <w:p>
      <w:pPr>
        <w:ind w:left="1180" w:hanging="90"/>
        <w:spacing w:after="0"/>
        <w:tabs>
          <w:tab w:leader="none" w:pos="1180" w:val="left"/>
        </w:tabs>
        <w:numPr>
          <w:ilvl w:val="0"/>
          <w:numId w:val="15"/>
        </w:numPr>
        <w:rPr>
          <w:rFonts w:ascii="Arial" w:cs="Arial" w:eastAsia="Arial" w:hAnsi="Arial"/>
          <w:sz w:val="13"/>
          <w:szCs w:val="13"/>
          <w:color w:val="auto"/>
        </w:rPr>
      </w:pPr>
      <w:r>
        <w:rPr>
          <w:rFonts w:ascii="Arial" w:cs="Arial" w:eastAsia="Arial" w:hAnsi="Arial"/>
          <w:sz w:val="13"/>
          <w:szCs w:val="13"/>
          <w:color w:val="auto"/>
        </w:rPr>
        <w:t>survive and persist in the desired location;</w:t>
      </w:r>
    </w:p>
    <w:p>
      <w:pPr>
        <w:spacing w:after="0" w:line="86" w:lineRule="exact"/>
        <w:rPr>
          <w:rFonts w:ascii="Arial" w:cs="Arial" w:eastAsia="Arial" w:hAnsi="Arial"/>
          <w:sz w:val="13"/>
          <w:szCs w:val="13"/>
          <w:color w:val="auto"/>
        </w:rPr>
      </w:pPr>
    </w:p>
    <w:p>
      <w:pPr>
        <w:ind w:left="1180" w:hanging="90"/>
        <w:spacing w:after="0"/>
        <w:tabs>
          <w:tab w:leader="none" w:pos="1180" w:val="left"/>
        </w:tabs>
        <w:numPr>
          <w:ilvl w:val="0"/>
          <w:numId w:val="15"/>
        </w:numPr>
        <w:rPr>
          <w:rFonts w:ascii="Arial" w:cs="Arial" w:eastAsia="Arial" w:hAnsi="Arial"/>
          <w:sz w:val="13"/>
          <w:szCs w:val="13"/>
          <w:color w:val="auto"/>
        </w:rPr>
      </w:pPr>
      <w:r>
        <w:rPr>
          <w:rFonts w:ascii="Arial" w:cs="Arial" w:eastAsia="Arial" w:hAnsi="Arial"/>
          <w:sz w:val="13"/>
          <w:szCs w:val="13"/>
          <w:color w:val="auto"/>
        </w:rPr>
        <w:t>provide the intended therapeutic benefits;</w:t>
      </w:r>
    </w:p>
    <w:p>
      <w:pPr>
        <w:spacing w:after="0" w:line="30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23" w:name="page24"/>
    <w:bookmarkEnd w:id="23"/>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1180" w:hanging="90"/>
        <w:spacing w:after="0"/>
        <w:tabs>
          <w:tab w:leader="none" w:pos="1180" w:val="left"/>
        </w:tabs>
        <w:numPr>
          <w:ilvl w:val="0"/>
          <w:numId w:val="16"/>
        </w:numPr>
        <w:rPr>
          <w:rFonts w:ascii="Arial" w:cs="Arial" w:eastAsia="Arial" w:hAnsi="Arial"/>
          <w:sz w:val="13"/>
          <w:szCs w:val="13"/>
          <w:color w:val="auto"/>
        </w:rPr>
      </w:pPr>
      <w:r>
        <w:rPr>
          <w:rFonts w:ascii="Arial" w:cs="Arial" w:eastAsia="Arial" w:hAnsi="Arial"/>
          <w:sz w:val="13"/>
          <w:szCs w:val="13"/>
          <w:color w:val="auto"/>
        </w:rPr>
        <w:t>properly integrate into existing tissue in the desired manner; or</w:t>
      </w:r>
    </w:p>
    <w:p>
      <w:pPr>
        <w:spacing w:after="0" w:line="86" w:lineRule="exact"/>
        <w:rPr>
          <w:rFonts w:ascii="Arial" w:cs="Arial" w:eastAsia="Arial" w:hAnsi="Arial"/>
          <w:sz w:val="13"/>
          <w:szCs w:val="13"/>
          <w:color w:val="auto"/>
        </w:rPr>
      </w:pPr>
    </w:p>
    <w:p>
      <w:pPr>
        <w:ind w:left="1180" w:hanging="90"/>
        <w:spacing w:after="0"/>
        <w:tabs>
          <w:tab w:leader="none" w:pos="1180" w:val="left"/>
        </w:tabs>
        <w:numPr>
          <w:ilvl w:val="0"/>
          <w:numId w:val="16"/>
        </w:numPr>
        <w:rPr>
          <w:rFonts w:ascii="Arial" w:cs="Arial" w:eastAsia="Arial" w:hAnsi="Arial"/>
          <w:sz w:val="13"/>
          <w:szCs w:val="13"/>
          <w:color w:val="auto"/>
        </w:rPr>
      </w:pPr>
      <w:r>
        <w:rPr>
          <w:rFonts w:ascii="Arial" w:cs="Arial" w:eastAsia="Arial" w:hAnsi="Arial"/>
          <w:sz w:val="13"/>
          <w:szCs w:val="13"/>
          <w:color w:val="auto"/>
        </w:rPr>
        <w:t>achieve therapeutic benefits equal to or better than the standard of treatment at the time of testing.</w:t>
      </w:r>
    </w:p>
    <w:p>
      <w:pPr>
        <w:spacing w:after="0" w:line="96" w:lineRule="exact"/>
        <w:rPr>
          <w:sz w:val="20"/>
          <w:szCs w:val="20"/>
          <w:color w:val="auto"/>
        </w:rPr>
      </w:pPr>
    </w:p>
    <w:p>
      <w:pPr>
        <w:ind w:left="680" w:firstLine="399"/>
        <w:spacing w:after="0" w:line="258" w:lineRule="auto"/>
        <w:rPr>
          <w:sz w:val="20"/>
          <w:szCs w:val="20"/>
          <w:color w:val="auto"/>
        </w:rPr>
      </w:pPr>
      <w:r>
        <w:rPr>
          <w:rFonts w:ascii="Arial" w:cs="Arial" w:eastAsia="Arial" w:hAnsi="Arial"/>
          <w:sz w:val="13"/>
          <w:szCs w:val="13"/>
          <w:color w:val="auto"/>
        </w:rPr>
        <w:t>In addition, our products may cause undesirable side effects. Results of preclinical research may not be indicative of the results that will be obtained in later stages of preclinical or clinical research. If regulatory authorities do not approve our products or if we fail to maintain regulatory compliance, we would be unable to commercialize our products, and our business and results of operations would be harmed. Furthermore, because stem cells are a new form of therapy, the marketplace may not accept any products we may develop. If we do succeed in developing products, we will face many potential obstacles such as the need to obtain regulatory approvals and to develop or obtain manufacturing, marketing and distribution capabilities. In addition, we will face substantial additional risks such as product liability claims.</w:t>
      </w:r>
    </w:p>
    <w:p>
      <w:pPr>
        <w:spacing w:after="0" w:line="71" w:lineRule="exact"/>
        <w:rPr>
          <w:sz w:val="20"/>
          <w:szCs w:val="20"/>
          <w:color w:val="auto"/>
        </w:rPr>
      </w:pPr>
    </w:p>
    <w:p>
      <w:pPr>
        <w:ind w:left="680" w:right="160" w:firstLine="399"/>
        <w:spacing w:after="0" w:line="258" w:lineRule="auto"/>
        <w:rPr>
          <w:sz w:val="20"/>
          <w:szCs w:val="20"/>
          <w:color w:val="auto"/>
        </w:rPr>
      </w:pPr>
      <w:r>
        <w:rPr>
          <w:rFonts w:ascii="Arial" w:cs="Arial" w:eastAsia="Arial" w:hAnsi="Arial"/>
          <w:sz w:val="13"/>
          <w:szCs w:val="13"/>
          <w:color w:val="auto"/>
        </w:rPr>
        <w:t>Moreover, because our cell therapy treatments will be derived from tissue of individuals other than the patient (that is, they will be “non-self” or “allogeneic” transplant products), patients will require the use of immunosuppressive drugs such as cyclosporine, FK506, or others to prevent rejection of the cells. While immunosuppression is now standard in connection with allogeneic transplants of various kinds, long-term maintenance on immunosuppressive drugs can produce complications that include infection, cancer, cardiovascular disease, renal dysfunction and other side effects depending upon which immunosuppressive regimen is employed. Immunosuppression has not been tested with our therapies since we have not yet conducted any clinical trials.</w:t>
      </w:r>
    </w:p>
    <w:p>
      <w:pPr>
        <w:spacing w:after="0" w:line="15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Our success will depend in large part on our ability to develop and commercialize products that treat diseases other than Batten disease.</w:t>
      </w:r>
    </w:p>
    <w:p>
      <w:pPr>
        <w:spacing w:after="0" w:line="96" w:lineRule="exact"/>
        <w:rPr>
          <w:sz w:val="20"/>
          <w:szCs w:val="20"/>
          <w:color w:val="auto"/>
        </w:rPr>
      </w:pPr>
    </w:p>
    <w:p>
      <w:pPr>
        <w:ind w:left="680" w:right="80" w:firstLine="399"/>
        <w:spacing w:after="0" w:line="296" w:lineRule="auto"/>
        <w:rPr>
          <w:sz w:val="20"/>
          <w:szCs w:val="20"/>
          <w:color w:val="auto"/>
        </w:rPr>
      </w:pPr>
      <w:r>
        <w:rPr>
          <w:rFonts w:ascii="Arial" w:cs="Arial" w:eastAsia="Arial" w:hAnsi="Arial"/>
          <w:sz w:val="12"/>
          <w:szCs w:val="12"/>
          <w:color w:val="auto"/>
        </w:rPr>
        <w:t>Although we have initially focused on evaluating our neural cell therapy product for the treatment of infantile and late infantile forms of NCL (Batten disease), this disease is rare, and the market for treating this disease is small. Accordingly, even if we obtain marketing approval for HuCNS-SC for Batten disease, in order to achieve profitability, if at all, we will need to obtain approval for HuCNS-SC and other potential products to treat additional diseases that present more significant market opportunities.</w:t>
      </w:r>
    </w:p>
    <w:p>
      <w:pPr>
        <w:spacing w:after="0" w:line="89" w:lineRule="exact"/>
        <w:rPr>
          <w:sz w:val="20"/>
          <w:szCs w:val="20"/>
          <w:color w:val="auto"/>
        </w:rPr>
      </w:pPr>
    </w:p>
    <w:p>
      <w:pPr>
        <w:ind w:left="880"/>
        <w:spacing w:after="0"/>
        <w:rPr>
          <w:sz w:val="20"/>
          <w:szCs w:val="20"/>
          <w:color w:val="auto"/>
        </w:rPr>
      </w:pPr>
      <w:r>
        <w:rPr>
          <w:rFonts w:ascii="Arial" w:cs="Arial" w:eastAsia="Arial" w:hAnsi="Arial"/>
          <w:sz w:val="12"/>
          <w:szCs w:val="12"/>
          <w:b w:val="1"/>
          <w:bCs w:val="1"/>
          <w:i w:val="1"/>
          <w:iCs w:val="1"/>
          <w:color w:val="auto"/>
        </w:rPr>
        <w:t>We have payment obligations resulting from real property owned or leased by us in Rhode Island, which diverts funding from our stem cell research and development.</w:t>
      </w:r>
    </w:p>
    <w:p>
      <w:pPr>
        <w:spacing w:after="0" w:line="108" w:lineRule="exact"/>
        <w:rPr>
          <w:sz w:val="20"/>
          <w:szCs w:val="20"/>
          <w:color w:val="auto"/>
        </w:rPr>
      </w:pPr>
    </w:p>
    <w:p>
      <w:pPr>
        <w:ind w:left="680" w:firstLine="399"/>
        <w:spacing w:after="0" w:line="276" w:lineRule="auto"/>
        <w:rPr>
          <w:sz w:val="20"/>
          <w:szCs w:val="20"/>
          <w:color w:val="auto"/>
        </w:rPr>
      </w:pPr>
      <w:r>
        <w:rPr>
          <w:rFonts w:ascii="Arial" w:cs="Arial" w:eastAsia="Arial" w:hAnsi="Arial"/>
          <w:sz w:val="12"/>
          <w:szCs w:val="12"/>
          <w:color w:val="auto"/>
        </w:rPr>
        <w:t>Prior to our reorganization in 1999 and the consolidation of our business in California, we carried out our former encapsulated cell therapy programs in Lincoln, Rhode Island, where we also had our administrative offices. Although we have vacated the Rhode Island facilities, we remain obligated to make lease payments and payments for operating costs for our former science and administrative facility, which we have leased through June 30, 2013. These costs, before sub-tenant rental income, amounted to approximately $1,450,000 in 2005; our rent payments will increase over the term of the lease, and our operating costs may increase as well. In addition to these costs of our former science and administrative facility, we are obligated to make debt service payments and payments for operating costs of approximately $450,000 per year for our former encapsulated cell therapy pilot manufacturing facility, which we own. We have currently subleased a portion of the science and administrative facility, and are seeking to sublease the remaining portion, but we cannot be sure that we will be able to keep any part of the facility subleased for the duration of our obligation. We have currently subleased the entire pilot manufacturing facility to a privately-held biotechnology company, but may not be able to sublease or sell the facility in the future once the current sublease agreements expire. These continuing costs significantly reduce our cash resources and adversely affect our ability to fund further development of our stem cell technology. In addition, changes in real estate market conditions and assumptions regarding the length of time it may take us to either fully sublease, assign or sell our remaining interest in the our former research facility in Rhode Island may have a significant impact on and cause large variations in our quarter to quarter results of operations. In 1999, in connection with exiting our former research facility in Rhode Island, we created a reserve for the estimated lease payments and operating expenses related to it. The reserve is periodically re-evaluated and adjusted based on assumptions relevant to real estate market conditions and the estimated time until we can either fully sublease, assign or sell our remaining interests in the property. At December 31, 2005, the reserve was $7,306,000. In 2005 and 2004, we incurred $1,079,000 and $1,152,000 in operating expenses net of sub-tenant income for this facility. Expenses for this facility will fluctuate based on changes in tenant occupancy rates and other operating expenses related to the lease. Even though it is our intent to sublease, assign, sell or otherwise divest ourselves of our interests in the facility at the earliest possible time, we cannot determine</w:t>
      </w:r>
    </w:p>
    <w:p>
      <w:pPr>
        <w:spacing w:after="0" w:line="274"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24" w:name="page25"/>
    <w:bookmarkEnd w:id="2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100"/>
        <w:spacing w:after="0" w:line="276" w:lineRule="auto"/>
        <w:rPr>
          <w:sz w:val="20"/>
          <w:szCs w:val="20"/>
          <w:color w:val="auto"/>
        </w:rPr>
      </w:pPr>
      <w:r>
        <w:rPr>
          <w:rFonts w:ascii="Arial" w:cs="Arial" w:eastAsia="Arial" w:hAnsi="Arial"/>
          <w:sz w:val="13"/>
          <w:szCs w:val="13"/>
          <w:color w:val="auto"/>
        </w:rPr>
        <w:t>with certainty a fixed date by which such events will occur. In light of this uncertainty, based on estimates, we will periodically re-evaluate and adjust the reserve, as necessary, and we may make significant adverse adjustments to the reserve in the future.</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We may need but fail to obtain partners to support our stem cell development efforts and to commercialize our technology.</w:t>
      </w:r>
    </w:p>
    <w:p>
      <w:pPr>
        <w:spacing w:after="0" w:line="96" w:lineRule="exact"/>
        <w:rPr>
          <w:sz w:val="20"/>
          <w:szCs w:val="20"/>
          <w:color w:val="auto"/>
        </w:rPr>
      </w:pPr>
    </w:p>
    <w:p>
      <w:pPr>
        <w:ind w:left="680" w:firstLine="399"/>
        <w:spacing w:after="0" w:line="255" w:lineRule="auto"/>
        <w:rPr>
          <w:sz w:val="20"/>
          <w:szCs w:val="20"/>
          <w:color w:val="auto"/>
        </w:rPr>
      </w:pPr>
      <w:r>
        <w:rPr>
          <w:rFonts w:ascii="Arial" w:cs="Arial" w:eastAsia="Arial" w:hAnsi="Arial"/>
          <w:sz w:val="13"/>
          <w:szCs w:val="13"/>
          <w:color w:val="auto"/>
        </w:rPr>
        <w:t>Equity and debt financings alone may not be sufficient to fund the cost of developing our stem cell technologies, and we may need to rely on our ability to reach partnering arrangements to provide financial support for our stem cell discovery and development efforts. In addition, in order to successfully develop and commercialize our technology, we may need to enter into a wide variety of arrangements with corporate sponsors, pharmaceutical companies, universities, research groups and others. While we have engaged, and expect to continue to engage, in discussions regarding such arrangements, we have not reached any agreement, and we may fail to obtain any such agreement on terms acceptable to us. Even if we enter into these arrangements, we may not be able to satisfy our obligations under them or renew or replace them after their original terms expire. Furthermore, these arrangements may require us to grant certain rights to third parties, including exclusive marketing rights to one or more products, may require us to issue securities to our collaborators or may contain other terms that are burdensome to us. If any of our collaborators terminates its relationship with us or fails to perform its obligations in a timely manner, the development or commercialization of our technology and potential products may be adversely affected.</w:t>
      </w:r>
    </w:p>
    <w:p>
      <w:pPr>
        <w:spacing w:after="0" w:line="155"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Because the patient population for NCL, or Batten disease, is very small, we may encounter difficulties in enrolling subjects in our first planned clinical trial.</w:t>
      </w:r>
    </w:p>
    <w:p>
      <w:pPr>
        <w:spacing w:after="0" w:line="96" w:lineRule="exact"/>
        <w:rPr>
          <w:sz w:val="20"/>
          <w:szCs w:val="20"/>
          <w:color w:val="auto"/>
        </w:rPr>
      </w:pPr>
    </w:p>
    <w:p>
      <w:pPr>
        <w:jc w:val="both"/>
        <w:ind w:left="680" w:right="160" w:firstLine="399"/>
        <w:spacing w:after="0" w:line="264" w:lineRule="auto"/>
        <w:rPr>
          <w:sz w:val="20"/>
          <w:szCs w:val="20"/>
          <w:color w:val="auto"/>
        </w:rPr>
      </w:pPr>
      <w:r>
        <w:rPr>
          <w:rFonts w:ascii="Arial" w:cs="Arial" w:eastAsia="Arial" w:hAnsi="Arial"/>
          <w:sz w:val="13"/>
          <w:szCs w:val="13"/>
          <w:color w:val="auto"/>
        </w:rPr>
        <w:t>The first clinical application we are pursuing — NCL (also known as Batten disease) — has a very small patient population. From this small population, we must locate and enroll patients that satisfy the specific enrollment criteria for our planned clinical trial for this indication. This clinical trial may be delayed significantly or terminated if we are unable to enroll a sufficient number of qualified patients.</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We have a history of operating losses, and we may fail to obtain revenues or become profitable.</w:t>
      </w:r>
    </w:p>
    <w:p>
      <w:pPr>
        <w:spacing w:after="0" w:line="96" w:lineRule="exact"/>
        <w:rPr>
          <w:sz w:val="20"/>
          <w:szCs w:val="20"/>
          <w:color w:val="auto"/>
        </w:rPr>
      </w:pPr>
    </w:p>
    <w:p>
      <w:pPr>
        <w:ind w:left="680" w:right="20" w:firstLine="399"/>
        <w:spacing w:after="0" w:line="257" w:lineRule="auto"/>
        <w:rPr>
          <w:sz w:val="20"/>
          <w:szCs w:val="20"/>
          <w:color w:val="auto"/>
        </w:rPr>
      </w:pPr>
      <w:r>
        <w:rPr>
          <w:rFonts w:ascii="Arial" w:cs="Arial" w:eastAsia="Arial" w:hAnsi="Arial"/>
          <w:sz w:val="13"/>
          <w:szCs w:val="13"/>
          <w:color w:val="auto"/>
        </w:rPr>
        <w:t>We expect to continue to incur substantial operating losses in the future in order to conduct our research and development activities, and, if those activities are successful, to fund clinical trials and other expenses. These expenses include the cost of acquiring technology, product testing, acquiring regulatory approvals, establishing production, marketing, sales and distribution programs and administrative expenses. We have not earned any revenues from sales of any product. All of our past revenues have been derived from, and any revenues we may obtain for the foreseeable future are expected to be derived from, cooperative agreements, research grants, investments and interest on invested capital. We currently have no cooperative agreements, we have only one current research grant for our stem cell technology, and we may not obtain any such agreements or additional grants in the future or receive any revenues from them.</w:t>
      </w:r>
    </w:p>
    <w:p>
      <w:pPr>
        <w:spacing w:after="0" w:line="15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If we are unable to protect our patents and proprietary rights, our business, financial condition and results of operations will be harmed.</w:t>
      </w:r>
    </w:p>
    <w:p>
      <w:pPr>
        <w:spacing w:after="0" w:line="96" w:lineRule="exact"/>
        <w:rPr>
          <w:sz w:val="20"/>
          <w:szCs w:val="20"/>
          <w:color w:val="auto"/>
        </w:rPr>
      </w:pPr>
    </w:p>
    <w:p>
      <w:pPr>
        <w:ind w:left="680" w:firstLine="399"/>
        <w:spacing w:after="0" w:line="281" w:lineRule="auto"/>
        <w:rPr>
          <w:sz w:val="20"/>
          <w:szCs w:val="20"/>
          <w:color w:val="auto"/>
        </w:rPr>
      </w:pPr>
      <w:r>
        <w:rPr>
          <w:rFonts w:ascii="Arial" w:cs="Arial" w:eastAsia="Arial" w:hAnsi="Arial"/>
          <w:sz w:val="12"/>
          <w:szCs w:val="12"/>
          <w:color w:val="auto"/>
        </w:rPr>
        <w:t>We own or license a number of patents and pending patent applications related to various stem and progenitor cells and methods of deriving and using them, including human neural stem cell cultures. Patent protection for products such as those we propose to develop is highly uncertain and involves complex and continually evolving factual and legal questions. The governmental authorities that consider patent applications can deny or significantly reduce the patent coverage requested in an application before or after issuing the patent. Consequently, we do not know whether any of our pending applications will result in the issuance of patents, if any existing or future patents will provide sufficient protection or significant commercial advantage or if others will circumvent these patents. We cannot be certain that we were the first to discover the inventions covered by each of our pending patent applications or that we were the first to file patent applications for such inventions because patent applications are secret until they are published, and because publication of discoveries in the scientific or patent literature often lags behind actual discoveries. Patents may not issue from our pending or future patent applications or, if issued, may not be of</w:t>
      </w:r>
    </w:p>
    <w:p>
      <w:pPr>
        <w:spacing w:after="0" w:line="265"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25" w:name="page26"/>
    <w:bookmarkEnd w:id="25"/>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120"/>
        <w:spacing w:after="0" w:line="278" w:lineRule="auto"/>
        <w:rPr>
          <w:sz w:val="20"/>
          <w:szCs w:val="20"/>
          <w:color w:val="auto"/>
        </w:rPr>
      </w:pPr>
      <w:r>
        <w:rPr>
          <w:rFonts w:ascii="Arial" w:cs="Arial" w:eastAsia="Arial" w:hAnsi="Arial"/>
          <w:sz w:val="12"/>
          <w:szCs w:val="12"/>
          <w:color w:val="auto"/>
        </w:rPr>
        <w:t>commercial benefit to us. In addition, our patents may not afford us adequate protection from competing products. Third parties may challenge our patents or governmental authorities may declare them invalid or reduce their scope. In the event that a third party has also filed a patent application relating to inventions claimed in our patent applications, we may have to participate in proceedings to determine priority of invention. Even if a patent issues, a court could decide that the patent was issued invalidly. Because patents issue for a limited term, our patents may expire before we utilize them profitably. Our most important patents begin to expire in 2015. Under the procedures of the European Patent Office, third parties may oppose our issued European patents during the relevant opposition period. These proceedings and oppositions could result in substantial uncertainties and cost for us, even if the eventual outcome is favorable to us, and the outcome might not be favorable to us. One party has opposed two of our granted European patents. Both oppositions were heard in 2005, and the patents were maintained in somewhat altered form. The time for appeal has not yet run and there can be no assurance that the opposing party will not appeal. While we are confident that, should the decision be appealed by the opposing party, it will be upheld, there can be no guarantee of this. If we are ultimately unsuccessful in our defense of the opposed patents, all claimed rights in the opposed patents will be lost in Europe. U.S. counterparts to these patents are part of our issued patent portfolio; they are not subject to opposition, since that procedure does not exist under U.S. patent law, but other types of proceedings may be available to third parties to contest our U.S. patents. See “Item 1. Business — Patents, Proprietary Rights and Licences” and “Item 3. Legal proceedings.”</w:t>
      </w:r>
    </w:p>
    <w:p>
      <w:pPr>
        <w:spacing w:after="0" w:line="60" w:lineRule="exact"/>
        <w:rPr>
          <w:sz w:val="20"/>
          <w:szCs w:val="20"/>
          <w:color w:val="auto"/>
        </w:rPr>
      </w:pPr>
    </w:p>
    <w:p>
      <w:pPr>
        <w:ind w:left="680" w:right="140" w:firstLine="399"/>
        <w:spacing w:after="0" w:line="276" w:lineRule="auto"/>
        <w:rPr>
          <w:sz w:val="20"/>
          <w:szCs w:val="20"/>
          <w:color w:val="auto"/>
        </w:rPr>
      </w:pPr>
      <w:r>
        <w:rPr>
          <w:rFonts w:ascii="Arial" w:cs="Arial" w:eastAsia="Arial" w:hAnsi="Arial"/>
          <w:sz w:val="13"/>
          <w:szCs w:val="13"/>
          <w:color w:val="auto"/>
        </w:rPr>
        <w:t>If we learn of third parties who infringe our patent rights, we may need to initiate legal proceedings to enforce our patent rights. These proceedings may entail significant costs, and these third parties may have significantly greater financial resources than us. We may not prevail in these proceedings.</w:t>
      </w:r>
    </w:p>
    <w:p>
      <w:pPr>
        <w:spacing w:after="0" w:line="59" w:lineRule="exact"/>
        <w:rPr>
          <w:sz w:val="20"/>
          <w:szCs w:val="20"/>
          <w:color w:val="auto"/>
        </w:rPr>
      </w:pPr>
    </w:p>
    <w:p>
      <w:pPr>
        <w:ind w:left="680" w:right="40" w:firstLine="399"/>
        <w:spacing w:after="0" w:line="258" w:lineRule="auto"/>
        <w:rPr>
          <w:sz w:val="20"/>
          <w:szCs w:val="20"/>
          <w:color w:val="auto"/>
        </w:rPr>
      </w:pPr>
      <w:r>
        <w:rPr>
          <w:rFonts w:ascii="Arial" w:cs="Arial" w:eastAsia="Arial" w:hAnsi="Arial"/>
          <w:sz w:val="13"/>
          <w:szCs w:val="13"/>
          <w:color w:val="auto"/>
        </w:rPr>
        <w:t>Proprietary trade secrets and unpatented know-how are also important to our research and development activities. We cannot be certain that others will not independently develop the same or similar technologies on their own or gain access to our trade secrets or disclose such technology or that we will be able to meaningfully protect our trade secrets and unpatented know-how. We require our employees, consultants, and significant scientific collaborators and sponsored researchers to execute confidentiality agreements upon the commencement of an employment or consulting relationship with us. These agreements may, however, fail to provide meaningful protection or adequate remedies for us in the event of unauthorized use, transfer or disclosure of such information or technology.</w:t>
      </w:r>
    </w:p>
    <w:p>
      <w:pPr>
        <w:spacing w:after="0" w:line="15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If others are first to discover and patent the stem cells we are seeking to discover, we could be blocked from further work on those stem cells.</w:t>
      </w:r>
    </w:p>
    <w:p>
      <w:pPr>
        <w:spacing w:after="0" w:line="96" w:lineRule="exact"/>
        <w:rPr>
          <w:sz w:val="20"/>
          <w:szCs w:val="20"/>
          <w:color w:val="auto"/>
        </w:rPr>
      </w:pPr>
    </w:p>
    <w:p>
      <w:pPr>
        <w:ind w:left="680" w:right="380" w:firstLine="399"/>
        <w:spacing w:after="0" w:line="264" w:lineRule="auto"/>
        <w:rPr>
          <w:sz w:val="20"/>
          <w:szCs w:val="20"/>
          <w:color w:val="auto"/>
        </w:rPr>
      </w:pPr>
      <w:r>
        <w:rPr>
          <w:rFonts w:ascii="Arial" w:cs="Arial" w:eastAsia="Arial" w:hAnsi="Arial"/>
          <w:sz w:val="13"/>
          <w:szCs w:val="13"/>
          <w:color w:val="auto"/>
        </w:rPr>
        <w:t>Because the first person or entity to discover and obtain a valid patent to a particular stem or progenitor cell may effectively block all others, it will be important for us or our collaborators to be the first to discover any stem cell that we are seeking to discover. Failure to be the first could prevent us from commercializing all of our research and development affected by that patent.</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If we are unable to obtain necessary licenses to third-party patents and other rights, we may not be able to commercially develop our expected products.</w:t>
      </w:r>
    </w:p>
    <w:p>
      <w:pPr>
        <w:spacing w:after="0" w:line="96" w:lineRule="exact"/>
        <w:rPr>
          <w:sz w:val="20"/>
          <w:szCs w:val="20"/>
          <w:color w:val="auto"/>
        </w:rPr>
      </w:pPr>
    </w:p>
    <w:p>
      <w:pPr>
        <w:ind w:left="680" w:firstLine="399"/>
        <w:spacing w:after="0" w:line="281" w:lineRule="auto"/>
        <w:rPr>
          <w:sz w:val="20"/>
          <w:szCs w:val="20"/>
          <w:color w:val="auto"/>
        </w:rPr>
      </w:pPr>
      <w:r>
        <w:rPr>
          <w:rFonts w:ascii="Arial" w:cs="Arial" w:eastAsia="Arial" w:hAnsi="Arial"/>
          <w:sz w:val="12"/>
          <w:szCs w:val="12"/>
          <w:color w:val="auto"/>
        </w:rPr>
        <w:t>A number of pharmaceutical, biotechnology and other companies, universities and research institutions have filed patent applications or have received patents relating to cell therapy, stem cells and other technologies potentially relevant to or necessary for our expected products. We cannot predict which, if any, of the applications will issue as patents, and there may be existing patents of which we are currently unaware which the commercialization of our product candidates would infringe. If third party patents or patent applications contain valid claims that our technology infringes upon their technology, we may be prevented from commercializing that technology unless the third party is willing to grant a license to us. We may be unable to obtain licenses to the relevant patents at a reasonable cost, if at all, and may also be unable to develop or obtain alternative non-infringing technology. If we are unable to obtain such licenses or develop non-infringing technology at a reasonable cost, our business could be significantly harmed. Also, any infringement lawsuits commenced against us may result in significant costs, divert our management’s attention and result in an award against us for substantial damages.</w:t>
      </w:r>
    </w:p>
    <w:p>
      <w:pPr>
        <w:spacing w:after="0" w:line="265"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26" w:name="page27"/>
    <w:bookmarkEnd w:id="26"/>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80" w:firstLine="399"/>
        <w:spacing w:after="0" w:line="281" w:lineRule="auto"/>
        <w:rPr>
          <w:sz w:val="20"/>
          <w:szCs w:val="20"/>
          <w:color w:val="auto"/>
        </w:rPr>
      </w:pPr>
      <w:r>
        <w:rPr>
          <w:rFonts w:ascii="Arial" w:cs="Arial" w:eastAsia="Arial" w:hAnsi="Arial"/>
          <w:sz w:val="12"/>
          <w:szCs w:val="12"/>
          <w:color w:val="auto"/>
        </w:rPr>
        <w:t>We are aware of intellectual property rights held by third parties that relate to products or technologies we are developing. For example, some aspects of our stem cell product candidates involve the use of growth factors, antibodies and other reagents that may, in certain cases, be the subject of third party rights. Before we commercialize any product using these growth factors, antibodies or reagents, we may need to obtain license rights from third parties or use alternative growth factors, antibodies and reagents that are not then the subject of third party patent rights. We currently believe that the commercialization of our products as currently planned will not infringe these third party rights, or, alternatively, that we will be able to obtain necessary licenses or otherwise use alternate non-infringing technology. However, third parties may nonetheless bring suit against us claiming infringement. If we are unable to prove that our technology does not infringe their patents, or if we are unable to obtain necessary licenses or otherwise use alternative non-infringing technology, we may not be able to commercialize any products. Also, if we use alternative non-infringing technology, we may need to demonstrate comparability in subsequent clinical trials.</w:t>
      </w:r>
    </w:p>
    <w:p>
      <w:pPr>
        <w:spacing w:after="0" w:line="58" w:lineRule="exact"/>
        <w:rPr>
          <w:sz w:val="20"/>
          <w:szCs w:val="20"/>
          <w:color w:val="auto"/>
        </w:rPr>
      </w:pPr>
    </w:p>
    <w:p>
      <w:pPr>
        <w:ind w:left="680" w:right="140" w:firstLine="399"/>
        <w:spacing w:after="0" w:line="260" w:lineRule="auto"/>
        <w:rPr>
          <w:sz w:val="20"/>
          <w:szCs w:val="20"/>
          <w:color w:val="auto"/>
        </w:rPr>
      </w:pPr>
      <w:r>
        <w:rPr>
          <w:rFonts w:ascii="Arial" w:cs="Arial" w:eastAsia="Arial" w:hAnsi="Arial"/>
          <w:sz w:val="13"/>
          <w:szCs w:val="13"/>
          <w:color w:val="auto"/>
        </w:rPr>
        <w:t>We have obtained rights from universities and research institutions to technologies, processes and compounds that we believe may be important to the development of our products. These licensors, however, may cancel our licenses or convert them to non-exclusive licenses if we fail to use the relevant technology or otherwise breach these agreements. Loss of these licenses could expose us to the risk that our technology infringes the rights of third parties. We can give no assurance that any of these licenses will provide effective protection against our competitors.</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We compete with companies that have significant advantages over us.</w:t>
      </w:r>
    </w:p>
    <w:p>
      <w:pPr>
        <w:spacing w:after="0" w:line="96" w:lineRule="exact"/>
        <w:rPr>
          <w:sz w:val="20"/>
          <w:szCs w:val="20"/>
          <w:color w:val="auto"/>
        </w:rPr>
      </w:pPr>
    </w:p>
    <w:p>
      <w:pPr>
        <w:ind w:left="680" w:right="40" w:firstLine="399"/>
        <w:spacing w:after="0" w:line="282" w:lineRule="auto"/>
        <w:rPr>
          <w:sz w:val="20"/>
          <w:szCs w:val="20"/>
          <w:color w:val="auto"/>
        </w:rPr>
      </w:pPr>
      <w:r>
        <w:rPr>
          <w:rFonts w:ascii="Arial" w:cs="Arial" w:eastAsia="Arial" w:hAnsi="Arial"/>
          <w:sz w:val="12"/>
          <w:szCs w:val="12"/>
          <w:color w:val="auto"/>
        </w:rPr>
        <w:t>The market for therapeutic products to treat diseases of, or injuries to, the central nervous system (CNS) is large, and competition is intense. The majority of the products currently on the market or in development are small molecule pharmaceutical compounds. Many of the world’s large pharmaceutical companies, including Merck, Pfizer, Abbott, Bristol-Myers Squibb, Novartis and GlaxoSmithKline, have made significant commitments to the CNS field. Any cell-based therapy to treat diseases of, or injuries to, the CNS is likely to face intense competition from the small molecule sector. In addition, a number of biotechnology companies with resources far greater than ours may also emerge as competitors. These include Genzyme, Amgen, Cephalon, Shire Pharmaceuticals, BioMarin, Celgene, Biogen Idec, and Titan Pharmaceuticals/Schering AG. Finally, we also expect to compete with smaller biotechnology companies, such as NeuralStem, Geron, NeuroNova, ReNeuron, and ES Cell International, some of which are privately owned.</w:t>
      </w:r>
    </w:p>
    <w:p>
      <w:pPr>
        <w:spacing w:after="0" w:line="59" w:lineRule="exact"/>
        <w:rPr>
          <w:sz w:val="20"/>
          <w:szCs w:val="20"/>
          <w:color w:val="auto"/>
        </w:rPr>
      </w:pPr>
    </w:p>
    <w:p>
      <w:pPr>
        <w:ind w:left="680" w:firstLine="399"/>
        <w:spacing w:after="0" w:line="285" w:lineRule="auto"/>
        <w:rPr>
          <w:sz w:val="20"/>
          <w:szCs w:val="20"/>
          <w:color w:val="auto"/>
        </w:rPr>
      </w:pPr>
      <w:r>
        <w:rPr>
          <w:rFonts w:ascii="Arial" w:cs="Arial" w:eastAsia="Arial" w:hAnsi="Arial"/>
          <w:sz w:val="12"/>
          <w:szCs w:val="12"/>
          <w:color w:val="auto"/>
        </w:rPr>
        <w:t>We believe that our human neural stem cells may have application to many or most of the Lysosomal Storage Diseases (“LSDs”) with CNS involvement. We have received FDA approval for our first IND to treat the Infantile and Late Infantile forms of NCL (also known as Batten disease), which are among the LSDs that affect the CNS, and our Phase I clinical trial expected to begin at Doernbecher Children’s Hospital at Oregon Health &amp; Safety University. There can be no assurance that the trial will demonstrate either safety or efficacy of our HuCNS-SC. There are, so far as we know, no approved therapies for Batten disease or any of the other CNS-specific LSDs, but other companies, including Genzyme, BioMarin, and Shire, have products approved to treat peripheral aspects of some of the other LSDs, and other products are in clinical trials.</w:t>
      </w:r>
    </w:p>
    <w:p>
      <w:pPr>
        <w:spacing w:after="0" w:line="55" w:lineRule="exact"/>
        <w:rPr>
          <w:sz w:val="20"/>
          <w:szCs w:val="20"/>
          <w:color w:val="auto"/>
        </w:rPr>
      </w:pPr>
    </w:p>
    <w:p>
      <w:pPr>
        <w:ind w:left="680" w:right="100" w:firstLine="399"/>
        <w:spacing w:after="0" w:line="264" w:lineRule="auto"/>
        <w:rPr>
          <w:sz w:val="20"/>
          <w:szCs w:val="20"/>
          <w:color w:val="auto"/>
        </w:rPr>
      </w:pPr>
      <w:r>
        <w:rPr>
          <w:rFonts w:ascii="Arial" w:cs="Arial" w:eastAsia="Arial" w:hAnsi="Arial"/>
          <w:sz w:val="13"/>
          <w:szCs w:val="13"/>
          <w:color w:val="auto"/>
        </w:rPr>
        <w:t>In the liver field, there are no broad-based therapies for the treatment of liver disease at present. The primary therapy is liver transplantation, which is limited by the availability of matched donor organs. Liver-assist devices, when and if they become available, could also be used to help patients while they await suitably matched organs for transplantation. In addition, new therapies may become available before we successfully develop a cell-based therapy for liver disease.</w:t>
      </w:r>
    </w:p>
    <w:p>
      <w:pPr>
        <w:spacing w:after="0" w:line="67" w:lineRule="exact"/>
        <w:rPr>
          <w:sz w:val="20"/>
          <w:szCs w:val="20"/>
          <w:color w:val="auto"/>
        </w:rPr>
      </w:pPr>
    </w:p>
    <w:p>
      <w:pPr>
        <w:ind w:left="680" w:firstLine="399"/>
        <w:spacing w:after="0" w:line="264" w:lineRule="auto"/>
        <w:rPr>
          <w:sz w:val="20"/>
          <w:szCs w:val="20"/>
          <w:color w:val="auto"/>
        </w:rPr>
      </w:pPr>
      <w:r>
        <w:rPr>
          <w:rFonts w:ascii="Arial" w:cs="Arial" w:eastAsia="Arial" w:hAnsi="Arial"/>
          <w:sz w:val="13"/>
          <w:szCs w:val="13"/>
          <w:color w:val="auto"/>
        </w:rPr>
        <w:t>In the field of diabetes, a number of major companies currently market products for the treatment of diabetes and are also engaged in the research and development of new therapies. Such companies include Eli Lilly, Novo Nordisk, J&amp;J, Amylin, ViaCell, and Serono. Consequently, should we successfully develop a cell-based therapy for diabetes, we would expect to face severe competition from these and similar companies.</w:t>
      </w:r>
    </w:p>
    <w:p>
      <w:pPr>
        <w:spacing w:after="0" w:line="27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27" w:name="page28"/>
    <w:bookmarkEnd w:id="27"/>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Development of our technology is subject to and restricted by extensive government regulation, which could impede our business.</w:t>
      </w:r>
    </w:p>
    <w:p>
      <w:pPr>
        <w:spacing w:after="0" w:line="96" w:lineRule="exact"/>
        <w:rPr>
          <w:sz w:val="20"/>
          <w:szCs w:val="20"/>
          <w:color w:val="auto"/>
        </w:rPr>
      </w:pPr>
    </w:p>
    <w:p>
      <w:pPr>
        <w:ind w:left="680" w:right="100" w:firstLine="399"/>
        <w:spacing w:after="0" w:line="285" w:lineRule="auto"/>
        <w:rPr>
          <w:sz w:val="20"/>
          <w:szCs w:val="20"/>
          <w:color w:val="auto"/>
        </w:rPr>
      </w:pPr>
      <w:r>
        <w:rPr>
          <w:rFonts w:ascii="Arial" w:cs="Arial" w:eastAsia="Arial" w:hAnsi="Arial"/>
          <w:sz w:val="12"/>
          <w:szCs w:val="12"/>
          <w:color w:val="auto"/>
        </w:rPr>
        <w:t>Our research and development efforts, as well as any future clinical trials, and the manufacturing and marketing of any products we may develop, will be subject to and restricted by extensive regulation by governmental authorities in the United States and other countries. The process of obtaining U.S. Food and Drug Administration and other necessary regulatory approvals is lengthy, expensive and uncertain. We or our collaborators may fail to obtain the necessary approvals to commence or continue clinical testing or to manufacture or market our potential products in reasonable time frames, if at all. In addition, the U.S. Congress and other legislative bodies may enact regulatory reforms or restrictions on the development of new therapies that could adversely affect the regulatory environment in which we operate or the development of any products we may develop.</w:t>
      </w:r>
    </w:p>
    <w:p>
      <w:pPr>
        <w:spacing w:after="0" w:line="55" w:lineRule="exact"/>
        <w:rPr>
          <w:sz w:val="20"/>
          <w:szCs w:val="20"/>
          <w:color w:val="auto"/>
        </w:rPr>
      </w:pPr>
    </w:p>
    <w:p>
      <w:pPr>
        <w:ind w:left="680" w:right="120" w:firstLine="399"/>
        <w:spacing w:after="0" w:line="312" w:lineRule="auto"/>
        <w:rPr>
          <w:sz w:val="20"/>
          <w:szCs w:val="20"/>
          <w:color w:val="auto"/>
        </w:rPr>
      </w:pPr>
      <w:r>
        <w:rPr>
          <w:rFonts w:ascii="Arial" w:cs="Arial" w:eastAsia="Arial" w:hAnsi="Arial"/>
          <w:sz w:val="11"/>
          <w:szCs w:val="11"/>
          <w:color w:val="auto"/>
        </w:rPr>
        <w:t>We base our research and development on the use of human stem and progenitor cells obtained from fetal tissue. The federal and state governments and other jurisdictions impose restrictions on the use of fetal tissue, including those incorporated in the recent federal current Good Tissue Practice, or cGTP, regulations. These regulatory and other constraints could prevent us from obtaining cells and other components of our products in the quantity or quality needed for their development or commercialization. These restrictions change from time to time and may become more onerous. Additionally, we may not be able to identify or develop reliable sources for the cells necessary for our potential products — that is, sources that follow all state and federal guidelines for cell procurement. Certain components used to manufacture our stem cell product candidates will need to be manufactured in compliance with the FDA’s Good Manufacturing Practices, or cGMP. Accordingly, we will need to enter into supply agreements with companies that manufacture these components to cGMP standards.</w:t>
      </w:r>
    </w:p>
    <w:p>
      <w:pPr>
        <w:spacing w:after="0" w:line="45" w:lineRule="exact"/>
        <w:rPr>
          <w:sz w:val="20"/>
          <w:szCs w:val="20"/>
          <w:color w:val="auto"/>
        </w:rPr>
      </w:pPr>
    </w:p>
    <w:p>
      <w:pPr>
        <w:ind w:left="680" w:right="100" w:firstLine="399"/>
        <w:spacing w:after="0" w:line="282" w:lineRule="auto"/>
        <w:rPr>
          <w:sz w:val="20"/>
          <w:szCs w:val="20"/>
          <w:color w:val="auto"/>
        </w:rPr>
      </w:pPr>
      <w:r>
        <w:rPr>
          <w:rFonts w:ascii="Arial" w:cs="Arial" w:eastAsia="Arial" w:hAnsi="Arial"/>
          <w:sz w:val="12"/>
          <w:szCs w:val="12"/>
          <w:color w:val="auto"/>
        </w:rPr>
        <w:t>Although we do not use embryonic stem cells, government regulation and threatened regulation of embryonic tissue may lead top researchers to leave the field of stem cell research, or the country, in order to assure that their careers will not be impeded by restrictions on their work. Similarly, these factors may induce the best graduate students to choose other fields less vulnerable to changes in regulatory oversight, thus exacerbating the risk, discussed below, that we may not be able to attract and retain the scientific personnel we need in face of the competition among pharmaceutical, biotechnology and health care companies, universities and research institutions for what may become a shrinking class of qualified individuals. In addition, we cannot assure you that constraints on the use of embryonic stem cells will not be extended to use of fetal stem cells. Moreover, it is possible that concerns regarding research using embryonic stem cells will negatively impact our stock price and our ability to attract collaborators and investors.</w:t>
      </w:r>
    </w:p>
    <w:p>
      <w:pPr>
        <w:spacing w:after="0" w:line="59" w:lineRule="exact"/>
        <w:rPr>
          <w:sz w:val="20"/>
          <w:szCs w:val="20"/>
          <w:color w:val="auto"/>
        </w:rPr>
      </w:pPr>
    </w:p>
    <w:p>
      <w:pPr>
        <w:ind w:left="680" w:right="80" w:firstLine="399"/>
        <w:spacing w:after="0" w:line="296" w:lineRule="auto"/>
        <w:rPr>
          <w:sz w:val="20"/>
          <w:szCs w:val="20"/>
          <w:color w:val="auto"/>
        </w:rPr>
      </w:pPr>
      <w:r>
        <w:rPr>
          <w:rFonts w:ascii="Arial" w:cs="Arial" w:eastAsia="Arial" w:hAnsi="Arial"/>
          <w:sz w:val="12"/>
          <w:szCs w:val="12"/>
          <w:color w:val="auto"/>
        </w:rPr>
        <w:t>We may apply for status under the Orphan Drug Act for some of our therapies to gain a seven-year period of marketing exclusivity for those therapies. The U.S. Congress in the past has considered, and in the future again may consider, legislation that would restrict the extent and duration of the market exclusivity of an orphan drug. If enacted, such legislation could prevent us from obtaining some or all of the benefits of the existing statute even if we were to apply for and obtain orphan drug status with respect to a potential product.</w:t>
      </w:r>
    </w:p>
    <w:p>
      <w:pPr>
        <w:spacing w:after="0" w:line="12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We are dependent on the services of key personnel.</w:t>
      </w:r>
    </w:p>
    <w:p>
      <w:pPr>
        <w:spacing w:after="0" w:line="96" w:lineRule="exact"/>
        <w:rPr>
          <w:sz w:val="20"/>
          <w:szCs w:val="20"/>
          <w:color w:val="auto"/>
        </w:rPr>
      </w:pPr>
    </w:p>
    <w:p>
      <w:pPr>
        <w:ind w:left="680" w:right="40" w:firstLine="399"/>
        <w:spacing w:after="0" w:line="258" w:lineRule="auto"/>
        <w:rPr>
          <w:sz w:val="20"/>
          <w:szCs w:val="20"/>
          <w:color w:val="auto"/>
        </w:rPr>
      </w:pPr>
      <w:r>
        <w:rPr>
          <w:rFonts w:ascii="Arial" w:cs="Arial" w:eastAsia="Arial" w:hAnsi="Arial"/>
          <w:sz w:val="13"/>
          <w:szCs w:val="13"/>
          <w:color w:val="auto"/>
        </w:rPr>
        <w:t>We are highly dependent on the principal members of our management and scientific staff and some of our outside consultants, including the members of our scientific advisory board, our chief executive officer, our vice presidents and the director of our liver stem cell program. Although we have entered into employment agreements with some of these individuals, they may terminate their agreements at any time. In addition, our operations are dependent upon our ability to attract and retain additional qualified scientific and management personnel. We may not be able to attract and retain the personnel we need on acceptable terms given the competition for experienced personnel among pharmaceutical, biotechnology and health care companies, universities and research institutions.</w:t>
      </w:r>
    </w:p>
    <w:p>
      <w:pPr>
        <w:spacing w:after="0" w:line="150" w:lineRule="exact"/>
        <w:rPr>
          <w:sz w:val="20"/>
          <w:szCs w:val="20"/>
          <w:color w:val="auto"/>
        </w:rPr>
      </w:pPr>
    </w:p>
    <w:p>
      <w:pPr>
        <w:ind w:left="880" w:right="440"/>
        <w:spacing w:after="0" w:line="276" w:lineRule="auto"/>
        <w:rPr>
          <w:sz w:val="20"/>
          <w:szCs w:val="20"/>
          <w:color w:val="auto"/>
        </w:rPr>
      </w:pPr>
      <w:r>
        <w:rPr>
          <w:rFonts w:ascii="Arial" w:cs="Arial" w:eastAsia="Arial" w:hAnsi="Arial"/>
          <w:sz w:val="13"/>
          <w:szCs w:val="13"/>
          <w:b w:val="1"/>
          <w:bCs w:val="1"/>
          <w:i w:val="1"/>
          <w:iCs w:val="1"/>
          <w:color w:val="auto"/>
        </w:rPr>
        <w:t>Our activities involve hazardous materials and experimental animal testing; improper handling of these animals and materials by our employees or agents could expose us to significant legal and financial penalties.</w:t>
      </w:r>
    </w:p>
    <w:p>
      <w:pPr>
        <w:spacing w:after="0" w:line="59" w:lineRule="exact"/>
        <w:rPr>
          <w:sz w:val="20"/>
          <w:szCs w:val="20"/>
          <w:color w:val="auto"/>
        </w:rPr>
      </w:pPr>
    </w:p>
    <w:p>
      <w:pPr>
        <w:ind w:left="680" w:firstLine="399"/>
        <w:spacing w:after="0" w:line="276" w:lineRule="auto"/>
        <w:rPr>
          <w:sz w:val="20"/>
          <w:szCs w:val="20"/>
          <w:color w:val="auto"/>
        </w:rPr>
      </w:pPr>
      <w:r>
        <w:rPr>
          <w:rFonts w:ascii="Arial" w:cs="Arial" w:eastAsia="Arial" w:hAnsi="Arial"/>
          <w:sz w:val="13"/>
          <w:szCs w:val="13"/>
          <w:color w:val="auto"/>
        </w:rPr>
        <w:t>Our research and development activities involve the controlled use of hazardous chemicals and potentially hazardous biological materials such as human tissue and animals. Their use subjects us to environmental and safety</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28" w:name="page29"/>
    <w:bookmarkEnd w:id="28"/>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40"/>
        <w:spacing w:after="0" w:line="276" w:lineRule="auto"/>
        <w:rPr>
          <w:sz w:val="20"/>
          <w:szCs w:val="20"/>
          <w:color w:val="auto"/>
        </w:rPr>
      </w:pPr>
      <w:r>
        <w:rPr>
          <w:rFonts w:ascii="Arial" w:cs="Arial" w:eastAsia="Arial" w:hAnsi="Arial"/>
          <w:sz w:val="13"/>
          <w:szCs w:val="13"/>
          <w:color w:val="auto"/>
        </w:rPr>
        <w:t>laws and regulations such as those governing laboratory procedures, exposure to blood-borne pathogens, use of animals and the handling of biohazardous materials. Compliance with current or future laws and regulations may be expensive and the cost of compliance could adversely affect us.</w:t>
      </w:r>
    </w:p>
    <w:p>
      <w:pPr>
        <w:spacing w:after="0" w:line="59" w:lineRule="exact"/>
        <w:rPr>
          <w:sz w:val="20"/>
          <w:szCs w:val="20"/>
          <w:color w:val="auto"/>
        </w:rPr>
      </w:pPr>
    </w:p>
    <w:p>
      <w:pPr>
        <w:ind w:left="680" w:right="20" w:firstLine="399"/>
        <w:spacing w:after="0" w:line="256" w:lineRule="auto"/>
        <w:rPr>
          <w:sz w:val="20"/>
          <w:szCs w:val="20"/>
          <w:color w:val="auto"/>
        </w:rPr>
      </w:pPr>
      <w:r>
        <w:rPr>
          <w:rFonts w:ascii="Arial" w:cs="Arial" w:eastAsia="Arial" w:hAnsi="Arial"/>
          <w:sz w:val="13"/>
          <w:szCs w:val="13"/>
          <w:color w:val="auto"/>
        </w:rPr>
        <w:t>Although we believe that our safety procedures for using, handling, storing and disposing of hazardous and potentially hazardous materials comply with the standards prescribed by California and federal regulations, the risk of accidental contamination or injury from these materials cannot be eliminated. In the event of such an accident or of any violation of these or future laws and regulations, state or federal authorities could curtail our use of these materials; we could be liable for any civil damages that result, the cost of which could be substantial; and we could be subjected to substantial fines or penalties. In addition, any failure by us to control the use, disposal, removal or storage, or to adequately restrict the discharge, or to assist in the cleanup, of hazardous chemicals or hazardous, infectious or toxic substances could subject us to significant liability. Any such liability could exceed our resources and could have a material adverse effect on our business, financial condition and results of operations. Moreover, an accident could damage our research and manufacturing facilities and operations and result in serious adverse effects on our business.</w:t>
      </w:r>
    </w:p>
    <w:p>
      <w:pPr>
        <w:spacing w:after="0" w:line="152"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The manufacture, development and commercialization of stem cell products expose us to product liability claims, which could lead to substantial liability.</w:t>
      </w:r>
    </w:p>
    <w:p>
      <w:pPr>
        <w:spacing w:after="0" w:line="96" w:lineRule="exact"/>
        <w:rPr>
          <w:sz w:val="20"/>
          <w:szCs w:val="20"/>
          <w:color w:val="auto"/>
        </w:rPr>
      </w:pPr>
    </w:p>
    <w:p>
      <w:pPr>
        <w:ind w:left="680" w:right="100" w:firstLine="399"/>
        <w:spacing w:after="0" w:line="260" w:lineRule="auto"/>
        <w:rPr>
          <w:sz w:val="20"/>
          <w:szCs w:val="20"/>
          <w:color w:val="auto"/>
        </w:rPr>
      </w:pPr>
      <w:r>
        <w:rPr>
          <w:rFonts w:ascii="Arial" w:cs="Arial" w:eastAsia="Arial" w:hAnsi="Arial"/>
          <w:sz w:val="13"/>
          <w:szCs w:val="13"/>
          <w:color w:val="auto"/>
        </w:rPr>
        <w:t>By developing and, ultimately, commercializing medical products, we are exposed to the risk of product liability claims. Product liability claims against us could entail substantial litigation costs and damage awards against us. We are in the process of obtaining liability insurance that covers our clinical trials, and we will need to increase our insurance coverage if and when we begin commercializing products. We may not be able to obtain insurance on acceptable terms, if at all, and the policy limits on our insurance policies may be insufficient to cover our liability.</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1"/>
          <w:szCs w:val="11"/>
          <w:b w:val="1"/>
          <w:bCs w:val="1"/>
          <w:i w:val="1"/>
          <w:iCs w:val="1"/>
          <w:color w:val="auto"/>
        </w:rPr>
        <w:t>Since health care insurers and other organizations may not pay for our products or may impose limits on reimbursements, our ability to become profitable could be reduced.</w:t>
      </w:r>
    </w:p>
    <w:p>
      <w:pPr>
        <w:spacing w:after="0" w:line="119" w:lineRule="exact"/>
        <w:rPr>
          <w:sz w:val="20"/>
          <w:szCs w:val="20"/>
          <w:color w:val="auto"/>
        </w:rPr>
      </w:pPr>
    </w:p>
    <w:p>
      <w:pPr>
        <w:ind w:left="680" w:firstLine="399"/>
        <w:spacing w:after="0" w:line="277" w:lineRule="auto"/>
        <w:rPr>
          <w:sz w:val="20"/>
          <w:szCs w:val="20"/>
          <w:color w:val="auto"/>
        </w:rPr>
      </w:pPr>
      <w:r>
        <w:rPr>
          <w:rFonts w:ascii="Arial" w:cs="Arial" w:eastAsia="Arial" w:hAnsi="Arial"/>
          <w:sz w:val="12"/>
          <w:szCs w:val="12"/>
          <w:color w:val="auto"/>
        </w:rPr>
        <w:t>In both domestic and foreign markets, sales of potential products are likely to depend in part upon the availability and amounts of reimbursement from third party health care payor organizations, including government agencies, private health care insurers and other health care payors, such as health maintenance organizations and self-insured employee plans. There is considerable pressure to reduce the cost of therapeutic products, and government and other third party payors are increasingly attempting to contain health care costs by limiting both coverage and the level of reimbursement for new therapeutic products and by refusing, in some cases, to provide any coverage for uses of approved products for disease indications for which the U.S. Food and Drug Administration has not granted marketing approval. Significant uncertainty exists as to the reimbursement status of newly approved health care products or novel therapies such as ours. Even if we obtain regulatory approval to market our products, we can give no assurance that reimbursement will be provided by such payors at all or without substantial delay or, if such reimbursement is provided, that the approved reimbursement amounts will be sufficient to enable us to sell products we develop on a profitable basis. Changes in reimbursement policies could also adversely affect the willingness of pharmaceutical companies to collaborate with us on the development of our stem cell technology. In certain foreign markets, pricing or profitability of prescription pharmaceuticals is subject to government control. We also expect that there will continue to be a number of federal and state proposals to implement government control over health care costs. Efforts at health care reform are likely to continue in future legislative sessions. We do not know what legislative proposals federal or state governments will adopt or what actions federal, state or private payers for health care goods and services may take in response to health care reform proposals or legislation. We cannot predict the effect government control and other health care reforms may have on our business.</w:t>
      </w:r>
    </w:p>
    <w:p>
      <w:pPr>
        <w:spacing w:after="0" w:line="143" w:lineRule="exact"/>
        <w:rPr>
          <w:sz w:val="20"/>
          <w:szCs w:val="20"/>
          <w:color w:val="auto"/>
        </w:rPr>
      </w:pPr>
    </w:p>
    <w:p>
      <w:pPr>
        <w:ind w:left="880"/>
        <w:spacing w:after="0"/>
        <w:rPr>
          <w:sz w:val="20"/>
          <w:szCs w:val="20"/>
          <w:color w:val="auto"/>
        </w:rPr>
      </w:pPr>
      <w:r>
        <w:rPr>
          <w:rFonts w:ascii="Arial" w:cs="Arial" w:eastAsia="Arial" w:hAnsi="Arial"/>
          <w:sz w:val="12"/>
          <w:szCs w:val="12"/>
          <w:b w:val="1"/>
          <w:bCs w:val="1"/>
          <w:i w:val="1"/>
          <w:iCs w:val="1"/>
          <w:color w:val="auto"/>
        </w:rPr>
        <w:t>We have limited liquidity and capital resources and may not obtain the significant capital resources we will need to sustain our research and development efforts.</w:t>
      </w:r>
    </w:p>
    <w:p>
      <w:pPr>
        <w:spacing w:after="0" w:line="108" w:lineRule="exact"/>
        <w:rPr>
          <w:sz w:val="20"/>
          <w:szCs w:val="20"/>
          <w:color w:val="auto"/>
        </w:rPr>
      </w:pPr>
    </w:p>
    <w:p>
      <w:pPr>
        <w:ind w:left="680" w:right="200" w:firstLine="399"/>
        <w:spacing w:after="0" w:line="320" w:lineRule="auto"/>
        <w:rPr>
          <w:sz w:val="20"/>
          <w:szCs w:val="20"/>
          <w:color w:val="auto"/>
        </w:rPr>
      </w:pPr>
      <w:r>
        <w:rPr>
          <w:rFonts w:ascii="Arial" w:cs="Arial" w:eastAsia="Arial" w:hAnsi="Arial"/>
          <w:sz w:val="12"/>
          <w:szCs w:val="12"/>
          <w:color w:val="auto"/>
        </w:rPr>
        <w:t>We have limited liquidity and capital resources and must obtain substantial additional capital to support our research and development programs, for acquisition of technology and intellectual property rights and, to the extent we decide to undertake these activities ourselves, for preclinical and clinical testing of our anticipated products,</w:t>
      </w:r>
    </w:p>
    <w:p>
      <w:pPr>
        <w:spacing w:after="0" w:line="241"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29" w:name="page30"/>
    <w:bookmarkEnd w:id="29"/>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line="257" w:lineRule="auto"/>
        <w:rPr>
          <w:sz w:val="20"/>
          <w:szCs w:val="20"/>
          <w:color w:val="auto"/>
        </w:rPr>
      </w:pPr>
      <w:r>
        <w:rPr>
          <w:rFonts w:ascii="Arial" w:cs="Arial" w:eastAsia="Arial" w:hAnsi="Arial"/>
          <w:sz w:val="13"/>
          <w:szCs w:val="13"/>
          <w:color w:val="auto"/>
        </w:rPr>
        <w:t>pursuit of regulatory approvals, establishment of production capabilities, maintaining and enforcing our intellectually property portfolio, establishment of marketing and sales capabilities and distribution channels, and general administrative expenses. If we do not obtain the necessary capital resources, we may have to delay, reduce or eliminate some or all of our research and development programs or license our technology or any potential products to third parties rather than commercialize them ourselves. We intend to pursue our needed capital resources through equity and debt financings, corporate alliances, grants and collaborative research arrangements. We may fail to obtain the necessary capital resources from any such sources when needed or on terms acceptable to us. Our ability to complete successfully any such arrangements will depend upon market conditions and, more specifically, on continued progress in our research and development efforts.</w:t>
      </w:r>
    </w:p>
    <w:p>
      <w:pPr>
        <w:spacing w:after="0" w:line="150" w:lineRule="exact"/>
        <w:rPr>
          <w:sz w:val="20"/>
          <w:szCs w:val="20"/>
          <w:color w:val="auto"/>
        </w:rPr>
      </w:pPr>
    </w:p>
    <w:p>
      <w:pPr>
        <w:ind w:left="880" w:right="160"/>
        <w:spacing w:after="0" w:line="276" w:lineRule="auto"/>
        <w:rPr>
          <w:sz w:val="20"/>
          <w:szCs w:val="20"/>
          <w:color w:val="auto"/>
        </w:rPr>
      </w:pPr>
      <w:r>
        <w:rPr>
          <w:rFonts w:ascii="Arial" w:cs="Arial" w:eastAsia="Arial" w:hAnsi="Arial"/>
          <w:sz w:val="13"/>
          <w:szCs w:val="13"/>
          <w:b w:val="1"/>
          <w:bCs w:val="1"/>
          <w:i w:val="1"/>
          <w:iCs w:val="1"/>
          <w:color w:val="auto"/>
        </w:rPr>
        <w:t>Ethical and other concerns surrounding the use of stem cell therapy may negatively affect regulatory approval or public perception of our product candidates, which could reduce demand for our products.</w:t>
      </w:r>
    </w:p>
    <w:p>
      <w:pPr>
        <w:spacing w:after="0" w:line="59" w:lineRule="exact"/>
        <w:rPr>
          <w:sz w:val="20"/>
          <w:szCs w:val="20"/>
          <w:color w:val="auto"/>
        </w:rPr>
      </w:pPr>
    </w:p>
    <w:p>
      <w:pPr>
        <w:ind w:left="680" w:firstLine="399"/>
        <w:spacing w:after="0" w:line="310" w:lineRule="auto"/>
        <w:rPr>
          <w:sz w:val="20"/>
          <w:szCs w:val="20"/>
          <w:color w:val="auto"/>
        </w:rPr>
      </w:pPr>
      <w:r>
        <w:rPr>
          <w:rFonts w:ascii="Arial" w:cs="Arial" w:eastAsia="Arial" w:hAnsi="Arial"/>
          <w:sz w:val="11"/>
          <w:szCs w:val="11"/>
          <w:color w:val="auto"/>
        </w:rPr>
        <w:t>The use of stem cells for research and therapy has been the subject of debate regarding related ethical, legal and social issues. Although these concerns have mainly been directed to the use of embryonic stem cells, which we do not use, the distinction between embryonic and non-embryonic stem cells is frequently overlooked; moreover, our use of human stem cells from fetal sources might raise these or similar concerns. Negative public attitudes toward stem cell therapy could result in greater governmental regulation of stem cell therapies, which could harm our business. For example, concerns regarding such possible regulation could impact our ability to attract collaborators and investors. Also, existing regulatory constraints on the use of embryonic stem cells may in the future be extended to use of fetal stem cells, and these constraints might prohibit or restrict us from conducting research or commercializing products. Government regulation and threatened regulation of embryonic tissue could also harm our ability to attract and retain qualified scientific personnel by causing top researchers to leave the country or the field of stem cell research altogether; and by encouraging the best graduate students to choose other fields that are less vulnerable to changes in regulatory oversight.</w:t>
      </w:r>
    </w:p>
    <w:p>
      <w:pPr>
        <w:spacing w:after="0" w:line="124" w:lineRule="exact"/>
        <w:rPr>
          <w:sz w:val="20"/>
          <w:szCs w:val="20"/>
          <w:color w:val="auto"/>
        </w:rPr>
      </w:pPr>
    </w:p>
    <w:p>
      <w:pPr>
        <w:ind w:left="880"/>
        <w:spacing w:after="0"/>
        <w:rPr>
          <w:sz w:val="20"/>
          <w:szCs w:val="20"/>
          <w:color w:val="auto"/>
        </w:rPr>
      </w:pPr>
      <w:r>
        <w:rPr>
          <w:rFonts w:ascii="Arial" w:cs="Arial" w:eastAsia="Arial" w:hAnsi="Arial"/>
          <w:sz w:val="12"/>
          <w:szCs w:val="12"/>
          <w:b w:val="1"/>
          <w:bCs w:val="1"/>
          <w:i w:val="1"/>
          <w:iCs w:val="1"/>
          <w:color w:val="auto"/>
        </w:rPr>
        <w:t>Our corporate documents and Delaware law contain provisions that may make it difficult for us to be acquired in a transaction that would be beneficial to our shareholders.</w:t>
      </w:r>
    </w:p>
    <w:p>
      <w:pPr>
        <w:spacing w:after="0" w:line="108" w:lineRule="exact"/>
        <w:rPr>
          <w:sz w:val="20"/>
          <w:szCs w:val="20"/>
          <w:color w:val="auto"/>
        </w:rPr>
      </w:pPr>
    </w:p>
    <w:p>
      <w:pPr>
        <w:ind w:left="680" w:right="60" w:firstLine="399"/>
        <w:spacing w:after="0" w:line="260" w:lineRule="auto"/>
        <w:rPr>
          <w:sz w:val="20"/>
          <w:szCs w:val="20"/>
          <w:color w:val="auto"/>
        </w:rPr>
      </w:pPr>
      <w:r>
        <w:rPr>
          <w:rFonts w:ascii="Arial" w:cs="Arial" w:eastAsia="Arial" w:hAnsi="Arial"/>
          <w:sz w:val="13"/>
          <w:szCs w:val="13"/>
          <w:color w:val="auto"/>
        </w:rPr>
        <w:t>Our board of directors has the authority to issue shares of preferred stock and to fix the rights, preferences, privileges and restrictions of these shares without shareholder approval. In addition, we have adopted a rights plan that generally permits our existing shareholders to acquire additional shares at a substantial discount to the market price in the event of certain attempts by third parties to acquire us. These rights, along with certain provisions in our corporate documents and Delaware law, may make it more difficult for a third party to acquire us or discourage a third party from attempting to acquire us, even if the acquisition might be beneficial to our shareholders.</w:t>
      </w:r>
    </w:p>
    <w:p>
      <w:pPr>
        <w:spacing w:after="0" w:line="14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Risks Related to the Securities Market</w:t>
      </w:r>
    </w:p>
    <w:p>
      <w:pPr>
        <w:spacing w:after="0" w:line="10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Our stock price has been, and will likely continue to be, highly volatile, which may negatively affect our ability to obtain additional financing in the future.</w:t>
      </w:r>
    </w:p>
    <w:p>
      <w:pPr>
        <w:spacing w:after="0" w:line="96" w:lineRule="exact"/>
        <w:rPr>
          <w:sz w:val="20"/>
          <w:szCs w:val="20"/>
          <w:color w:val="auto"/>
        </w:rPr>
      </w:pPr>
    </w:p>
    <w:p>
      <w:pPr>
        <w:ind w:left="680" w:right="280" w:firstLine="399"/>
        <w:spacing w:after="0" w:line="276" w:lineRule="auto"/>
        <w:rPr>
          <w:sz w:val="20"/>
          <w:szCs w:val="20"/>
          <w:color w:val="auto"/>
        </w:rPr>
      </w:pPr>
      <w:r>
        <w:rPr>
          <w:rFonts w:ascii="Arial" w:cs="Arial" w:eastAsia="Arial" w:hAnsi="Arial"/>
          <w:sz w:val="13"/>
          <w:szCs w:val="13"/>
          <w:color w:val="auto"/>
        </w:rPr>
        <w:t>The market price of our stock has been and is likely to continue to be highly volatile due to the risks and uncertainties described in this section of the Form 10-K, as well as other factors, including:</w:t>
      </w:r>
    </w:p>
    <w:p>
      <w:pPr>
        <w:spacing w:after="0" w:line="59" w:lineRule="exact"/>
        <w:rPr>
          <w:sz w:val="20"/>
          <w:szCs w:val="20"/>
          <w:color w:val="auto"/>
        </w:rPr>
      </w:pPr>
    </w:p>
    <w:p>
      <w:pPr>
        <w:ind w:left="1180" w:hanging="90"/>
        <w:spacing w:after="0"/>
        <w:tabs>
          <w:tab w:leader="none" w:pos="1180" w:val="left"/>
        </w:tabs>
        <w:numPr>
          <w:ilvl w:val="0"/>
          <w:numId w:val="17"/>
        </w:numPr>
        <w:rPr>
          <w:rFonts w:ascii="Arial" w:cs="Arial" w:eastAsia="Arial" w:hAnsi="Arial"/>
          <w:sz w:val="13"/>
          <w:szCs w:val="13"/>
          <w:color w:val="auto"/>
        </w:rPr>
      </w:pPr>
      <w:r>
        <w:rPr>
          <w:rFonts w:ascii="Arial" w:cs="Arial" w:eastAsia="Arial" w:hAnsi="Arial"/>
          <w:sz w:val="13"/>
          <w:szCs w:val="13"/>
          <w:color w:val="auto"/>
        </w:rPr>
        <w:t>our ability to develop and test our technology;</w:t>
      </w:r>
    </w:p>
    <w:p>
      <w:pPr>
        <w:spacing w:after="0" w:line="86" w:lineRule="exact"/>
        <w:rPr>
          <w:rFonts w:ascii="Arial" w:cs="Arial" w:eastAsia="Arial" w:hAnsi="Arial"/>
          <w:sz w:val="13"/>
          <w:szCs w:val="13"/>
          <w:color w:val="auto"/>
        </w:rPr>
      </w:pPr>
    </w:p>
    <w:p>
      <w:pPr>
        <w:ind w:left="1180" w:hanging="90"/>
        <w:spacing w:after="0"/>
        <w:tabs>
          <w:tab w:leader="none" w:pos="1180" w:val="left"/>
        </w:tabs>
        <w:numPr>
          <w:ilvl w:val="0"/>
          <w:numId w:val="17"/>
        </w:numPr>
        <w:rPr>
          <w:rFonts w:ascii="Arial" w:cs="Arial" w:eastAsia="Arial" w:hAnsi="Arial"/>
          <w:sz w:val="13"/>
          <w:szCs w:val="13"/>
          <w:color w:val="auto"/>
        </w:rPr>
      </w:pPr>
      <w:r>
        <w:rPr>
          <w:rFonts w:ascii="Arial" w:cs="Arial" w:eastAsia="Arial" w:hAnsi="Arial"/>
          <w:sz w:val="13"/>
          <w:szCs w:val="13"/>
          <w:color w:val="auto"/>
        </w:rPr>
        <w:t>our ability to patent or obtain licenses to necessary technology;</w:t>
      </w:r>
    </w:p>
    <w:p>
      <w:pPr>
        <w:spacing w:after="0" w:line="86" w:lineRule="exact"/>
        <w:rPr>
          <w:rFonts w:ascii="Arial" w:cs="Arial" w:eastAsia="Arial" w:hAnsi="Arial"/>
          <w:sz w:val="13"/>
          <w:szCs w:val="13"/>
          <w:color w:val="auto"/>
        </w:rPr>
      </w:pPr>
    </w:p>
    <w:p>
      <w:pPr>
        <w:ind w:left="1180" w:hanging="90"/>
        <w:spacing w:after="0"/>
        <w:tabs>
          <w:tab w:leader="none" w:pos="1180" w:val="left"/>
        </w:tabs>
        <w:numPr>
          <w:ilvl w:val="0"/>
          <w:numId w:val="17"/>
        </w:numPr>
        <w:rPr>
          <w:rFonts w:ascii="Arial" w:cs="Arial" w:eastAsia="Arial" w:hAnsi="Arial"/>
          <w:sz w:val="13"/>
          <w:szCs w:val="13"/>
          <w:color w:val="auto"/>
        </w:rPr>
      </w:pPr>
      <w:r>
        <w:rPr>
          <w:rFonts w:ascii="Arial" w:cs="Arial" w:eastAsia="Arial" w:hAnsi="Arial"/>
          <w:sz w:val="13"/>
          <w:szCs w:val="13"/>
          <w:color w:val="auto"/>
        </w:rPr>
        <w:t>conditions and publicity regarding the industry in which we operate, as well as the specific areas our product candidates seek to address;</w:t>
      </w:r>
    </w:p>
    <w:p>
      <w:pPr>
        <w:spacing w:after="0" w:line="86" w:lineRule="exact"/>
        <w:rPr>
          <w:rFonts w:ascii="Arial" w:cs="Arial" w:eastAsia="Arial" w:hAnsi="Arial"/>
          <w:sz w:val="13"/>
          <w:szCs w:val="13"/>
          <w:color w:val="auto"/>
        </w:rPr>
      </w:pPr>
    </w:p>
    <w:p>
      <w:pPr>
        <w:ind w:left="1180" w:hanging="90"/>
        <w:spacing w:after="0"/>
        <w:tabs>
          <w:tab w:leader="none" w:pos="1180" w:val="left"/>
        </w:tabs>
        <w:numPr>
          <w:ilvl w:val="0"/>
          <w:numId w:val="17"/>
        </w:numPr>
        <w:rPr>
          <w:rFonts w:ascii="Arial" w:cs="Arial" w:eastAsia="Arial" w:hAnsi="Arial"/>
          <w:sz w:val="13"/>
          <w:szCs w:val="13"/>
          <w:color w:val="auto"/>
        </w:rPr>
      </w:pPr>
      <w:r>
        <w:rPr>
          <w:rFonts w:ascii="Arial" w:cs="Arial" w:eastAsia="Arial" w:hAnsi="Arial"/>
          <w:sz w:val="13"/>
          <w:szCs w:val="13"/>
          <w:color w:val="auto"/>
        </w:rPr>
        <w:t>competition in our industry;</w:t>
      </w:r>
    </w:p>
    <w:p>
      <w:pPr>
        <w:spacing w:after="0" w:line="86" w:lineRule="exact"/>
        <w:rPr>
          <w:rFonts w:ascii="Arial" w:cs="Arial" w:eastAsia="Arial" w:hAnsi="Arial"/>
          <w:sz w:val="13"/>
          <w:szCs w:val="13"/>
          <w:color w:val="auto"/>
        </w:rPr>
      </w:pPr>
    </w:p>
    <w:p>
      <w:pPr>
        <w:ind w:left="1180" w:hanging="90"/>
        <w:spacing w:after="0"/>
        <w:tabs>
          <w:tab w:leader="none" w:pos="1180" w:val="left"/>
        </w:tabs>
        <w:numPr>
          <w:ilvl w:val="0"/>
          <w:numId w:val="17"/>
        </w:numPr>
        <w:rPr>
          <w:rFonts w:ascii="Arial" w:cs="Arial" w:eastAsia="Arial" w:hAnsi="Arial"/>
          <w:sz w:val="13"/>
          <w:szCs w:val="13"/>
          <w:color w:val="auto"/>
        </w:rPr>
      </w:pPr>
      <w:r>
        <w:rPr>
          <w:rFonts w:ascii="Arial" w:cs="Arial" w:eastAsia="Arial" w:hAnsi="Arial"/>
          <w:sz w:val="13"/>
          <w:szCs w:val="13"/>
          <w:color w:val="auto"/>
        </w:rPr>
        <w:t>price and volume fluctuations in the stock market at large that are unrelated to our operating performance; and</w:t>
      </w:r>
    </w:p>
    <w:p>
      <w:pPr>
        <w:spacing w:after="0" w:line="86" w:lineRule="exact"/>
        <w:rPr>
          <w:rFonts w:ascii="Arial" w:cs="Arial" w:eastAsia="Arial" w:hAnsi="Arial"/>
          <w:sz w:val="13"/>
          <w:szCs w:val="13"/>
          <w:color w:val="auto"/>
        </w:rPr>
      </w:pPr>
    </w:p>
    <w:p>
      <w:pPr>
        <w:ind w:left="1180" w:hanging="90"/>
        <w:spacing w:after="0"/>
        <w:tabs>
          <w:tab w:leader="none" w:pos="1180" w:val="left"/>
        </w:tabs>
        <w:numPr>
          <w:ilvl w:val="0"/>
          <w:numId w:val="17"/>
        </w:numPr>
        <w:rPr>
          <w:rFonts w:ascii="Arial" w:cs="Arial" w:eastAsia="Arial" w:hAnsi="Arial"/>
          <w:sz w:val="13"/>
          <w:szCs w:val="13"/>
          <w:color w:val="auto"/>
        </w:rPr>
      </w:pPr>
      <w:r>
        <w:rPr>
          <w:rFonts w:ascii="Arial" w:cs="Arial" w:eastAsia="Arial" w:hAnsi="Arial"/>
          <w:sz w:val="13"/>
          <w:szCs w:val="13"/>
          <w:color w:val="auto"/>
        </w:rPr>
        <w:t>comments by securities analysts, or our failure to meet market expectations.</w:t>
      </w:r>
    </w:p>
    <w:p>
      <w:pPr>
        <w:spacing w:after="0" w:line="30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30" w:name="page31"/>
    <w:bookmarkEnd w:id="30"/>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680" w:right="60" w:firstLine="399"/>
        <w:spacing w:after="0" w:line="289" w:lineRule="auto"/>
        <w:rPr>
          <w:sz w:val="20"/>
          <w:szCs w:val="20"/>
          <w:color w:val="auto"/>
        </w:rPr>
      </w:pPr>
      <w:r>
        <w:rPr>
          <w:rFonts w:ascii="Arial" w:cs="Arial" w:eastAsia="Arial" w:hAnsi="Arial"/>
          <w:sz w:val="12"/>
          <w:szCs w:val="12"/>
          <w:color w:val="auto"/>
        </w:rPr>
        <w:t>In September 2005 the Nasdaq Stock Market approved our application to move the listing of our common stock from the Nasdaq Capital Market (previously known as the Nasdaq SmallCap Market) to the Nasdaq National Market. The stock began trading on the Nasdaq National Market on September 30, 2005 under the same symbol, STEM. Over the two-year period ended December 31, 2005, the closing price of our common stock as reported on the Nasdaq Markets ranged from a high of $6.77 to a low of $1.24. As a result of this volatility, your investment in our stock is subject to substantial risk. Furthermore, the volatility of our stock price could negatively impact our ability to raise capital in the future.</w:t>
      </w:r>
    </w:p>
    <w:p>
      <w:pPr>
        <w:spacing w:after="0" w:line="132"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We are contractually obligated to issue shares in the future, diluting the interest of current shareholders.</w:t>
      </w:r>
    </w:p>
    <w:p>
      <w:pPr>
        <w:spacing w:after="0" w:line="96" w:lineRule="exact"/>
        <w:rPr>
          <w:sz w:val="20"/>
          <w:szCs w:val="20"/>
          <w:color w:val="auto"/>
        </w:rPr>
      </w:pPr>
    </w:p>
    <w:p>
      <w:pPr>
        <w:ind w:left="680" w:right="80" w:firstLine="399"/>
        <w:spacing w:after="0" w:line="289" w:lineRule="auto"/>
        <w:rPr>
          <w:sz w:val="20"/>
          <w:szCs w:val="20"/>
          <w:color w:val="auto"/>
        </w:rPr>
      </w:pPr>
      <w:r>
        <w:rPr>
          <w:rFonts w:ascii="Arial" w:cs="Arial" w:eastAsia="Arial" w:hAnsi="Arial"/>
          <w:sz w:val="12"/>
          <w:szCs w:val="12"/>
          <w:color w:val="auto"/>
        </w:rPr>
        <w:t>As of December 31, 2005, there were outstanding warrants to purchase 2,521,400 shares of our common stock, at a weighted average exercise price of $1.92 per share. As of December 31, 2005, there were also outstanding options to purchase 6,608,109 shares of our common stock, at a weighted average exercise price of $3.02 per share. Moreover, we expect to issue additional options to purchase shares of our common stock to compensate employees, consultants and directors, and may issue additional shares to raise capital, to acquire other companies or technologies, to pay for services, or for other corporate purposes. Any such issuances will have the effect of diluting the interest of current shareholders.</w:t>
      </w:r>
    </w:p>
    <w:p>
      <w:pPr>
        <w:spacing w:after="0" w:line="128" w:lineRule="exact"/>
        <w:rPr>
          <w:sz w:val="20"/>
          <w:szCs w:val="20"/>
          <w:color w:val="auto"/>
        </w:rPr>
      </w:pPr>
    </w:p>
    <w:p>
      <w:pPr>
        <w:ind w:left="680"/>
        <w:spacing w:after="0"/>
        <w:tabs>
          <w:tab w:leader="none" w:pos="1760" w:val="left"/>
        </w:tabs>
        <w:rPr>
          <w:sz w:val="20"/>
          <w:szCs w:val="20"/>
          <w:color w:val="auto"/>
        </w:rPr>
      </w:pPr>
      <w:r>
        <w:rPr>
          <w:rFonts w:ascii="Arial" w:cs="Arial" w:eastAsia="Arial" w:hAnsi="Arial"/>
          <w:sz w:val="13"/>
          <w:szCs w:val="13"/>
          <w:b w:val="1"/>
          <w:bCs w:val="1"/>
          <w:color w:val="auto"/>
        </w:rPr>
        <w:t>ITEM 1B.</w:t>
      </w:r>
      <w:r>
        <w:rPr>
          <w:sz w:val="20"/>
          <w:szCs w:val="20"/>
          <w:color w:val="auto"/>
        </w:rPr>
        <w:tab/>
      </w:r>
      <w:r>
        <w:rPr>
          <w:rFonts w:ascii="Arial" w:cs="Arial" w:eastAsia="Arial" w:hAnsi="Arial"/>
          <w:sz w:val="12"/>
          <w:szCs w:val="12"/>
          <w:b w:val="1"/>
          <w:bCs w:val="1"/>
          <w:i w:val="1"/>
          <w:iCs w:val="1"/>
          <w:color w:val="auto"/>
        </w:rPr>
        <w:t>UNRESOLVED STAFF COMMENTS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None.</w:t>
      </w:r>
    </w:p>
    <w:p>
      <w:pPr>
        <w:spacing w:after="0" w:line="171"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ITEM 2.</w:t>
      </w:r>
      <w:r>
        <w:rPr>
          <w:sz w:val="20"/>
          <w:szCs w:val="20"/>
          <w:color w:val="auto"/>
        </w:rPr>
        <w:tab/>
      </w:r>
      <w:r>
        <w:rPr>
          <w:rFonts w:ascii="Arial" w:cs="Arial" w:eastAsia="Arial" w:hAnsi="Arial"/>
          <w:sz w:val="12"/>
          <w:szCs w:val="12"/>
          <w:b w:val="1"/>
          <w:bCs w:val="1"/>
          <w:i w:val="1"/>
          <w:iCs w:val="1"/>
          <w:color w:val="auto"/>
        </w:rPr>
        <w:t>PROPERTIES</w:t>
      </w:r>
    </w:p>
    <w:p>
      <w:pPr>
        <w:spacing w:after="0" w:line="100" w:lineRule="exact"/>
        <w:rPr>
          <w:sz w:val="20"/>
          <w:szCs w:val="20"/>
          <w:color w:val="auto"/>
        </w:rPr>
      </w:pPr>
    </w:p>
    <w:p>
      <w:pPr>
        <w:ind w:left="680" w:firstLine="399"/>
        <w:spacing w:after="0" w:line="258" w:lineRule="auto"/>
        <w:rPr>
          <w:sz w:val="20"/>
          <w:szCs w:val="20"/>
          <w:color w:val="auto"/>
        </w:rPr>
      </w:pPr>
      <w:r>
        <w:rPr>
          <w:rFonts w:ascii="Arial" w:cs="Arial" w:eastAsia="Arial" w:hAnsi="Arial"/>
          <w:sz w:val="13"/>
          <w:szCs w:val="13"/>
          <w:color w:val="auto"/>
        </w:rPr>
        <w:t>We entered into a 5-year lease, as of February 1, 2001, for a 40,000 square foot facility, located in the Stanford Research Park in Palo Alto, California. This facility includes space for animals as well as laboratories, offices, and a suite designed to be used to manufacture materials for clinical trials. Effective July 1, 2006, under an agreement that extends the lease through March 31, 2010, we take over the remainder of the building, adding approximately 27,500 square feet to our leased premises. The facility will better enable us to achieve our goal of utilizing genetically unmodified human stem cells for the treatment of disorders of the nervous system, liver, and pancreas. We have a space-sharing agreement with Stanford University for part of the animal facility not needed for our own use.</w:t>
      </w:r>
    </w:p>
    <w:p>
      <w:pPr>
        <w:spacing w:after="0" w:line="71" w:lineRule="exact"/>
        <w:rPr>
          <w:sz w:val="20"/>
          <w:szCs w:val="20"/>
          <w:color w:val="auto"/>
        </w:rPr>
      </w:pPr>
    </w:p>
    <w:p>
      <w:pPr>
        <w:ind w:left="680" w:right="120" w:firstLine="399"/>
        <w:spacing w:after="0" w:line="285" w:lineRule="auto"/>
        <w:rPr>
          <w:sz w:val="20"/>
          <w:szCs w:val="20"/>
          <w:color w:val="auto"/>
        </w:rPr>
      </w:pPr>
      <w:r>
        <w:rPr>
          <w:rFonts w:ascii="Arial" w:cs="Arial" w:eastAsia="Arial" w:hAnsi="Arial"/>
          <w:sz w:val="12"/>
          <w:szCs w:val="12"/>
          <w:color w:val="auto"/>
        </w:rPr>
        <w:t>We continue to lease the following facilities in Lincoln, Rhode Island obtained in connection with our former encapsulated cell technology: our former research laboratory and corporate headquarters building which contains 62,500 square feet of wet labs, specialty research areas and administrative offices held on a lease agreement that goes through June 2013, as well as a 21,000 square-foot pilot manufacturing facility and a 3,000 square-foot cell processing facility financed by bonds issued by the Rhode Island Industrial Facilities Corporation. We have subleased the 21,000 square-foot and the 3,000 square foot facilities. We have also subleased small portions of the 62,500 square foot facility, amounting to approximately ten percent for most of 2006. We are actively seeking to sublease, assign or sell our remaining interests in these properties.</w:t>
      </w:r>
    </w:p>
    <w:p>
      <w:pPr>
        <w:spacing w:after="0" w:line="130"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ITEM 3.</w:t>
      </w:r>
      <w:r>
        <w:rPr>
          <w:sz w:val="20"/>
          <w:szCs w:val="20"/>
          <w:color w:val="auto"/>
        </w:rPr>
        <w:tab/>
      </w:r>
      <w:r>
        <w:rPr>
          <w:rFonts w:ascii="Arial" w:cs="Arial" w:eastAsia="Arial" w:hAnsi="Arial"/>
          <w:sz w:val="12"/>
          <w:szCs w:val="12"/>
          <w:b w:val="1"/>
          <w:bCs w:val="1"/>
          <w:i w:val="1"/>
          <w:iCs w:val="1"/>
          <w:color w:val="auto"/>
        </w:rPr>
        <w:t>LEGAL PROCEEDINGS</w:t>
      </w:r>
    </w:p>
    <w:p>
      <w:pPr>
        <w:spacing w:after="0" w:line="100" w:lineRule="exact"/>
        <w:rPr>
          <w:sz w:val="20"/>
          <w:szCs w:val="20"/>
          <w:color w:val="auto"/>
        </w:rPr>
      </w:pPr>
    </w:p>
    <w:p>
      <w:pPr>
        <w:ind w:left="680" w:right="100" w:firstLine="399"/>
        <w:spacing w:after="0" w:line="289" w:lineRule="auto"/>
        <w:rPr>
          <w:sz w:val="20"/>
          <w:szCs w:val="20"/>
          <w:color w:val="auto"/>
        </w:rPr>
      </w:pPr>
      <w:r>
        <w:rPr>
          <w:rFonts w:ascii="Arial" w:cs="Arial" w:eastAsia="Arial" w:hAnsi="Arial"/>
          <w:sz w:val="12"/>
          <w:szCs w:val="12"/>
          <w:color w:val="auto"/>
        </w:rPr>
        <w:t>Geron Corporation has opposed two of our European patents that relate to neural stem cells and their uses. The oppositions were filed with the European Patent Office on December 11, 2003 (Patent No. EP-B-0594669) and February 13, 2004 (Patent No. EP-B-0669973). We filed responses to both oppositions on September 23, 2004. Geron alleged that each patent should be revoked on multiple grounds. Both oppositions were heard in 2005, and the patents were maintained in somewhat altered form by the Opposition Division of the European Patent Office. The written opinions have not yet issued; the time for appeal begins to run in each case when the Opposition Division opinion issues.</w:t>
      </w:r>
    </w:p>
    <w:p>
      <w:pPr>
        <w:spacing w:after="0" w:line="128"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ITEM 4.</w:t>
      </w:r>
      <w:r>
        <w:rPr>
          <w:sz w:val="20"/>
          <w:szCs w:val="20"/>
          <w:color w:val="auto"/>
        </w:rPr>
        <w:tab/>
      </w:r>
      <w:r>
        <w:rPr>
          <w:rFonts w:ascii="Arial" w:cs="Arial" w:eastAsia="Arial" w:hAnsi="Arial"/>
          <w:sz w:val="12"/>
          <w:szCs w:val="12"/>
          <w:b w:val="1"/>
          <w:bCs w:val="1"/>
          <w:i w:val="1"/>
          <w:iCs w:val="1"/>
          <w:color w:val="auto"/>
        </w:rPr>
        <w:t>SUBMISSION OF MATTERS TO A VOTE OF SECURITY HOLDERS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None.</w:t>
      </w:r>
    </w:p>
    <w:p>
      <w:pPr>
        <w:spacing w:after="0" w:line="30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31" w:name="page32"/>
    <w:bookmarkEnd w:id="3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ind w:left="5440"/>
        <w:spacing w:after="0"/>
        <w:rPr>
          <w:sz w:val="20"/>
          <w:szCs w:val="20"/>
          <w:color w:val="auto"/>
        </w:rPr>
      </w:pPr>
      <w:r>
        <w:rPr>
          <w:rFonts w:ascii="Arial" w:cs="Arial" w:eastAsia="Arial" w:hAnsi="Arial"/>
          <w:sz w:val="13"/>
          <w:szCs w:val="13"/>
          <w:b w:val="1"/>
          <w:bCs w:val="1"/>
          <w:color w:val="auto"/>
        </w:rPr>
        <w:t>PART II</w:t>
      </w:r>
    </w:p>
    <w:p>
      <w:pPr>
        <w:spacing w:after="0" w:line="175"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ITEM 5.</w:t>
      </w:r>
      <w:r>
        <w:rPr>
          <w:sz w:val="20"/>
          <w:szCs w:val="20"/>
          <w:color w:val="auto"/>
        </w:rPr>
        <w:tab/>
      </w:r>
      <w:r>
        <w:rPr>
          <w:rFonts w:ascii="Arial" w:cs="Arial" w:eastAsia="Arial" w:hAnsi="Arial"/>
          <w:sz w:val="12"/>
          <w:szCs w:val="12"/>
          <w:b w:val="1"/>
          <w:bCs w:val="1"/>
          <w:i w:val="1"/>
          <w:iCs w:val="1"/>
          <w:color w:val="auto"/>
        </w:rPr>
        <w:t>MARKET FOR REGISTRANT’S COMMON EQUITY, RELATED STOCKHOLDER MATTERS AND ISSUER PURCHASES OF EQUITY SECURITIES</w:t>
      </w:r>
    </w:p>
    <w:p>
      <w:pPr>
        <w:spacing w:after="0" w:line="96" w:lineRule="exact"/>
        <w:rPr>
          <w:sz w:val="20"/>
          <w:szCs w:val="20"/>
          <w:color w:val="auto"/>
        </w:rPr>
      </w:pPr>
    </w:p>
    <w:p>
      <w:pPr>
        <w:ind w:left="1080" w:hanging="393"/>
        <w:spacing w:after="0"/>
        <w:tabs>
          <w:tab w:leader="none" w:pos="1080" w:val="left"/>
        </w:tabs>
        <w:numPr>
          <w:ilvl w:val="0"/>
          <w:numId w:val="18"/>
        </w:numPr>
        <w:rPr>
          <w:rFonts w:ascii="Arial" w:cs="Arial" w:eastAsia="Arial" w:hAnsi="Arial"/>
          <w:sz w:val="13"/>
          <w:szCs w:val="13"/>
          <w:b w:val="1"/>
          <w:bCs w:val="1"/>
          <w:color w:val="auto"/>
        </w:rPr>
      </w:pPr>
      <w:r>
        <w:rPr>
          <w:rFonts w:ascii="Arial" w:cs="Arial" w:eastAsia="Arial" w:hAnsi="Arial"/>
          <w:sz w:val="13"/>
          <w:szCs w:val="13"/>
          <w:b w:val="1"/>
          <w:bCs w:val="1"/>
          <w:color w:val="auto"/>
        </w:rPr>
        <w:t>Market Price and dividend information</w:t>
      </w:r>
    </w:p>
    <w:p>
      <w:pPr>
        <w:spacing w:after="0" w:line="100" w:lineRule="exact"/>
        <w:rPr>
          <w:sz w:val="20"/>
          <w:szCs w:val="20"/>
          <w:color w:val="auto"/>
        </w:rPr>
      </w:pPr>
    </w:p>
    <w:p>
      <w:pPr>
        <w:jc w:val="both"/>
        <w:ind w:left="680" w:right="160" w:firstLine="399"/>
        <w:spacing w:after="0" w:line="264" w:lineRule="auto"/>
        <w:rPr>
          <w:sz w:val="20"/>
          <w:szCs w:val="20"/>
          <w:color w:val="auto"/>
        </w:rPr>
      </w:pPr>
      <w:r>
        <w:rPr>
          <w:rFonts w:ascii="Arial" w:cs="Arial" w:eastAsia="Arial" w:hAnsi="Arial"/>
          <w:sz w:val="13"/>
          <w:szCs w:val="13"/>
          <w:color w:val="auto"/>
        </w:rPr>
        <w:t>In September 2005 the Nasdaq Stock Market approved our application to move the listing of our common stock from the Nasdaq Capital Market (previously known as the Nasdaq SmallCap Market) to the Nasdaq National Market. The stock began trading on the Nasdaq National Market on September 30, 2005 under the same symbol, STEM. The quarterly ranges of high and low bid prices for the last two fiscal years as reported by NASDAQ are shown below:</w:t>
      </w:r>
    </w:p>
    <w:p>
      <w:pPr>
        <w:spacing w:after="0" w:line="69"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8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gridSpan w:val="2"/>
          </w:tcPr>
          <w:p>
            <w:pPr>
              <w:jc w:val="right"/>
              <w:ind w:right="500"/>
              <w:spacing w:after="0"/>
              <w:rPr>
                <w:sz w:val="20"/>
                <w:szCs w:val="20"/>
                <w:color w:val="auto"/>
              </w:rPr>
            </w:pPr>
            <w:r>
              <w:rPr>
                <w:rFonts w:ascii="Arial" w:cs="Arial" w:eastAsia="Arial" w:hAnsi="Arial"/>
                <w:sz w:val="10"/>
                <w:szCs w:val="10"/>
                <w:b w:val="1"/>
                <w:bCs w:val="1"/>
                <w:color w:val="auto"/>
                <w:w w:val="89"/>
              </w:rPr>
              <w:t>High</w:t>
            </w:r>
          </w:p>
        </w:tc>
        <w:tc>
          <w:tcPr>
            <w:tcW w:w="80" w:type="dxa"/>
            <w:vAlign w:val="bottom"/>
          </w:tcPr>
          <w:p>
            <w:pPr>
              <w:spacing w:after="0"/>
              <w:rPr>
                <w:sz w:val="10"/>
                <w:szCs w:val="10"/>
                <w:color w:val="auto"/>
              </w:rPr>
            </w:pPr>
          </w:p>
        </w:tc>
        <w:tc>
          <w:tcPr>
            <w:tcW w:w="400" w:type="dxa"/>
            <w:vAlign w:val="bottom"/>
            <w:gridSpan w:val="2"/>
          </w:tcPr>
          <w:p>
            <w:pPr>
              <w:jc w:val="right"/>
              <w:ind w:right="200"/>
              <w:spacing w:after="0"/>
              <w:rPr>
                <w:sz w:val="20"/>
                <w:szCs w:val="20"/>
                <w:color w:val="auto"/>
              </w:rPr>
            </w:pPr>
            <w:r>
              <w:rPr>
                <w:rFonts w:ascii="Arial" w:cs="Arial" w:eastAsia="Arial" w:hAnsi="Arial"/>
                <w:sz w:val="10"/>
                <w:szCs w:val="10"/>
                <w:b w:val="1"/>
                <w:bCs w:val="1"/>
                <w:color w:val="auto"/>
                <w:w w:val="89"/>
              </w:rPr>
              <w:t>Low</w:t>
            </w:r>
          </w:p>
        </w:tc>
      </w:tr>
      <w:tr>
        <w:trPr>
          <w:trHeight w:val="29"/>
        </w:trPr>
        <w:tc>
          <w:tcPr>
            <w:tcW w:w="87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32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157"/>
        </w:trPr>
        <w:tc>
          <w:tcPr>
            <w:tcW w:w="87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2005</w:t>
            </w: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57"/>
        </w:trPr>
        <w:tc>
          <w:tcPr>
            <w:tcW w:w="8700" w:type="dxa"/>
            <w:vAlign w:val="bottom"/>
          </w:tcPr>
          <w:p>
            <w:pPr>
              <w:spacing w:after="0"/>
              <w:rPr>
                <w:sz w:val="20"/>
                <w:szCs w:val="20"/>
                <w:color w:val="auto"/>
              </w:rPr>
            </w:pPr>
            <w:r>
              <w:rPr>
                <w:rFonts w:ascii="Arial" w:cs="Arial" w:eastAsia="Arial" w:hAnsi="Arial"/>
                <w:sz w:val="13"/>
                <w:szCs w:val="13"/>
                <w:color w:val="auto"/>
              </w:rPr>
              <w:t>First Quarter</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gridSpan w:val="2"/>
          </w:tcPr>
          <w:p>
            <w:pPr>
              <w:jc w:val="right"/>
              <w:ind w:right="400"/>
              <w:spacing w:after="0"/>
              <w:rPr>
                <w:sz w:val="20"/>
                <w:szCs w:val="20"/>
                <w:color w:val="auto"/>
              </w:rPr>
            </w:pPr>
            <w:r>
              <w:rPr>
                <w:rFonts w:ascii="Arial" w:cs="Arial" w:eastAsia="Arial" w:hAnsi="Arial"/>
                <w:sz w:val="13"/>
                <w:szCs w:val="13"/>
                <w:color w:val="auto"/>
              </w:rPr>
              <w:t>6.76</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gridSpan w:val="2"/>
          </w:tcPr>
          <w:p>
            <w:pPr>
              <w:jc w:val="right"/>
              <w:ind w:right="100"/>
              <w:spacing w:after="0"/>
              <w:rPr>
                <w:sz w:val="20"/>
                <w:szCs w:val="20"/>
                <w:color w:val="auto"/>
              </w:rPr>
            </w:pPr>
            <w:r>
              <w:rPr>
                <w:rFonts w:ascii="Arial" w:cs="Arial" w:eastAsia="Arial" w:hAnsi="Arial"/>
                <w:sz w:val="13"/>
                <w:szCs w:val="13"/>
                <w:color w:val="auto"/>
              </w:rPr>
              <w:t>3.00</w:t>
            </w:r>
          </w:p>
        </w:tc>
      </w:tr>
      <w:tr>
        <w:trPr>
          <w:trHeight w:val="157"/>
        </w:trPr>
        <w:tc>
          <w:tcPr>
            <w:tcW w:w="8700" w:type="dxa"/>
            <w:vAlign w:val="bottom"/>
            <w:shd w:val="clear" w:color="auto" w:fill="CCEEFF"/>
          </w:tcPr>
          <w:p>
            <w:pPr>
              <w:spacing w:after="0"/>
              <w:rPr>
                <w:sz w:val="20"/>
                <w:szCs w:val="20"/>
                <w:color w:val="auto"/>
              </w:rPr>
            </w:pPr>
            <w:r>
              <w:rPr>
                <w:rFonts w:ascii="Arial" w:cs="Arial" w:eastAsia="Arial" w:hAnsi="Arial"/>
                <w:sz w:val="13"/>
                <w:szCs w:val="13"/>
                <w:color w:val="auto"/>
              </w:rPr>
              <w:t>Second Quarter</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4.60</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2.58</w:t>
            </w:r>
          </w:p>
        </w:tc>
      </w:tr>
      <w:tr>
        <w:trPr>
          <w:trHeight w:val="157"/>
        </w:trPr>
        <w:tc>
          <w:tcPr>
            <w:tcW w:w="8700" w:type="dxa"/>
            <w:vAlign w:val="bottom"/>
          </w:tcPr>
          <w:p>
            <w:pPr>
              <w:spacing w:after="0"/>
              <w:rPr>
                <w:sz w:val="20"/>
                <w:szCs w:val="20"/>
                <w:color w:val="auto"/>
              </w:rPr>
            </w:pPr>
            <w:r>
              <w:rPr>
                <w:rFonts w:ascii="Arial" w:cs="Arial" w:eastAsia="Arial" w:hAnsi="Arial"/>
                <w:sz w:val="13"/>
                <w:szCs w:val="13"/>
                <w:color w:val="auto"/>
              </w:rPr>
              <w:t>Third Quarter</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gridSpan w:val="2"/>
          </w:tcPr>
          <w:p>
            <w:pPr>
              <w:jc w:val="right"/>
              <w:ind w:right="400"/>
              <w:spacing w:after="0"/>
              <w:rPr>
                <w:sz w:val="20"/>
                <w:szCs w:val="20"/>
                <w:color w:val="auto"/>
              </w:rPr>
            </w:pPr>
            <w:r>
              <w:rPr>
                <w:rFonts w:ascii="Arial" w:cs="Arial" w:eastAsia="Arial" w:hAnsi="Arial"/>
                <w:sz w:val="13"/>
                <w:szCs w:val="13"/>
                <w:color w:val="auto"/>
              </w:rPr>
              <w:t>6.57</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gridSpan w:val="2"/>
          </w:tcPr>
          <w:p>
            <w:pPr>
              <w:jc w:val="right"/>
              <w:ind w:right="100"/>
              <w:spacing w:after="0"/>
              <w:rPr>
                <w:sz w:val="20"/>
                <w:szCs w:val="20"/>
                <w:color w:val="auto"/>
              </w:rPr>
            </w:pPr>
            <w:r>
              <w:rPr>
                <w:rFonts w:ascii="Arial" w:cs="Arial" w:eastAsia="Arial" w:hAnsi="Arial"/>
                <w:sz w:val="13"/>
                <w:szCs w:val="13"/>
                <w:color w:val="auto"/>
              </w:rPr>
              <w:t>4.19</w:t>
            </w:r>
          </w:p>
        </w:tc>
      </w:tr>
      <w:tr>
        <w:trPr>
          <w:trHeight w:val="157"/>
        </w:trPr>
        <w:tc>
          <w:tcPr>
            <w:tcW w:w="8700" w:type="dxa"/>
            <w:vAlign w:val="bottom"/>
            <w:shd w:val="clear" w:color="auto" w:fill="CCEEFF"/>
          </w:tcPr>
          <w:p>
            <w:pPr>
              <w:spacing w:after="0"/>
              <w:rPr>
                <w:sz w:val="20"/>
                <w:szCs w:val="20"/>
                <w:color w:val="auto"/>
              </w:rPr>
            </w:pPr>
            <w:r>
              <w:rPr>
                <w:rFonts w:ascii="Arial" w:cs="Arial" w:eastAsia="Arial" w:hAnsi="Arial"/>
                <w:sz w:val="13"/>
                <w:szCs w:val="13"/>
                <w:color w:val="auto"/>
              </w:rPr>
              <w:t>Fourth Quarter</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5.53</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3.40</w:t>
            </w:r>
          </w:p>
        </w:tc>
      </w:tr>
      <w:tr>
        <w:trPr>
          <w:trHeight w:val="157"/>
        </w:trPr>
        <w:tc>
          <w:tcPr>
            <w:tcW w:w="8700" w:type="dxa"/>
            <w:vAlign w:val="bottom"/>
          </w:tcPr>
          <w:p>
            <w:pPr>
              <w:spacing w:after="0"/>
              <w:rPr>
                <w:sz w:val="20"/>
                <w:szCs w:val="20"/>
                <w:color w:val="auto"/>
              </w:rPr>
            </w:pPr>
            <w:r>
              <w:rPr>
                <w:rFonts w:ascii="Arial" w:cs="Arial" w:eastAsia="Arial" w:hAnsi="Arial"/>
                <w:sz w:val="13"/>
                <w:szCs w:val="13"/>
                <w:b w:val="1"/>
                <w:bCs w:val="1"/>
                <w:color w:val="auto"/>
              </w:rPr>
              <w:t>2004</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57"/>
        </w:trPr>
        <w:tc>
          <w:tcPr>
            <w:tcW w:w="8700" w:type="dxa"/>
            <w:vAlign w:val="bottom"/>
            <w:shd w:val="clear" w:color="auto" w:fill="CCEEFF"/>
          </w:tcPr>
          <w:p>
            <w:pPr>
              <w:spacing w:after="0"/>
              <w:rPr>
                <w:sz w:val="20"/>
                <w:szCs w:val="20"/>
                <w:color w:val="auto"/>
              </w:rPr>
            </w:pPr>
            <w:r>
              <w:rPr>
                <w:rFonts w:ascii="Arial" w:cs="Arial" w:eastAsia="Arial" w:hAnsi="Arial"/>
                <w:sz w:val="13"/>
                <w:szCs w:val="13"/>
                <w:color w:val="auto"/>
              </w:rPr>
              <w:t>First Quarter</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2.69</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1.56</w:t>
            </w:r>
          </w:p>
        </w:tc>
      </w:tr>
      <w:tr>
        <w:trPr>
          <w:trHeight w:val="157"/>
        </w:trPr>
        <w:tc>
          <w:tcPr>
            <w:tcW w:w="8700" w:type="dxa"/>
            <w:vAlign w:val="bottom"/>
          </w:tcPr>
          <w:p>
            <w:pPr>
              <w:spacing w:after="0"/>
              <w:rPr>
                <w:sz w:val="20"/>
                <w:szCs w:val="20"/>
                <w:color w:val="auto"/>
              </w:rPr>
            </w:pPr>
            <w:r>
              <w:rPr>
                <w:rFonts w:ascii="Arial" w:cs="Arial" w:eastAsia="Arial" w:hAnsi="Arial"/>
                <w:sz w:val="13"/>
                <w:szCs w:val="13"/>
                <w:color w:val="auto"/>
              </w:rPr>
              <w:t>Second Quarter</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gridSpan w:val="2"/>
          </w:tcPr>
          <w:p>
            <w:pPr>
              <w:jc w:val="right"/>
              <w:ind w:right="400"/>
              <w:spacing w:after="0"/>
              <w:rPr>
                <w:sz w:val="20"/>
                <w:szCs w:val="20"/>
                <w:color w:val="auto"/>
              </w:rPr>
            </w:pPr>
            <w:r>
              <w:rPr>
                <w:rFonts w:ascii="Arial" w:cs="Arial" w:eastAsia="Arial" w:hAnsi="Arial"/>
                <w:sz w:val="13"/>
                <w:szCs w:val="13"/>
                <w:color w:val="auto"/>
              </w:rPr>
              <w:t>2.19</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gridSpan w:val="2"/>
          </w:tcPr>
          <w:p>
            <w:pPr>
              <w:jc w:val="right"/>
              <w:ind w:right="100"/>
              <w:spacing w:after="0"/>
              <w:rPr>
                <w:sz w:val="20"/>
                <w:szCs w:val="20"/>
                <w:color w:val="auto"/>
              </w:rPr>
            </w:pPr>
            <w:r>
              <w:rPr>
                <w:rFonts w:ascii="Arial" w:cs="Arial" w:eastAsia="Arial" w:hAnsi="Arial"/>
                <w:sz w:val="13"/>
                <w:szCs w:val="13"/>
                <w:color w:val="auto"/>
              </w:rPr>
              <w:t>1.30</w:t>
            </w:r>
          </w:p>
        </w:tc>
      </w:tr>
      <w:tr>
        <w:trPr>
          <w:trHeight w:val="157"/>
        </w:trPr>
        <w:tc>
          <w:tcPr>
            <w:tcW w:w="8700" w:type="dxa"/>
            <w:vAlign w:val="bottom"/>
            <w:shd w:val="clear" w:color="auto" w:fill="CCEEFF"/>
          </w:tcPr>
          <w:p>
            <w:pPr>
              <w:spacing w:after="0"/>
              <w:rPr>
                <w:sz w:val="20"/>
                <w:szCs w:val="20"/>
                <w:color w:val="auto"/>
              </w:rPr>
            </w:pPr>
            <w:r>
              <w:rPr>
                <w:rFonts w:ascii="Arial" w:cs="Arial" w:eastAsia="Arial" w:hAnsi="Arial"/>
                <w:sz w:val="13"/>
                <w:szCs w:val="13"/>
                <w:color w:val="auto"/>
              </w:rPr>
              <w:t>Third Quarter</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1.82</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1.25</w:t>
            </w:r>
          </w:p>
        </w:tc>
      </w:tr>
      <w:tr>
        <w:trPr>
          <w:trHeight w:val="165"/>
        </w:trPr>
        <w:tc>
          <w:tcPr>
            <w:tcW w:w="8700" w:type="dxa"/>
            <w:vAlign w:val="bottom"/>
          </w:tcPr>
          <w:p>
            <w:pPr>
              <w:spacing w:after="0"/>
              <w:rPr>
                <w:sz w:val="20"/>
                <w:szCs w:val="20"/>
                <w:color w:val="auto"/>
              </w:rPr>
            </w:pPr>
            <w:r>
              <w:rPr>
                <w:rFonts w:ascii="Arial" w:cs="Arial" w:eastAsia="Arial" w:hAnsi="Arial"/>
                <w:sz w:val="13"/>
                <w:szCs w:val="13"/>
                <w:color w:val="auto"/>
              </w:rPr>
              <w:t>Fourth Quarter</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gridSpan w:val="2"/>
          </w:tcPr>
          <w:p>
            <w:pPr>
              <w:jc w:val="right"/>
              <w:ind w:right="400"/>
              <w:spacing w:after="0"/>
              <w:rPr>
                <w:sz w:val="20"/>
                <w:szCs w:val="20"/>
                <w:color w:val="auto"/>
              </w:rPr>
            </w:pPr>
            <w:r>
              <w:rPr>
                <w:rFonts w:ascii="Arial" w:cs="Arial" w:eastAsia="Arial" w:hAnsi="Arial"/>
                <w:sz w:val="13"/>
                <w:szCs w:val="13"/>
                <w:color w:val="auto"/>
              </w:rPr>
              <w:t>4.85</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gridSpan w:val="2"/>
          </w:tcPr>
          <w:p>
            <w:pPr>
              <w:jc w:val="right"/>
              <w:ind w:right="100"/>
              <w:spacing w:after="0"/>
              <w:rPr>
                <w:sz w:val="20"/>
                <w:szCs w:val="20"/>
                <w:color w:val="auto"/>
              </w:rPr>
            </w:pPr>
            <w:r>
              <w:rPr>
                <w:rFonts w:ascii="Arial" w:cs="Arial" w:eastAsia="Arial" w:hAnsi="Arial"/>
                <w:sz w:val="13"/>
                <w:szCs w:val="13"/>
                <w:color w:val="auto"/>
              </w:rPr>
              <w:t>1.52</w:t>
            </w:r>
          </w:p>
        </w:tc>
      </w:tr>
    </w:tbl>
    <w:p>
      <w:pPr>
        <w:spacing w:after="0" w:line="72"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No cash dividends have been declared on our common stock since our inception.</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(b) Approximate Number of Holders of Common Stock</w:t>
      </w:r>
    </w:p>
    <w:p>
      <w:pPr>
        <w:spacing w:after="0" w:line="96" w:lineRule="exact"/>
        <w:rPr>
          <w:sz w:val="20"/>
          <w:szCs w:val="20"/>
          <w:color w:val="auto"/>
        </w:rPr>
      </w:pPr>
    </w:p>
    <w:p>
      <w:pPr>
        <w:jc w:val="both"/>
        <w:ind w:left="680" w:right="20" w:firstLine="399"/>
        <w:spacing w:after="0" w:line="276" w:lineRule="auto"/>
        <w:rPr>
          <w:sz w:val="20"/>
          <w:szCs w:val="20"/>
          <w:color w:val="auto"/>
        </w:rPr>
      </w:pPr>
      <w:r>
        <w:rPr>
          <w:rFonts w:ascii="Arial" w:cs="Arial" w:eastAsia="Arial" w:hAnsi="Arial"/>
          <w:sz w:val="13"/>
          <w:szCs w:val="13"/>
          <w:color w:val="auto"/>
        </w:rPr>
        <w:t>As of March 2, 2006, there were approximately 565 holders of record of the common stock, and as of the same date the closing price per share of our common stock on the NASDAQ National Market was $3.60.</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(c) Recent Sale of Unregistered Securities</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We issued the following unregistered securities in 2003:</w:t>
      </w:r>
    </w:p>
    <w:p>
      <w:pPr>
        <w:spacing w:after="0" w:line="96" w:lineRule="exact"/>
        <w:rPr>
          <w:sz w:val="20"/>
          <w:szCs w:val="20"/>
          <w:color w:val="auto"/>
        </w:rPr>
      </w:pPr>
    </w:p>
    <w:p>
      <w:pPr>
        <w:ind w:left="1180" w:right="120" w:hanging="90"/>
        <w:spacing w:after="0" w:line="264" w:lineRule="auto"/>
        <w:tabs>
          <w:tab w:leader="none" w:pos="1180" w:val="left"/>
        </w:tabs>
        <w:numPr>
          <w:ilvl w:val="0"/>
          <w:numId w:val="19"/>
        </w:numPr>
        <w:rPr>
          <w:rFonts w:ascii="Arial" w:cs="Arial" w:eastAsia="Arial" w:hAnsi="Arial"/>
          <w:sz w:val="13"/>
          <w:szCs w:val="13"/>
          <w:color w:val="auto"/>
        </w:rPr>
      </w:pPr>
      <w:r>
        <w:rPr>
          <w:rFonts w:ascii="Arial" w:cs="Arial" w:eastAsia="Arial" w:hAnsi="Arial"/>
          <w:sz w:val="13"/>
          <w:szCs w:val="13"/>
          <w:color w:val="auto"/>
        </w:rPr>
        <w:t>By agreement with one of our outside providers of legal services, a part of the fees incurred were paid in authorized, unregistered stock of the Company, issued pursuant to the exemption from registration provided by Section 4(2) of the Securities Act of 1933, as amended. In 2003, we issued 80,940 shares with a fair market value of $125,499 under that agreement. The agreement has been changed to provide that the payments be made in registered stock.</w:t>
      </w:r>
    </w:p>
    <w:p>
      <w:pPr>
        <w:spacing w:after="0" w:line="67"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We issued the following unregistered securities in 2004:</w:t>
      </w:r>
    </w:p>
    <w:p>
      <w:pPr>
        <w:spacing w:after="0" w:line="96" w:lineRule="exact"/>
        <w:rPr>
          <w:sz w:val="20"/>
          <w:szCs w:val="20"/>
          <w:color w:val="auto"/>
        </w:rPr>
      </w:pPr>
    </w:p>
    <w:p>
      <w:pPr>
        <w:jc w:val="both"/>
        <w:ind w:left="1180" w:right="160" w:hanging="90"/>
        <w:spacing w:after="0" w:line="264" w:lineRule="auto"/>
        <w:tabs>
          <w:tab w:leader="none" w:pos="1180" w:val="left"/>
        </w:tabs>
        <w:numPr>
          <w:ilvl w:val="0"/>
          <w:numId w:val="20"/>
        </w:numPr>
        <w:rPr>
          <w:rFonts w:ascii="Arial" w:cs="Arial" w:eastAsia="Arial" w:hAnsi="Arial"/>
          <w:sz w:val="13"/>
          <w:szCs w:val="13"/>
          <w:color w:val="auto"/>
        </w:rPr>
      </w:pPr>
      <w:r>
        <w:rPr>
          <w:rFonts w:ascii="Arial" w:cs="Arial" w:eastAsia="Arial" w:hAnsi="Arial"/>
          <w:sz w:val="13"/>
          <w:szCs w:val="13"/>
          <w:color w:val="auto"/>
        </w:rPr>
        <w:t>In August 2004, StemCells issued 9,535 shares of common stock to the California Institute of Technology (Cal Tech) as payment for fees of $10,000 and $5,000 that were due on the issuance of two patents to which StemCells holds a license from Cal Tech that were payable in cash or stock at the Company’s option. The shares were issued in a transaction not involving any public offering pursuant to Section 4(2) of the Securities Act of 1933, as amended.</w:t>
      </w:r>
    </w:p>
    <w:p>
      <w:pPr>
        <w:spacing w:after="0" w:line="57" w:lineRule="exact"/>
        <w:rPr>
          <w:rFonts w:ascii="Arial" w:cs="Arial" w:eastAsia="Arial" w:hAnsi="Arial"/>
          <w:sz w:val="13"/>
          <w:szCs w:val="13"/>
          <w:color w:val="auto"/>
        </w:rPr>
      </w:pPr>
    </w:p>
    <w:p>
      <w:pPr>
        <w:ind w:left="1180" w:right="280" w:hanging="90"/>
        <w:spacing w:after="0" w:line="264" w:lineRule="auto"/>
        <w:tabs>
          <w:tab w:leader="none" w:pos="1180" w:val="left"/>
        </w:tabs>
        <w:numPr>
          <w:ilvl w:val="0"/>
          <w:numId w:val="20"/>
        </w:numPr>
        <w:rPr>
          <w:rFonts w:ascii="Arial" w:cs="Arial" w:eastAsia="Arial" w:hAnsi="Arial"/>
          <w:sz w:val="13"/>
          <w:szCs w:val="13"/>
          <w:color w:val="auto"/>
        </w:rPr>
      </w:pPr>
      <w:r>
        <w:rPr>
          <w:rFonts w:ascii="Arial" w:cs="Arial" w:eastAsia="Arial" w:hAnsi="Arial"/>
          <w:sz w:val="13"/>
          <w:szCs w:val="13"/>
          <w:color w:val="auto"/>
        </w:rPr>
        <w:t>In December 2004, StemCells issued 1,816 shares of common stock to inventors of a technology as part payment for approximately $2,800 of the total option fee of $25,000 to acquire an exclusive license to the technology from the Board of Trustees of The Leland Stanford Junior University. The shares were issued in a transaction not involving any public offering pursuant to Section 4(2) of the Securities Act of 1933, as amended.</w:t>
      </w:r>
    </w:p>
    <w:p>
      <w:pPr>
        <w:spacing w:after="0" w:line="67"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No unregistered securities were issued in 2005.</w:t>
      </w:r>
    </w:p>
    <w:p>
      <w:pPr>
        <w:spacing w:after="0" w:line="30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32" w:name="page33"/>
    <w:bookmarkEnd w:id="32"/>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Equity Compensation Plan Information</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table provides certain information with respect to all our equity compensation plans in effect as of December 31, 2005.</w:t>
      </w:r>
    </w:p>
    <w:p>
      <w:pPr>
        <w:spacing w:after="0" w:line="171" w:lineRule="exact"/>
        <w:rPr>
          <w:sz w:val="20"/>
          <w:szCs w:val="20"/>
          <w:color w:val="auto"/>
        </w:rPr>
      </w:pPr>
    </w:p>
    <w:p>
      <w:pPr>
        <w:ind w:left="4560"/>
        <w:spacing w:after="0"/>
        <w:rPr>
          <w:sz w:val="20"/>
          <w:szCs w:val="20"/>
          <w:color w:val="auto"/>
        </w:rPr>
      </w:pPr>
      <w:r>
        <w:rPr>
          <w:rFonts w:ascii="Arial" w:cs="Arial" w:eastAsia="Arial" w:hAnsi="Arial"/>
          <w:sz w:val="13"/>
          <w:szCs w:val="13"/>
          <w:b w:val="1"/>
          <w:bCs w:val="1"/>
          <w:color w:val="auto"/>
        </w:rPr>
        <w:t>Equity Compensation Plan Information</w:t>
      </w:r>
    </w:p>
    <w:p>
      <w:pPr>
        <w:spacing w:after="0" w:line="95"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1300" w:type="dxa"/>
            <w:vAlign w:val="bottom"/>
          </w:tcPr>
          <w:p>
            <w:pPr>
              <w:spacing w:after="0"/>
              <w:rPr>
                <w:sz w:val="10"/>
                <w:szCs w:val="10"/>
                <w:color w:val="auto"/>
              </w:rPr>
            </w:pPr>
          </w:p>
        </w:tc>
        <w:tc>
          <w:tcPr>
            <w:tcW w:w="2360" w:type="dxa"/>
            <w:vAlign w:val="bottom"/>
          </w:tcPr>
          <w:p>
            <w:pPr>
              <w:spacing w:after="0"/>
              <w:rPr>
                <w:sz w:val="10"/>
                <w:szCs w:val="10"/>
                <w:color w:val="auto"/>
              </w:rPr>
            </w:pPr>
          </w:p>
        </w:tc>
        <w:tc>
          <w:tcPr>
            <w:tcW w:w="2040" w:type="dxa"/>
            <w:vAlign w:val="bottom"/>
            <w:gridSpan w:val="2"/>
            <w:vMerge w:val="restart"/>
          </w:tcPr>
          <w:p>
            <w:pPr>
              <w:jc w:val="center"/>
              <w:ind w:right="440"/>
              <w:spacing w:after="0"/>
              <w:rPr>
                <w:sz w:val="20"/>
                <w:szCs w:val="20"/>
                <w:color w:val="auto"/>
              </w:rPr>
            </w:pPr>
            <w:r>
              <w:rPr>
                <w:rFonts w:ascii="Arial" w:cs="Arial" w:eastAsia="Arial" w:hAnsi="Arial"/>
                <w:sz w:val="10"/>
                <w:szCs w:val="10"/>
                <w:b w:val="1"/>
                <w:bCs w:val="1"/>
                <w:color w:val="auto"/>
                <w:w w:val="95"/>
              </w:rPr>
              <w:t>Number of Securities</w:t>
            </w:r>
          </w:p>
        </w:tc>
        <w:tc>
          <w:tcPr>
            <w:tcW w:w="20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28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w w:val="93"/>
              </w:rPr>
              <w:t>Number of Securities</w:t>
            </w:r>
          </w:p>
        </w:tc>
        <w:tc>
          <w:tcPr>
            <w:tcW w:w="0" w:type="dxa"/>
            <w:vAlign w:val="bottom"/>
          </w:tcPr>
          <w:p>
            <w:pPr>
              <w:spacing w:after="0"/>
              <w:rPr>
                <w:sz w:val="1"/>
                <w:szCs w:val="1"/>
                <w:color w:val="auto"/>
              </w:rPr>
            </w:pPr>
          </w:p>
        </w:tc>
      </w:tr>
      <w:tr>
        <w:trPr>
          <w:trHeight w:val="108"/>
        </w:trPr>
        <w:tc>
          <w:tcPr>
            <w:tcW w:w="1300" w:type="dxa"/>
            <w:vAlign w:val="bottom"/>
          </w:tcPr>
          <w:p>
            <w:pPr>
              <w:spacing w:after="0"/>
              <w:rPr>
                <w:sz w:val="9"/>
                <w:szCs w:val="9"/>
                <w:color w:val="auto"/>
              </w:rPr>
            </w:pPr>
          </w:p>
        </w:tc>
        <w:tc>
          <w:tcPr>
            <w:tcW w:w="2360" w:type="dxa"/>
            <w:vAlign w:val="bottom"/>
          </w:tcPr>
          <w:p>
            <w:pPr>
              <w:spacing w:after="0"/>
              <w:rPr>
                <w:sz w:val="9"/>
                <w:szCs w:val="9"/>
                <w:color w:val="auto"/>
              </w:rPr>
            </w:pPr>
          </w:p>
        </w:tc>
        <w:tc>
          <w:tcPr>
            <w:tcW w:w="204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1800" w:type="dxa"/>
            <w:vAlign w:val="bottom"/>
            <w:gridSpan w:val="2"/>
            <w:vMerge w:val="restart"/>
          </w:tcPr>
          <w:p>
            <w:pPr>
              <w:jc w:val="center"/>
              <w:ind w:right="600"/>
              <w:spacing w:after="0"/>
              <w:rPr>
                <w:sz w:val="20"/>
                <w:szCs w:val="20"/>
                <w:color w:val="auto"/>
              </w:rPr>
            </w:pPr>
            <w:r>
              <w:rPr>
                <w:rFonts w:ascii="Arial" w:cs="Arial" w:eastAsia="Arial" w:hAnsi="Arial"/>
                <w:sz w:val="10"/>
                <w:szCs w:val="10"/>
                <w:b w:val="1"/>
                <w:bCs w:val="1"/>
                <w:color w:val="auto"/>
                <w:w w:val="92"/>
              </w:rPr>
              <w:t>Weighted-average</w:t>
            </w:r>
          </w:p>
        </w:tc>
        <w:tc>
          <w:tcPr>
            <w:tcW w:w="2280" w:type="dxa"/>
            <w:vAlign w:val="bottom"/>
            <w:gridSpan w:val="2"/>
          </w:tcPr>
          <w:p>
            <w:pPr>
              <w:jc w:val="center"/>
              <w:ind w:right="100"/>
              <w:spacing w:after="0" w:line="108" w:lineRule="exact"/>
              <w:rPr>
                <w:sz w:val="20"/>
                <w:szCs w:val="20"/>
                <w:color w:val="auto"/>
              </w:rPr>
            </w:pPr>
            <w:r>
              <w:rPr>
                <w:rFonts w:ascii="Arial" w:cs="Arial" w:eastAsia="Arial" w:hAnsi="Arial"/>
                <w:sz w:val="10"/>
                <w:szCs w:val="10"/>
                <w:b w:val="1"/>
                <w:bCs w:val="1"/>
                <w:color w:val="auto"/>
                <w:w w:val="96"/>
              </w:rPr>
              <w:t>Remaining Available for</w:t>
            </w:r>
          </w:p>
        </w:tc>
        <w:tc>
          <w:tcPr>
            <w:tcW w:w="0" w:type="dxa"/>
            <w:vAlign w:val="bottom"/>
          </w:tcPr>
          <w:p>
            <w:pPr>
              <w:spacing w:after="0"/>
              <w:rPr>
                <w:sz w:val="1"/>
                <w:szCs w:val="1"/>
                <w:color w:val="auto"/>
              </w:rPr>
            </w:pPr>
          </w:p>
        </w:tc>
      </w:tr>
      <w:tr>
        <w:trPr>
          <w:trHeight w:val="108"/>
        </w:trPr>
        <w:tc>
          <w:tcPr>
            <w:tcW w:w="1300" w:type="dxa"/>
            <w:vAlign w:val="bottom"/>
          </w:tcPr>
          <w:p>
            <w:pPr>
              <w:spacing w:after="0"/>
              <w:rPr>
                <w:sz w:val="9"/>
                <w:szCs w:val="9"/>
                <w:color w:val="auto"/>
              </w:rPr>
            </w:pPr>
          </w:p>
        </w:tc>
        <w:tc>
          <w:tcPr>
            <w:tcW w:w="2360" w:type="dxa"/>
            <w:vAlign w:val="bottom"/>
          </w:tcPr>
          <w:p>
            <w:pPr>
              <w:spacing w:after="0"/>
              <w:rPr>
                <w:sz w:val="9"/>
                <w:szCs w:val="9"/>
                <w:color w:val="auto"/>
              </w:rPr>
            </w:pPr>
          </w:p>
        </w:tc>
        <w:tc>
          <w:tcPr>
            <w:tcW w:w="2040" w:type="dxa"/>
            <w:vAlign w:val="bottom"/>
            <w:gridSpan w:val="2"/>
          </w:tcPr>
          <w:p>
            <w:pPr>
              <w:jc w:val="center"/>
              <w:ind w:right="440"/>
              <w:spacing w:after="0" w:line="108" w:lineRule="exact"/>
              <w:rPr>
                <w:sz w:val="20"/>
                <w:szCs w:val="20"/>
                <w:color w:val="auto"/>
              </w:rPr>
            </w:pPr>
            <w:r>
              <w:rPr>
                <w:rFonts w:ascii="Arial" w:cs="Arial" w:eastAsia="Arial" w:hAnsi="Arial"/>
                <w:sz w:val="10"/>
                <w:szCs w:val="10"/>
                <w:b w:val="1"/>
                <w:bCs w:val="1"/>
                <w:color w:val="auto"/>
                <w:w w:val="92"/>
              </w:rPr>
              <w:t>to be Issued Upon</w:t>
            </w:r>
          </w:p>
        </w:tc>
        <w:tc>
          <w:tcPr>
            <w:tcW w:w="200" w:type="dxa"/>
            <w:vAlign w:val="bottom"/>
          </w:tcPr>
          <w:p>
            <w:pPr>
              <w:spacing w:after="0"/>
              <w:rPr>
                <w:sz w:val="9"/>
                <w:szCs w:val="9"/>
                <w:color w:val="auto"/>
              </w:rPr>
            </w:pPr>
          </w:p>
        </w:tc>
        <w:tc>
          <w:tcPr>
            <w:tcW w:w="1800" w:type="dxa"/>
            <w:vAlign w:val="bottom"/>
            <w:gridSpan w:val="2"/>
            <w:vMerge w:val="continue"/>
          </w:tcPr>
          <w:p>
            <w:pPr>
              <w:spacing w:after="0"/>
              <w:rPr>
                <w:sz w:val="9"/>
                <w:szCs w:val="9"/>
                <w:color w:val="auto"/>
              </w:rPr>
            </w:pPr>
          </w:p>
        </w:tc>
        <w:tc>
          <w:tcPr>
            <w:tcW w:w="2280" w:type="dxa"/>
            <w:vAlign w:val="bottom"/>
            <w:gridSpan w:val="2"/>
          </w:tcPr>
          <w:p>
            <w:pPr>
              <w:jc w:val="center"/>
              <w:ind w:right="100"/>
              <w:spacing w:after="0" w:line="108" w:lineRule="exact"/>
              <w:rPr>
                <w:sz w:val="20"/>
                <w:szCs w:val="20"/>
                <w:color w:val="auto"/>
              </w:rPr>
            </w:pPr>
            <w:r>
              <w:rPr>
                <w:rFonts w:ascii="Arial" w:cs="Arial" w:eastAsia="Arial" w:hAnsi="Arial"/>
                <w:sz w:val="10"/>
                <w:szCs w:val="10"/>
                <w:b w:val="1"/>
                <w:bCs w:val="1"/>
                <w:color w:val="auto"/>
                <w:w w:val="94"/>
              </w:rPr>
              <w:t>Future Issuance Under</w:t>
            </w:r>
          </w:p>
        </w:tc>
        <w:tc>
          <w:tcPr>
            <w:tcW w:w="0" w:type="dxa"/>
            <w:vAlign w:val="bottom"/>
          </w:tcPr>
          <w:p>
            <w:pPr>
              <w:spacing w:after="0"/>
              <w:rPr>
                <w:sz w:val="1"/>
                <w:szCs w:val="1"/>
                <w:color w:val="auto"/>
              </w:rPr>
            </w:pPr>
          </w:p>
        </w:tc>
      </w:tr>
      <w:tr>
        <w:trPr>
          <w:trHeight w:val="108"/>
        </w:trPr>
        <w:tc>
          <w:tcPr>
            <w:tcW w:w="1300" w:type="dxa"/>
            <w:vAlign w:val="bottom"/>
          </w:tcPr>
          <w:p>
            <w:pPr>
              <w:spacing w:after="0"/>
              <w:rPr>
                <w:sz w:val="9"/>
                <w:szCs w:val="9"/>
                <w:color w:val="auto"/>
              </w:rPr>
            </w:pPr>
          </w:p>
        </w:tc>
        <w:tc>
          <w:tcPr>
            <w:tcW w:w="2360" w:type="dxa"/>
            <w:vAlign w:val="bottom"/>
          </w:tcPr>
          <w:p>
            <w:pPr>
              <w:spacing w:after="0"/>
              <w:rPr>
                <w:sz w:val="9"/>
                <w:szCs w:val="9"/>
                <w:color w:val="auto"/>
              </w:rPr>
            </w:pPr>
          </w:p>
        </w:tc>
        <w:tc>
          <w:tcPr>
            <w:tcW w:w="2040" w:type="dxa"/>
            <w:vAlign w:val="bottom"/>
            <w:gridSpan w:val="2"/>
          </w:tcPr>
          <w:p>
            <w:pPr>
              <w:jc w:val="center"/>
              <w:ind w:right="440"/>
              <w:spacing w:after="0" w:line="108" w:lineRule="exact"/>
              <w:rPr>
                <w:sz w:val="20"/>
                <w:szCs w:val="20"/>
                <w:color w:val="auto"/>
              </w:rPr>
            </w:pPr>
            <w:r>
              <w:rPr>
                <w:rFonts w:ascii="Arial" w:cs="Arial" w:eastAsia="Arial" w:hAnsi="Arial"/>
                <w:sz w:val="10"/>
                <w:szCs w:val="10"/>
                <w:b w:val="1"/>
                <w:bCs w:val="1"/>
                <w:color w:val="auto"/>
                <w:w w:val="89"/>
              </w:rPr>
              <w:t>Exercise of</w:t>
            </w:r>
          </w:p>
        </w:tc>
        <w:tc>
          <w:tcPr>
            <w:tcW w:w="200" w:type="dxa"/>
            <w:vAlign w:val="bottom"/>
          </w:tcPr>
          <w:p>
            <w:pPr>
              <w:spacing w:after="0"/>
              <w:rPr>
                <w:sz w:val="9"/>
                <w:szCs w:val="9"/>
                <w:color w:val="auto"/>
              </w:rPr>
            </w:pPr>
          </w:p>
        </w:tc>
        <w:tc>
          <w:tcPr>
            <w:tcW w:w="1800" w:type="dxa"/>
            <w:vAlign w:val="bottom"/>
            <w:gridSpan w:val="2"/>
          </w:tcPr>
          <w:p>
            <w:pPr>
              <w:jc w:val="center"/>
              <w:ind w:right="580"/>
              <w:spacing w:after="0" w:line="108" w:lineRule="exact"/>
              <w:rPr>
                <w:sz w:val="20"/>
                <w:szCs w:val="20"/>
                <w:color w:val="auto"/>
              </w:rPr>
            </w:pPr>
            <w:r>
              <w:rPr>
                <w:rFonts w:ascii="Arial" w:cs="Arial" w:eastAsia="Arial" w:hAnsi="Arial"/>
                <w:sz w:val="10"/>
                <w:szCs w:val="10"/>
                <w:b w:val="1"/>
                <w:bCs w:val="1"/>
                <w:color w:val="auto"/>
                <w:w w:val="91"/>
              </w:rPr>
              <w:t>Exercise Price of</w:t>
            </w:r>
          </w:p>
        </w:tc>
        <w:tc>
          <w:tcPr>
            <w:tcW w:w="2280" w:type="dxa"/>
            <w:vAlign w:val="bottom"/>
            <w:gridSpan w:val="2"/>
          </w:tcPr>
          <w:p>
            <w:pPr>
              <w:jc w:val="center"/>
              <w:ind w:right="100"/>
              <w:spacing w:after="0" w:line="108" w:lineRule="exact"/>
              <w:rPr>
                <w:sz w:val="20"/>
                <w:szCs w:val="20"/>
                <w:color w:val="auto"/>
              </w:rPr>
            </w:pPr>
            <w:r>
              <w:rPr>
                <w:rFonts w:ascii="Arial" w:cs="Arial" w:eastAsia="Arial" w:hAnsi="Arial"/>
                <w:sz w:val="10"/>
                <w:szCs w:val="10"/>
                <w:b w:val="1"/>
                <w:bCs w:val="1"/>
                <w:color w:val="auto"/>
                <w:w w:val="95"/>
              </w:rPr>
              <w:t>Equity Compensation Plans</w:t>
            </w:r>
          </w:p>
        </w:tc>
        <w:tc>
          <w:tcPr>
            <w:tcW w:w="0" w:type="dxa"/>
            <w:vAlign w:val="bottom"/>
          </w:tcPr>
          <w:p>
            <w:pPr>
              <w:spacing w:after="0"/>
              <w:rPr>
                <w:sz w:val="1"/>
                <w:szCs w:val="1"/>
                <w:color w:val="auto"/>
              </w:rPr>
            </w:pPr>
          </w:p>
        </w:tc>
      </w:tr>
      <w:tr>
        <w:trPr>
          <w:trHeight w:val="118"/>
        </w:trPr>
        <w:tc>
          <w:tcPr>
            <w:tcW w:w="3660" w:type="dxa"/>
            <w:vAlign w:val="bottom"/>
            <w:gridSpan w:val="2"/>
            <w:vMerge w:val="restart"/>
          </w:tcPr>
          <w:p>
            <w:pPr>
              <w:spacing w:after="0"/>
              <w:rPr>
                <w:sz w:val="20"/>
                <w:szCs w:val="20"/>
                <w:color w:val="auto"/>
              </w:rPr>
            </w:pPr>
            <w:r>
              <w:rPr>
                <w:rFonts w:ascii="Arial" w:cs="Arial" w:eastAsia="Arial" w:hAnsi="Arial"/>
                <w:sz w:val="10"/>
                <w:szCs w:val="10"/>
                <w:b w:val="1"/>
                <w:bCs w:val="1"/>
                <w:u w:val="single" w:color="auto"/>
                <w:color w:val="auto"/>
              </w:rPr>
              <w:t>P</w:t>
            </w:r>
            <w:r>
              <w:rPr>
                <w:rFonts w:ascii="Arial" w:cs="Arial" w:eastAsia="Arial" w:hAnsi="Arial"/>
                <w:sz w:val="10"/>
                <w:szCs w:val="10"/>
                <w:b w:val="1"/>
                <w:bCs w:val="1"/>
                <w:color w:val="auto"/>
              </w:rPr>
              <w:t>lan Category</w:t>
            </w:r>
          </w:p>
        </w:tc>
        <w:tc>
          <w:tcPr>
            <w:tcW w:w="2040" w:type="dxa"/>
            <w:vAlign w:val="bottom"/>
            <w:gridSpan w:val="2"/>
          </w:tcPr>
          <w:p>
            <w:pPr>
              <w:jc w:val="center"/>
              <w:ind w:right="440"/>
              <w:spacing w:after="0"/>
              <w:rPr>
                <w:sz w:val="20"/>
                <w:szCs w:val="20"/>
                <w:color w:val="auto"/>
              </w:rPr>
            </w:pPr>
            <w:r>
              <w:rPr>
                <w:rFonts w:ascii="Arial" w:cs="Arial" w:eastAsia="Arial" w:hAnsi="Arial"/>
                <w:sz w:val="10"/>
                <w:szCs w:val="10"/>
                <w:b w:val="1"/>
                <w:bCs w:val="1"/>
                <w:color w:val="auto"/>
                <w:w w:val="93"/>
              </w:rPr>
              <w:t>Outstanding Options,</w:t>
            </w:r>
          </w:p>
        </w:tc>
        <w:tc>
          <w:tcPr>
            <w:tcW w:w="200" w:type="dxa"/>
            <w:vAlign w:val="bottom"/>
          </w:tcPr>
          <w:p>
            <w:pPr>
              <w:spacing w:after="0"/>
              <w:rPr>
                <w:sz w:val="10"/>
                <w:szCs w:val="10"/>
                <w:color w:val="auto"/>
              </w:rPr>
            </w:pPr>
          </w:p>
        </w:tc>
        <w:tc>
          <w:tcPr>
            <w:tcW w:w="1800" w:type="dxa"/>
            <w:vAlign w:val="bottom"/>
            <w:gridSpan w:val="2"/>
          </w:tcPr>
          <w:p>
            <w:pPr>
              <w:jc w:val="center"/>
              <w:ind w:right="600"/>
              <w:spacing w:after="0"/>
              <w:rPr>
                <w:sz w:val="20"/>
                <w:szCs w:val="20"/>
                <w:color w:val="auto"/>
              </w:rPr>
            </w:pPr>
            <w:r>
              <w:rPr>
                <w:rFonts w:ascii="Arial" w:cs="Arial" w:eastAsia="Arial" w:hAnsi="Arial"/>
                <w:sz w:val="10"/>
                <w:szCs w:val="10"/>
                <w:b w:val="1"/>
                <w:bCs w:val="1"/>
                <w:color w:val="auto"/>
                <w:w w:val="93"/>
              </w:rPr>
              <w:t>Outstanding Options,</w:t>
            </w:r>
          </w:p>
        </w:tc>
        <w:tc>
          <w:tcPr>
            <w:tcW w:w="228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w w:val="92"/>
              </w:rPr>
              <w:t>(Excluding Securities</w:t>
            </w:r>
          </w:p>
        </w:tc>
        <w:tc>
          <w:tcPr>
            <w:tcW w:w="0" w:type="dxa"/>
            <w:vAlign w:val="bottom"/>
          </w:tcPr>
          <w:p>
            <w:pPr>
              <w:spacing w:after="0"/>
              <w:rPr>
                <w:sz w:val="1"/>
                <w:szCs w:val="1"/>
                <w:color w:val="auto"/>
              </w:rPr>
            </w:pPr>
          </w:p>
        </w:tc>
      </w:tr>
      <w:tr>
        <w:trPr>
          <w:trHeight w:val="125"/>
        </w:trPr>
        <w:tc>
          <w:tcPr>
            <w:tcW w:w="3660" w:type="dxa"/>
            <w:vAlign w:val="bottom"/>
            <w:gridSpan w:val="2"/>
            <w:vMerge w:val="continue"/>
          </w:tcPr>
          <w:p>
            <w:pPr>
              <w:spacing w:after="0"/>
              <w:rPr>
                <w:sz w:val="10"/>
                <w:szCs w:val="10"/>
                <w:color w:val="auto"/>
              </w:rPr>
            </w:pPr>
          </w:p>
        </w:tc>
        <w:tc>
          <w:tcPr>
            <w:tcW w:w="2040" w:type="dxa"/>
            <w:vAlign w:val="bottom"/>
            <w:gridSpan w:val="2"/>
          </w:tcPr>
          <w:p>
            <w:pPr>
              <w:jc w:val="center"/>
              <w:ind w:right="440"/>
              <w:spacing w:after="0"/>
              <w:rPr>
                <w:sz w:val="20"/>
                <w:szCs w:val="20"/>
                <w:color w:val="auto"/>
              </w:rPr>
            </w:pPr>
            <w:r>
              <w:rPr>
                <w:rFonts w:ascii="Arial" w:cs="Arial" w:eastAsia="Arial" w:hAnsi="Arial"/>
                <w:sz w:val="10"/>
                <w:szCs w:val="10"/>
                <w:b w:val="1"/>
                <w:bCs w:val="1"/>
                <w:color w:val="auto"/>
                <w:w w:val="98"/>
              </w:rPr>
              <w:t>Warrants and Rights</w:t>
            </w:r>
          </w:p>
        </w:tc>
        <w:tc>
          <w:tcPr>
            <w:tcW w:w="200" w:type="dxa"/>
            <w:vAlign w:val="bottom"/>
          </w:tcPr>
          <w:p>
            <w:pPr>
              <w:spacing w:after="0"/>
              <w:rPr>
                <w:sz w:val="10"/>
                <w:szCs w:val="10"/>
                <w:color w:val="auto"/>
              </w:rPr>
            </w:pPr>
          </w:p>
        </w:tc>
        <w:tc>
          <w:tcPr>
            <w:tcW w:w="1800" w:type="dxa"/>
            <w:vAlign w:val="bottom"/>
            <w:gridSpan w:val="2"/>
          </w:tcPr>
          <w:p>
            <w:pPr>
              <w:jc w:val="center"/>
              <w:ind w:right="580"/>
              <w:spacing w:after="0"/>
              <w:rPr>
                <w:sz w:val="20"/>
                <w:szCs w:val="20"/>
                <w:color w:val="auto"/>
              </w:rPr>
            </w:pPr>
            <w:r>
              <w:rPr>
                <w:rFonts w:ascii="Arial" w:cs="Arial" w:eastAsia="Arial" w:hAnsi="Arial"/>
                <w:sz w:val="10"/>
                <w:szCs w:val="10"/>
                <w:b w:val="1"/>
                <w:bCs w:val="1"/>
                <w:color w:val="auto"/>
                <w:w w:val="96"/>
              </w:rPr>
              <w:t>Warrants and Rights</w:t>
            </w:r>
          </w:p>
        </w:tc>
        <w:tc>
          <w:tcPr>
            <w:tcW w:w="228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w w:val="94"/>
              </w:rPr>
              <w:t>Reflected in Column(a))</w:t>
            </w:r>
          </w:p>
        </w:tc>
        <w:tc>
          <w:tcPr>
            <w:tcW w:w="0" w:type="dxa"/>
            <w:vAlign w:val="bottom"/>
          </w:tcPr>
          <w:p>
            <w:pPr>
              <w:spacing w:after="0"/>
              <w:rPr>
                <w:sz w:val="1"/>
                <w:szCs w:val="1"/>
                <w:color w:val="auto"/>
              </w:rPr>
            </w:pPr>
          </w:p>
        </w:tc>
      </w:tr>
      <w:tr>
        <w:trPr>
          <w:trHeight w:val="131"/>
        </w:trPr>
        <w:tc>
          <w:tcPr>
            <w:tcW w:w="130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600" w:type="dxa"/>
            <w:vAlign w:val="bottom"/>
            <w:tcBorders>
              <w:top w:val="single" w:sz="8" w:color="auto"/>
            </w:tcBorders>
          </w:tcPr>
          <w:p>
            <w:pPr>
              <w:jc w:val="center"/>
              <w:spacing w:after="0"/>
              <w:rPr>
                <w:sz w:val="20"/>
                <w:szCs w:val="20"/>
                <w:color w:val="auto"/>
              </w:rPr>
            </w:pPr>
            <w:r>
              <w:rPr>
                <w:rFonts w:ascii="Arial" w:cs="Arial" w:eastAsia="Arial" w:hAnsi="Arial"/>
                <w:sz w:val="10"/>
                <w:szCs w:val="10"/>
                <w:b w:val="1"/>
                <w:bCs w:val="1"/>
                <w:color w:val="auto"/>
                <w:w w:val="97"/>
              </w:rPr>
              <w:t>(a)</w:t>
            </w:r>
          </w:p>
        </w:tc>
        <w:tc>
          <w:tcPr>
            <w:tcW w:w="44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400" w:type="dxa"/>
            <w:vAlign w:val="bottom"/>
            <w:tcBorders>
              <w:top w:val="single" w:sz="8" w:color="auto"/>
            </w:tcBorders>
          </w:tcPr>
          <w:p>
            <w:pPr>
              <w:jc w:val="center"/>
              <w:ind w:right="143"/>
              <w:spacing w:after="0"/>
              <w:rPr>
                <w:sz w:val="20"/>
                <w:szCs w:val="20"/>
                <w:color w:val="auto"/>
              </w:rPr>
            </w:pPr>
            <w:r>
              <w:rPr>
                <w:rFonts w:ascii="Arial" w:cs="Arial" w:eastAsia="Arial" w:hAnsi="Arial"/>
                <w:sz w:val="10"/>
                <w:szCs w:val="10"/>
                <w:b w:val="1"/>
                <w:bCs w:val="1"/>
                <w:color w:val="auto"/>
                <w:w w:val="93"/>
              </w:rPr>
              <w:t>(b)</w:t>
            </w:r>
          </w:p>
        </w:tc>
        <w:tc>
          <w:tcPr>
            <w:tcW w:w="400" w:type="dxa"/>
            <w:vAlign w:val="bottom"/>
          </w:tcPr>
          <w:p>
            <w:pPr>
              <w:spacing w:after="0"/>
              <w:rPr>
                <w:sz w:val="11"/>
                <w:szCs w:val="11"/>
                <w:color w:val="auto"/>
              </w:rPr>
            </w:pPr>
          </w:p>
        </w:tc>
        <w:tc>
          <w:tcPr>
            <w:tcW w:w="2180" w:type="dxa"/>
            <w:vAlign w:val="bottom"/>
            <w:tcBorders>
              <w:top w:val="single" w:sz="8" w:color="auto"/>
            </w:tcBorders>
          </w:tcPr>
          <w:p>
            <w:pPr>
              <w:jc w:val="center"/>
              <w:spacing w:after="0"/>
              <w:rPr>
                <w:sz w:val="20"/>
                <w:szCs w:val="20"/>
                <w:color w:val="auto"/>
              </w:rPr>
            </w:pPr>
            <w:r>
              <w:rPr>
                <w:rFonts w:ascii="Arial" w:cs="Arial" w:eastAsia="Arial" w:hAnsi="Arial"/>
                <w:sz w:val="10"/>
                <w:szCs w:val="10"/>
                <w:b w:val="1"/>
                <w:bCs w:val="1"/>
                <w:color w:val="auto"/>
                <w:w w:val="81"/>
              </w:rPr>
              <w:t>(c)</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36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Equity compensation plans approved by security holders</w:t>
            </w:r>
          </w:p>
        </w:tc>
        <w:tc>
          <w:tcPr>
            <w:tcW w:w="204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6,608,109(1)</w:t>
            </w:r>
          </w:p>
        </w:tc>
        <w:tc>
          <w:tcPr>
            <w:tcW w:w="200" w:type="dxa"/>
            <w:vAlign w:val="bottom"/>
            <w:shd w:val="clear" w:color="auto" w:fill="CCEEFF"/>
          </w:tcPr>
          <w:p>
            <w:pPr>
              <w:jc w:val="right"/>
              <w:ind w:right="54"/>
              <w:spacing w:after="0"/>
              <w:rPr>
                <w:sz w:val="20"/>
                <w:szCs w:val="20"/>
                <w:color w:val="auto"/>
              </w:rPr>
            </w:pPr>
            <w:r>
              <w:rPr>
                <w:rFonts w:ascii="Arial" w:cs="Arial" w:eastAsia="Arial" w:hAnsi="Arial"/>
                <w:sz w:val="13"/>
                <w:szCs w:val="13"/>
                <w:color w:val="auto"/>
                <w:w w:val="82"/>
              </w:rPr>
              <w:t>$</w:t>
            </w:r>
          </w:p>
        </w:tc>
        <w:tc>
          <w:tcPr>
            <w:tcW w:w="18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3.02</w:t>
            </w:r>
          </w:p>
        </w:tc>
        <w:tc>
          <w:tcPr>
            <w:tcW w:w="22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1,583,543</w:t>
            </w:r>
          </w:p>
        </w:tc>
        <w:tc>
          <w:tcPr>
            <w:tcW w:w="0" w:type="dxa"/>
            <w:vAlign w:val="bottom"/>
          </w:tcPr>
          <w:p>
            <w:pPr>
              <w:spacing w:after="0"/>
              <w:rPr>
                <w:sz w:val="1"/>
                <w:szCs w:val="1"/>
                <w:color w:val="auto"/>
              </w:rPr>
            </w:pPr>
          </w:p>
        </w:tc>
      </w:tr>
      <w:tr>
        <w:trPr>
          <w:trHeight w:val="148"/>
        </w:trPr>
        <w:tc>
          <w:tcPr>
            <w:tcW w:w="3660" w:type="dxa"/>
            <w:vAlign w:val="bottom"/>
            <w:gridSpan w:val="2"/>
          </w:tcPr>
          <w:p>
            <w:pPr>
              <w:spacing w:after="0" w:line="149" w:lineRule="exact"/>
              <w:rPr>
                <w:sz w:val="20"/>
                <w:szCs w:val="20"/>
                <w:color w:val="auto"/>
              </w:rPr>
            </w:pPr>
            <w:r>
              <w:rPr>
                <w:rFonts w:ascii="Arial" w:cs="Arial" w:eastAsia="Arial" w:hAnsi="Arial"/>
                <w:sz w:val="13"/>
                <w:szCs w:val="13"/>
                <w:color w:val="auto"/>
              </w:rPr>
              <w:t>Equity compensation arrangements not approved by security</w:t>
            </w:r>
          </w:p>
        </w:tc>
        <w:tc>
          <w:tcPr>
            <w:tcW w:w="16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3660" w:type="dxa"/>
            <w:vAlign w:val="bottom"/>
            <w:gridSpan w:val="2"/>
          </w:tcPr>
          <w:p>
            <w:pPr>
              <w:ind w:left="140"/>
              <w:spacing w:after="0"/>
              <w:rPr>
                <w:sz w:val="20"/>
                <w:szCs w:val="20"/>
                <w:color w:val="auto"/>
              </w:rPr>
            </w:pPr>
            <w:r>
              <w:rPr>
                <w:rFonts w:ascii="Arial" w:cs="Arial" w:eastAsia="Arial" w:hAnsi="Arial"/>
                <w:sz w:val="13"/>
                <w:szCs w:val="13"/>
                <w:color w:val="auto"/>
              </w:rPr>
              <w:t>holders</w:t>
            </w:r>
          </w:p>
        </w:tc>
        <w:tc>
          <w:tcPr>
            <w:tcW w:w="2040" w:type="dxa"/>
            <w:vAlign w:val="bottom"/>
            <w:gridSpan w:val="2"/>
          </w:tcPr>
          <w:p>
            <w:pPr>
              <w:jc w:val="right"/>
              <w:ind w:right="300"/>
              <w:spacing w:after="0"/>
              <w:rPr>
                <w:sz w:val="20"/>
                <w:szCs w:val="20"/>
                <w:color w:val="auto"/>
              </w:rPr>
            </w:pPr>
            <w:r>
              <w:rPr>
                <w:rFonts w:ascii="Arial" w:cs="Arial" w:eastAsia="Arial" w:hAnsi="Arial"/>
                <w:sz w:val="13"/>
                <w:szCs w:val="13"/>
                <w:color w:val="auto"/>
              </w:rPr>
              <w:t>100,000(2)</w:t>
            </w:r>
          </w:p>
        </w:tc>
        <w:tc>
          <w:tcPr>
            <w:tcW w:w="200" w:type="dxa"/>
            <w:vAlign w:val="bottom"/>
          </w:tcPr>
          <w:p>
            <w:pPr>
              <w:jc w:val="right"/>
              <w:ind w:right="54"/>
              <w:spacing w:after="0"/>
              <w:rPr>
                <w:sz w:val="20"/>
                <w:szCs w:val="20"/>
                <w:color w:val="auto"/>
              </w:rPr>
            </w:pPr>
            <w:r>
              <w:rPr>
                <w:rFonts w:ascii="Arial" w:cs="Arial" w:eastAsia="Arial" w:hAnsi="Arial"/>
                <w:sz w:val="13"/>
                <w:szCs w:val="13"/>
                <w:color w:val="auto"/>
                <w:w w:val="82"/>
              </w:rPr>
              <w:t>$</w:t>
            </w:r>
          </w:p>
        </w:tc>
        <w:tc>
          <w:tcPr>
            <w:tcW w:w="1800" w:type="dxa"/>
            <w:vAlign w:val="bottom"/>
            <w:gridSpan w:val="2"/>
          </w:tcPr>
          <w:p>
            <w:pPr>
              <w:jc w:val="right"/>
              <w:ind w:right="400"/>
              <w:spacing w:after="0"/>
              <w:rPr>
                <w:sz w:val="20"/>
                <w:szCs w:val="20"/>
                <w:color w:val="auto"/>
              </w:rPr>
            </w:pPr>
            <w:r>
              <w:rPr>
                <w:rFonts w:ascii="Arial" w:cs="Arial" w:eastAsia="Arial" w:hAnsi="Arial"/>
                <w:sz w:val="13"/>
                <w:szCs w:val="13"/>
                <w:color w:val="auto"/>
              </w:rPr>
              <w:t>1.20</w:t>
            </w:r>
          </w:p>
        </w:tc>
        <w:tc>
          <w:tcPr>
            <w:tcW w:w="2280" w:type="dxa"/>
            <w:vAlign w:val="bottom"/>
            <w:gridSpan w:val="2"/>
          </w:tcPr>
          <w:p>
            <w:pPr>
              <w:jc w:val="right"/>
              <w:ind w:right="100"/>
              <w:spacing w:after="0"/>
              <w:rPr>
                <w:sz w:val="20"/>
                <w:szCs w:val="20"/>
                <w:color w:val="auto"/>
              </w:rPr>
            </w:pPr>
            <w:r>
              <w:rPr>
                <w:rFonts w:ascii="Arial" w:cs="Arial" w:eastAsia="Arial" w:hAnsi="Arial"/>
                <w:sz w:val="13"/>
                <w:szCs w:val="13"/>
                <w:color w:val="auto"/>
              </w:rPr>
              <w:t>N/a</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1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36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Totals</w:t>
            </w:r>
          </w:p>
        </w:tc>
        <w:tc>
          <w:tcPr>
            <w:tcW w:w="1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6,708,109</w:t>
            </w:r>
          </w:p>
        </w:tc>
        <w:tc>
          <w:tcPr>
            <w:tcW w:w="440" w:type="dxa"/>
            <w:vAlign w:val="bottom"/>
            <w:shd w:val="clear" w:color="auto" w:fill="CCEEFF"/>
          </w:tcPr>
          <w:p>
            <w:pPr>
              <w:spacing w:after="0"/>
              <w:rPr>
                <w:sz w:val="13"/>
                <w:szCs w:val="13"/>
                <w:color w:val="auto"/>
              </w:rPr>
            </w:pPr>
          </w:p>
        </w:tc>
        <w:tc>
          <w:tcPr>
            <w:tcW w:w="200" w:type="dxa"/>
            <w:vAlign w:val="bottom"/>
            <w:shd w:val="clear" w:color="auto" w:fill="CCEEFF"/>
          </w:tcPr>
          <w:p>
            <w:pPr>
              <w:jc w:val="right"/>
              <w:ind w:right="54"/>
              <w:spacing w:after="0"/>
              <w:rPr>
                <w:sz w:val="20"/>
                <w:szCs w:val="20"/>
                <w:color w:val="auto"/>
              </w:rPr>
            </w:pPr>
            <w:r>
              <w:rPr>
                <w:rFonts w:ascii="Arial" w:cs="Arial" w:eastAsia="Arial" w:hAnsi="Arial"/>
                <w:sz w:val="13"/>
                <w:szCs w:val="13"/>
                <w:color w:val="auto"/>
                <w:w w:val="82"/>
              </w:rPr>
              <w:t>$</w:t>
            </w:r>
          </w:p>
        </w:tc>
        <w:tc>
          <w:tcPr>
            <w:tcW w:w="18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2.99</w:t>
            </w:r>
          </w:p>
        </w:tc>
        <w:tc>
          <w:tcPr>
            <w:tcW w:w="22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1,583,543</w:t>
            </w:r>
          </w:p>
        </w:tc>
        <w:tc>
          <w:tcPr>
            <w:tcW w:w="0" w:type="dxa"/>
            <w:vAlign w:val="bottom"/>
          </w:tcPr>
          <w:p>
            <w:pPr>
              <w:spacing w:after="0"/>
              <w:rPr>
                <w:sz w:val="1"/>
                <w:szCs w:val="1"/>
                <w:color w:val="auto"/>
              </w:rPr>
            </w:pPr>
          </w:p>
        </w:tc>
      </w:tr>
      <w:tr>
        <w:trPr>
          <w:trHeight w:val="98"/>
        </w:trPr>
        <w:tc>
          <w:tcPr>
            <w:tcW w:w="1300" w:type="dxa"/>
            <w:vAlign w:val="bottom"/>
            <w:tcBorders>
              <w:bottom w:val="single" w:sz="8" w:color="auto"/>
            </w:tcBorders>
          </w:tcPr>
          <w:p>
            <w:pPr>
              <w:spacing w:after="0"/>
              <w:rPr>
                <w:sz w:val="8"/>
                <w:szCs w:val="8"/>
                <w:color w:val="auto"/>
              </w:rPr>
            </w:pPr>
          </w:p>
        </w:tc>
        <w:tc>
          <w:tcPr>
            <w:tcW w:w="2360" w:type="dxa"/>
            <w:vAlign w:val="bottom"/>
          </w:tcPr>
          <w:p>
            <w:pPr>
              <w:spacing w:after="0"/>
              <w:rPr>
                <w:sz w:val="8"/>
                <w:szCs w:val="8"/>
                <w:color w:val="auto"/>
              </w:rPr>
            </w:pPr>
          </w:p>
        </w:tc>
        <w:tc>
          <w:tcPr>
            <w:tcW w:w="1600" w:type="dxa"/>
            <w:vAlign w:val="bottom"/>
            <w:tcBorders>
              <w:top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200" w:type="dxa"/>
            <w:vAlign w:val="bottom"/>
            <w:tcBorders>
              <w:top w:val="single" w:sz="8" w:color="auto"/>
            </w:tcBorders>
          </w:tcPr>
          <w:p>
            <w:pPr>
              <w:spacing w:after="0"/>
              <w:rPr>
                <w:sz w:val="8"/>
                <w:szCs w:val="8"/>
                <w:color w:val="auto"/>
              </w:rPr>
            </w:pPr>
          </w:p>
        </w:tc>
        <w:tc>
          <w:tcPr>
            <w:tcW w:w="1400" w:type="dxa"/>
            <w:vAlign w:val="bottom"/>
            <w:tcBorders>
              <w:top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218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000" w:right="120" w:hanging="259"/>
        <w:spacing w:after="0" w:line="276" w:lineRule="auto"/>
        <w:tabs>
          <w:tab w:leader="none" w:pos="1000" w:val="left"/>
        </w:tabs>
        <w:numPr>
          <w:ilvl w:val="0"/>
          <w:numId w:val="21"/>
        </w:numPr>
        <w:rPr>
          <w:rFonts w:ascii="Arial" w:cs="Arial" w:eastAsia="Arial" w:hAnsi="Arial"/>
          <w:sz w:val="13"/>
          <w:szCs w:val="13"/>
          <w:color w:val="auto"/>
        </w:rPr>
      </w:pPr>
      <w:r>
        <w:rPr>
          <w:rFonts w:ascii="Arial" w:cs="Arial" w:eastAsia="Arial" w:hAnsi="Arial"/>
          <w:sz w:val="13"/>
          <w:szCs w:val="13"/>
          <w:color w:val="auto"/>
        </w:rPr>
        <w:t>Consists of Incentive Stock Options issued to employees and options issued as compensation to consultants for consultation services. These options were issued under the Company’s 1992 Equity Incentive Plan, its Directors’ Stock Option Plan, its StemCells, Inc. Stock Option Plan, or its 2001 and 2004 Equity Incentive Plans.</w:t>
      </w:r>
    </w:p>
    <w:p>
      <w:pPr>
        <w:spacing w:after="0" w:line="10" w:lineRule="exact"/>
        <w:rPr>
          <w:rFonts w:ascii="Arial" w:cs="Arial" w:eastAsia="Arial" w:hAnsi="Arial"/>
          <w:sz w:val="13"/>
          <w:szCs w:val="13"/>
          <w:color w:val="auto"/>
        </w:rPr>
      </w:pPr>
    </w:p>
    <w:p>
      <w:pPr>
        <w:jc w:val="both"/>
        <w:ind w:left="1000" w:right="20" w:hanging="259"/>
        <w:spacing w:after="0" w:line="264" w:lineRule="auto"/>
        <w:tabs>
          <w:tab w:leader="none" w:pos="1000" w:val="left"/>
        </w:tabs>
        <w:numPr>
          <w:ilvl w:val="0"/>
          <w:numId w:val="21"/>
        </w:numPr>
        <w:rPr>
          <w:rFonts w:ascii="Arial" w:cs="Arial" w:eastAsia="Arial" w:hAnsi="Arial"/>
          <w:sz w:val="13"/>
          <w:szCs w:val="13"/>
          <w:color w:val="auto"/>
        </w:rPr>
      </w:pPr>
      <w:r>
        <w:rPr>
          <w:rFonts w:ascii="Arial" w:cs="Arial" w:eastAsia="Arial" w:hAnsi="Arial"/>
          <w:sz w:val="13"/>
          <w:szCs w:val="13"/>
          <w:color w:val="auto"/>
        </w:rPr>
        <w:t>Represents the portion outstanding of a fully vested warrant issued in January 2003, to purchase 200,000 shares with an exercise price of $1.20 per share and exercisable, in whole or in part, for five years from the date of issuance. The warrant which constitutes an equity compensation arrangement not approved by security holders was issued in exchange for advisory services by non-employees.</w:t>
      </w:r>
    </w:p>
    <w:p>
      <w:pPr>
        <w:spacing w:after="0" w:line="264"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33" w:name="page34"/>
    <w:bookmarkEnd w:id="33"/>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ITEM 6.</w:t>
      </w:r>
      <w:r>
        <w:rPr>
          <w:sz w:val="20"/>
          <w:szCs w:val="20"/>
          <w:color w:val="auto"/>
        </w:rPr>
        <w:tab/>
      </w:r>
      <w:r>
        <w:rPr>
          <w:rFonts w:ascii="Arial" w:cs="Arial" w:eastAsia="Arial" w:hAnsi="Arial"/>
          <w:sz w:val="12"/>
          <w:szCs w:val="12"/>
          <w:b w:val="1"/>
          <w:bCs w:val="1"/>
          <w:i w:val="1"/>
          <w:iCs w:val="1"/>
          <w:color w:val="auto"/>
        </w:rPr>
        <w:t>SELECTED FINANCIAL DATA</w:t>
      </w:r>
    </w:p>
    <w:p>
      <w:pPr>
        <w:spacing w:after="0" w:line="100" w:lineRule="exact"/>
        <w:rPr>
          <w:sz w:val="20"/>
          <w:szCs w:val="20"/>
          <w:color w:val="auto"/>
        </w:rPr>
      </w:pPr>
    </w:p>
    <w:p>
      <w:pPr>
        <w:ind w:left="680" w:right="240" w:firstLine="399"/>
        <w:spacing w:after="0" w:line="264" w:lineRule="auto"/>
        <w:rPr>
          <w:sz w:val="20"/>
          <w:szCs w:val="20"/>
          <w:color w:val="auto"/>
        </w:rPr>
      </w:pPr>
      <w:r>
        <w:rPr>
          <w:rFonts w:ascii="Arial" w:cs="Arial" w:eastAsia="Arial" w:hAnsi="Arial"/>
          <w:sz w:val="13"/>
          <w:szCs w:val="13"/>
          <w:color w:val="auto"/>
        </w:rPr>
        <w:t>The following selected financial and operating data are derived from our audited consolidated financial statements. The selected financial and operating data should be read in conjunction with “Item 7. Management’s Discussion and Analysis of Financial Condition and Results of Operation” and the consolidated financial statements and notes thereto contained elsewhere in this Form 10-K.</w:t>
      </w:r>
    </w:p>
    <w:p>
      <w:pPr>
        <w:spacing w:after="0" w:line="69"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49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460" w:type="dxa"/>
            <w:vAlign w:val="bottom"/>
            <w:tcBorders>
              <w:bottom w:val="single" w:sz="8" w:color="auto"/>
            </w:tcBorders>
            <w:gridSpan w:val="9"/>
          </w:tcPr>
          <w:p>
            <w:pPr>
              <w:jc w:val="right"/>
              <w:ind w:right="240"/>
              <w:spacing w:after="0"/>
              <w:rPr>
                <w:sz w:val="20"/>
                <w:szCs w:val="20"/>
                <w:color w:val="auto"/>
              </w:rPr>
            </w:pPr>
            <w:r>
              <w:rPr>
                <w:rFonts w:ascii="Arial" w:cs="Arial" w:eastAsia="Arial" w:hAnsi="Arial"/>
                <w:sz w:val="10"/>
                <w:szCs w:val="10"/>
                <w:b w:val="1"/>
                <w:bCs w:val="1"/>
                <w:color w:val="auto"/>
                <w:w w:val="97"/>
              </w:rPr>
              <w:t>Year Ended December 31,</w:t>
            </w:r>
          </w:p>
        </w:tc>
        <w:tc>
          <w:tcPr>
            <w:tcW w:w="3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49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jc w:val="right"/>
              <w:spacing w:after="0" w:line="98" w:lineRule="exact"/>
              <w:rPr>
                <w:sz w:val="20"/>
                <w:szCs w:val="20"/>
                <w:color w:val="auto"/>
              </w:rPr>
            </w:pPr>
            <w:r>
              <w:rPr>
                <w:rFonts w:ascii="Arial" w:cs="Arial" w:eastAsia="Arial" w:hAnsi="Arial"/>
                <w:sz w:val="10"/>
                <w:szCs w:val="10"/>
                <w:b w:val="1"/>
                <w:bCs w:val="1"/>
                <w:color w:val="auto"/>
              </w:rPr>
              <w:t>2005</w:t>
            </w:r>
          </w:p>
        </w:tc>
        <w:tc>
          <w:tcPr>
            <w:tcW w:w="1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jc w:val="right"/>
              <w:spacing w:after="0" w:line="98" w:lineRule="exact"/>
              <w:rPr>
                <w:sz w:val="20"/>
                <w:szCs w:val="20"/>
                <w:color w:val="auto"/>
              </w:rPr>
            </w:pPr>
            <w:r>
              <w:rPr>
                <w:rFonts w:ascii="Arial" w:cs="Arial" w:eastAsia="Arial" w:hAnsi="Arial"/>
                <w:sz w:val="10"/>
                <w:szCs w:val="10"/>
                <w:b w:val="1"/>
                <w:bCs w:val="1"/>
                <w:color w:val="auto"/>
              </w:rPr>
              <w:t>2004</w:t>
            </w:r>
          </w:p>
        </w:tc>
        <w:tc>
          <w:tcPr>
            <w:tcW w:w="140" w:type="dxa"/>
            <w:vAlign w:val="bottom"/>
            <w:tcBorders>
              <w:bottom w:val="single" w:sz="8" w:color="auto"/>
            </w:tcBorders>
          </w:tcPr>
          <w:p>
            <w:pPr>
              <w:spacing w:after="0"/>
              <w:rPr>
                <w:sz w:val="8"/>
                <w:szCs w:val="8"/>
                <w:color w:val="auto"/>
              </w:rPr>
            </w:pPr>
          </w:p>
        </w:tc>
        <w:tc>
          <w:tcPr>
            <w:tcW w:w="400" w:type="dxa"/>
            <w:vAlign w:val="bottom"/>
            <w:gridSpan w:val="2"/>
            <w:vMerge w:val="restart"/>
          </w:tcPr>
          <w:p>
            <w:pPr>
              <w:jc w:val="right"/>
              <w:spacing w:after="0"/>
              <w:rPr>
                <w:sz w:val="20"/>
                <w:szCs w:val="20"/>
                <w:color w:val="auto"/>
              </w:rPr>
            </w:pPr>
            <w:r>
              <w:rPr>
                <w:rFonts w:ascii="Arial" w:cs="Arial" w:eastAsia="Arial" w:hAnsi="Arial"/>
                <w:sz w:val="10"/>
                <w:szCs w:val="10"/>
                <w:b w:val="1"/>
                <w:bCs w:val="1"/>
                <w:color w:val="auto"/>
                <w:w w:val="71"/>
              </w:rPr>
              <w:t>thousands,</w:t>
            </w:r>
          </w:p>
        </w:tc>
        <w:tc>
          <w:tcPr>
            <w:tcW w:w="8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jc w:val="right"/>
              <w:spacing w:after="0" w:line="98" w:lineRule="exact"/>
              <w:rPr>
                <w:sz w:val="20"/>
                <w:szCs w:val="20"/>
                <w:color w:val="auto"/>
              </w:rPr>
            </w:pPr>
            <w:r>
              <w:rPr>
                <w:rFonts w:ascii="Arial" w:cs="Arial" w:eastAsia="Arial" w:hAnsi="Arial"/>
                <w:sz w:val="10"/>
                <w:szCs w:val="10"/>
                <w:b w:val="1"/>
                <w:bCs w:val="1"/>
                <w:color w:val="auto"/>
              </w:rPr>
              <w:t>2003</w:t>
            </w:r>
          </w:p>
        </w:tc>
        <w:tc>
          <w:tcPr>
            <w:tcW w:w="1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jc w:val="right"/>
              <w:ind w:right="15"/>
              <w:spacing w:after="0" w:line="98" w:lineRule="exact"/>
              <w:rPr>
                <w:sz w:val="20"/>
                <w:szCs w:val="20"/>
                <w:color w:val="auto"/>
              </w:rPr>
            </w:pPr>
            <w:r>
              <w:rPr>
                <w:rFonts w:ascii="Arial" w:cs="Arial" w:eastAsia="Arial" w:hAnsi="Arial"/>
                <w:sz w:val="10"/>
                <w:szCs w:val="10"/>
                <w:b w:val="1"/>
                <w:bCs w:val="1"/>
                <w:color w:val="auto"/>
              </w:rPr>
              <w:t>2002</w:t>
            </w:r>
          </w:p>
        </w:tc>
        <w:tc>
          <w:tcPr>
            <w:tcW w:w="12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jc w:val="right"/>
              <w:ind w:right="15"/>
              <w:spacing w:after="0" w:line="98" w:lineRule="exact"/>
              <w:rPr>
                <w:sz w:val="20"/>
                <w:szCs w:val="20"/>
                <w:color w:val="auto"/>
              </w:rPr>
            </w:pPr>
            <w:r>
              <w:rPr>
                <w:rFonts w:ascii="Arial" w:cs="Arial" w:eastAsia="Arial" w:hAnsi="Arial"/>
                <w:sz w:val="10"/>
                <w:szCs w:val="10"/>
                <w:b w:val="1"/>
                <w:bCs w:val="1"/>
                <w:color w:val="auto"/>
              </w:rPr>
              <w:t>2001</w:t>
            </w:r>
          </w:p>
        </w:tc>
        <w:tc>
          <w:tcPr>
            <w:tcW w:w="12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1"/>
        </w:trPr>
        <w:tc>
          <w:tcPr>
            <w:tcW w:w="4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gridSpan w:val="2"/>
          </w:tcPr>
          <w:p>
            <w:pPr>
              <w:jc w:val="right"/>
              <w:ind w:right="34"/>
              <w:spacing w:after="0"/>
              <w:rPr>
                <w:sz w:val="20"/>
                <w:szCs w:val="20"/>
                <w:color w:val="auto"/>
              </w:rPr>
            </w:pPr>
            <w:r>
              <w:rPr>
                <w:rFonts w:ascii="Arial" w:cs="Arial" w:eastAsia="Arial" w:hAnsi="Arial"/>
                <w:sz w:val="10"/>
                <w:szCs w:val="10"/>
                <w:b w:val="1"/>
                <w:bCs w:val="1"/>
                <w:color w:val="auto"/>
              </w:rPr>
              <w:t>(In</w:t>
            </w:r>
          </w:p>
        </w:tc>
        <w:tc>
          <w:tcPr>
            <w:tcW w:w="400" w:type="dxa"/>
            <w:vAlign w:val="bottom"/>
            <w:gridSpan w:val="2"/>
            <w:vMerge w:val="continue"/>
          </w:tcPr>
          <w:p>
            <w:pPr>
              <w:spacing w:after="0"/>
              <w:rPr>
                <w:sz w:val="11"/>
                <w:szCs w:val="11"/>
                <w:color w:val="auto"/>
              </w:rPr>
            </w:pPr>
          </w:p>
        </w:tc>
        <w:tc>
          <w:tcPr>
            <w:tcW w:w="580" w:type="dxa"/>
            <w:vAlign w:val="bottom"/>
            <w:gridSpan w:val="4"/>
          </w:tcPr>
          <w:p>
            <w:pPr>
              <w:jc w:val="right"/>
              <w:ind w:right="80"/>
              <w:spacing w:after="0"/>
              <w:rPr>
                <w:sz w:val="20"/>
                <w:szCs w:val="20"/>
                <w:color w:val="auto"/>
              </w:rPr>
            </w:pPr>
            <w:r>
              <w:rPr>
                <w:rFonts w:ascii="Arial" w:cs="Arial" w:eastAsia="Arial" w:hAnsi="Arial"/>
                <w:sz w:val="10"/>
                <w:szCs w:val="10"/>
                <w:b w:val="1"/>
                <w:bCs w:val="1"/>
                <w:color w:val="auto"/>
                <w:w w:val="95"/>
              </w:rPr>
              <w:t>except per</w:t>
            </w:r>
          </w:p>
        </w:tc>
        <w:tc>
          <w:tcPr>
            <w:tcW w:w="1000" w:type="dxa"/>
            <w:vAlign w:val="bottom"/>
            <w:gridSpan w:val="6"/>
          </w:tcPr>
          <w:p>
            <w:pPr>
              <w:jc w:val="right"/>
              <w:ind w:right="360"/>
              <w:spacing w:after="0"/>
              <w:rPr>
                <w:sz w:val="20"/>
                <w:szCs w:val="20"/>
                <w:color w:val="auto"/>
              </w:rPr>
            </w:pPr>
            <w:r>
              <w:rPr>
                <w:rFonts w:ascii="Arial" w:cs="Arial" w:eastAsia="Arial" w:hAnsi="Arial"/>
                <w:sz w:val="10"/>
                <w:szCs w:val="10"/>
                <w:b w:val="1"/>
                <w:bCs w:val="1"/>
                <w:color w:val="auto"/>
                <w:w w:val="83"/>
              </w:rPr>
              <w:t>share amounts)</w:t>
            </w: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4900" w:type="dxa"/>
            <w:vAlign w:val="bottom"/>
            <w:shd w:val="clear" w:color="auto" w:fill="CCEEFF"/>
          </w:tcPr>
          <w:p>
            <w:pPr>
              <w:spacing w:after="0"/>
              <w:rPr>
                <w:sz w:val="20"/>
                <w:szCs w:val="20"/>
                <w:color w:val="auto"/>
              </w:rPr>
            </w:pPr>
            <w:r>
              <w:rPr>
                <w:rFonts w:ascii="Arial" w:cs="Arial" w:eastAsia="Arial" w:hAnsi="Arial"/>
                <w:sz w:val="13"/>
                <w:szCs w:val="13"/>
                <w:color w:val="auto"/>
              </w:rPr>
              <w:t>Consolidated Statement of Operations</w:t>
            </w: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8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4900" w:type="dxa"/>
            <w:vAlign w:val="bottom"/>
          </w:tcPr>
          <w:p>
            <w:pPr>
              <w:ind w:left="140"/>
              <w:spacing w:after="0"/>
              <w:rPr>
                <w:sz w:val="20"/>
                <w:szCs w:val="20"/>
                <w:color w:val="auto"/>
              </w:rPr>
            </w:pPr>
            <w:r>
              <w:rPr>
                <w:rFonts w:ascii="Arial" w:cs="Arial" w:eastAsia="Arial" w:hAnsi="Arial"/>
                <w:sz w:val="13"/>
                <w:szCs w:val="13"/>
                <w:color w:val="auto"/>
              </w:rPr>
              <w:t>Revenue from collaborative and licensing agreements</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520" w:type="dxa"/>
            <w:vAlign w:val="bottom"/>
            <w:gridSpan w:val="3"/>
          </w:tcPr>
          <w:p>
            <w:pPr>
              <w:jc w:val="right"/>
              <w:ind w:right="60"/>
              <w:spacing w:after="0"/>
              <w:rPr>
                <w:sz w:val="20"/>
                <w:szCs w:val="20"/>
                <w:color w:val="auto"/>
              </w:rPr>
            </w:pPr>
            <w:r>
              <w:rPr>
                <w:rFonts w:ascii="Arial" w:cs="Arial" w:eastAsia="Arial" w:hAnsi="Arial"/>
                <w:sz w:val="13"/>
                <w:szCs w:val="13"/>
                <w:color w:val="auto"/>
              </w:rPr>
              <w:t>20</w:t>
            </w:r>
          </w:p>
        </w:tc>
        <w:tc>
          <w:tcPr>
            <w:tcW w:w="46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520" w:type="dxa"/>
            <w:vAlign w:val="bottom"/>
            <w:gridSpan w:val="3"/>
          </w:tcPr>
          <w:p>
            <w:pPr>
              <w:jc w:val="right"/>
              <w:ind w:right="8"/>
              <w:spacing w:after="0"/>
              <w:rPr>
                <w:sz w:val="20"/>
                <w:szCs w:val="20"/>
                <w:color w:val="auto"/>
              </w:rPr>
            </w:pPr>
            <w:r>
              <w:rPr>
                <w:rFonts w:ascii="Arial" w:cs="Arial" w:eastAsia="Arial" w:hAnsi="Arial"/>
                <w:sz w:val="13"/>
                <w:szCs w:val="13"/>
                <w:color w:val="auto"/>
              </w:rPr>
              <w:t>22</w:t>
            </w:r>
          </w:p>
        </w:tc>
        <w:tc>
          <w:tcPr>
            <w:tcW w:w="4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3"/>
                <w:szCs w:val="13"/>
                <w:color w:val="auto"/>
              </w:rPr>
            </w:pPr>
          </w:p>
        </w:tc>
        <w:tc>
          <w:tcPr>
            <w:tcW w:w="500" w:type="dxa"/>
            <w:vAlign w:val="bottom"/>
            <w:gridSpan w:val="3"/>
          </w:tcPr>
          <w:p>
            <w:pPr>
              <w:jc w:val="right"/>
              <w:ind w:right="8"/>
              <w:spacing w:after="0"/>
              <w:rPr>
                <w:sz w:val="20"/>
                <w:szCs w:val="20"/>
                <w:color w:val="auto"/>
              </w:rPr>
            </w:pPr>
            <w:r>
              <w:rPr>
                <w:rFonts w:ascii="Arial" w:cs="Arial" w:eastAsia="Arial" w:hAnsi="Arial"/>
                <w:sz w:val="13"/>
                <w:szCs w:val="13"/>
                <w:color w:val="auto"/>
              </w:rPr>
              <w:t>18</w:t>
            </w:r>
          </w:p>
        </w:tc>
        <w:tc>
          <w:tcPr>
            <w:tcW w:w="42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3"/>
                <w:szCs w:val="13"/>
                <w:color w:val="auto"/>
              </w:rPr>
            </w:pPr>
          </w:p>
        </w:tc>
        <w:tc>
          <w:tcPr>
            <w:tcW w:w="500" w:type="dxa"/>
            <w:vAlign w:val="bottom"/>
            <w:gridSpan w:val="3"/>
          </w:tcPr>
          <w:p>
            <w:pPr>
              <w:jc w:val="right"/>
              <w:ind w:right="40"/>
              <w:spacing w:after="0"/>
              <w:rPr>
                <w:sz w:val="20"/>
                <w:szCs w:val="20"/>
                <w:color w:val="auto"/>
              </w:rPr>
            </w:pPr>
            <w:r>
              <w:rPr>
                <w:rFonts w:ascii="Arial" w:cs="Arial" w:eastAsia="Arial" w:hAnsi="Arial"/>
                <w:sz w:val="13"/>
                <w:szCs w:val="13"/>
                <w:color w:val="auto"/>
              </w:rPr>
              <w:t>40</w:t>
            </w:r>
          </w:p>
        </w:tc>
        <w:tc>
          <w:tcPr>
            <w:tcW w:w="4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3"/>
                <w:szCs w:val="13"/>
                <w:color w:val="auto"/>
              </w:rPr>
            </w:pPr>
          </w:p>
        </w:tc>
        <w:tc>
          <w:tcPr>
            <w:tcW w:w="1020" w:type="dxa"/>
            <w:vAlign w:val="bottom"/>
            <w:gridSpan w:val="4"/>
          </w:tcPr>
          <w:p>
            <w:pPr>
              <w:jc w:val="right"/>
              <w:ind w:right="5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49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Revenue from grants</w:t>
            </w:r>
          </w:p>
        </w:tc>
        <w:tc>
          <w:tcPr>
            <w:tcW w:w="120" w:type="dxa"/>
            <w:vAlign w:val="bottom"/>
            <w:shd w:val="clear" w:color="auto" w:fill="CCEEFF"/>
          </w:tcPr>
          <w:p>
            <w:pPr>
              <w:spacing w:after="0"/>
              <w:rPr>
                <w:sz w:val="13"/>
                <w:szCs w:val="13"/>
                <w:color w:val="auto"/>
              </w:rPr>
            </w:pPr>
          </w:p>
        </w:tc>
        <w:tc>
          <w:tcPr>
            <w:tcW w:w="520" w:type="dxa"/>
            <w:vAlign w:val="bottom"/>
            <w:gridSpan w:val="3"/>
            <w:shd w:val="clear" w:color="auto" w:fill="CCEEFF"/>
          </w:tcPr>
          <w:p>
            <w:pPr>
              <w:jc w:val="right"/>
              <w:ind w:right="60"/>
              <w:spacing w:after="0"/>
              <w:rPr>
                <w:sz w:val="20"/>
                <w:szCs w:val="20"/>
                <w:color w:val="auto"/>
              </w:rPr>
            </w:pPr>
            <w:r>
              <w:rPr>
                <w:rFonts w:ascii="Arial" w:cs="Arial" w:eastAsia="Arial" w:hAnsi="Arial"/>
                <w:sz w:val="13"/>
                <w:szCs w:val="13"/>
                <w:color w:val="auto"/>
              </w:rPr>
              <w:t>186</w:t>
            </w:r>
          </w:p>
        </w:tc>
        <w:tc>
          <w:tcPr>
            <w:tcW w:w="380" w:type="dxa"/>
            <w:vAlign w:val="bottom"/>
            <w:tcBorders>
              <w:righ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gridSpan w:val="3"/>
            <w:shd w:val="clear" w:color="auto" w:fill="CCEEFF"/>
          </w:tcPr>
          <w:p>
            <w:pPr>
              <w:jc w:val="right"/>
              <w:ind w:right="8"/>
              <w:spacing w:after="0"/>
              <w:rPr>
                <w:sz w:val="20"/>
                <w:szCs w:val="20"/>
                <w:color w:val="auto"/>
              </w:rPr>
            </w:pPr>
            <w:r>
              <w:rPr>
                <w:rFonts w:ascii="Arial" w:cs="Arial" w:eastAsia="Arial" w:hAnsi="Arial"/>
                <w:sz w:val="13"/>
                <w:szCs w:val="13"/>
                <w:color w:val="auto"/>
              </w:rPr>
              <w:t>119</w:t>
            </w:r>
          </w:p>
        </w:tc>
        <w:tc>
          <w:tcPr>
            <w:tcW w:w="3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00" w:type="dxa"/>
            <w:vAlign w:val="bottom"/>
            <w:gridSpan w:val="3"/>
            <w:shd w:val="clear" w:color="auto" w:fill="CCEEFF"/>
          </w:tcPr>
          <w:p>
            <w:pPr>
              <w:jc w:val="right"/>
              <w:ind w:right="8"/>
              <w:spacing w:after="0"/>
              <w:rPr>
                <w:sz w:val="20"/>
                <w:szCs w:val="20"/>
                <w:color w:val="auto"/>
              </w:rPr>
            </w:pPr>
            <w:r>
              <w:rPr>
                <w:rFonts w:ascii="Arial" w:cs="Arial" w:eastAsia="Arial" w:hAnsi="Arial"/>
                <w:sz w:val="13"/>
                <w:szCs w:val="13"/>
                <w:color w:val="auto"/>
              </w:rPr>
              <w:t>255</w:t>
            </w:r>
          </w:p>
        </w:tc>
        <w:tc>
          <w:tcPr>
            <w:tcW w:w="3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0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375</w:t>
            </w:r>
          </w:p>
        </w:tc>
        <w:tc>
          <w:tcPr>
            <w:tcW w:w="3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920" w:type="dxa"/>
            <w:vAlign w:val="bottom"/>
            <w:gridSpan w:val="3"/>
            <w:shd w:val="clear" w:color="auto" w:fill="CCEEFF"/>
          </w:tcPr>
          <w:p>
            <w:pPr>
              <w:jc w:val="right"/>
              <w:ind w:right="394"/>
              <w:spacing w:after="0"/>
              <w:rPr>
                <w:sz w:val="20"/>
                <w:szCs w:val="20"/>
                <w:color w:val="auto"/>
              </w:rPr>
            </w:pPr>
            <w:r>
              <w:rPr>
                <w:rFonts w:ascii="Arial" w:cs="Arial" w:eastAsia="Arial" w:hAnsi="Arial"/>
                <w:sz w:val="13"/>
                <w:szCs w:val="13"/>
                <w:color w:val="auto"/>
              </w:rPr>
              <w:t>505</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4900" w:type="dxa"/>
            <w:vAlign w:val="bottom"/>
          </w:tcPr>
          <w:p>
            <w:pPr>
              <w:ind w:left="140"/>
              <w:spacing w:after="0"/>
              <w:rPr>
                <w:sz w:val="20"/>
                <w:szCs w:val="20"/>
                <w:color w:val="auto"/>
              </w:rPr>
            </w:pPr>
            <w:r>
              <w:rPr>
                <w:rFonts w:ascii="Arial" w:cs="Arial" w:eastAsia="Arial" w:hAnsi="Arial"/>
                <w:sz w:val="13"/>
                <w:szCs w:val="13"/>
                <w:color w:val="auto"/>
              </w:rPr>
              <w:t>Revenue from assignment of rights to technology</w:t>
            </w: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0" w:type="dxa"/>
            <w:vAlign w:val="bottom"/>
            <w:gridSpan w:val="2"/>
          </w:tcPr>
          <w:p>
            <w:pPr>
              <w:jc w:val="right"/>
              <w:ind w:right="8"/>
              <w:spacing w:after="0"/>
              <w:rPr>
                <w:sz w:val="20"/>
                <w:szCs w:val="20"/>
                <w:color w:val="auto"/>
              </w:rPr>
            </w:pPr>
            <w:r>
              <w:rPr>
                <w:rFonts w:ascii="Arial" w:cs="Arial" w:eastAsia="Arial" w:hAnsi="Arial"/>
                <w:sz w:val="13"/>
                <w:szCs w:val="13"/>
                <w:color w:val="auto"/>
                <w:w w:val="91"/>
              </w:rPr>
              <w:t>—</w:t>
            </w: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gridSpan w:val="3"/>
          </w:tcPr>
          <w:p>
            <w:pPr>
              <w:jc w:val="right"/>
              <w:ind w:right="8"/>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gridSpan w:val="3"/>
          </w:tcPr>
          <w:p>
            <w:pPr>
              <w:jc w:val="right"/>
              <w:ind w:right="40"/>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20" w:type="dxa"/>
            <w:vAlign w:val="bottom"/>
            <w:gridSpan w:val="3"/>
          </w:tcPr>
          <w:p>
            <w:pPr>
              <w:jc w:val="right"/>
              <w:ind w:right="394"/>
              <w:spacing w:after="0"/>
              <w:rPr>
                <w:sz w:val="20"/>
                <w:szCs w:val="20"/>
                <w:color w:val="auto"/>
              </w:rPr>
            </w:pPr>
            <w:r>
              <w:rPr>
                <w:rFonts w:ascii="Arial" w:cs="Arial" w:eastAsia="Arial" w:hAnsi="Arial"/>
                <w:sz w:val="13"/>
                <w:szCs w:val="13"/>
                <w:color w:val="auto"/>
              </w:rPr>
              <w:t>300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4900" w:type="dxa"/>
            <w:vAlign w:val="bottom"/>
            <w:shd w:val="clear" w:color="auto" w:fill="CCEEFF"/>
          </w:tcPr>
          <w:p>
            <w:pPr>
              <w:spacing w:after="0"/>
              <w:rPr>
                <w:sz w:val="20"/>
                <w:szCs w:val="20"/>
                <w:color w:val="auto"/>
              </w:rPr>
            </w:pPr>
            <w:r>
              <w:rPr>
                <w:rFonts w:ascii="Arial" w:cs="Arial" w:eastAsia="Arial" w:hAnsi="Arial"/>
                <w:sz w:val="13"/>
                <w:szCs w:val="13"/>
                <w:color w:val="auto"/>
              </w:rPr>
              <w:t>Total revenue</w:t>
            </w:r>
          </w:p>
        </w:tc>
        <w:tc>
          <w:tcPr>
            <w:tcW w:w="120" w:type="dxa"/>
            <w:vAlign w:val="bottom"/>
            <w:shd w:val="clear" w:color="auto" w:fill="CCEEFF"/>
          </w:tcPr>
          <w:p>
            <w:pPr>
              <w:spacing w:after="0"/>
              <w:rPr>
                <w:sz w:val="13"/>
                <w:szCs w:val="13"/>
                <w:color w:val="auto"/>
              </w:rPr>
            </w:pPr>
          </w:p>
        </w:tc>
        <w:tc>
          <w:tcPr>
            <w:tcW w:w="520" w:type="dxa"/>
            <w:vAlign w:val="bottom"/>
            <w:gridSpan w:val="3"/>
            <w:shd w:val="clear" w:color="auto" w:fill="CCEEFF"/>
          </w:tcPr>
          <w:p>
            <w:pPr>
              <w:jc w:val="right"/>
              <w:ind w:right="60"/>
              <w:spacing w:after="0"/>
              <w:rPr>
                <w:sz w:val="20"/>
                <w:szCs w:val="20"/>
                <w:color w:val="auto"/>
              </w:rPr>
            </w:pPr>
            <w:r>
              <w:rPr>
                <w:rFonts w:ascii="Arial" w:cs="Arial" w:eastAsia="Arial" w:hAnsi="Arial"/>
                <w:sz w:val="13"/>
                <w:szCs w:val="13"/>
                <w:color w:val="auto"/>
              </w:rPr>
              <w:t>206</w:t>
            </w:r>
          </w:p>
        </w:tc>
        <w:tc>
          <w:tcPr>
            <w:tcW w:w="380" w:type="dxa"/>
            <w:vAlign w:val="bottom"/>
            <w:tcBorders>
              <w:righ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gridSpan w:val="3"/>
            <w:shd w:val="clear" w:color="auto" w:fill="CCEEFF"/>
          </w:tcPr>
          <w:p>
            <w:pPr>
              <w:jc w:val="right"/>
              <w:ind w:right="8"/>
              <w:spacing w:after="0"/>
              <w:rPr>
                <w:sz w:val="20"/>
                <w:szCs w:val="20"/>
                <w:color w:val="auto"/>
              </w:rPr>
            </w:pPr>
            <w:r>
              <w:rPr>
                <w:rFonts w:ascii="Arial" w:cs="Arial" w:eastAsia="Arial" w:hAnsi="Arial"/>
                <w:sz w:val="13"/>
                <w:szCs w:val="13"/>
                <w:color w:val="auto"/>
              </w:rPr>
              <w:t>141</w:t>
            </w:r>
          </w:p>
        </w:tc>
        <w:tc>
          <w:tcPr>
            <w:tcW w:w="3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00" w:type="dxa"/>
            <w:vAlign w:val="bottom"/>
            <w:gridSpan w:val="3"/>
            <w:shd w:val="clear" w:color="auto" w:fill="CCEEFF"/>
          </w:tcPr>
          <w:p>
            <w:pPr>
              <w:jc w:val="right"/>
              <w:ind w:right="8"/>
              <w:spacing w:after="0"/>
              <w:rPr>
                <w:sz w:val="20"/>
                <w:szCs w:val="20"/>
                <w:color w:val="auto"/>
              </w:rPr>
            </w:pPr>
            <w:r>
              <w:rPr>
                <w:rFonts w:ascii="Arial" w:cs="Arial" w:eastAsia="Arial" w:hAnsi="Arial"/>
                <w:sz w:val="13"/>
                <w:szCs w:val="13"/>
                <w:color w:val="auto"/>
              </w:rPr>
              <w:t>273</w:t>
            </w:r>
          </w:p>
        </w:tc>
        <w:tc>
          <w:tcPr>
            <w:tcW w:w="3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0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415</w:t>
            </w:r>
          </w:p>
        </w:tc>
        <w:tc>
          <w:tcPr>
            <w:tcW w:w="3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920" w:type="dxa"/>
            <w:vAlign w:val="bottom"/>
            <w:gridSpan w:val="3"/>
            <w:shd w:val="clear" w:color="auto" w:fill="CCEEFF"/>
          </w:tcPr>
          <w:p>
            <w:pPr>
              <w:jc w:val="right"/>
              <w:ind w:right="394"/>
              <w:spacing w:after="0"/>
              <w:rPr>
                <w:sz w:val="20"/>
                <w:szCs w:val="20"/>
                <w:color w:val="auto"/>
              </w:rPr>
            </w:pPr>
            <w:r>
              <w:rPr>
                <w:rFonts w:ascii="Arial" w:cs="Arial" w:eastAsia="Arial" w:hAnsi="Arial"/>
                <w:sz w:val="13"/>
                <w:szCs w:val="13"/>
                <w:color w:val="auto"/>
              </w:rPr>
              <w:t>805</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4900" w:type="dxa"/>
            <w:vAlign w:val="bottom"/>
          </w:tcPr>
          <w:p>
            <w:pPr>
              <w:spacing w:after="0"/>
              <w:rPr>
                <w:sz w:val="20"/>
                <w:szCs w:val="20"/>
                <w:color w:val="auto"/>
              </w:rPr>
            </w:pPr>
            <w:r>
              <w:rPr>
                <w:rFonts w:ascii="Arial" w:cs="Arial" w:eastAsia="Arial" w:hAnsi="Arial"/>
                <w:sz w:val="13"/>
                <w:szCs w:val="13"/>
                <w:color w:val="auto"/>
              </w:rPr>
              <w:t>Research and development expenses</w:t>
            </w:r>
          </w:p>
        </w:tc>
        <w:tc>
          <w:tcPr>
            <w:tcW w:w="120" w:type="dxa"/>
            <w:vAlign w:val="bottom"/>
          </w:tcPr>
          <w:p>
            <w:pPr>
              <w:spacing w:after="0"/>
              <w:rPr>
                <w:sz w:val="13"/>
                <w:szCs w:val="13"/>
                <w:color w:val="auto"/>
              </w:rPr>
            </w:pPr>
          </w:p>
        </w:tc>
        <w:tc>
          <w:tcPr>
            <w:tcW w:w="520" w:type="dxa"/>
            <w:vAlign w:val="bottom"/>
            <w:gridSpan w:val="3"/>
          </w:tcPr>
          <w:p>
            <w:pPr>
              <w:jc w:val="right"/>
              <w:ind w:right="60"/>
              <w:spacing w:after="0"/>
              <w:rPr>
                <w:sz w:val="20"/>
                <w:szCs w:val="20"/>
                <w:color w:val="auto"/>
              </w:rPr>
            </w:pPr>
            <w:r>
              <w:rPr>
                <w:rFonts w:ascii="Arial" w:cs="Arial" w:eastAsia="Arial" w:hAnsi="Arial"/>
                <w:sz w:val="13"/>
                <w:szCs w:val="13"/>
                <w:color w:val="auto"/>
              </w:rPr>
              <w:t>8,929</w:t>
            </w: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gridSpan w:val="3"/>
          </w:tcPr>
          <w:p>
            <w:pPr>
              <w:jc w:val="right"/>
              <w:ind w:right="8"/>
              <w:spacing w:after="0"/>
              <w:rPr>
                <w:sz w:val="20"/>
                <w:szCs w:val="20"/>
                <w:color w:val="auto"/>
              </w:rPr>
            </w:pPr>
            <w:r>
              <w:rPr>
                <w:rFonts w:ascii="Arial" w:cs="Arial" w:eastAsia="Arial" w:hAnsi="Arial"/>
                <w:sz w:val="13"/>
                <w:szCs w:val="13"/>
                <w:color w:val="auto"/>
              </w:rPr>
              <w:t>8,760</w:t>
            </w: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gridSpan w:val="3"/>
          </w:tcPr>
          <w:p>
            <w:pPr>
              <w:jc w:val="right"/>
              <w:ind w:right="8"/>
              <w:spacing w:after="0"/>
              <w:rPr>
                <w:sz w:val="20"/>
                <w:szCs w:val="20"/>
                <w:color w:val="auto"/>
              </w:rPr>
            </w:pPr>
            <w:r>
              <w:rPr>
                <w:rFonts w:ascii="Arial" w:cs="Arial" w:eastAsia="Arial" w:hAnsi="Arial"/>
                <w:sz w:val="13"/>
                <w:szCs w:val="13"/>
                <w:color w:val="auto"/>
              </w:rPr>
              <w:t>6,144</w:t>
            </w: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gridSpan w:val="3"/>
          </w:tcPr>
          <w:p>
            <w:pPr>
              <w:jc w:val="right"/>
              <w:ind w:right="40"/>
              <w:spacing w:after="0"/>
              <w:rPr>
                <w:sz w:val="20"/>
                <w:szCs w:val="20"/>
                <w:color w:val="auto"/>
              </w:rPr>
            </w:pPr>
            <w:r>
              <w:rPr>
                <w:rFonts w:ascii="Arial" w:cs="Arial" w:eastAsia="Arial" w:hAnsi="Arial"/>
                <w:sz w:val="13"/>
                <w:szCs w:val="13"/>
                <w:color w:val="auto"/>
              </w:rPr>
              <w:t>7,382</w:t>
            </w: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20" w:type="dxa"/>
            <w:vAlign w:val="bottom"/>
            <w:gridSpan w:val="3"/>
          </w:tcPr>
          <w:p>
            <w:pPr>
              <w:jc w:val="right"/>
              <w:ind w:right="394"/>
              <w:spacing w:after="0"/>
              <w:rPr>
                <w:sz w:val="20"/>
                <w:szCs w:val="20"/>
                <w:color w:val="auto"/>
              </w:rPr>
            </w:pPr>
            <w:r>
              <w:rPr>
                <w:rFonts w:ascii="Arial" w:cs="Arial" w:eastAsia="Arial" w:hAnsi="Arial"/>
                <w:sz w:val="13"/>
                <w:szCs w:val="13"/>
                <w:color w:val="auto"/>
              </w:rPr>
              <w:t>8,603</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4900" w:type="dxa"/>
            <w:vAlign w:val="bottom"/>
            <w:shd w:val="clear" w:color="auto" w:fill="CCEEFF"/>
          </w:tcPr>
          <w:p>
            <w:pPr>
              <w:spacing w:after="0"/>
              <w:rPr>
                <w:sz w:val="20"/>
                <w:szCs w:val="20"/>
                <w:color w:val="auto"/>
              </w:rPr>
            </w:pPr>
            <w:r>
              <w:rPr>
                <w:rFonts w:ascii="Arial" w:cs="Arial" w:eastAsia="Arial" w:hAnsi="Arial"/>
                <w:sz w:val="13"/>
                <w:szCs w:val="13"/>
                <w:color w:val="auto"/>
              </w:rPr>
              <w:t>General and administrative expenses</w:t>
            </w:r>
          </w:p>
        </w:tc>
        <w:tc>
          <w:tcPr>
            <w:tcW w:w="120" w:type="dxa"/>
            <w:vAlign w:val="bottom"/>
            <w:shd w:val="clear" w:color="auto" w:fill="CCEEFF"/>
          </w:tcPr>
          <w:p>
            <w:pPr>
              <w:spacing w:after="0"/>
              <w:rPr>
                <w:sz w:val="13"/>
                <w:szCs w:val="13"/>
                <w:color w:val="auto"/>
              </w:rPr>
            </w:pPr>
          </w:p>
        </w:tc>
        <w:tc>
          <w:tcPr>
            <w:tcW w:w="520" w:type="dxa"/>
            <w:vAlign w:val="bottom"/>
            <w:gridSpan w:val="3"/>
            <w:shd w:val="clear" w:color="auto" w:fill="CCEEFF"/>
          </w:tcPr>
          <w:p>
            <w:pPr>
              <w:jc w:val="right"/>
              <w:ind w:right="60"/>
              <w:spacing w:after="0"/>
              <w:rPr>
                <w:sz w:val="20"/>
                <w:szCs w:val="20"/>
                <w:color w:val="auto"/>
              </w:rPr>
            </w:pPr>
            <w:r>
              <w:rPr>
                <w:rFonts w:ascii="Arial" w:cs="Arial" w:eastAsia="Arial" w:hAnsi="Arial"/>
                <w:sz w:val="13"/>
                <w:szCs w:val="13"/>
                <w:color w:val="auto"/>
              </w:rPr>
              <w:t>4,837</w:t>
            </w:r>
          </w:p>
        </w:tc>
        <w:tc>
          <w:tcPr>
            <w:tcW w:w="380" w:type="dxa"/>
            <w:vAlign w:val="bottom"/>
            <w:tcBorders>
              <w:righ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gridSpan w:val="3"/>
            <w:shd w:val="clear" w:color="auto" w:fill="CCEEFF"/>
          </w:tcPr>
          <w:p>
            <w:pPr>
              <w:jc w:val="right"/>
              <w:ind w:right="8"/>
              <w:spacing w:after="0"/>
              <w:rPr>
                <w:sz w:val="20"/>
                <w:szCs w:val="20"/>
                <w:color w:val="auto"/>
              </w:rPr>
            </w:pPr>
            <w:r>
              <w:rPr>
                <w:rFonts w:ascii="Arial" w:cs="Arial" w:eastAsia="Arial" w:hAnsi="Arial"/>
                <w:sz w:val="13"/>
                <w:szCs w:val="13"/>
                <w:color w:val="auto"/>
              </w:rPr>
              <w:t>3,954</w:t>
            </w:r>
          </w:p>
        </w:tc>
        <w:tc>
          <w:tcPr>
            <w:tcW w:w="3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00" w:type="dxa"/>
            <w:vAlign w:val="bottom"/>
            <w:gridSpan w:val="3"/>
            <w:shd w:val="clear" w:color="auto" w:fill="CCEEFF"/>
          </w:tcPr>
          <w:p>
            <w:pPr>
              <w:jc w:val="right"/>
              <w:ind w:right="8"/>
              <w:spacing w:after="0"/>
              <w:rPr>
                <w:sz w:val="20"/>
                <w:szCs w:val="20"/>
                <w:color w:val="auto"/>
              </w:rPr>
            </w:pPr>
            <w:r>
              <w:rPr>
                <w:rFonts w:ascii="Arial" w:cs="Arial" w:eastAsia="Arial" w:hAnsi="Arial"/>
                <w:sz w:val="13"/>
                <w:szCs w:val="13"/>
                <w:color w:val="auto"/>
              </w:rPr>
              <w:t>3,391</w:t>
            </w:r>
          </w:p>
        </w:tc>
        <w:tc>
          <w:tcPr>
            <w:tcW w:w="3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0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3,359</w:t>
            </w:r>
          </w:p>
        </w:tc>
        <w:tc>
          <w:tcPr>
            <w:tcW w:w="3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920" w:type="dxa"/>
            <w:vAlign w:val="bottom"/>
            <w:gridSpan w:val="3"/>
            <w:shd w:val="clear" w:color="auto" w:fill="CCEEFF"/>
          </w:tcPr>
          <w:p>
            <w:pPr>
              <w:jc w:val="right"/>
              <w:ind w:right="394"/>
              <w:spacing w:after="0"/>
              <w:rPr>
                <w:sz w:val="20"/>
                <w:szCs w:val="20"/>
                <w:color w:val="auto"/>
              </w:rPr>
            </w:pPr>
            <w:r>
              <w:rPr>
                <w:rFonts w:ascii="Arial" w:cs="Arial" w:eastAsia="Arial" w:hAnsi="Arial"/>
                <w:sz w:val="13"/>
                <w:szCs w:val="13"/>
                <w:color w:val="auto"/>
              </w:rPr>
              <w:t>3,788</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4900" w:type="dxa"/>
            <w:vAlign w:val="bottom"/>
          </w:tcPr>
          <w:p>
            <w:pPr>
              <w:spacing w:after="0"/>
              <w:rPr>
                <w:sz w:val="20"/>
                <w:szCs w:val="20"/>
                <w:color w:val="auto"/>
              </w:rPr>
            </w:pPr>
            <w:r>
              <w:rPr>
                <w:rFonts w:ascii="Arial" w:cs="Arial" w:eastAsia="Arial" w:hAnsi="Arial"/>
                <w:sz w:val="13"/>
                <w:szCs w:val="13"/>
                <w:color w:val="auto"/>
              </w:rPr>
              <w:t>Encapsulated Cell Technology (ECT) wind-down and corporate relocation(1)</w:t>
            </w:r>
          </w:p>
        </w:tc>
        <w:tc>
          <w:tcPr>
            <w:tcW w:w="120" w:type="dxa"/>
            <w:vAlign w:val="bottom"/>
          </w:tcPr>
          <w:p>
            <w:pPr>
              <w:spacing w:after="0"/>
              <w:rPr>
                <w:sz w:val="13"/>
                <w:szCs w:val="13"/>
                <w:color w:val="auto"/>
              </w:rPr>
            </w:pPr>
          </w:p>
        </w:tc>
        <w:tc>
          <w:tcPr>
            <w:tcW w:w="520" w:type="dxa"/>
            <w:vAlign w:val="bottom"/>
            <w:gridSpan w:val="3"/>
          </w:tcPr>
          <w:p>
            <w:pPr>
              <w:jc w:val="right"/>
              <w:ind w:right="60"/>
              <w:spacing w:after="0"/>
              <w:rPr>
                <w:sz w:val="20"/>
                <w:szCs w:val="20"/>
                <w:color w:val="auto"/>
              </w:rPr>
            </w:pPr>
            <w:r>
              <w:rPr>
                <w:rFonts w:ascii="Arial" w:cs="Arial" w:eastAsia="Arial" w:hAnsi="Arial"/>
                <w:sz w:val="13"/>
                <w:szCs w:val="13"/>
                <w:color w:val="auto"/>
              </w:rPr>
              <w:t>2,827</w:t>
            </w: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gridSpan w:val="3"/>
          </w:tcPr>
          <w:p>
            <w:pPr>
              <w:jc w:val="right"/>
              <w:ind w:right="8"/>
              <w:spacing w:after="0"/>
              <w:rPr>
                <w:sz w:val="20"/>
                <w:szCs w:val="20"/>
                <w:color w:val="auto"/>
              </w:rPr>
            </w:pPr>
            <w:r>
              <w:rPr>
                <w:rFonts w:ascii="Arial" w:cs="Arial" w:eastAsia="Arial" w:hAnsi="Arial"/>
                <w:sz w:val="13"/>
                <w:szCs w:val="13"/>
                <w:color w:val="auto"/>
              </w:rPr>
              <w:t>2,827</w:t>
            </w: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gridSpan w:val="3"/>
          </w:tcPr>
          <w:p>
            <w:pPr>
              <w:jc w:val="right"/>
              <w:ind w:right="8"/>
              <w:spacing w:after="0"/>
              <w:rPr>
                <w:sz w:val="20"/>
                <w:szCs w:val="20"/>
                <w:color w:val="auto"/>
              </w:rPr>
            </w:pPr>
            <w:r>
              <w:rPr>
                <w:rFonts w:ascii="Arial" w:cs="Arial" w:eastAsia="Arial" w:hAnsi="Arial"/>
                <w:sz w:val="13"/>
                <w:szCs w:val="13"/>
                <w:color w:val="auto"/>
              </w:rPr>
              <w:t>2,885</w:t>
            </w: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gridSpan w:val="3"/>
          </w:tcPr>
          <w:p>
            <w:pPr>
              <w:jc w:val="right"/>
              <w:ind w:right="40"/>
              <w:spacing w:after="0"/>
              <w:rPr>
                <w:sz w:val="20"/>
                <w:szCs w:val="20"/>
                <w:color w:val="auto"/>
              </w:rPr>
            </w:pPr>
            <w:r>
              <w:rPr>
                <w:rFonts w:ascii="Arial" w:cs="Arial" w:eastAsia="Arial" w:hAnsi="Arial"/>
                <w:sz w:val="13"/>
                <w:szCs w:val="13"/>
                <w:color w:val="auto"/>
              </w:rPr>
              <w:t>1,164</w:t>
            </w: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20" w:type="dxa"/>
            <w:vAlign w:val="bottom"/>
            <w:gridSpan w:val="3"/>
          </w:tcPr>
          <w:p>
            <w:pPr>
              <w:jc w:val="right"/>
              <w:ind w:right="394"/>
              <w:spacing w:after="0"/>
              <w:rPr>
                <w:sz w:val="20"/>
                <w:szCs w:val="20"/>
                <w:color w:val="auto"/>
              </w:rPr>
            </w:pPr>
            <w:r>
              <w:rPr>
                <w:rFonts w:ascii="Arial" w:cs="Arial" w:eastAsia="Arial" w:hAnsi="Arial"/>
                <w:sz w:val="13"/>
                <w:szCs w:val="13"/>
                <w:color w:val="auto"/>
              </w:rPr>
              <w:t>575</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4900" w:type="dxa"/>
            <w:vAlign w:val="bottom"/>
            <w:shd w:val="clear" w:color="auto" w:fill="CCEEFF"/>
          </w:tcPr>
          <w:p>
            <w:pPr>
              <w:spacing w:after="0"/>
              <w:rPr>
                <w:sz w:val="20"/>
                <w:szCs w:val="20"/>
                <w:color w:val="auto"/>
              </w:rPr>
            </w:pPr>
            <w:r>
              <w:rPr>
                <w:rFonts w:ascii="Arial" w:cs="Arial" w:eastAsia="Arial" w:hAnsi="Arial"/>
                <w:sz w:val="13"/>
                <w:szCs w:val="13"/>
                <w:color w:val="auto"/>
              </w:rPr>
              <w:t>License &amp; settlement agreement, net(2)</w:t>
            </w:r>
          </w:p>
        </w:tc>
        <w:tc>
          <w:tcPr>
            <w:tcW w:w="120" w:type="dxa"/>
            <w:vAlign w:val="bottom"/>
            <w:shd w:val="clear" w:color="auto" w:fill="CCEEFF"/>
          </w:tcPr>
          <w:p>
            <w:pPr>
              <w:spacing w:after="0"/>
              <w:rPr>
                <w:sz w:val="13"/>
                <w:szCs w:val="13"/>
                <w:color w:val="auto"/>
              </w:rPr>
            </w:pPr>
          </w:p>
        </w:tc>
        <w:tc>
          <w:tcPr>
            <w:tcW w:w="520" w:type="dxa"/>
            <w:vAlign w:val="bottom"/>
            <w:gridSpan w:val="3"/>
            <w:shd w:val="clear" w:color="auto" w:fill="CCEEFF"/>
          </w:tcPr>
          <w:p>
            <w:pPr>
              <w:jc w:val="right"/>
              <w:ind w:right="60"/>
              <w:spacing w:after="0"/>
              <w:rPr>
                <w:sz w:val="20"/>
                <w:szCs w:val="20"/>
                <w:color w:val="auto"/>
              </w:rPr>
            </w:pPr>
            <w:r>
              <w:rPr>
                <w:rFonts w:ascii="Arial" w:cs="Arial" w:eastAsia="Arial" w:hAnsi="Arial"/>
                <w:sz w:val="13"/>
                <w:szCs w:val="13"/>
                <w:color w:val="auto"/>
              </w:rPr>
              <w:t>3,736</w:t>
            </w:r>
          </w:p>
        </w:tc>
        <w:tc>
          <w:tcPr>
            <w:tcW w:w="380" w:type="dxa"/>
            <w:vAlign w:val="bottom"/>
            <w:tcBorders>
              <w:righ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200" w:type="dxa"/>
            <w:vAlign w:val="bottom"/>
            <w:gridSpan w:val="2"/>
            <w:shd w:val="clear" w:color="auto" w:fill="CCEEFF"/>
          </w:tcPr>
          <w:p>
            <w:pPr>
              <w:jc w:val="right"/>
              <w:ind w:right="8"/>
              <w:spacing w:after="0"/>
              <w:rPr>
                <w:sz w:val="20"/>
                <w:szCs w:val="20"/>
                <w:color w:val="auto"/>
              </w:rPr>
            </w:pPr>
            <w:r>
              <w:rPr>
                <w:rFonts w:ascii="Arial" w:cs="Arial" w:eastAsia="Arial" w:hAnsi="Arial"/>
                <w:sz w:val="13"/>
                <w:szCs w:val="13"/>
                <w:color w:val="auto"/>
                <w:w w:val="91"/>
              </w:rPr>
              <w:t>—</w:t>
            </w:r>
          </w:p>
        </w:tc>
        <w:tc>
          <w:tcPr>
            <w:tcW w:w="3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00" w:type="dxa"/>
            <w:vAlign w:val="bottom"/>
            <w:gridSpan w:val="3"/>
            <w:shd w:val="clear" w:color="auto" w:fill="CCEEFF"/>
          </w:tcPr>
          <w:p>
            <w:pPr>
              <w:jc w:val="right"/>
              <w:ind w:right="8"/>
              <w:spacing w:after="0"/>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0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20" w:type="dxa"/>
            <w:vAlign w:val="bottom"/>
            <w:gridSpan w:val="4"/>
            <w:shd w:val="clear" w:color="auto" w:fill="CCEEFF"/>
          </w:tcPr>
          <w:p>
            <w:pPr>
              <w:jc w:val="right"/>
              <w:ind w:right="5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4900" w:type="dxa"/>
            <w:vAlign w:val="bottom"/>
          </w:tcPr>
          <w:p>
            <w:pPr>
              <w:spacing w:after="0"/>
              <w:rPr>
                <w:sz w:val="20"/>
                <w:szCs w:val="20"/>
                <w:color w:val="auto"/>
              </w:rPr>
            </w:pPr>
            <w:r>
              <w:rPr>
                <w:rFonts w:ascii="Arial" w:cs="Arial" w:eastAsia="Arial" w:hAnsi="Arial"/>
                <w:sz w:val="13"/>
                <w:szCs w:val="13"/>
                <w:color w:val="auto"/>
                <w:w w:val="98"/>
              </w:rPr>
              <w:t>Loss before deemed dividends and cumulative effect of change in accounting principle</w:t>
            </w:r>
          </w:p>
        </w:tc>
        <w:tc>
          <w:tcPr>
            <w:tcW w:w="120" w:type="dxa"/>
            <w:vAlign w:val="bottom"/>
          </w:tcPr>
          <w:p>
            <w:pPr>
              <w:spacing w:after="0"/>
              <w:rPr>
                <w:sz w:val="13"/>
                <w:szCs w:val="13"/>
                <w:color w:val="auto"/>
              </w:rPr>
            </w:pPr>
          </w:p>
        </w:tc>
        <w:tc>
          <w:tcPr>
            <w:tcW w:w="520" w:type="dxa"/>
            <w:vAlign w:val="bottom"/>
            <w:gridSpan w:val="3"/>
          </w:tcPr>
          <w:p>
            <w:pPr>
              <w:jc w:val="right"/>
              <w:ind w:right="20"/>
              <w:spacing w:after="0"/>
              <w:rPr>
                <w:sz w:val="20"/>
                <w:szCs w:val="20"/>
                <w:color w:val="auto"/>
              </w:rPr>
            </w:pPr>
            <w:r>
              <w:rPr>
                <w:rFonts w:ascii="Arial" w:cs="Arial" w:eastAsia="Arial" w:hAnsi="Arial"/>
                <w:sz w:val="13"/>
                <w:szCs w:val="13"/>
                <w:color w:val="auto"/>
                <w:w w:val="99"/>
              </w:rPr>
              <w:t>(11,738)</w:t>
            </w: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gridSpan w:val="3"/>
          </w:tcPr>
          <w:p>
            <w:pPr>
              <w:jc w:val="right"/>
              <w:spacing w:after="0"/>
              <w:rPr>
                <w:sz w:val="20"/>
                <w:szCs w:val="20"/>
                <w:color w:val="auto"/>
              </w:rPr>
            </w:pPr>
            <w:r>
              <w:rPr>
                <w:rFonts w:ascii="Arial" w:cs="Arial" w:eastAsia="Arial" w:hAnsi="Arial"/>
                <w:sz w:val="13"/>
                <w:szCs w:val="13"/>
                <w:color w:val="auto"/>
                <w:w w:val="99"/>
              </w:rPr>
              <w:t>(15,330)</w:t>
            </w: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gridSpan w:val="3"/>
          </w:tcPr>
          <w:p>
            <w:pPr>
              <w:jc w:val="right"/>
              <w:spacing w:after="0"/>
              <w:rPr>
                <w:sz w:val="20"/>
                <w:szCs w:val="20"/>
                <w:color w:val="auto"/>
              </w:rPr>
            </w:pPr>
            <w:r>
              <w:rPr>
                <w:rFonts w:ascii="Arial" w:cs="Arial" w:eastAsia="Arial" w:hAnsi="Arial"/>
                <w:sz w:val="13"/>
                <w:szCs w:val="13"/>
                <w:color w:val="auto"/>
                <w:w w:val="99"/>
              </w:rPr>
              <w:t>(12,291)</w:t>
            </w: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gridSpan w:val="3"/>
          </w:tcPr>
          <w:p>
            <w:pPr>
              <w:jc w:val="right"/>
              <w:spacing w:after="0"/>
              <w:rPr>
                <w:sz w:val="20"/>
                <w:szCs w:val="20"/>
                <w:color w:val="auto"/>
              </w:rPr>
            </w:pPr>
            <w:r>
              <w:rPr>
                <w:rFonts w:ascii="Arial" w:cs="Arial" w:eastAsia="Arial" w:hAnsi="Arial"/>
                <w:sz w:val="13"/>
                <w:szCs w:val="13"/>
                <w:color w:val="auto"/>
                <w:w w:val="99"/>
              </w:rPr>
              <w:t>(11,644)</w:t>
            </w: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20" w:type="dxa"/>
            <w:vAlign w:val="bottom"/>
            <w:gridSpan w:val="3"/>
          </w:tcPr>
          <w:p>
            <w:pPr>
              <w:jc w:val="right"/>
              <w:ind w:right="354"/>
              <w:spacing w:after="0"/>
              <w:rPr>
                <w:sz w:val="20"/>
                <w:szCs w:val="20"/>
                <w:color w:val="auto"/>
              </w:rPr>
            </w:pPr>
            <w:r>
              <w:rPr>
                <w:rFonts w:ascii="Arial" w:cs="Arial" w:eastAsia="Arial" w:hAnsi="Arial"/>
                <w:sz w:val="13"/>
                <w:szCs w:val="13"/>
                <w:color w:val="auto"/>
              </w:rPr>
              <w:t>(4,021)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4900" w:type="dxa"/>
            <w:vAlign w:val="bottom"/>
            <w:shd w:val="clear" w:color="auto" w:fill="CCEEFF"/>
          </w:tcPr>
          <w:p>
            <w:pPr>
              <w:spacing w:after="0"/>
              <w:rPr>
                <w:sz w:val="20"/>
                <w:szCs w:val="20"/>
                <w:color w:val="auto"/>
              </w:rPr>
            </w:pPr>
            <w:r>
              <w:rPr>
                <w:rFonts w:ascii="Arial" w:cs="Arial" w:eastAsia="Arial" w:hAnsi="Arial"/>
                <w:sz w:val="13"/>
                <w:szCs w:val="13"/>
                <w:color w:val="auto"/>
              </w:rPr>
              <w:t>Net loss applicable to common stockholders</w:t>
            </w:r>
          </w:p>
        </w:tc>
        <w:tc>
          <w:tcPr>
            <w:tcW w:w="120" w:type="dxa"/>
            <w:vAlign w:val="bottom"/>
            <w:shd w:val="clear" w:color="auto" w:fill="CCEEFF"/>
          </w:tcPr>
          <w:p>
            <w:pPr>
              <w:spacing w:after="0"/>
              <w:rPr>
                <w:sz w:val="13"/>
                <w:szCs w:val="13"/>
                <w:color w:val="auto"/>
              </w:rPr>
            </w:pPr>
          </w:p>
        </w:tc>
        <w:tc>
          <w:tcPr>
            <w:tcW w:w="520" w:type="dxa"/>
            <w:vAlign w:val="bottom"/>
            <w:gridSpan w:val="3"/>
            <w:shd w:val="clear" w:color="auto" w:fill="CCEEFF"/>
          </w:tcPr>
          <w:p>
            <w:pPr>
              <w:jc w:val="right"/>
              <w:ind w:right="20"/>
              <w:spacing w:after="0"/>
              <w:rPr>
                <w:sz w:val="20"/>
                <w:szCs w:val="20"/>
                <w:color w:val="auto"/>
              </w:rPr>
            </w:pPr>
            <w:r>
              <w:rPr>
                <w:rFonts w:ascii="Arial" w:cs="Arial" w:eastAsia="Arial" w:hAnsi="Arial"/>
                <w:sz w:val="13"/>
                <w:szCs w:val="13"/>
                <w:color w:val="auto"/>
                <w:w w:val="99"/>
              </w:rPr>
              <w:t>(11,738)</w:t>
            </w:r>
          </w:p>
        </w:tc>
        <w:tc>
          <w:tcPr>
            <w:tcW w:w="380" w:type="dxa"/>
            <w:vAlign w:val="bottom"/>
            <w:tcBorders>
              <w:righ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w w:val="99"/>
              </w:rPr>
              <w:t>(15,330)</w:t>
            </w:r>
          </w:p>
        </w:tc>
        <w:tc>
          <w:tcPr>
            <w:tcW w:w="3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0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w w:val="99"/>
              </w:rPr>
              <w:t>(14,425)</w:t>
            </w:r>
          </w:p>
        </w:tc>
        <w:tc>
          <w:tcPr>
            <w:tcW w:w="3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0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w w:val="99"/>
              </w:rPr>
              <w:t>(13,276)</w:t>
            </w:r>
          </w:p>
        </w:tc>
        <w:tc>
          <w:tcPr>
            <w:tcW w:w="3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920" w:type="dxa"/>
            <w:vAlign w:val="bottom"/>
            <w:gridSpan w:val="3"/>
            <w:shd w:val="clear" w:color="auto" w:fill="CCEEFF"/>
          </w:tcPr>
          <w:p>
            <w:pPr>
              <w:jc w:val="right"/>
              <w:ind w:right="354"/>
              <w:spacing w:after="0"/>
              <w:rPr>
                <w:sz w:val="20"/>
                <w:szCs w:val="20"/>
                <w:color w:val="auto"/>
              </w:rPr>
            </w:pPr>
            <w:r>
              <w:rPr>
                <w:rFonts w:ascii="Arial" w:cs="Arial" w:eastAsia="Arial" w:hAnsi="Arial"/>
                <w:sz w:val="13"/>
                <w:szCs w:val="13"/>
                <w:color w:val="auto"/>
              </w:rPr>
              <w:t>(5,567)</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4900" w:type="dxa"/>
            <w:vAlign w:val="bottom"/>
          </w:tcPr>
          <w:p>
            <w:pPr>
              <w:spacing w:after="0"/>
              <w:rPr>
                <w:sz w:val="20"/>
                <w:szCs w:val="20"/>
                <w:color w:val="auto"/>
              </w:rPr>
            </w:pPr>
            <w:r>
              <w:rPr>
                <w:rFonts w:ascii="Arial" w:cs="Arial" w:eastAsia="Arial" w:hAnsi="Arial"/>
                <w:sz w:val="13"/>
                <w:szCs w:val="13"/>
                <w:color w:val="auto"/>
              </w:rPr>
              <w:t>Basic and diluted loss per share applicable to common stockholders</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520" w:type="dxa"/>
            <w:vAlign w:val="bottom"/>
            <w:gridSpan w:val="3"/>
          </w:tcPr>
          <w:p>
            <w:pPr>
              <w:jc w:val="right"/>
              <w:ind w:right="20"/>
              <w:spacing w:after="0"/>
              <w:rPr>
                <w:sz w:val="20"/>
                <w:szCs w:val="20"/>
                <w:color w:val="auto"/>
              </w:rPr>
            </w:pPr>
            <w:r>
              <w:rPr>
                <w:rFonts w:ascii="Arial" w:cs="Arial" w:eastAsia="Arial" w:hAnsi="Arial"/>
                <w:sz w:val="13"/>
                <w:szCs w:val="13"/>
                <w:color w:val="auto"/>
              </w:rPr>
              <w:t>(0.18)</w:t>
            </w:r>
          </w:p>
        </w:tc>
        <w:tc>
          <w:tcPr>
            <w:tcW w:w="46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520" w:type="dxa"/>
            <w:vAlign w:val="bottom"/>
            <w:gridSpan w:val="3"/>
          </w:tcPr>
          <w:p>
            <w:pPr>
              <w:jc w:val="right"/>
              <w:spacing w:after="0"/>
              <w:rPr>
                <w:sz w:val="20"/>
                <w:szCs w:val="20"/>
                <w:color w:val="auto"/>
              </w:rPr>
            </w:pPr>
            <w:r>
              <w:rPr>
                <w:rFonts w:ascii="Arial" w:cs="Arial" w:eastAsia="Arial" w:hAnsi="Arial"/>
                <w:sz w:val="13"/>
                <w:szCs w:val="13"/>
                <w:color w:val="auto"/>
              </w:rPr>
              <w:t>(0.31)</w:t>
            </w:r>
          </w:p>
        </w:tc>
        <w:tc>
          <w:tcPr>
            <w:tcW w:w="4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3"/>
                <w:szCs w:val="13"/>
                <w:color w:val="auto"/>
              </w:rPr>
            </w:pPr>
          </w:p>
        </w:tc>
        <w:tc>
          <w:tcPr>
            <w:tcW w:w="500" w:type="dxa"/>
            <w:vAlign w:val="bottom"/>
            <w:gridSpan w:val="3"/>
          </w:tcPr>
          <w:p>
            <w:pPr>
              <w:jc w:val="right"/>
              <w:spacing w:after="0"/>
              <w:rPr>
                <w:sz w:val="20"/>
                <w:szCs w:val="20"/>
                <w:color w:val="auto"/>
              </w:rPr>
            </w:pPr>
            <w:r>
              <w:rPr>
                <w:rFonts w:ascii="Arial" w:cs="Arial" w:eastAsia="Arial" w:hAnsi="Arial"/>
                <w:sz w:val="13"/>
                <w:szCs w:val="13"/>
                <w:color w:val="auto"/>
              </w:rPr>
              <w:t>(0.45)</w:t>
            </w:r>
          </w:p>
        </w:tc>
        <w:tc>
          <w:tcPr>
            <w:tcW w:w="42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3"/>
                <w:szCs w:val="13"/>
                <w:color w:val="auto"/>
              </w:rPr>
            </w:pPr>
          </w:p>
        </w:tc>
        <w:tc>
          <w:tcPr>
            <w:tcW w:w="500" w:type="dxa"/>
            <w:vAlign w:val="bottom"/>
            <w:gridSpan w:val="3"/>
          </w:tcPr>
          <w:p>
            <w:pPr>
              <w:jc w:val="right"/>
              <w:spacing w:after="0"/>
              <w:rPr>
                <w:sz w:val="20"/>
                <w:szCs w:val="20"/>
                <w:color w:val="auto"/>
              </w:rPr>
            </w:pPr>
            <w:r>
              <w:rPr>
                <w:rFonts w:ascii="Arial" w:cs="Arial" w:eastAsia="Arial" w:hAnsi="Arial"/>
                <w:sz w:val="13"/>
                <w:szCs w:val="13"/>
                <w:color w:val="auto"/>
              </w:rPr>
              <w:t>(0.53)</w:t>
            </w:r>
          </w:p>
        </w:tc>
        <w:tc>
          <w:tcPr>
            <w:tcW w:w="4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3"/>
                <w:szCs w:val="13"/>
                <w:color w:val="auto"/>
              </w:rPr>
            </w:pPr>
          </w:p>
        </w:tc>
        <w:tc>
          <w:tcPr>
            <w:tcW w:w="920" w:type="dxa"/>
            <w:vAlign w:val="bottom"/>
            <w:gridSpan w:val="3"/>
          </w:tcPr>
          <w:p>
            <w:pPr>
              <w:jc w:val="right"/>
              <w:ind w:right="354"/>
              <w:spacing w:after="0"/>
              <w:rPr>
                <w:sz w:val="20"/>
                <w:szCs w:val="20"/>
                <w:color w:val="auto"/>
              </w:rPr>
            </w:pPr>
            <w:r>
              <w:rPr>
                <w:rFonts w:ascii="Arial" w:cs="Arial" w:eastAsia="Arial" w:hAnsi="Arial"/>
                <w:sz w:val="13"/>
                <w:szCs w:val="13"/>
                <w:color w:val="auto"/>
              </w:rPr>
              <w:t>(0.25)</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4900" w:type="dxa"/>
            <w:vAlign w:val="bottom"/>
            <w:shd w:val="clear" w:color="auto" w:fill="CCEEFF"/>
          </w:tcPr>
          <w:p>
            <w:pPr>
              <w:spacing w:after="0"/>
              <w:rPr>
                <w:sz w:val="20"/>
                <w:szCs w:val="20"/>
                <w:color w:val="auto"/>
              </w:rPr>
            </w:pPr>
            <w:r>
              <w:rPr>
                <w:rFonts w:ascii="Arial" w:cs="Arial" w:eastAsia="Arial" w:hAnsi="Arial"/>
                <w:sz w:val="13"/>
                <w:szCs w:val="13"/>
                <w:color w:val="auto"/>
              </w:rPr>
              <w:t>Shares used in computing basic and diluted loss per share amounts</w:t>
            </w:r>
          </w:p>
        </w:tc>
        <w:tc>
          <w:tcPr>
            <w:tcW w:w="120" w:type="dxa"/>
            <w:vAlign w:val="bottom"/>
            <w:shd w:val="clear" w:color="auto" w:fill="CCEEFF"/>
          </w:tcPr>
          <w:p>
            <w:pPr>
              <w:spacing w:after="0"/>
              <w:rPr>
                <w:sz w:val="13"/>
                <w:szCs w:val="13"/>
                <w:color w:val="auto"/>
              </w:rPr>
            </w:pPr>
          </w:p>
        </w:tc>
        <w:tc>
          <w:tcPr>
            <w:tcW w:w="520" w:type="dxa"/>
            <w:vAlign w:val="bottom"/>
            <w:gridSpan w:val="3"/>
            <w:shd w:val="clear" w:color="auto" w:fill="CCEEFF"/>
          </w:tcPr>
          <w:p>
            <w:pPr>
              <w:jc w:val="right"/>
              <w:ind w:right="60"/>
              <w:spacing w:after="0"/>
              <w:rPr>
                <w:sz w:val="20"/>
                <w:szCs w:val="20"/>
                <w:color w:val="auto"/>
              </w:rPr>
            </w:pPr>
            <w:r>
              <w:rPr>
                <w:rFonts w:ascii="Arial" w:cs="Arial" w:eastAsia="Arial" w:hAnsi="Arial"/>
                <w:sz w:val="13"/>
                <w:szCs w:val="13"/>
                <w:color w:val="auto"/>
              </w:rPr>
              <w:t>63,643</w:t>
            </w:r>
          </w:p>
        </w:tc>
        <w:tc>
          <w:tcPr>
            <w:tcW w:w="380" w:type="dxa"/>
            <w:vAlign w:val="bottom"/>
            <w:tcBorders>
              <w:righ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gridSpan w:val="3"/>
            <w:shd w:val="clear" w:color="auto" w:fill="CCEEFF"/>
          </w:tcPr>
          <w:p>
            <w:pPr>
              <w:jc w:val="right"/>
              <w:ind w:right="8"/>
              <w:spacing w:after="0"/>
              <w:rPr>
                <w:sz w:val="20"/>
                <w:szCs w:val="20"/>
                <w:color w:val="auto"/>
              </w:rPr>
            </w:pPr>
            <w:r>
              <w:rPr>
                <w:rFonts w:ascii="Arial" w:cs="Arial" w:eastAsia="Arial" w:hAnsi="Arial"/>
                <w:sz w:val="13"/>
                <w:szCs w:val="13"/>
                <w:color w:val="auto"/>
              </w:rPr>
              <w:t>49,606</w:t>
            </w:r>
          </w:p>
        </w:tc>
        <w:tc>
          <w:tcPr>
            <w:tcW w:w="3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00" w:type="dxa"/>
            <w:vAlign w:val="bottom"/>
            <w:gridSpan w:val="3"/>
            <w:shd w:val="clear" w:color="auto" w:fill="CCEEFF"/>
          </w:tcPr>
          <w:p>
            <w:pPr>
              <w:jc w:val="right"/>
              <w:ind w:right="8"/>
              <w:spacing w:after="0"/>
              <w:rPr>
                <w:sz w:val="20"/>
                <w:szCs w:val="20"/>
                <w:color w:val="auto"/>
              </w:rPr>
            </w:pPr>
            <w:r>
              <w:rPr>
                <w:rFonts w:ascii="Arial" w:cs="Arial" w:eastAsia="Arial" w:hAnsi="Arial"/>
                <w:sz w:val="13"/>
                <w:szCs w:val="13"/>
                <w:color w:val="auto"/>
              </w:rPr>
              <w:t>32,080</w:t>
            </w:r>
          </w:p>
        </w:tc>
        <w:tc>
          <w:tcPr>
            <w:tcW w:w="3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0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25,096</w:t>
            </w:r>
          </w:p>
        </w:tc>
        <w:tc>
          <w:tcPr>
            <w:tcW w:w="3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920" w:type="dxa"/>
            <w:vAlign w:val="bottom"/>
            <w:gridSpan w:val="3"/>
            <w:shd w:val="clear" w:color="auto" w:fill="CCEEFF"/>
          </w:tcPr>
          <w:p>
            <w:pPr>
              <w:jc w:val="right"/>
              <w:ind w:right="394"/>
              <w:spacing w:after="0"/>
              <w:rPr>
                <w:sz w:val="20"/>
                <w:szCs w:val="20"/>
                <w:color w:val="auto"/>
              </w:rPr>
            </w:pPr>
            <w:r>
              <w:rPr>
                <w:rFonts w:ascii="Arial" w:cs="Arial" w:eastAsia="Arial" w:hAnsi="Arial"/>
                <w:sz w:val="13"/>
                <w:szCs w:val="13"/>
                <w:color w:val="auto"/>
              </w:rPr>
              <w:t>22,242</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85"/>
        </w:trPr>
        <w:tc>
          <w:tcPr>
            <w:tcW w:w="4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gridSpan w:val="6"/>
          </w:tcPr>
          <w:p>
            <w:pPr>
              <w:jc w:val="right"/>
              <w:ind w:right="80"/>
              <w:spacing w:after="0"/>
              <w:rPr>
                <w:sz w:val="20"/>
                <w:szCs w:val="20"/>
                <w:color w:val="auto"/>
              </w:rPr>
            </w:pPr>
            <w:r>
              <w:rPr>
                <w:rFonts w:ascii="Arial" w:cs="Arial" w:eastAsia="Arial" w:hAnsi="Arial"/>
                <w:sz w:val="10"/>
                <w:szCs w:val="10"/>
                <w:b w:val="1"/>
                <w:bCs w:val="1"/>
                <w:color w:val="auto"/>
              </w:rPr>
              <w:t>December 31,</w:t>
            </w:r>
          </w:p>
        </w:tc>
        <w:tc>
          <w:tcPr>
            <w:tcW w:w="3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49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620" w:type="dxa"/>
            <w:vAlign w:val="bottom"/>
            <w:tcBorders>
              <w:bottom w:val="single" w:sz="8" w:color="auto"/>
            </w:tcBorders>
            <w:gridSpan w:val="3"/>
          </w:tcPr>
          <w:p>
            <w:pPr>
              <w:jc w:val="right"/>
              <w:ind w:right="134"/>
              <w:spacing w:after="0" w:line="98" w:lineRule="exact"/>
              <w:rPr>
                <w:sz w:val="20"/>
                <w:szCs w:val="20"/>
                <w:color w:val="auto"/>
              </w:rPr>
            </w:pPr>
            <w:r>
              <w:rPr>
                <w:rFonts w:ascii="Arial" w:cs="Arial" w:eastAsia="Arial" w:hAnsi="Arial"/>
                <w:sz w:val="10"/>
                <w:szCs w:val="10"/>
                <w:b w:val="1"/>
                <w:bCs w:val="1"/>
                <w:color w:val="auto"/>
              </w:rPr>
              <w:t>2005</w:t>
            </w: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jc w:val="right"/>
              <w:ind w:right="57"/>
              <w:spacing w:after="0" w:line="98" w:lineRule="exact"/>
              <w:rPr>
                <w:sz w:val="20"/>
                <w:szCs w:val="20"/>
                <w:color w:val="auto"/>
              </w:rPr>
            </w:pPr>
            <w:r>
              <w:rPr>
                <w:rFonts w:ascii="Arial" w:cs="Arial" w:eastAsia="Arial" w:hAnsi="Arial"/>
                <w:sz w:val="10"/>
                <w:szCs w:val="10"/>
                <w:b w:val="1"/>
                <w:bCs w:val="1"/>
                <w:color w:val="auto"/>
                <w:w w:val="89"/>
              </w:rPr>
              <w:t>2004</w:t>
            </w:r>
          </w:p>
        </w:tc>
        <w:tc>
          <w:tcPr>
            <w:tcW w:w="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jc w:val="right"/>
              <w:ind w:right="36"/>
              <w:spacing w:after="0" w:line="98" w:lineRule="exact"/>
              <w:rPr>
                <w:sz w:val="20"/>
                <w:szCs w:val="20"/>
                <w:color w:val="auto"/>
              </w:rPr>
            </w:pPr>
            <w:r>
              <w:rPr>
                <w:rFonts w:ascii="Arial" w:cs="Arial" w:eastAsia="Arial" w:hAnsi="Arial"/>
                <w:sz w:val="10"/>
                <w:szCs w:val="10"/>
                <w:b w:val="1"/>
                <w:bCs w:val="1"/>
                <w:color w:val="auto"/>
                <w:w w:val="98"/>
              </w:rPr>
              <w:t>2003</w:t>
            </w:r>
          </w:p>
        </w:tc>
        <w:tc>
          <w:tcPr>
            <w:tcW w:w="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jc w:val="right"/>
              <w:ind w:right="36"/>
              <w:spacing w:after="0" w:line="98" w:lineRule="exact"/>
              <w:rPr>
                <w:sz w:val="20"/>
                <w:szCs w:val="20"/>
                <w:color w:val="auto"/>
              </w:rPr>
            </w:pPr>
            <w:r>
              <w:rPr>
                <w:rFonts w:ascii="Arial" w:cs="Arial" w:eastAsia="Arial" w:hAnsi="Arial"/>
                <w:sz w:val="10"/>
                <w:szCs w:val="10"/>
                <w:b w:val="1"/>
                <w:bCs w:val="1"/>
                <w:color w:val="auto"/>
                <w:w w:val="98"/>
              </w:rPr>
              <w:t>2002</w:t>
            </w:r>
          </w:p>
        </w:tc>
        <w:tc>
          <w:tcPr>
            <w:tcW w:w="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580" w:type="dxa"/>
            <w:vAlign w:val="bottom"/>
            <w:tcBorders>
              <w:bottom w:val="single" w:sz="8" w:color="auto"/>
            </w:tcBorders>
            <w:gridSpan w:val="2"/>
          </w:tcPr>
          <w:p>
            <w:pPr>
              <w:jc w:val="right"/>
              <w:ind w:right="114"/>
              <w:spacing w:after="0" w:line="98" w:lineRule="exact"/>
              <w:rPr>
                <w:sz w:val="20"/>
                <w:szCs w:val="20"/>
                <w:color w:val="auto"/>
              </w:rPr>
            </w:pPr>
            <w:r>
              <w:rPr>
                <w:rFonts w:ascii="Arial" w:cs="Arial" w:eastAsia="Arial" w:hAnsi="Arial"/>
                <w:sz w:val="10"/>
                <w:szCs w:val="10"/>
                <w:b w:val="1"/>
                <w:bCs w:val="1"/>
                <w:color w:val="auto"/>
              </w:rPr>
              <w:t>2001</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1"/>
        </w:trPr>
        <w:tc>
          <w:tcPr>
            <w:tcW w:w="4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20" w:type="dxa"/>
            <w:vAlign w:val="bottom"/>
            <w:gridSpan w:val="5"/>
          </w:tcPr>
          <w:p>
            <w:pPr>
              <w:jc w:val="right"/>
              <w:spacing w:after="0"/>
              <w:rPr>
                <w:sz w:val="20"/>
                <w:szCs w:val="20"/>
                <w:color w:val="auto"/>
              </w:rPr>
            </w:pPr>
            <w:r>
              <w:rPr>
                <w:rFonts w:ascii="Arial" w:cs="Arial" w:eastAsia="Arial" w:hAnsi="Arial"/>
                <w:sz w:val="10"/>
                <w:szCs w:val="10"/>
                <w:b w:val="1"/>
                <w:bCs w:val="1"/>
                <w:color w:val="auto"/>
              </w:rPr>
              <w:t>(In thousands)</w:t>
            </w: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4900" w:type="dxa"/>
            <w:vAlign w:val="bottom"/>
            <w:shd w:val="clear" w:color="auto" w:fill="CCEEFF"/>
          </w:tcPr>
          <w:p>
            <w:pPr>
              <w:spacing w:after="0"/>
              <w:rPr>
                <w:sz w:val="20"/>
                <w:szCs w:val="20"/>
                <w:color w:val="auto"/>
              </w:rPr>
            </w:pPr>
            <w:r>
              <w:rPr>
                <w:rFonts w:ascii="Arial" w:cs="Arial" w:eastAsia="Arial" w:hAnsi="Arial"/>
                <w:sz w:val="13"/>
                <w:szCs w:val="13"/>
                <w:color w:val="auto"/>
              </w:rPr>
              <w:t>Consolidated Balance Sheet</w:t>
            </w: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8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4900" w:type="dxa"/>
            <w:vAlign w:val="bottom"/>
          </w:tcPr>
          <w:p>
            <w:pPr>
              <w:ind w:left="140"/>
              <w:spacing w:after="0"/>
              <w:rPr>
                <w:sz w:val="20"/>
                <w:szCs w:val="20"/>
                <w:color w:val="auto"/>
              </w:rPr>
            </w:pPr>
            <w:r>
              <w:rPr>
                <w:rFonts w:ascii="Arial" w:cs="Arial" w:eastAsia="Arial" w:hAnsi="Arial"/>
                <w:sz w:val="13"/>
                <w:szCs w:val="13"/>
                <w:color w:val="auto"/>
              </w:rPr>
              <w:t>Cash and cash equivalents</w:t>
            </w:r>
          </w:p>
        </w:tc>
        <w:tc>
          <w:tcPr>
            <w:tcW w:w="120" w:type="dxa"/>
            <w:vAlign w:val="bottom"/>
          </w:tcPr>
          <w:p>
            <w:pPr>
              <w:spacing w:after="0"/>
              <w:rPr>
                <w:sz w:val="13"/>
                <w:szCs w:val="13"/>
                <w:color w:val="auto"/>
              </w:rPr>
            </w:pPr>
          </w:p>
        </w:tc>
        <w:tc>
          <w:tcPr>
            <w:tcW w:w="460" w:type="dxa"/>
            <w:vAlign w:val="bottom"/>
            <w:gridSpan w:val="2"/>
          </w:tcPr>
          <w:p>
            <w:pPr>
              <w:jc w:val="right"/>
              <w:ind w:right="41"/>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3"/>
                <w:szCs w:val="13"/>
                <w:color w:val="auto"/>
              </w:rPr>
            </w:pPr>
          </w:p>
        </w:tc>
        <w:tc>
          <w:tcPr>
            <w:tcW w:w="460" w:type="dxa"/>
            <w:vAlign w:val="bottom"/>
            <w:gridSpan w:val="2"/>
          </w:tcPr>
          <w:p>
            <w:pPr>
              <w:jc w:val="right"/>
              <w:ind w:right="80"/>
              <w:spacing w:after="0"/>
              <w:rPr>
                <w:sz w:val="20"/>
                <w:szCs w:val="20"/>
                <w:color w:val="auto"/>
              </w:rPr>
            </w:pPr>
            <w:r>
              <w:rPr>
                <w:rFonts w:ascii="Arial" w:cs="Arial" w:eastAsia="Arial" w:hAnsi="Arial"/>
                <w:sz w:val="13"/>
                <w:szCs w:val="13"/>
                <w:color w:val="auto"/>
                <w:w w:val="90"/>
              </w:rPr>
              <w:t>34,541</w:t>
            </w:r>
          </w:p>
        </w:tc>
        <w:tc>
          <w:tcPr>
            <w:tcW w:w="4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3"/>
                <w:szCs w:val="13"/>
                <w:color w:val="auto"/>
              </w:rPr>
            </w:pPr>
          </w:p>
        </w:tc>
        <w:tc>
          <w:tcPr>
            <w:tcW w:w="480" w:type="dxa"/>
            <w:vAlign w:val="bottom"/>
            <w:gridSpan w:val="3"/>
          </w:tcPr>
          <w:p>
            <w:pPr>
              <w:jc w:val="right"/>
              <w:ind w:right="60"/>
              <w:spacing w:after="0"/>
              <w:rPr>
                <w:sz w:val="20"/>
                <w:szCs w:val="20"/>
                <w:color w:val="auto"/>
              </w:rPr>
            </w:pPr>
            <w:r>
              <w:rPr>
                <w:rFonts w:ascii="Arial" w:cs="Arial" w:eastAsia="Arial" w:hAnsi="Arial"/>
                <w:sz w:val="13"/>
                <w:szCs w:val="13"/>
                <w:color w:val="auto"/>
              </w:rPr>
              <w:t>41,060</w:t>
            </w:r>
          </w:p>
        </w:tc>
        <w:tc>
          <w:tcPr>
            <w:tcW w:w="44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3"/>
                <w:szCs w:val="13"/>
                <w:color w:val="auto"/>
              </w:rPr>
            </w:pPr>
          </w:p>
        </w:tc>
        <w:tc>
          <w:tcPr>
            <w:tcW w:w="480" w:type="dxa"/>
            <w:vAlign w:val="bottom"/>
            <w:gridSpan w:val="3"/>
          </w:tcPr>
          <w:p>
            <w:pPr>
              <w:jc w:val="right"/>
              <w:ind w:right="60"/>
              <w:spacing w:after="0"/>
              <w:rPr>
                <w:sz w:val="20"/>
                <w:szCs w:val="20"/>
                <w:color w:val="auto"/>
              </w:rPr>
            </w:pPr>
            <w:r>
              <w:rPr>
                <w:rFonts w:ascii="Arial" w:cs="Arial" w:eastAsia="Arial" w:hAnsi="Arial"/>
                <w:sz w:val="13"/>
                <w:szCs w:val="13"/>
                <w:color w:val="auto"/>
              </w:rPr>
              <w:t>13,082</w:t>
            </w:r>
          </w:p>
        </w:tc>
        <w:tc>
          <w:tcPr>
            <w:tcW w:w="46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3"/>
                <w:szCs w:val="13"/>
                <w:color w:val="auto"/>
              </w:rPr>
            </w:pPr>
          </w:p>
        </w:tc>
        <w:tc>
          <w:tcPr>
            <w:tcW w:w="480" w:type="dxa"/>
            <w:vAlign w:val="bottom"/>
            <w:gridSpan w:val="3"/>
          </w:tcPr>
          <w:p>
            <w:pPr>
              <w:jc w:val="right"/>
              <w:ind w:right="60"/>
              <w:spacing w:after="0"/>
              <w:rPr>
                <w:sz w:val="20"/>
                <w:szCs w:val="20"/>
                <w:color w:val="auto"/>
              </w:rPr>
            </w:pPr>
            <w:r>
              <w:rPr>
                <w:rFonts w:ascii="Arial" w:cs="Arial" w:eastAsia="Arial" w:hAnsi="Arial"/>
                <w:sz w:val="13"/>
                <w:szCs w:val="13"/>
                <w:color w:val="auto"/>
              </w:rPr>
              <w:t>4,236</w:t>
            </w:r>
          </w:p>
        </w:tc>
        <w:tc>
          <w:tcPr>
            <w:tcW w:w="1020" w:type="dxa"/>
            <w:vAlign w:val="bottom"/>
            <w:gridSpan w:val="4"/>
          </w:tcPr>
          <w:p>
            <w:pPr>
              <w:jc w:val="right"/>
              <w:ind w:right="100"/>
              <w:spacing w:after="0"/>
              <w:rPr>
                <w:sz w:val="20"/>
                <w:szCs w:val="20"/>
                <w:color w:val="auto"/>
              </w:rPr>
            </w:pPr>
            <w:r>
              <w:rPr>
                <w:rFonts w:ascii="Arial" w:cs="Arial" w:eastAsia="Arial" w:hAnsi="Arial"/>
                <w:sz w:val="13"/>
                <w:szCs w:val="13"/>
                <w:color w:val="auto"/>
              </w:rPr>
              <w:t>$   13,697</w:t>
            </w:r>
          </w:p>
        </w:tc>
        <w:tc>
          <w:tcPr>
            <w:tcW w:w="0" w:type="dxa"/>
            <w:vAlign w:val="bottom"/>
          </w:tcPr>
          <w:p>
            <w:pPr>
              <w:spacing w:after="0"/>
              <w:rPr>
                <w:sz w:val="1"/>
                <w:szCs w:val="1"/>
                <w:color w:val="auto"/>
              </w:rPr>
            </w:pPr>
          </w:p>
        </w:tc>
      </w:tr>
      <w:tr>
        <w:trPr>
          <w:trHeight w:val="157"/>
        </w:trPr>
        <w:tc>
          <w:tcPr>
            <w:tcW w:w="49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Marketable securities</w:t>
            </w:r>
          </w:p>
        </w:tc>
        <w:tc>
          <w:tcPr>
            <w:tcW w:w="1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3,721</w:t>
            </w:r>
          </w:p>
        </w:tc>
        <w:tc>
          <w:tcPr>
            <w:tcW w:w="3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80" w:type="dxa"/>
            <w:vAlign w:val="bottom"/>
            <w:gridSpan w:val="3"/>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3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80" w:type="dxa"/>
            <w:vAlign w:val="bottom"/>
            <w:gridSpan w:val="3"/>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80" w:type="dxa"/>
            <w:vAlign w:val="bottom"/>
            <w:gridSpan w:val="3"/>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4900" w:type="dxa"/>
            <w:vAlign w:val="bottom"/>
          </w:tcPr>
          <w:p>
            <w:pPr>
              <w:ind w:left="140"/>
              <w:spacing w:after="0"/>
              <w:rPr>
                <w:sz w:val="20"/>
                <w:szCs w:val="20"/>
                <w:color w:val="auto"/>
              </w:rPr>
            </w:pPr>
            <w:r>
              <w:rPr>
                <w:rFonts w:ascii="Arial" w:cs="Arial" w:eastAsia="Arial" w:hAnsi="Arial"/>
                <w:sz w:val="13"/>
                <w:szCs w:val="13"/>
                <w:color w:val="auto"/>
              </w:rPr>
              <w:t>Total assets</w:t>
            </w: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60" w:type="dxa"/>
            <w:vAlign w:val="bottom"/>
            <w:gridSpan w:val="2"/>
          </w:tcPr>
          <w:p>
            <w:pPr>
              <w:jc w:val="right"/>
              <w:ind w:right="80"/>
              <w:spacing w:after="0"/>
              <w:rPr>
                <w:sz w:val="20"/>
                <w:szCs w:val="20"/>
                <w:color w:val="auto"/>
              </w:rPr>
            </w:pPr>
            <w:r>
              <w:rPr>
                <w:rFonts w:ascii="Arial" w:cs="Arial" w:eastAsia="Arial" w:hAnsi="Arial"/>
                <w:sz w:val="13"/>
                <w:szCs w:val="13"/>
                <w:color w:val="auto"/>
                <w:w w:val="90"/>
              </w:rPr>
              <w:t>44,839</w:t>
            </w: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gridSpan w:val="3"/>
          </w:tcPr>
          <w:p>
            <w:pPr>
              <w:jc w:val="right"/>
              <w:ind w:right="60"/>
              <w:spacing w:after="0"/>
              <w:rPr>
                <w:sz w:val="20"/>
                <w:szCs w:val="20"/>
                <w:color w:val="auto"/>
              </w:rPr>
            </w:pPr>
            <w:r>
              <w:rPr>
                <w:rFonts w:ascii="Arial" w:cs="Arial" w:eastAsia="Arial" w:hAnsi="Arial"/>
                <w:sz w:val="13"/>
                <w:szCs w:val="13"/>
                <w:color w:val="auto"/>
              </w:rPr>
              <w:t>47,627</w:t>
            </w: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gridSpan w:val="3"/>
          </w:tcPr>
          <w:p>
            <w:pPr>
              <w:jc w:val="right"/>
              <w:ind w:right="60"/>
              <w:spacing w:after="0"/>
              <w:rPr>
                <w:sz w:val="20"/>
                <w:szCs w:val="20"/>
                <w:color w:val="auto"/>
              </w:rPr>
            </w:pPr>
            <w:r>
              <w:rPr>
                <w:rFonts w:ascii="Arial" w:cs="Arial" w:eastAsia="Arial" w:hAnsi="Arial"/>
                <w:sz w:val="13"/>
                <w:szCs w:val="13"/>
                <w:color w:val="auto"/>
              </w:rPr>
              <w:t>19,786</w:t>
            </w: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80" w:type="dxa"/>
            <w:vAlign w:val="bottom"/>
            <w:gridSpan w:val="3"/>
          </w:tcPr>
          <w:p>
            <w:pPr>
              <w:jc w:val="right"/>
              <w:ind w:right="60"/>
              <w:spacing w:after="0"/>
              <w:rPr>
                <w:sz w:val="20"/>
                <w:szCs w:val="20"/>
                <w:color w:val="auto"/>
              </w:rPr>
            </w:pPr>
            <w:r>
              <w:rPr>
                <w:rFonts w:ascii="Arial" w:cs="Arial" w:eastAsia="Arial" w:hAnsi="Arial"/>
                <w:sz w:val="13"/>
                <w:szCs w:val="13"/>
                <w:color w:val="auto"/>
              </w:rPr>
              <w:t>11,329</w:t>
            </w:r>
          </w:p>
        </w:tc>
        <w:tc>
          <w:tcPr>
            <w:tcW w:w="1020" w:type="dxa"/>
            <w:vAlign w:val="bottom"/>
            <w:gridSpan w:val="4"/>
          </w:tcPr>
          <w:p>
            <w:pPr>
              <w:jc w:val="right"/>
              <w:ind w:right="100"/>
              <w:spacing w:after="0"/>
              <w:rPr>
                <w:sz w:val="20"/>
                <w:szCs w:val="20"/>
                <w:color w:val="auto"/>
              </w:rPr>
            </w:pPr>
            <w:r>
              <w:rPr>
                <w:rFonts w:ascii="Arial" w:cs="Arial" w:eastAsia="Arial" w:hAnsi="Arial"/>
                <w:sz w:val="13"/>
                <w:szCs w:val="13"/>
                <w:color w:val="auto"/>
              </w:rPr>
              <w:t>20,803</w:t>
            </w:r>
          </w:p>
        </w:tc>
        <w:tc>
          <w:tcPr>
            <w:tcW w:w="0" w:type="dxa"/>
            <w:vAlign w:val="bottom"/>
          </w:tcPr>
          <w:p>
            <w:pPr>
              <w:spacing w:after="0"/>
              <w:rPr>
                <w:sz w:val="1"/>
                <w:szCs w:val="1"/>
                <w:color w:val="auto"/>
              </w:rPr>
            </w:pPr>
          </w:p>
        </w:tc>
      </w:tr>
      <w:tr>
        <w:trPr>
          <w:trHeight w:val="157"/>
        </w:trPr>
        <w:tc>
          <w:tcPr>
            <w:tcW w:w="49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Accrued wind-down expenses and deferred rent(1)</w:t>
            </w:r>
          </w:p>
        </w:tc>
        <w:tc>
          <w:tcPr>
            <w:tcW w:w="1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7,306</w:t>
            </w:r>
          </w:p>
        </w:tc>
        <w:tc>
          <w:tcPr>
            <w:tcW w:w="3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80" w:type="dxa"/>
            <w:vAlign w:val="bottom"/>
            <w:gridSpan w:val="3"/>
            <w:shd w:val="clear" w:color="auto" w:fill="CCEEFF"/>
          </w:tcPr>
          <w:p>
            <w:pPr>
              <w:jc w:val="right"/>
              <w:ind w:right="60"/>
              <w:spacing w:after="0"/>
              <w:rPr>
                <w:sz w:val="20"/>
                <w:szCs w:val="20"/>
                <w:color w:val="auto"/>
              </w:rPr>
            </w:pPr>
            <w:r>
              <w:rPr>
                <w:rFonts w:ascii="Arial" w:cs="Arial" w:eastAsia="Arial" w:hAnsi="Arial"/>
                <w:sz w:val="13"/>
                <w:szCs w:val="13"/>
                <w:color w:val="auto"/>
              </w:rPr>
              <w:t>5,528</w:t>
            </w:r>
          </w:p>
        </w:tc>
        <w:tc>
          <w:tcPr>
            <w:tcW w:w="3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80" w:type="dxa"/>
            <w:vAlign w:val="bottom"/>
            <w:gridSpan w:val="3"/>
            <w:shd w:val="clear" w:color="auto" w:fill="CCEEFF"/>
          </w:tcPr>
          <w:p>
            <w:pPr>
              <w:jc w:val="right"/>
              <w:ind w:right="60"/>
              <w:spacing w:after="0"/>
              <w:rPr>
                <w:sz w:val="20"/>
                <w:szCs w:val="20"/>
                <w:color w:val="auto"/>
              </w:rPr>
            </w:pPr>
            <w:r>
              <w:rPr>
                <w:rFonts w:ascii="Arial" w:cs="Arial" w:eastAsia="Arial" w:hAnsi="Arial"/>
                <w:sz w:val="13"/>
                <w:szCs w:val="13"/>
                <w:color w:val="auto"/>
              </w:rPr>
              <w:t>3,823</w:t>
            </w:r>
          </w:p>
        </w:tc>
        <w:tc>
          <w:tcPr>
            <w:tcW w:w="3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80" w:type="dxa"/>
            <w:vAlign w:val="bottom"/>
            <w:gridSpan w:val="3"/>
            <w:shd w:val="clear" w:color="auto" w:fill="CCEEFF"/>
          </w:tcPr>
          <w:p>
            <w:pPr>
              <w:jc w:val="right"/>
              <w:ind w:right="60"/>
              <w:spacing w:after="0"/>
              <w:rPr>
                <w:sz w:val="20"/>
                <w:szCs w:val="20"/>
                <w:color w:val="auto"/>
              </w:rPr>
            </w:pPr>
            <w:r>
              <w:rPr>
                <w:rFonts w:ascii="Arial" w:cs="Arial" w:eastAsia="Arial" w:hAnsi="Arial"/>
                <w:sz w:val="13"/>
                <w:szCs w:val="13"/>
                <w:color w:val="auto"/>
              </w:rPr>
              <w:t>1,931</w:t>
            </w:r>
          </w:p>
        </w:tc>
        <w:tc>
          <w:tcPr>
            <w:tcW w:w="1020" w:type="dxa"/>
            <w:vAlign w:val="bottom"/>
            <w:gridSpan w:val="4"/>
            <w:shd w:val="clear" w:color="auto" w:fill="CCEEFF"/>
          </w:tcPr>
          <w:p>
            <w:pPr>
              <w:jc w:val="right"/>
              <w:ind w:right="100"/>
              <w:spacing w:after="0"/>
              <w:rPr>
                <w:sz w:val="20"/>
                <w:szCs w:val="20"/>
                <w:color w:val="auto"/>
              </w:rPr>
            </w:pPr>
            <w:r>
              <w:rPr>
                <w:rFonts w:ascii="Arial" w:cs="Arial" w:eastAsia="Arial" w:hAnsi="Arial"/>
                <w:sz w:val="13"/>
                <w:szCs w:val="13"/>
                <w:color w:val="auto"/>
              </w:rPr>
              <w:t>575</w:t>
            </w:r>
          </w:p>
        </w:tc>
        <w:tc>
          <w:tcPr>
            <w:tcW w:w="0" w:type="dxa"/>
            <w:vAlign w:val="bottom"/>
          </w:tcPr>
          <w:p>
            <w:pPr>
              <w:spacing w:after="0"/>
              <w:rPr>
                <w:sz w:val="1"/>
                <w:szCs w:val="1"/>
                <w:color w:val="auto"/>
              </w:rPr>
            </w:pPr>
          </w:p>
        </w:tc>
      </w:tr>
      <w:tr>
        <w:trPr>
          <w:trHeight w:val="157"/>
        </w:trPr>
        <w:tc>
          <w:tcPr>
            <w:tcW w:w="4900" w:type="dxa"/>
            <w:vAlign w:val="bottom"/>
          </w:tcPr>
          <w:p>
            <w:pPr>
              <w:ind w:left="140"/>
              <w:spacing w:after="0"/>
              <w:rPr>
                <w:sz w:val="20"/>
                <w:szCs w:val="20"/>
                <w:color w:val="auto"/>
              </w:rPr>
            </w:pPr>
            <w:r>
              <w:rPr>
                <w:rFonts w:ascii="Arial" w:cs="Arial" w:eastAsia="Arial" w:hAnsi="Arial"/>
                <w:sz w:val="13"/>
                <w:szCs w:val="13"/>
                <w:color w:val="auto"/>
              </w:rPr>
              <w:t>Long-term debt, including capital leases</w:t>
            </w: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60" w:type="dxa"/>
            <w:vAlign w:val="bottom"/>
            <w:gridSpan w:val="2"/>
          </w:tcPr>
          <w:p>
            <w:pPr>
              <w:jc w:val="right"/>
              <w:ind w:right="80"/>
              <w:spacing w:after="0"/>
              <w:rPr>
                <w:sz w:val="20"/>
                <w:szCs w:val="20"/>
                <w:color w:val="auto"/>
              </w:rPr>
            </w:pPr>
            <w:r>
              <w:rPr>
                <w:rFonts w:ascii="Arial" w:cs="Arial" w:eastAsia="Arial" w:hAnsi="Arial"/>
                <w:sz w:val="13"/>
                <w:szCs w:val="13"/>
                <w:color w:val="auto"/>
              </w:rPr>
              <w:t>1,351</w:t>
            </w: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gridSpan w:val="3"/>
          </w:tcPr>
          <w:p>
            <w:pPr>
              <w:jc w:val="right"/>
              <w:ind w:right="60"/>
              <w:spacing w:after="0"/>
              <w:rPr>
                <w:sz w:val="20"/>
                <w:szCs w:val="20"/>
                <w:color w:val="auto"/>
              </w:rPr>
            </w:pPr>
            <w:r>
              <w:rPr>
                <w:rFonts w:ascii="Arial" w:cs="Arial" w:eastAsia="Arial" w:hAnsi="Arial"/>
                <w:sz w:val="13"/>
                <w:szCs w:val="13"/>
                <w:color w:val="auto"/>
              </w:rPr>
              <w:t>1,646</w:t>
            </w: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gridSpan w:val="3"/>
          </w:tcPr>
          <w:p>
            <w:pPr>
              <w:jc w:val="right"/>
              <w:ind w:right="60"/>
              <w:spacing w:after="0"/>
              <w:rPr>
                <w:sz w:val="20"/>
                <w:szCs w:val="20"/>
                <w:color w:val="auto"/>
              </w:rPr>
            </w:pPr>
            <w:r>
              <w:rPr>
                <w:rFonts w:ascii="Arial" w:cs="Arial" w:eastAsia="Arial" w:hAnsi="Arial"/>
                <w:sz w:val="13"/>
                <w:szCs w:val="13"/>
                <w:color w:val="auto"/>
              </w:rPr>
              <w:t>1,850</w:t>
            </w: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80" w:type="dxa"/>
            <w:vAlign w:val="bottom"/>
            <w:gridSpan w:val="3"/>
          </w:tcPr>
          <w:p>
            <w:pPr>
              <w:jc w:val="right"/>
              <w:ind w:right="60"/>
              <w:spacing w:after="0"/>
              <w:rPr>
                <w:sz w:val="20"/>
                <w:szCs w:val="20"/>
                <w:color w:val="auto"/>
              </w:rPr>
            </w:pPr>
            <w:r>
              <w:rPr>
                <w:rFonts w:ascii="Arial" w:cs="Arial" w:eastAsia="Arial" w:hAnsi="Arial"/>
                <w:sz w:val="13"/>
                <w:szCs w:val="13"/>
                <w:color w:val="auto"/>
              </w:rPr>
              <w:t>2,087</w:t>
            </w:r>
          </w:p>
        </w:tc>
        <w:tc>
          <w:tcPr>
            <w:tcW w:w="1020" w:type="dxa"/>
            <w:vAlign w:val="bottom"/>
            <w:gridSpan w:val="4"/>
          </w:tcPr>
          <w:p>
            <w:pPr>
              <w:jc w:val="right"/>
              <w:ind w:right="100"/>
              <w:spacing w:after="0"/>
              <w:rPr>
                <w:sz w:val="20"/>
                <w:szCs w:val="20"/>
                <w:color w:val="auto"/>
              </w:rPr>
            </w:pPr>
            <w:r>
              <w:rPr>
                <w:rFonts w:ascii="Arial" w:cs="Arial" w:eastAsia="Arial" w:hAnsi="Arial"/>
                <w:sz w:val="13"/>
                <w:szCs w:val="13"/>
                <w:color w:val="auto"/>
              </w:rPr>
              <w:t>2,316</w:t>
            </w:r>
          </w:p>
        </w:tc>
        <w:tc>
          <w:tcPr>
            <w:tcW w:w="0" w:type="dxa"/>
            <w:vAlign w:val="bottom"/>
          </w:tcPr>
          <w:p>
            <w:pPr>
              <w:spacing w:after="0"/>
              <w:rPr>
                <w:sz w:val="1"/>
                <w:szCs w:val="1"/>
                <w:color w:val="auto"/>
              </w:rPr>
            </w:pPr>
          </w:p>
        </w:tc>
      </w:tr>
      <w:tr>
        <w:trPr>
          <w:trHeight w:val="157"/>
        </w:trPr>
        <w:tc>
          <w:tcPr>
            <w:tcW w:w="49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Redeemable preferred stock (3)</w:t>
            </w:r>
          </w:p>
        </w:tc>
        <w:tc>
          <w:tcPr>
            <w:tcW w:w="1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3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80" w:type="dxa"/>
            <w:vAlign w:val="bottom"/>
            <w:gridSpan w:val="3"/>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3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80" w:type="dxa"/>
            <w:vAlign w:val="bottom"/>
            <w:gridSpan w:val="3"/>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80" w:type="dxa"/>
            <w:vAlign w:val="bottom"/>
            <w:gridSpan w:val="3"/>
            <w:shd w:val="clear" w:color="auto" w:fill="CCEEFF"/>
          </w:tcPr>
          <w:p>
            <w:pPr>
              <w:jc w:val="right"/>
              <w:ind w:right="60"/>
              <w:spacing w:after="0"/>
              <w:rPr>
                <w:sz w:val="20"/>
                <w:szCs w:val="20"/>
                <w:color w:val="auto"/>
              </w:rPr>
            </w:pPr>
            <w:r>
              <w:rPr>
                <w:rFonts w:ascii="Arial" w:cs="Arial" w:eastAsia="Arial" w:hAnsi="Arial"/>
                <w:sz w:val="13"/>
                <w:szCs w:val="13"/>
                <w:color w:val="auto"/>
              </w:rPr>
              <w:t>2,660</w:t>
            </w:r>
          </w:p>
        </w:tc>
        <w:tc>
          <w:tcPr>
            <w:tcW w:w="1020" w:type="dxa"/>
            <w:vAlign w:val="bottom"/>
            <w:gridSpan w:val="4"/>
            <w:shd w:val="clear" w:color="auto" w:fill="CCEEFF"/>
          </w:tcPr>
          <w:p>
            <w:pPr>
              <w:jc w:val="right"/>
              <w:ind w:right="100"/>
              <w:spacing w:after="0"/>
              <w:rPr>
                <w:sz w:val="20"/>
                <w:szCs w:val="20"/>
                <w:color w:val="auto"/>
              </w:rPr>
            </w:pPr>
            <w:r>
              <w:rPr>
                <w:rFonts w:ascii="Arial" w:cs="Arial" w:eastAsia="Arial" w:hAnsi="Arial"/>
                <w:sz w:val="13"/>
                <w:szCs w:val="13"/>
                <w:color w:val="auto"/>
              </w:rPr>
              <w:t>2,663</w:t>
            </w:r>
          </w:p>
        </w:tc>
        <w:tc>
          <w:tcPr>
            <w:tcW w:w="0" w:type="dxa"/>
            <w:vAlign w:val="bottom"/>
          </w:tcPr>
          <w:p>
            <w:pPr>
              <w:spacing w:after="0"/>
              <w:rPr>
                <w:sz w:val="1"/>
                <w:szCs w:val="1"/>
                <w:color w:val="auto"/>
              </w:rPr>
            </w:pPr>
          </w:p>
        </w:tc>
      </w:tr>
      <w:tr>
        <w:trPr>
          <w:trHeight w:val="165"/>
        </w:trPr>
        <w:tc>
          <w:tcPr>
            <w:tcW w:w="4900" w:type="dxa"/>
            <w:vAlign w:val="bottom"/>
          </w:tcPr>
          <w:p>
            <w:pPr>
              <w:ind w:left="140"/>
              <w:spacing w:after="0"/>
              <w:rPr>
                <w:sz w:val="20"/>
                <w:szCs w:val="20"/>
                <w:color w:val="auto"/>
              </w:rPr>
            </w:pPr>
            <w:r>
              <w:rPr>
                <w:rFonts w:ascii="Arial" w:cs="Arial" w:eastAsia="Arial" w:hAnsi="Arial"/>
                <w:sz w:val="13"/>
                <w:szCs w:val="13"/>
                <w:color w:val="auto"/>
              </w:rPr>
              <w:t>Stockholders’ equity</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60" w:type="dxa"/>
            <w:vAlign w:val="bottom"/>
            <w:gridSpan w:val="2"/>
          </w:tcPr>
          <w:p>
            <w:pPr>
              <w:jc w:val="right"/>
              <w:ind w:right="80"/>
              <w:spacing w:after="0"/>
              <w:rPr>
                <w:sz w:val="20"/>
                <w:szCs w:val="20"/>
                <w:color w:val="auto"/>
              </w:rPr>
            </w:pPr>
            <w:r>
              <w:rPr>
                <w:rFonts w:ascii="Arial" w:cs="Arial" w:eastAsia="Arial" w:hAnsi="Arial"/>
                <w:sz w:val="13"/>
                <w:szCs w:val="13"/>
                <w:color w:val="auto"/>
                <w:w w:val="90"/>
              </w:rPr>
              <w:t>32,376</w:t>
            </w: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gridSpan w:val="3"/>
          </w:tcPr>
          <w:p>
            <w:pPr>
              <w:jc w:val="right"/>
              <w:ind w:right="60"/>
              <w:spacing w:after="0"/>
              <w:rPr>
                <w:sz w:val="20"/>
                <w:szCs w:val="20"/>
                <w:color w:val="auto"/>
              </w:rPr>
            </w:pPr>
            <w:r>
              <w:rPr>
                <w:rFonts w:ascii="Arial" w:cs="Arial" w:eastAsia="Arial" w:hAnsi="Arial"/>
                <w:sz w:val="13"/>
                <w:szCs w:val="13"/>
                <w:color w:val="auto"/>
              </w:rPr>
              <w:t>36,950</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gridSpan w:val="3"/>
          </w:tcPr>
          <w:p>
            <w:pPr>
              <w:jc w:val="right"/>
              <w:ind w:right="60"/>
              <w:spacing w:after="0"/>
              <w:rPr>
                <w:sz w:val="20"/>
                <w:szCs w:val="20"/>
                <w:color w:val="auto"/>
              </w:rPr>
            </w:pPr>
            <w:r>
              <w:rPr>
                <w:rFonts w:ascii="Arial" w:cs="Arial" w:eastAsia="Arial" w:hAnsi="Arial"/>
                <w:sz w:val="13"/>
                <w:szCs w:val="13"/>
                <w:color w:val="auto"/>
              </w:rPr>
              <w:t>10,964</w:t>
            </w: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80" w:type="dxa"/>
            <w:vAlign w:val="bottom"/>
            <w:gridSpan w:val="3"/>
          </w:tcPr>
          <w:p>
            <w:pPr>
              <w:jc w:val="right"/>
              <w:ind w:right="60"/>
              <w:spacing w:after="0"/>
              <w:rPr>
                <w:sz w:val="20"/>
                <w:szCs w:val="20"/>
                <w:color w:val="auto"/>
              </w:rPr>
            </w:pPr>
            <w:r>
              <w:rPr>
                <w:rFonts w:ascii="Arial" w:cs="Arial" w:eastAsia="Arial" w:hAnsi="Arial"/>
                <w:sz w:val="13"/>
                <w:szCs w:val="13"/>
                <w:color w:val="auto"/>
              </w:rPr>
              <w:t>1,933</w:t>
            </w:r>
          </w:p>
        </w:tc>
        <w:tc>
          <w:tcPr>
            <w:tcW w:w="1020" w:type="dxa"/>
            <w:vAlign w:val="bottom"/>
            <w:gridSpan w:val="4"/>
          </w:tcPr>
          <w:p>
            <w:pPr>
              <w:jc w:val="right"/>
              <w:ind w:right="100"/>
              <w:spacing w:after="0"/>
              <w:rPr>
                <w:sz w:val="20"/>
                <w:szCs w:val="20"/>
                <w:color w:val="auto"/>
              </w:rPr>
            </w:pPr>
            <w:r>
              <w:rPr>
                <w:rFonts w:ascii="Arial" w:cs="Arial" w:eastAsia="Arial" w:hAnsi="Arial"/>
                <w:sz w:val="13"/>
                <w:szCs w:val="13"/>
                <w:color w:val="auto"/>
              </w:rPr>
              <w:t>12,633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57785</wp:posOffset>
            </wp:positionV>
            <wp:extent cx="823595" cy="63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823595" cy="6350"/>
                    </a:xfrm>
                    <a:prstGeom prst="rect">
                      <a:avLst/>
                    </a:prstGeom>
                    <a:noFill/>
                  </pic:spPr>
                </pic:pic>
              </a:graphicData>
            </a:graphic>
          </wp:anchor>
        </w:drawing>
      </w:r>
    </w:p>
    <w:p>
      <w:pPr>
        <w:spacing w:after="0" w:line="121" w:lineRule="exact"/>
        <w:rPr>
          <w:sz w:val="20"/>
          <w:szCs w:val="20"/>
          <w:color w:val="auto"/>
        </w:rPr>
      </w:pPr>
    </w:p>
    <w:p>
      <w:pPr>
        <w:ind w:left="1000" w:hanging="259"/>
        <w:spacing w:after="0"/>
        <w:tabs>
          <w:tab w:leader="none" w:pos="1000" w:val="left"/>
        </w:tabs>
        <w:numPr>
          <w:ilvl w:val="0"/>
          <w:numId w:val="22"/>
        </w:numPr>
        <w:rPr>
          <w:rFonts w:ascii="Arial" w:cs="Arial" w:eastAsia="Arial" w:hAnsi="Arial"/>
          <w:sz w:val="13"/>
          <w:szCs w:val="13"/>
          <w:color w:val="auto"/>
        </w:rPr>
      </w:pPr>
      <w:r>
        <w:rPr>
          <w:rFonts w:ascii="Arial" w:cs="Arial" w:eastAsia="Arial" w:hAnsi="Arial"/>
          <w:sz w:val="13"/>
          <w:szCs w:val="13"/>
          <w:color w:val="auto"/>
        </w:rPr>
        <w:t>Relates to wind-down expenses in respect of the Company’s Rhode Island facility. See Note 8 in the consolidated financial statements.</w:t>
      </w:r>
    </w:p>
    <w:p>
      <w:pPr>
        <w:spacing w:after="0" w:line="47" w:lineRule="exact"/>
        <w:rPr>
          <w:rFonts w:ascii="Arial" w:cs="Arial" w:eastAsia="Arial" w:hAnsi="Arial"/>
          <w:sz w:val="13"/>
          <w:szCs w:val="13"/>
          <w:color w:val="auto"/>
        </w:rPr>
      </w:pPr>
    </w:p>
    <w:p>
      <w:pPr>
        <w:ind w:left="1000" w:hanging="259"/>
        <w:spacing w:after="0"/>
        <w:tabs>
          <w:tab w:leader="none" w:pos="1000" w:val="left"/>
        </w:tabs>
        <w:numPr>
          <w:ilvl w:val="0"/>
          <w:numId w:val="22"/>
        </w:numPr>
        <w:rPr>
          <w:rFonts w:ascii="Arial" w:cs="Arial" w:eastAsia="Arial" w:hAnsi="Arial"/>
          <w:sz w:val="13"/>
          <w:szCs w:val="13"/>
          <w:color w:val="auto"/>
        </w:rPr>
      </w:pPr>
      <w:r>
        <w:rPr>
          <w:rFonts w:ascii="Arial" w:cs="Arial" w:eastAsia="Arial" w:hAnsi="Arial"/>
          <w:sz w:val="13"/>
          <w:szCs w:val="13"/>
          <w:color w:val="auto"/>
        </w:rPr>
        <w:t>Relates to an agreement with ReNeuron Limited. See Note 2 in the consolidated financial statements.</w:t>
      </w:r>
    </w:p>
    <w:p>
      <w:pPr>
        <w:spacing w:after="0" w:line="47" w:lineRule="exact"/>
        <w:rPr>
          <w:rFonts w:ascii="Arial" w:cs="Arial" w:eastAsia="Arial" w:hAnsi="Arial"/>
          <w:sz w:val="13"/>
          <w:szCs w:val="13"/>
          <w:color w:val="auto"/>
        </w:rPr>
      </w:pPr>
    </w:p>
    <w:p>
      <w:pPr>
        <w:ind w:left="1000" w:hanging="259"/>
        <w:spacing w:after="0"/>
        <w:tabs>
          <w:tab w:leader="none" w:pos="1000" w:val="left"/>
        </w:tabs>
        <w:numPr>
          <w:ilvl w:val="0"/>
          <w:numId w:val="22"/>
        </w:numPr>
        <w:rPr>
          <w:rFonts w:ascii="Arial" w:cs="Arial" w:eastAsia="Arial" w:hAnsi="Arial"/>
          <w:sz w:val="13"/>
          <w:szCs w:val="13"/>
          <w:color w:val="auto"/>
        </w:rPr>
      </w:pPr>
      <w:r>
        <w:rPr>
          <w:rFonts w:ascii="Arial" w:cs="Arial" w:eastAsia="Arial" w:hAnsi="Arial"/>
          <w:sz w:val="13"/>
          <w:szCs w:val="13"/>
          <w:color w:val="auto"/>
        </w:rPr>
        <w:t>See Note 10 in the consolidated financial statements.</w:t>
      </w:r>
    </w:p>
    <w:p>
      <w:pPr>
        <w:spacing w:after="0" w:line="29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34" w:name="page35"/>
    <w:bookmarkEnd w:id="3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ITEM 7.</w:t>
      </w:r>
      <w:r>
        <w:rPr>
          <w:sz w:val="20"/>
          <w:szCs w:val="20"/>
          <w:color w:val="auto"/>
        </w:rPr>
        <w:tab/>
      </w:r>
      <w:r>
        <w:rPr>
          <w:rFonts w:ascii="Arial" w:cs="Arial" w:eastAsia="Arial" w:hAnsi="Arial"/>
          <w:sz w:val="12"/>
          <w:szCs w:val="12"/>
          <w:b w:val="1"/>
          <w:bCs w:val="1"/>
          <w:i w:val="1"/>
          <w:iCs w:val="1"/>
          <w:color w:val="auto"/>
        </w:rPr>
        <w:t>MANAGEMENT’S DISCUSSION AND ANALYSIS OF FINANCIAL CONDITION AND RESULTS OF OPERATIONS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The following discussion of our financial condition and results of operations should be read in conjunction with the accompanying financial statements and the related footnotes</w:t>
      </w:r>
    </w:p>
    <w:p>
      <w:pPr>
        <w:spacing w:after="0" w:line="27" w:lineRule="exact"/>
        <w:rPr>
          <w:sz w:val="20"/>
          <w:szCs w:val="20"/>
          <w:color w:val="auto"/>
        </w:rPr>
      </w:pPr>
    </w:p>
    <w:p>
      <w:pPr>
        <w:ind w:left="680"/>
        <w:spacing w:after="0"/>
        <w:rPr>
          <w:sz w:val="20"/>
          <w:szCs w:val="20"/>
          <w:color w:val="auto"/>
        </w:rPr>
      </w:pPr>
      <w:r>
        <w:rPr>
          <w:rFonts w:ascii="Arial" w:cs="Arial" w:eastAsia="Arial" w:hAnsi="Arial"/>
          <w:sz w:val="13"/>
          <w:szCs w:val="13"/>
          <w:color w:val="auto"/>
        </w:rPr>
        <w:t>thereto.</w:t>
      </w:r>
    </w:p>
    <w:p>
      <w:pPr>
        <w:spacing w:after="0" w:line="89" w:lineRule="exact"/>
        <w:rPr>
          <w:sz w:val="20"/>
          <w:szCs w:val="20"/>
          <w:color w:val="auto"/>
        </w:rPr>
      </w:pPr>
    </w:p>
    <w:p>
      <w:pPr>
        <w:ind w:left="680" w:firstLine="399"/>
        <w:spacing w:after="0" w:line="277" w:lineRule="auto"/>
        <w:rPr>
          <w:sz w:val="20"/>
          <w:szCs w:val="20"/>
          <w:color w:val="auto"/>
        </w:rPr>
      </w:pPr>
      <w:r>
        <w:rPr>
          <w:rFonts w:ascii="Arial" w:cs="Arial" w:eastAsia="Arial" w:hAnsi="Arial"/>
          <w:sz w:val="12"/>
          <w:szCs w:val="12"/>
          <w:color w:val="auto"/>
        </w:rPr>
        <w:t>This report contains forward looking statements within the meaning of Section 27A of the Securities Act and Section 21E of the Securities Exchange Act that involve substantial risks and uncertainties. Such statements include, without limitation, all statements as to expectation or belief and statements as to our future results of operations, the progress of our research, product development and clinical programs, the need for, and timing of, additional capital and capital expenditures, partnering prospects, costs of manufacture of products, the protection of and the need for additional intellectual property rights, effects of regulations, the need for additional facilities and potential market opportunities. Our actual results may vary materially from those contained in such forward-looking statements because of risks to which we are subject, including uncertainty as to whether the U.S. Food and Drug Administration (FDA) will permit us to proceed to clinical testing of proposed products despite the novel and unproven nature of our technology; the risk that, even if approved, our initial clinical trial could be substantially delayed beyond its expected dates or cause us to incur substantial unanticipated costs; uncertainties regarding our ability to obtain the capital resources needed to continue our current research and development operations and to conduct the research, preclinical development and clinical trials necessary for regulatory approvals; failure to obtain a corporate partner or partners to support the development of our stem cell programs; the uncertainty regarding the outcome of the Phase I clinical trial and any other trials we may conduct in the future; the uncertainty regarding the validity and enforceability of issued patents; the uncertainty whether any products that may be generated in our stem cell programs will prove clinically effective and not cause tumors or other side effects; the uncertainty whether we will achieve revenues from product sales or become profitable; uncertainties regarding our obligations in regard to our former encapsulated cell therapy facilities in Rhode Island; obsolescence of our technology; competition from third parties; intellectual property rights of third parties; litigation and other risks to which we are subject. See “Risk Factors” under Item 1A above.</w:t>
      </w:r>
    </w:p>
    <w:p>
      <w:pPr>
        <w:spacing w:after="0" w:line="137"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Overview</w:t>
      </w:r>
    </w:p>
    <w:p>
      <w:pPr>
        <w:spacing w:after="0" w:line="100" w:lineRule="exact"/>
        <w:rPr>
          <w:sz w:val="20"/>
          <w:szCs w:val="20"/>
          <w:color w:val="auto"/>
        </w:rPr>
      </w:pPr>
    </w:p>
    <w:p>
      <w:pPr>
        <w:ind w:left="680" w:firstLine="399"/>
        <w:spacing w:after="0" w:line="258" w:lineRule="auto"/>
        <w:rPr>
          <w:sz w:val="20"/>
          <w:szCs w:val="20"/>
          <w:color w:val="auto"/>
        </w:rPr>
      </w:pPr>
      <w:r>
        <w:rPr>
          <w:rFonts w:ascii="Arial" w:cs="Arial" w:eastAsia="Arial" w:hAnsi="Arial"/>
          <w:sz w:val="13"/>
          <w:szCs w:val="13"/>
          <w:color w:val="auto"/>
        </w:rPr>
        <w:t>Since our inception in 1988, we have been primarily engaged in research and development of human therapeutic products. Since the second half of 1999, our sole focus has been on our stem cell technology. In October 2005, we received clearance from the FDA to initiate a Phase I clinical trial of our human neural stem cells as a treatment for the infantile and late infantile forms of neuronal ceroid lipofuscinosis (NCL), a rare, fatal neurodegenerative disease often referred to as Batten disease. In March 2006, we received approval from the Institutional Review Board of the Oregon Health &amp; Science University (OHSU) to conduct the Phase I trial at Doernbecher Children’s Hospital at OHSU in Portland, Oregon. This IND is the first in a planned series of INDs for CNS diseases or conditions.</w:t>
      </w:r>
    </w:p>
    <w:p>
      <w:pPr>
        <w:spacing w:after="0" w:line="71" w:lineRule="exact"/>
        <w:rPr>
          <w:sz w:val="20"/>
          <w:szCs w:val="20"/>
          <w:color w:val="auto"/>
        </w:rPr>
      </w:pPr>
    </w:p>
    <w:p>
      <w:pPr>
        <w:ind w:left="680" w:right="100" w:firstLine="399"/>
        <w:spacing w:after="0" w:line="281" w:lineRule="auto"/>
        <w:rPr>
          <w:sz w:val="20"/>
          <w:szCs w:val="20"/>
          <w:color w:val="auto"/>
        </w:rPr>
      </w:pPr>
      <w:r>
        <w:rPr>
          <w:rFonts w:ascii="Arial" w:cs="Arial" w:eastAsia="Arial" w:hAnsi="Arial"/>
          <w:sz w:val="12"/>
          <w:szCs w:val="12"/>
          <w:color w:val="auto"/>
        </w:rPr>
        <w:t>We have not derived any revenues from the sale of any products apart from license revenue for the research use of our human neural stem cells and other patented cells and media, and we do not expect to receive revenues from product sales for at least several years. We have not commercialized any product and in order to do so we must, among other things, substantially increase our research and development expenditures as research and product development efforts accelerate and clinical trials are initiated. We had expenditures for toxicology and other studies in preparation for submitting the Batten disease IND to the FDA and getting it cleared by the FDA, and will incur more such expenditures for any future INDs. We have incurred annual operating losses since inception and expect to incur substantial operating losses in the future. As a result, we are dependent upon external financing from equity and debt offerings and revenues from collaborative research arrangements with corporate sponsors to finance our operations. We have no such collaborative research arrangements at this time and there can be no assurance that such financing or partnering revenues will be available when needed or on terms acceptable to us.</w:t>
      </w:r>
    </w:p>
    <w:p>
      <w:pPr>
        <w:spacing w:after="0" w:line="58" w:lineRule="exact"/>
        <w:rPr>
          <w:sz w:val="20"/>
          <w:szCs w:val="20"/>
          <w:color w:val="auto"/>
        </w:rPr>
      </w:pPr>
    </w:p>
    <w:p>
      <w:pPr>
        <w:ind w:left="680" w:right="60" w:firstLine="399"/>
        <w:spacing w:after="0" w:line="264" w:lineRule="auto"/>
        <w:rPr>
          <w:sz w:val="20"/>
          <w:szCs w:val="20"/>
          <w:color w:val="auto"/>
        </w:rPr>
      </w:pPr>
      <w:r>
        <w:rPr>
          <w:rFonts w:ascii="Arial" w:cs="Arial" w:eastAsia="Arial" w:hAnsi="Arial"/>
          <w:sz w:val="13"/>
          <w:szCs w:val="13"/>
          <w:color w:val="auto"/>
        </w:rPr>
        <w:t>In July 2005, we entered into an agreement with ReNeuron Limited, a UK biotech corporation, under which we granted ReNeuron a license that allows ReNeuron to exploit their “c-mycER” conditionally immortalized adult human neural stem cell technology for therapy and other purposes. In return for the license, we received a 7.5% fully-diluted equity interest in ReNeuron Group plc, the listed UK parent corporation of ReNeuron Limited, and a</w:t>
      </w:r>
    </w:p>
    <w:p>
      <w:pPr>
        <w:spacing w:after="0" w:line="27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35" w:name="page36"/>
    <w:bookmarkEnd w:id="35"/>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cross-license to the exclusive use of their technology for certain diseases and conditions. See “License and Settlement Agreement” below.</w:t>
      </w:r>
    </w:p>
    <w:p>
      <w:pPr>
        <w:spacing w:after="0" w:line="96" w:lineRule="exact"/>
        <w:rPr>
          <w:sz w:val="20"/>
          <w:szCs w:val="20"/>
          <w:color w:val="auto"/>
        </w:rPr>
      </w:pPr>
    </w:p>
    <w:p>
      <w:pPr>
        <w:ind w:left="680" w:right="100" w:firstLine="399"/>
        <w:spacing w:after="0" w:line="276" w:lineRule="auto"/>
        <w:rPr>
          <w:sz w:val="20"/>
          <w:szCs w:val="20"/>
          <w:color w:val="auto"/>
        </w:rPr>
      </w:pPr>
      <w:r>
        <w:rPr>
          <w:rFonts w:ascii="Arial" w:cs="Arial" w:eastAsia="Arial" w:hAnsi="Arial"/>
          <w:sz w:val="13"/>
          <w:szCs w:val="13"/>
          <w:color w:val="auto"/>
        </w:rPr>
        <w:t>In September 2005, we transferred the listing of our shares to the NASDAQ National Market from the NASDAQ Capital Market (formerly known as the Small Cap Market), and in October 2005, we filed a shelf registration statement on Form S-3 for up to $100 million in common stock. See “Liquidity and Capital Resources” below.</w:t>
      </w:r>
    </w:p>
    <w:p>
      <w:pPr>
        <w:spacing w:after="0" w:line="59"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color w:val="auto"/>
        </w:rPr>
        <w:t xml:space="preserve">Also in September 2005, our collaborators, Drs. Aileen J. Anderson and Brian J. Cummings of the Reeve-Irvine Center at the University of California-Irvine published in the </w:t>
      </w:r>
      <w:r>
        <w:rPr>
          <w:rFonts w:ascii="Arial" w:cs="Arial" w:eastAsia="Arial" w:hAnsi="Arial"/>
          <w:sz w:val="13"/>
          <w:szCs w:val="13"/>
          <w:i w:val="1"/>
          <w:iCs w:val="1"/>
          <w:color w:val="auto"/>
        </w:rPr>
        <w:t xml:space="preserve">Proceedings of the National Academy of Sciences of the United States of America </w:t>
      </w:r>
      <w:r>
        <w:rPr>
          <w:rFonts w:ascii="Arial" w:cs="Arial" w:eastAsia="Arial" w:hAnsi="Arial"/>
          <w:sz w:val="13"/>
          <w:szCs w:val="13"/>
          <w:color w:val="auto"/>
        </w:rPr>
        <w:t>(“PNAS”) the first study to show a direct link between transplanted human neural stem cells and restoration</w:t>
      </w:r>
      <w:r>
        <w:rPr>
          <w:rFonts w:ascii="Arial" w:cs="Arial" w:eastAsia="Arial" w:hAnsi="Arial"/>
          <w:sz w:val="13"/>
          <w:szCs w:val="13"/>
          <w:i w:val="1"/>
          <w:iCs w:val="1"/>
          <w:color w:val="auto"/>
        </w:rPr>
        <w:t xml:space="preserve"> </w:t>
      </w:r>
      <w:r>
        <w:rPr>
          <w:rFonts w:ascii="Arial" w:cs="Arial" w:eastAsia="Arial" w:hAnsi="Arial"/>
          <w:sz w:val="13"/>
          <w:szCs w:val="13"/>
          <w:color w:val="auto"/>
        </w:rPr>
        <w:t>of motor function in spinal cord injured mice. This research, which used our human neural stem cells, was funded in part by a multi-year grant awarded in 2004 by the NIH. See Note 7, Grants, in the consolidated financial statements.</w:t>
      </w:r>
    </w:p>
    <w:p>
      <w:pPr>
        <w:spacing w:after="0" w:line="70" w:lineRule="exact"/>
        <w:rPr>
          <w:sz w:val="20"/>
          <w:szCs w:val="20"/>
          <w:color w:val="auto"/>
        </w:rPr>
      </w:pPr>
    </w:p>
    <w:p>
      <w:pPr>
        <w:ind w:left="680" w:firstLine="399"/>
        <w:spacing w:after="0" w:line="257" w:lineRule="auto"/>
        <w:rPr>
          <w:sz w:val="20"/>
          <w:szCs w:val="20"/>
          <w:color w:val="auto"/>
        </w:rPr>
      </w:pPr>
      <w:r>
        <w:rPr>
          <w:rFonts w:ascii="Arial" w:cs="Arial" w:eastAsia="Arial" w:hAnsi="Arial"/>
          <w:sz w:val="13"/>
          <w:szCs w:val="13"/>
          <w:color w:val="auto"/>
        </w:rPr>
        <w:t>Our results of operations have varied significantly from year to year and quarter to quarter and may vary significantly in the future due to the occurrence of material recurring and nonrecurring events, including without limitation the receipt and payment of recurring and nonrecurring licensing payments, the initiation or termination of research collaborations, the on-going expenses to lease and maintain our facilities in Rhode Island and the increasing costs associated with our facility in California. To expand and provide high quality systems and support to our research and development programs, as well as to enhance our internal controls over financial reporting, we will need to hire more personnel, which will lead to higher operating expenses. In 2005 and early 2006, we made several key additions to our management team, including our Chief Medical Officer; our Chief Financial Officer; our Director, Cell Processing; our Director, Human Resources and our Director, Liver Cell Transplant Program.</w:t>
      </w:r>
    </w:p>
    <w:p>
      <w:pPr>
        <w:spacing w:after="0" w:line="72" w:lineRule="exact"/>
        <w:rPr>
          <w:sz w:val="20"/>
          <w:szCs w:val="20"/>
          <w:color w:val="auto"/>
        </w:rPr>
      </w:pPr>
    </w:p>
    <w:p>
      <w:pPr>
        <w:ind w:left="680" w:right="40" w:firstLine="399"/>
        <w:spacing w:after="0" w:line="285" w:lineRule="auto"/>
        <w:rPr>
          <w:sz w:val="20"/>
          <w:szCs w:val="20"/>
          <w:color w:val="auto"/>
        </w:rPr>
      </w:pPr>
      <w:r>
        <w:rPr>
          <w:rFonts w:ascii="Arial" w:cs="Arial" w:eastAsia="Arial" w:hAnsi="Arial"/>
          <w:sz w:val="12"/>
          <w:szCs w:val="12"/>
          <w:color w:val="auto"/>
        </w:rPr>
        <w:t xml:space="preserve">Our program in neural stem and progenitor cells ranges from the preclinical stage, in which we test human neural stem cells in small animal models of human diseases, both in-house and through external academic collaborators, through the development phase, in which we evaluate improvements to expansion methods and the toxicology of the cells, and through the clinical development phase, with respect to the planned clinical trial in Batten disease mentioned above. In our liver program, we are engaged in evaluating our proprietary liver engrafting cell in various </w:t>
      </w:r>
      <w:r>
        <w:rPr>
          <w:rFonts w:ascii="Arial" w:cs="Arial" w:eastAsia="Arial" w:hAnsi="Arial"/>
          <w:sz w:val="12"/>
          <w:szCs w:val="12"/>
          <w:i w:val="1"/>
          <w:iCs w:val="1"/>
          <w:color w:val="auto"/>
        </w:rPr>
        <w:t>in vivo</w:t>
      </w:r>
      <w:r>
        <w:rPr>
          <w:rFonts w:ascii="Arial" w:cs="Arial" w:eastAsia="Arial" w:hAnsi="Arial"/>
          <w:sz w:val="12"/>
          <w:szCs w:val="12"/>
          <w:color w:val="auto"/>
        </w:rPr>
        <w:t xml:space="preserve"> assays, and are planning to advance our liver program into product development as rapidly as we can. Our pancreas program is still in the discovery stage and further evaluation of the therapeutic potential of the candidate human pancreatic stem/progenitor cell will be required.</w:t>
      </w:r>
    </w:p>
    <w:p>
      <w:pPr>
        <w:spacing w:after="0" w:line="130"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Critical Accounting Policies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We believe the following critical accounting policies affect our more significant judgments and estimates used in the preparation of our consolidated financial statements:</w:t>
      </w:r>
    </w:p>
    <w:p>
      <w:pPr>
        <w:spacing w:after="0" w:line="18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Use of Estimates</w:t>
      </w:r>
    </w:p>
    <w:p>
      <w:pPr>
        <w:spacing w:after="0" w:line="100" w:lineRule="exact"/>
        <w:rPr>
          <w:sz w:val="20"/>
          <w:szCs w:val="20"/>
          <w:color w:val="auto"/>
        </w:rPr>
      </w:pPr>
    </w:p>
    <w:p>
      <w:pPr>
        <w:ind w:left="680" w:right="20" w:firstLine="399"/>
        <w:spacing w:after="0" w:line="296" w:lineRule="auto"/>
        <w:rPr>
          <w:sz w:val="20"/>
          <w:szCs w:val="20"/>
          <w:color w:val="auto"/>
        </w:rPr>
      </w:pPr>
      <w:r>
        <w:rPr>
          <w:rFonts w:ascii="Arial" w:cs="Arial" w:eastAsia="Arial" w:hAnsi="Arial"/>
          <w:sz w:val="12"/>
          <w:szCs w:val="12"/>
          <w:color w:val="auto"/>
        </w:rPr>
        <w:t>The preparation of consolidated financial statements in conformity with accounting principles generally accepted in the United States of America requires our management to make estimates and assumptions that affect the amounts reported in the consolidated financial statements. Actual results could differ from these estimates. The significant estimates are the accrued wind-down expenses (Note 8) and valuation allowance against net deferred tax assets. See Note 8 and Note 12 in the consolidated financial statements.</w:t>
      </w:r>
    </w:p>
    <w:p>
      <w:pPr>
        <w:spacing w:after="0" w:line="12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Stock-Based Compensation</w:t>
      </w:r>
    </w:p>
    <w:p>
      <w:pPr>
        <w:spacing w:after="0" w:line="100" w:lineRule="exact"/>
        <w:rPr>
          <w:sz w:val="20"/>
          <w:szCs w:val="20"/>
          <w:color w:val="auto"/>
        </w:rPr>
      </w:pPr>
    </w:p>
    <w:p>
      <w:pPr>
        <w:ind w:left="680" w:right="60" w:firstLine="399"/>
        <w:spacing w:after="0" w:line="258" w:lineRule="auto"/>
        <w:rPr>
          <w:sz w:val="20"/>
          <w:szCs w:val="20"/>
          <w:color w:val="auto"/>
        </w:rPr>
      </w:pPr>
      <w:r>
        <w:rPr>
          <w:rFonts w:ascii="Arial" w:cs="Arial" w:eastAsia="Arial" w:hAnsi="Arial"/>
          <w:sz w:val="13"/>
          <w:szCs w:val="13"/>
          <w:color w:val="auto"/>
        </w:rPr>
        <w:t xml:space="preserve">As permitted by the provisions of Statement of Financial Accounting Standards (SFAS) No. 148, </w:t>
      </w:r>
      <w:r>
        <w:rPr>
          <w:rFonts w:ascii="Arial" w:cs="Arial" w:eastAsia="Arial" w:hAnsi="Arial"/>
          <w:sz w:val="13"/>
          <w:szCs w:val="13"/>
          <w:i w:val="1"/>
          <w:iCs w:val="1"/>
          <w:color w:val="auto"/>
        </w:rPr>
        <w:t>“Accounting for Stock-Based Compensation — Transition and Disclosure,”</w:t>
      </w:r>
      <w:r>
        <w:rPr>
          <w:rFonts w:ascii="Arial" w:cs="Arial" w:eastAsia="Arial" w:hAnsi="Arial"/>
          <w:sz w:val="13"/>
          <w:szCs w:val="13"/>
          <w:color w:val="auto"/>
        </w:rPr>
        <w:t xml:space="preserve"> and SFAS No. 123, </w:t>
      </w:r>
      <w:r>
        <w:rPr>
          <w:rFonts w:ascii="Arial" w:cs="Arial" w:eastAsia="Arial" w:hAnsi="Arial"/>
          <w:sz w:val="13"/>
          <w:szCs w:val="13"/>
          <w:i w:val="1"/>
          <w:iCs w:val="1"/>
          <w:color w:val="auto"/>
        </w:rPr>
        <w:t>“Accounting for Stock-Based Compensation,”</w:t>
      </w:r>
      <w:r>
        <w:rPr>
          <w:rFonts w:ascii="Arial" w:cs="Arial" w:eastAsia="Arial" w:hAnsi="Arial"/>
          <w:sz w:val="13"/>
          <w:szCs w:val="13"/>
          <w:color w:val="auto"/>
        </w:rPr>
        <w:t xml:space="preserve"> our employee stock option plan is accounted for under Accounting Principles Board Opinion No. 25 (APB 25), </w:t>
      </w:r>
      <w:r>
        <w:rPr>
          <w:rFonts w:ascii="Arial" w:cs="Arial" w:eastAsia="Arial" w:hAnsi="Arial"/>
          <w:sz w:val="13"/>
          <w:szCs w:val="13"/>
          <w:i w:val="1"/>
          <w:iCs w:val="1"/>
          <w:color w:val="auto"/>
        </w:rPr>
        <w:t>“Accounting</w:t>
      </w:r>
      <w:r>
        <w:rPr>
          <w:rFonts w:ascii="Arial" w:cs="Arial" w:eastAsia="Arial" w:hAnsi="Arial"/>
          <w:sz w:val="13"/>
          <w:szCs w:val="13"/>
          <w:color w:val="auto"/>
        </w:rPr>
        <w:t xml:space="preserve"> </w:t>
      </w:r>
      <w:r>
        <w:rPr>
          <w:rFonts w:ascii="Arial" w:cs="Arial" w:eastAsia="Arial" w:hAnsi="Arial"/>
          <w:sz w:val="13"/>
          <w:szCs w:val="13"/>
          <w:i w:val="1"/>
          <w:iCs w:val="1"/>
          <w:color w:val="auto"/>
        </w:rPr>
        <w:t xml:space="preserve">for Stock Issued to Employees.” </w:t>
      </w:r>
      <w:r>
        <w:rPr>
          <w:rFonts w:ascii="Arial" w:cs="Arial" w:eastAsia="Arial" w:hAnsi="Arial"/>
          <w:sz w:val="13"/>
          <w:szCs w:val="13"/>
          <w:color w:val="auto"/>
        </w:rPr>
        <w:t>We grant qualified stock options for a fixed number of shares to employees with an exercise price equal to the fair market value of the shares at the date of</w:t>
      </w:r>
      <w:r>
        <w:rPr>
          <w:rFonts w:ascii="Arial" w:cs="Arial" w:eastAsia="Arial" w:hAnsi="Arial"/>
          <w:sz w:val="13"/>
          <w:szCs w:val="13"/>
          <w:i w:val="1"/>
          <w:iCs w:val="1"/>
          <w:color w:val="auto"/>
        </w:rPr>
        <w:t xml:space="preserve"> </w:t>
      </w:r>
      <w:r>
        <w:rPr>
          <w:rFonts w:ascii="Arial" w:cs="Arial" w:eastAsia="Arial" w:hAnsi="Arial"/>
          <w:sz w:val="13"/>
          <w:szCs w:val="13"/>
          <w:color w:val="auto"/>
        </w:rPr>
        <w:t>grant. In these circumstances and in accordance with APB 25, we recognize no compensation expense for qualified stock option grants. We also issue non-qualified stock options for a fixed number of shares to employees with an exercise price</w:t>
      </w:r>
    </w:p>
    <w:p>
      <w:pPr>
        <w:spacing w:after="0" w:line="278"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36" w:name="page37"/>
    <w:bookmarkEnd w:id="36"/>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320"/>
        <w:spacing w:after="0" w:line="276" w:lineRule="auto"/>
        <w:rPr>
          <w:sz w:val="20"/>
          <w:szCs w:val="20"/>
          <w:color w:val="auto"/>
        </w:rPr>
      </w:pPr>
      <w:r>
        <w:rPr>
          <w:rFonts w:ascii="Arial" w:cs="Arial" w:eastAsia="Arial" w:hAnsi="Arial"/>
          <w:sz w:val="13"/>
          <w:szCs w:val="13"/>
          <w:color w:val="auto"/>
        </w:rPr>
        <w:t>less than the fair market value of the shares at the date of grant. When such options vest, we recognize the difference between the exercise price and fair market value at date of grant as compensation expense in accordance with APB 25.</w:t>
      </w:r>
    </w:p>
    <w:p>
      <w:pPr>
        <w:spacing w:after="0" w:line="59" w:lineRule="exact"/>
        <w:rPr>
          <w:sz w:val="20"/>
          <w:szCs w:val="20"/>
          <w:color w:val="auto"/>
        </w:rPr>
      </w:pPr>
    </w:p>
    <w:p>
      <w:pPr>
        <w:ind w:left="680" w:right="140" w:firstLine="399"/>
        <w:spacing w:after="0" w:line="260" w:lineRule="auto"/>
        <w:rPr>
          <w:sz w:val="20"/>
          <w:szCs w:val="20"/>
          <w:color w:val="auto"/>
        </w:rPr>
      </w:pPr>
      <w:r>
        <w:rPr>
          <w:rFonts w:ascii="Arial" w:cs="Arial" w:eastAsia="Arial" w:hAnsi="Arial"/>
          <w:sz w:val="13"/>
          <w:szCs w:val="13"/>
          <w:color w:val="auto"/>
        </w:rPr>
        <w:t>We account for certain stock options granted to non-employees in accordance with FAS No. 123 and Emerging Issues Task Force (EITF) 96-18</w:t>
      </w:r>
      <w:r>
        <w:rPr>
          <w:rFonts w:ascii="Arial" w:cs="Arial" w:eastAsia="Arial" w:hAnsi="Arial"/>
          <w:sz w:val="13"/>
          <w:szCs w:val="13"/>
          <w:i w:val="1"/>
          <w:iCs w:val="1"/>
          <w:color w:val="auto"/>
        </w:rPr>
        <w:t>, “Accounting for equity instruments</w:t>
      </w:r>
      <w:r>
        <w:rPr>
          <w:rFonts w:ascii="Arial" w:cs="Arial" w:eastAsia="Arial" w:hAnsi="Arial"/>
          <w:sz w:val="13"/>
          <w:szCs w:val="13"/>
          <w:color w:val="auto"/>
        </w:rPr>
        <w:t xml:space="preserve"> </w:t>
      </w:r>
      <w:r>
        <w:rPr>
          <w:rFonts w:ascii="Arial" w:cs="Arial" w:eastAsia="Arial" w:hAnsi="Arial"/>
          <w:sz w:val="13"/>
          <w:szCs w:val="13"/>
          <w:i w:val="1"/>
          <w:iCs w:val="1"/>
          <w:color w:val="auto"/>
        </w:rPr>
        <w:t>that are issued to other than employees for acquiring, or in conjunction with selling, goods or services”</w:t>
      </w:r>
      <w:r>
        <w:rPr>
          <w:rFonts w:ascii="Arial" w:cs="Arial" w:eastAsia="Arial" w:hAnsi="Arial"/>
          <w:sz w:val="13"/>
          <w:szCs w:val="13"/>
          <w:color w:val="auto"/>
        </w:rPr>
        <w:t>, and accordingly, recognize as expense the estimated fair value of such options as</w:t>
      </w:r>
      <w:r>
        <w:rPr>
          <w:rFonts w:ascii="Arial" w:cs="Arial" w:eastAsia="Arial" w:hAnsi="Arial"/>
          <w:sz w:val="13"/>
          <w:szCs w:val="13"/>
          <w:i w:val="1"/>
          <w:iCs w:val="1"/>
          <w:color w:val="auto"/>
        </w:rPr>
        <w:t xml:space="preserve"> </w:t>
      </w:r>
      <w:r>
        <w:rPr>
          <w:rFonts w:ascii="Arial" w:cs="Arial" w:eastAsia="Arial" w:hAnsi="Arial"/>
          <w:sz w:val="13"/>
          <w:szCs w:val="13"/>
          <w:color w:val="auto"/>
        </w:rPr>
        <w:t>calculated using the Black-Scholes valuation model, a methodology allowed by FAS No. 123. The calculated value is re-measured during the service period, and the cost is amortized over the vesting period of each option or the recipient’s contractual arrangement, if shorter.</w:t>
      </w:r>
    </w:p>
    <w:p>
      <w:pPr>
        <w:spacing w:after="0" w:line="70" w:lineRule="exact"/>
        <w:rPr>
          <w:sz w:val="20"/>
          <w:szCs w:val="20"/>
          <w:color w:val="auto"/>
        </w:rPr>
      </w:pPr>
    </w:p>
    <w:p>
      <w:pPr>
        <w:ind w:left="680" w:firstLine="399"/>
        <w:spacing w:after="0" w:line="278" w:lineRule="auto"/>
        <w:rPr>
          <w:sz w:val="20"/>
          <w:szCs w:val="20"/>
          <w:color w:val="auto"/>
        </w:rPr>
      </w:pPr>
      <w:r>
        <w:rPr>
          <w:rFonts w:ascii="Arial" w:cs="Arial" w:eastAsia="Arial" w:hAnsi="Arial"/>
          <w:sz w:val="12"/>
          <w:szCs w:val="12"/>
          <w:color w:val="auto"/>
        </w:rPr>
        <w:t xml:space="preserve">In December 2004, FASB issued SFAS No. 123R (revised 2004), </w:t>
      </w:r>
      <w:r>
        <w:rPr>
          <w:rFonts w:ascii="Arial" w:cs="Arial" w:eastAsia="Arial" w:hAnsi="Arial"/>
          <w:sz w:val="12"/>
          <w:szCs w:val="12"/>
          <w:i w:val="1"/>
          <w:iCs w:val="1"/>
          <w:color w:val="auto"/>
        </w:rPr>
        <w:t>“Share-Based Payments.”</w:t>
      </w:r>
      <w:r>
        <w:rPr>
          <w:rFonts w:ascii="Arial" w:cs="Arial" w:eastAsia="Arial" w:hAnsi="Arial"/>
          <w:sz w:val="12"/>
          <w:szCs w:val="12"/>
          <w:color w:val="auto"/>
        </w:rPr>
        <w:t xml:space="preserve"> This Statement is a revision of SFAS No. 123, </w:t>
      </w:r>
      <w:r>
        <w:rPr>
          <w:rFonts w:ascii="Arial" w:cs="Arial" w:eastAsia="Arial" w:hAnsi="Arial"/>
          <w:sz w:val="12"/>
          <w:szCs w:val="12"/>
          <w:i w:val="1"/>
          <w:iCs w:val="1"/>
          <w:color w:val="auto"/>
        </w:rPr>
        <w:t>“Accounting for Stock-Based</w:t>
      </w:r>
      <w:r>
        <w:rPr>
          <w:rFonts w:ascii="Arial" w:cs="Arial" w:eastAsia="Arial" w:hAnsi="Arial"/>
          <w:sz w:val="12"/>
          <w:szCs w:val="12"/>
          <w:color w:val="auto"/>
        </w:rPr>
        <w:t xml:space="preserve"> </w:t>
      </w:r>
      <w:r>
        <w:rPr>
          <w:rFonts w:ascii="Arial" w:cs="Arial" w:eastAsia="Arial" w:hAnsi="Arial"/>
          <w:sz w:val="12"/>
          <w:szCs w:val="12"/>
          <w:i w:val="1"/>
          <w:iCs w:val="1"/>
          <w:color w:val="auto"/>
        </w:rPr>
        <w:t xml:space="preserve">Compensation.” </w:t>
      </w:r>
      <w:r>
        <w:rPr>
          <w:rFonts w:ascii="Arial" w:cs="Arial" w:eastAsia="Arial" w:hAnsi="Arial"/>
          <w:sz w:val="12"/>
          <w:szCs w:val="12"/>
          <w:color w:val="auto"/>
        </w:rPr>
        <w:t>This Statement supersedes APB 25 and its related implementation guidance. Upon the adoption of SFAS No. 123R we will be required to expense stock options using a fair-value method in our Statement of Operations. We will be required to apply SFAS No. 123R as of the first annual reporting period starting on or after June 15, 2005, which is our first quarter beginning January 1, 2006. Adoption of the expensing requirements will increase our net loss. See “Stock-based Compensation” in Note 1 for disclosures regarding the effect on net earnings and earnings per share if we had applied the fair value recognition provisions of SFAS No. 123R. Upon adoption, we intend to use the modified prospective method. Under this method, compensation cost is recognized beginning with the effective date of adoption (a) based on the requirements of SFAS 123R for all share-based payments granted after the effective date of adoption and (b) based on the requirements of SFAS 123R for all awards granted to employees prior to the effective date of adoption that remain unvested on the date of adoption. We currently utilize the Black-Scholes option pricing model to estimate the fair value. The Black-Scholes model meets the requirements of SFAS 123R but the fair values generated by the model may not be indicative of the actual fair values of our stock-based awards. Although StemCells has not yet determined whether the adoption of SFAS 123R will result in amounts that are similar to the current pro forma disclosures under SFAS 123, it believes the adoption will have a material negative impact on the Company’s operating results.</w:t>
      </w:r>
    </w:p>
    <w:p>
      <w:pPr>
        <w:spacing w:after="0" w:line="137"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Long-Lived Assets</w:t>
      </w:r>
    </w:p>
    <w:p>
      <w:pPr>
        <w:spacing w:after="0" w:line="100" w:lineRule="exact"/>
        <w:rPr>
          <w:sz w:val="20"/>
          <w:szCs w:val="20"/>
          <w:color w:val="auto"/>
        </w:rPr>
      </w:pPr>
    </w:p>
    <w:p>
      <w:pPr>
        <w:ind w:left="680" w:right="180" w:firstLine="399"/>
        <w:spacing w:after="0" w:line="264" w:lineRule="auto"/>
        <w:rPr>
          <w:sz w:val="20"/>
          <w:szCs w:val="20"/>
          <w:color w:val="auto"/>
        </w:rPr>
      </w:pPr>
      <w:r>
        <w:rPr>
          <w:rFonts w:ascii="Arial" w:cs="Arial" w:eastAsia="Arial" w:hAnsi="Arial"/>
          <w:sz w:val="13"/>
          <w:szCs w:val="13"/>
          <w:color w:val="auto"/>
        </w:rPr>
        <w:t>We routinely evaluate the carrying value of our long-lived assets. We record impairment losses on long-lived assets used in operations when events and circumstances indicate that assets may be impaired and the undiscounted cash flows estimated to be generated by the assets are less than the carrying amount of those assets. If an impairment exists, the charge to operations is measured as the excess of the carrying amount over the fair value of the assets.</w:t>
      </w:r>
    </w:p>
    <w:p>
      <w:pPr>
        <w:spacing w:after="0" w:line="14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Wind-down and Exit Costs</w:t>
      </w:r>
    </w:p>
    <w:p>
      <w:pPr>
        <w:spacing w:after="0" w:line="100" w:lineRule="exact"/>
        <w:rPr>
          <w:sz w:val="20"/>
          <w:szCs w:val="20"/>
          <w:color w:val="auto"/>
        </w:rPr>
      </w:pPr>
    </w:p>
    <w:p>
      <w:pPr>
        <w:ind w:left="680" w:right="20" w:firstLine="399"/>
        <w:spacing w:after="0" w:line="289" w:lineRule="auto"/>
        <w:rPr>
          <w:sz w:val="20"/>
          <w:szCs w:val="20"/>
          <w:color w:val="auto"/>
        </w:rPr>
      </w:pPr>
      <w:r>
        <w:rPr>
          <w:rFonts w:ascii="Arial" w:cs="Arial" w:eastAsia="Arial" w:hAnsi="Arial"/>
          <w:sz w:val="12"/>
          <w:szCs w:val="12"/>
          <w:color w:val="auto"/>
        </w:rPr>
        <w:t xml:space="preserve">In connection with our wind-down of our Encapsulated Cell Therapy (ECT) operations, our research and manufacturing operations in Lincoln, Rhode Island, and the relocation of our remaining research and development activities and corporate headquarters to California in October 1999, we have provided our estimate of the exit cost obligation in accordance with EITF 94-3, </w:t>
      </w:r>
      <w:r>
        <w:rPr>
          <w:rFonts w:ascii="Arial" w:cs="Arial" w:eastAsia="Arial" w:hAnsi="Arial"/>
          <w:sz w:val="12"/>
          <w:szCs w:val="12"/>
          <w:i w:val="1"/>
          <w:iCs w:val="1"/>
          <w:color w:val="auto"/>
        </w:rPr>
        <w:t>“Liability Recognition for Certain Employee Termination Benefits and Other Costs to Exit an Activity (Including Certain Costs Incurred in a Restructuring)”</w:t>
      </w:r>
      <w:r>
        <w:rPr>
          <w:rFonts w:ascii="Arial" w:cs="Arial" w:eastAsia="Arial" w:hAnsi="Arial"/>
          <w:sz w:val="12"/>
          <w:szCs w:val="12"/>
          <w:color w:val="auto"/>
        </w:rPr>
        <w:t>. On an ongoing basis we re-evaluate such estimate. For further discussion, see “Wind-down expenses” under “Results of Operations” below, and Note 8 to the consolidated financial statements.</w:t>
      </w:r>
    </w:p>
    <w:p>
      <w:pPr>
        <w:spacing w:after="0" w:line="259"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37" w:name="page38"/>
    <w:bookmarkEnd w:id="37"/>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RESULTS OF OPERATIONS</w:t>
      </w:r>
    </w:p>
    <w:p>
      <w:pPr>
        <w:spacing w:after="0" w:line="10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Years Ended December 31, 2005, 2004 and 2003</w:t>
      </w:r>
    </w:p>
    <w:p>
      <w:pPr>
        <w:spacing w:after="0" w:line="9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Revenues</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Revenues totaled approximately $206,000, $141,000, and $273,000 for the years ended December 31, 2005, 2004 and 2003, respectively.</w:t>
      </w:r>
    </w:p>
    <w:p>
      <w:pPr>
        <w:spacing w:after="0" w:line="91"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3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gridSpan w:val="2"/>
          </w:tcPr>
          <w:p>
            <w:pPr>
              <w:jc w:val="center"/>
              <w:ind w:left="82"/>
              <w:spacing w:after="0"/>
              <w:rPr>
                <w:sz w:val="20"/>
                <w:szCs w:val="20"/>
                <w:color w:val="auto"/>
              </w:rPr>
            </w:pPr>
            <w:r>
              <w:rPr>
                <w:rFonts w:ascii="Arial" w:cs="Arial" w:eastAsia="Arial" w:hAnsi="Arial"/>
                <w:sz w:val="10"/>
                <w:szCs w:val="10"/>
                <w:b w:val="1"/>
                <w:bCs w:val="1"/>
                <w:color w:val="auto"/>
                <w:w w:val="97"/>
              </w:rPr>
              <w:t>Change from</w:t>
            </w:r>
          </w:p>
        </w:tc>
        <w:tc>
          <w:tcPr>
            <w:tcW w:w="2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0" w:type="dxa"/>
            <w:vAlign w:val="bottom"/>
            <w:gridSpan w:val="2"/>
          </w:tcPr>
          <w:p>
            <w:pPr>
              <w:jc w:val="center"/>
              <w:ind w:left="2"/>
              <w:spacing w:after="0"/>
              <w:rPr>
                <w:sz w:val="20"/>
                <w:szCs w:val="20"/>
                <w:color w:val="auto"/>
              </w:rPr>
            </w:pPr>
            <w:r>
              <w:rPr>
                <w:rFonts w:ascii="Arial" w:cs="Arial" w:eastAsia="Arial" w:hAnsi="Arial"/>
                <w:sz w:val="10"/>
                <w:szCs w:val="10"/>
                <w:b w:val="1"/>
                <w:bCs w:val="1"/>
                <w:color w:val="auto"/>
                <w:w w:val="93"/>
              </w:rPr>
              <w:t>Change from</w:t>
            </w: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3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560" w:type="dxa"/>
            <w:vAlign w:val="bottom"/>
            <w:gridSpan w:val="4"/>
          </w:tcPr>
          <w:p>
            <w:pPr>
              <w:jc w:val="center"/>
              <w:ind w:right="560"/>
              <w:spacing w:after="0" w:line="108" w:lineRule="exact"/>
              <w:rPr>
                <w:sz w:val="20"/>
                <w:szCs w:val="20"/>
                <w:color w:val="auto"/>
              </w:rPr>
            </w:pPr>
            <w:r>
              <w:rPr>
                <w:rFonts w:ascii="Arial" w:cs="Arial" w:eastAsia="Arial" w:hAnsi="Arial"/>
                <w:sz w:val="10"/>
                <w:szCs w:val="10"/>
                <w:b w:val="1"/>
                <w:bCs w:val="1"/>
                <w:color w:val="auto"/>
                <w:w w:val="92"/>
              </w:rPr>
              <w:t>Previous Year: 2005</w:t>
            </w:r>
          </w:p>
        </w:tc>
        <w:tc>
          <w:tcPr>
            <w:tcW w:w="160" w:type="dxa"/>
            <w:vAlign w:val="bottom"/>
          </w:tcPr>
          <w:p>
            <w:pPr>
              <w:spacing w:after="0"/>
              <w:rPr>
                <w:sz w:val="9"/>
                <w:szCs w:val="9"/>
                <w:color w:val="auto"/>
              </w:rPr>
            </w:pPr>
          </w:p>
        </w:tc>
        <w:tc>
          <w:tcPr>
            <w:tcW w:w="1000" w:type="dxa"/>
            <w:vAlign w:val="bottom"/>
            <w:gridSpan w:val="2"/>
          </w:tcPr>
          <w:p>
            <w:pPr>
              <w:jc w:val="center"/>
              <w:ind w:left="2"/>
              <w:spacing w:after="0" w:line="108" w:lineRule="exact"/>
              <w:rPr>
                <w:sz w:val="20"/>
                <w:szCs w:val="20"/>
                <w:color w:val="auto"/>
              </w:rPr>
            </w:pPr>
            <w:r>
              <w:rPr>
                <w:rFonts w:ascii="Arial" w:cs="Arial" w:eastAsia="Arial" w:hAnsi="Arial"/>
                <w:sz w:val="10"/>
                <w:szCs w:val="10"/>
                <w:b w:val="1"/>
                <w:bCs w:val="1"/>
                <w:color w:val="auto"/>
                <w:w w:val="94"/>
              </w:rPr>
              <w:t>Previous Year: 2004</w:t>
            </w: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3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vMerge w:val="restart"/>
          </w:tcPr>
          <w:p>
            <w:pPr>
              <w:jc w:val="right"/>
              <w:ind w:right="178"/>
              <w:spacing w:after="0"/>
              <w:rPr>
                <w:sz w:val="20"/>
                <w:szCs w:val="20"/>
                <w:color w:val="auto"/>
              </w:rPr>
            </w:pPr>
            <w:r>
              <w:rPr>
                <w:rFonts w:ascii="Arial" w:cs="Arial" w:eastAsia="Arial" w:hAnsi="Arial"/>
                <w:sz w:val="10"/>
                <w:szCs w:val="10"/>
                <w:b w:val="1"/>
                <w:bCs w:val="1"/>
                <w:color w:val="auto"/>
              </w:rPr>
              <w:t>2005</w:t>
            </w:r>
          </w:p>
        </w:tc>
        <w:tc>
          <w:tcPr>
            <w:tcW w:w="3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vMerge w:val="restart"/>
          </w:tcPr>
          <w:p>
            <w:pPr>
              <w:jc w:val="right"/>
              <w:ind w:right="158"/>
              <w:spacing w:after="0"/>
              <w:rPr>
                <w:sz w:val="20"/>
                <w:szCs w:val="20"/>
                <w:color w:val="auto"/>
              </w:rPr>
            </w:pPr>
            <w:r>
              <w:rPr>
                <w:rFonts w:ascii="Arial" w:cs="Arial" w:eastAsia="Arial" w:hAnsi="Arial"/>
                <w:sz w:val="10"/>
                <w:szCs w:val="10"/>
                <w:b w:val="1"/>
                <w:bCs w:val="1"/>
                <w:color w:val="auto"/>
              </w:rPr>
              <w:t>2004</w:t>
            </w:r>
          </w:p>
        </w:tc>
        <w:tc>
          <w:tcPr>
            <w:tcW w:w="3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vMerge w:val="restart"/>
          </w:tcPr>
          <w:p>
            <w:pPr>
              <w:jc w:val="right"/>
              <w:ind w:right="178"/>
              <w:spacing w:after="0"/>
              <w:rPr>
                <w:sz w:val="20"/>
                <w:szCs w:val="20"/>
                <w:color w:val="auto"/>
              </w:rPr>
            </w:pPr>
            <w:r>
              <w:rPr>
                <w:rFonts w:ascii="Arial" w:cs="Arial" w:eastAsia="Arial" w:hAnsi="Arial"/>
                <w:sz w:val="10"/>
                <w:szCs w:val="10"/>
                <w:b w:val="1"/>
                <w:bCs w:val="1"/>
                <w:color w:val="auto"/>
              </w:rPr>
              <w:t>2003</w:t>
            </w:r>
          </w:p>
        </w:tc>
        <w:tc>
          <w:tcPr>
            <w:tcW w:w="36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gridSpan w:val="2"/>
          </w:tcPr>
          <w:p>
            <w:pPr>
              <w:jc w:val="center"/>
              <w:ind w:left="82"/>
              <w:spacing w:after="0"/>
              <w:rPr>
                <w:sz w:val="20"/>
                <w:szCs w:val="20"/>
                <w:color w:val="auto"/>
              </w:rPr>
            </w:pPr>
            <w:r>
              <w:rPr>
                <w:rFonts w:ascii="Arial" w:cs="Arial" w:eastAsia="Arial" w:hAnsi="Arial"/>
                <w:sz w:val="10"/>
                <w:szCs w:val="10"/>
                <w:b w:val="1"/>
                <w:bCs w:val="1"/>
                <w:color w:val="auto"/>
                <w:w w:val="88"/>
              </w:rPr>
              <w:t>Versus 2004</w:t>
            </w:r>
          </w:p>
        </w:tc>
        <w:tc>
          <w:tcPr>
            <w:tcW w:w="260" w:type="dxa"/>
            <w:vAlign w:val="bottom"/>
            <w:tcBorders>
              <w:bottom w:val="single" w:sz="8" w:color="auto"/>
            </w:tcBorders>
          </w:tcPr>
          <w:p>
            <w:pPr>
              <w:spacing w:after="0"/>
              <w:rPr>
                <w:sz w:val="10"/>
                <w:szCs w:val="10"/>
                <w:color w:val="auto"/>
              </w:rPr>
            </w:pPr>
          </w:p>
        </w:tc>
        <w:tc>
          <w:tcPr>
            <w:tcW w:w="44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gridSpan w:val="2"/>
          </w:tcPr>
          <w:p>
            <w:pPr>
              <w:jc w:val="center"/>
              <w:ind w:left="2"/>
              <w:spacing w:after="0"/>
              <w:rPr>
                <w:sz w:val="20"/>
                <w:szCs w:val="20"/>
                <w:color w:val="auto"/>
              </w:rPr>
            </w:pPr>
            <w:r>
              <w:rPr>
                <w:rFonts w:ascii="Arial" w:cs="Arial" w:eastAsia="Arial" w:hAnsi="Arial"/>
                <w:sz w:val="10"/>
                <w:szCs w:val="10"/>
                <w:b w:val="1"/>
                <w:bCs w:val="1"/>
                <w:color w:val="auto"/>
                <w:w w:val="92"/>
              </w:rPr>
              <w:t>Versus 2003</w:t>
            </w:r>
          </w:p>
        </w:tc>
        <w:tc>
          <w:tcPr>
            <w:tcW w:w="200" w:type="dxa"/>
            <w:vAlign w:val="bottom"/>
            <w:tcBorders>
              <w:bottom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36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vMerge w:val="continue"/>
          </w:tcPr>
          <w:p>
            <w:pPr>
              <w:spacing w:after="0"/>
              <w:rPr>
                <w:sz w:val="8"/>
                <w:szCs w:val="8"/>
                <w:color w:val="auto"/>
              </w:rPr>
            </w:pPr>
          </w:p>
        </w:tc>
        <w:tc>
          <w:tcPr>
            <w:tcW w:w="36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vMerge w:val="continue"/>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vMerge w:val="continue"/>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jc w:val="right"/>
              <w:ind w:right="202"/>
              <w:spacing w:after="0" w:line="98" w:lineRule="exact"/>
              <w:rPr>
                <w:sz w:val="20"/>
                <w:szCs w:val="20"/>
                <w:color w:val="auto"/>
              </w:rPr>
            </w:pPr>
            <w:r>
              <w:rPr>
                <w:rFonts w:ascii="Arial" w:cs="Arial" w:eastAsia="Arial" w:hAnsi="Arial"/>
                <w:sz w:val="10"/>
                <w:szCs w:val="10"/>
                <w:b w:val="1"/>
                <w:bCs w:val="1"/>
                <w:color w:val="auto"/>
              </w:rPr>
              <w:t>$</w:t>
            </w:r>
          </w:p>
        </w:tc>
        <w:tc>
          <w:tcPr>
            <w:tcW w:w="400" w:type="dxa"/>
            <w:vAlign w:val="bottom"/>
          </w:tcPr>
          <w:p>
            <w:pPr>
              <w:spacing w:after="0"/>
              <w:rPr>
                <w:sz w:val="8"/>
                <w:szCs w:val="8"/>
                <w:color w:val="auto"/>
              </w:rPr>
            </w:pPr>
          </w:p>
        </w:tc>
        <w:tc>
          <w:tcPr>
            <w:tcW w:w="260" w:type="dxa"/>
            <w:vAlign w:val="bottom"/>
            <w:tcBorders>
              <w:bottom w:val="single" w:sz="8" w:color="auto"/>
            </w:tcBorders>
          </w:tcPr>
          <w:p>
            <w:pPr>
              <w:jc w:val="right"/>
              <w:ind w:right="18"/>
              <w:spacing w:after="0" w:line="98" w:lineRule="exact"/>
              <w:rPr>
                <w:sz w:val="20"/>
                <w:szCs w:val="20"/>
                <w:color w:val="auto"/>
              </w:rPr>
            </w:pPr>
            <w:r>
              <w:rPr>
                <w:rFonts w:ascii="Arial" w:cs="Arial" w:eastAsia="Arial" w:hAnsi="Arial"/>
                <w:sz w:val="10"/>
                <w:szCs w:val="10"/>
                <w:b w:val="1"/>
                <w:bCs w:val="1"/>
                <w:color w:val="auto"/>
              </w:rPr>
              <w:t>%</w:t>
            </w:r>
          </w:p>
        </w:tc>
        <w:tc>
          <w:tcPr>
            <w:tcW w:w="44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jc w:val="right"/>
              <w:ind w:right="262"/>
              <w:spacing w:after="0" w:line="98" w:lineRule="exact"/>
              <w:rPr>
                <w:sz w:val="20"/>
                <w:szCs w:val="20"/>
                <w:color w:val="auto"/>
              </w:rPr>
            </w:pPr>
            <w:r>
              <w:rPr>
                <w:rFonts w:ascii="Arial" w:cs="Arial" w:eastAsia="Arial" w:hAnsi="Arial"/>
                <w:sz w:val="10"/>
                <w:szCs w:val="10"/>
                <w:b w:val="1"/>
                <w:bCs w:val="1"/>
                <w:color w:val="auto"/>
              </w:rPr>
              <w:t>$</w:t>
            </w:r>
          </w:p>
        </w:tc>
        <w:tc>
          <w:tcPr>
            <w:tcW w:w="460" w:type="dxa"/>
            <w:vAlign w:val="bottom"/>
          </w:tcPr>
          <w:p>
            <w:pPr>
              <w:spacing w:after="0"/>
              <w:rPr>
                <w:sz w:val="8"/>
                <w:szCs w:val="8"/>
                <w:color w:val="auto"/>
              </w:rPr>
            </w:pPr>
          </w:p>
        </w:tc>
        <w:tc>
          <w:tcPr>
            <w:tcW w:w="200" w:type="dxa"/>
            <w:vAlign w:val="bottom"/>
            <w:tcBorders>
              <w:bottom w:val="single" w:sz="8" w:color="auto"/>
            </w:tcBorders>
          </w:tcPr>
          <w:p>
            <w:pPr>
              <w:jc w:val="right"/>
              <w:ind w:right="18"/>
              <w:spacing w:after="0" w:line="98" w:lineRule="exact"/>
              <w:rPr>
                <w:sz w:val="20"/>
                <w:szCs w:val="20"/>
                <w:color w:val="auto"/>
              </w:rPr>
            </w:pPr>
            <w:r>
              <w:rPr>
                <w:rFonts w:ascii="Arial" w:cs="Arial" w:eastAsia="Arial" w:hAnsi="Arial"/>
                <w:sz w:val="10"/>
                <w:szCs w:val="10"/>
                <w:b w:val="1"/>
                <w:bCs w:val="1"/>
                <w:color w:val="auto"/>
              </w:rPr>
              <w:t>%</w:t>
            </w: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3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3620" w:type="dxa"/>
            <w:vAlign w:val="bottom"/>
            <w:shd w:val="clear" w:color="auto" w:fill="CCEEFF"/>
          </w:tcPr>
          <w:p>
            <w:pPr>
              <w:spacing w:after="0"/>
              <w:rPr>
                <w:sz w:val="20"/>
                <w:szCs w:val="20"/>
                <w:color w:val="auto"/>
              </w:rPr>
            </w:pPr>
            <w:r>
              <w:rPr>
                <w:rFonts w:ascii="Arial" w:cs="Arial" w:eastAsia="Arial" w:hAnsi="Arial"/>
                <w:sz w:val="13"/>
                <w:szCs w:val="13"/>
                <w:color w:val="auto"/>
              </w:rPr>
              <w:t>Revenue:</w:t>
            </w:r>
          </w:p>
        </w:tc>
        <w:tc>
          <w:tcPr>
            <w:tcW w:w="1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460" w:type="dxa"/>
            <w:vAlign w:val="bottom"/>
            <w:tcBorders>
              <w:right w:val="single" w:sz="8" w:color="CCEEFF"/>
            </w:tcBorders>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3620" w:type="dxa"/>
            <w:vAlign w:val="bottom"/>
          </w:tcPr>
          <w:p>
            <w:pPr>
              <w:ind w:left="140"/>
              <w:spacing w:after="0"/>
              <w:rPr>
                <w:sz w:val="20"/>
                <w:szCs w:val="20"/>
                <w:color w:val="auto"/>
              </w:rPr>
            </w:pPr>
            <w:r>
              <w:rPr>
                <w:rFonts w:ascii="Arial" w:cs="Arial" w:eastAsia="Arial" w:hAnsi="Arial"/>
                <w:sz w:val="13"/>
                <w:szCs w:val="13"/>
                <w:color w:val="auto"/>
              </w:rPr>
              <w:t>Revenue from licensing revenue</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900" w:type="dxa"/>
            <w:vAlign w:val="bottom"/>
            <w:gridSpan w:val="2"/>
          </w:tcPr>
          <w:p>
            <w:pPr>
              <w:jc w:val="right"/>
              <w:ind w:right="360"/>
              <w:spacing w:after="0"/>
              <w:rPr>
                <w:sz w:val="20"/>
                <w:szCs w:val="20"/>
                <w:color w:val="auto"/>
              </w:rPr>
            </w:pPr>
            <w:r>
              <w:rPr>
                <w:rFonts w:ascii="Arial" w:cs="Arial" w:eastAsia="Arial" w:hAnsi="Arial"/>
                <w:sz w:val="13"/>
                <w:szCs w:val="13"/>
                <w:color w:val="auto"/>
              </w:rPr>
              <w:t>19,526</w:t>
            </w:r>
          </w:p>
        </w:tc>
        <w:tc>
          <w:tcPr>
            <w:tcW w:w="160" w:type="dxa"/>
            <w:vAlign w:val="bottom"/>
          </w:tcPr>
          <w:p>
            <w:pPr>
              <w:jc w:val="right"/>
              <w:ind w:right="14"/>
              <w:spacing w:after="0"/>
              <w:rPr>
                <w:sz w:val="20"/>
                <w:szCs w:val="20"/>
                <w:color w:val="auto"/>
              </w:rPr>
            </w:pPr>
            <w:r>
              <w:rPr>
                <w:rFonts w:ascii="Arial" w:cs="Arial" w:eastAsia="Arial" w:hAnsi="Arial"/>
                <w:sz w:val="13"/>
                <w:szCs w:val="13"/>
                <w:color w:val="auto"/>
                <w:w w:val="82"/>
              </w:rPr>
              <w:t>$</w:t>
            </w:r>
          </w:p>
        </w:tc>
        <w:tc>
          <w:tcPr>
            <w:tcW w:w="900" w:type="dxa"/>
            <w:vAlign w:val="bottom"/>
            <w:gridSpan w:val="2"/>
          </w:tcPr>
          <w:p>
            <w:pPr>
              <w:jc w:val="right"/>
              <w:ind w:right="380"/>
              <w:spacing w:after="0"/>
              <w:rPr>
                <w:sz w:val="20"/>
                <w:szCs w:val="20"/>
                <w:color w:val="auto"/>
              </w:rPr>
            </w:pPr>
            <w:r>
              <w:rPr>
                <w:rFonts w:ascii="Arial" w:cs="Arial" w:eastAsia="Arial" w:hAnsi="Arial"/>
                <w:sz w:val="13"/>
                <w:szCs w:val="13"/>
                <w:color w:val="auto"/>
              </w:rPr>
              <w:t>22,206</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900" w:type="dxa"/>
            <w:vAlign w:val="bottom"/>
            <w:gridSpan w:val="2"/>
          </w:tcPr>
          <w:p>
            <w:pPr>
              <w:jc w:val="right"/>
              <w:ind w:right="360"/>
              <w:spacing w:after="0"/>
              <w:rPr>
                <w:sz w:val="20"/>
                <w:szCs w:val="20"/>
                <w:color w:val="auto"/>
              </w:rPr>
            </w:pPr>
            <w:r>
              <w:rPr>
                <w:rFonts w:ascii="Arial" w:cs="Arial" w:eastAsia="Arial" w:hAnsi="Arial"/>
                <w:sz w:val="13"/>
                <w:szCs w:val="13"/>
                <w:color w:val="auto"/>
              </w:rPr>
              <w:t>18,307</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gridSpan w:val="2"/>
          </w:tcPr>
          <w:p>
            <w:pPr>
              <w:jc w:val="right"/>
              <w:ind w:right="360"/>
              <w:spacing w:after="0"/>
              <w:rPr>
                <w:sz w:val="20"/>
                <w:szCs w:val="20"/>
                <w:color w:val="auto"/>
              </w:rPr>
            </w:pPr>
            <w:r>
              <w:rPr>
                <w:rFonts w:ascii="Arial" w:cs="Arial" w:eastAsia="Arial" w:hAnsi="Arial"/>
                <w:sz w:val="13"/>
                <w:szCs w:val="13"/>
                <w:color w:val="auto"/>
              </w:rPr>
              <w:t>(2,680)</w:t>
            </w:r>
          </w:p>
        </w:tc>
        <w:tc>
          <w:tcPr>
            <w:tcW w:w="700" w:type="dxa"/>
            <w:vAlign w:val="bottom"/>
            <w:gridSpan w:val="2"/>
          </w:tcPr>
          <w:p>
            <w:pPr>
              <w:jc w:val="right"/>
              <w:ind w:right="280"/>
              <w:spacing w:after="0"/>
              <w:rPr>
                <w:sz w:val="20"/>
                <w:szCs w:val="20"/>
                <w:color w:val="auto"/>
              </w:rPr>
            </w:pPr>
            <w:r>
              <w:rPr>
                <w:rFonts w:ascii="Arial" w:cs="Arial" w:eastAsia="Arial" w:hAnsi="Arial"/>
                <w:sz w:val="13"/>
                <w:szCs w:val="13"/>
                <w:color w:val="auto"/>
              </w:rPr>
              <w:t>(12)%</w:t>
            </w:r>
          </w:p>
        </w:tc>
        <w:tc>
          <w:tcPr>
            <w:tcW w:w="160" w:type="dxa"/>
            <w:vAlign w:val="bottom"/>
          </w:tcPr>
          <w:p>
            <w:pPr>
              <w:jc w:val="right"/>
              <w:ind w:right="14"/>
              <w:spacing w:after="0"/>
              <w:rPr>
                <w:sz w:val="20"/>
                <w:szCs w:val="20"/>
                <w:color w:val="auto"/>
              </w:rPr>
            </w:pPr>
            <w:r>
              <w:rPr>
                <w:rFonts w:ascii="Arial" w:cs="Arial" w:eastAsia="Arial" w:hAnsi="Arial"/>
                <w:sz w:val="13"/>
                <w:szCs w:val="13"/>
                <w:color w:val="auto"/>
                <w:w w:val="82"/>
              </w:rPr>
              <w:t>$</w:t>
            </w:r>
          </w:p>
        </w:tc>
        <w:tc>
          <w:tcPr>
            <w:tcW w:w="1000" w:type="dxa"/>
            <w:vAlign w:val="bottom"/>
            <w:gridSpan w:val="2"/>
          </w:tcPr>
          <w:p>
            <w:pPr>
              <w:jc w:val="right"/>
              <w:ind w:right="460"/>
              <w:spacing w:after="0"/>
              <w:rPr>
                <w:sz w:val="20"/>
                <w:szCs w:val="20"/>
                <w:color w:val="auto"/>
              </w:rPr>
            </w:pPr>
            <w:r>
              <w:rPr>
                <w:rFonts w:ascii="Arial" w:cs="Arial" w:eastAsia="Arial" w:hAnsi="Arial"/>
                <w:sz w:val="13"/>
                <w:szCs w:val="13"/>
                <w:color w:val="auto"/>
              </w:rPr>
              <w:t>3,899</w:t>
            </w:r>
          </w:p>
        </w:tc>
        <w:tc>
          <w:tcPr>
            <w:tcW w:w="360" w:type="dxa"/>
            <w:vAlign w:val="bottom"/>
            <w:gridSpan w:val="2"/>
          </w:tcPr>
          <w:p>
            <w:pPr>
              <w:jc w:val="right"/>
              <w:ind w:right="40"/>
              <w:spacing w:after="0"/>
              <w:rPr>
                <w:sz w:val="20"/>
                <w:szCs w:val="20"/>
                <w:color w:val="auto"/>
              </w:rPr>
            </w:pPr>
            <w:r>
              <w:rPr>
                <w:rFonts w:ascii="Arial" w:cs="Arial" w:eastAsia="Arial" w:hAnsi="Arial"/>
                <w:sz w:val="13"/>
                <w:szCs w:val="13"/>
                <w:color w:val="auto"/>
              </w:rPr>
              <w:t>21%</w:t>
            </w:r>
          </w:p>
        </w:tc>
        <w:tc>
          <w:tcPr>
            <w:tcW w:w="0" w:type="dxa"/>
            <w:vAlign w:val="bottom"/>
          </w:tcPr>
          <w:p>
            <w:pPr>
              <w:spacing w:after="0"/>
              <w:rPr>
                <w:sz w:val="1"/>
                <w:szCs w:val="1"/>
                <w:color w:val="auto"/>
              </w:rPr>
            </w:pPr>
          </w:p>
        </w:tc>
      </w:tr>
      <w:tr>
        <w:trPr>
          <w:trHeight w:val="157"/>
        </w:trPr>
        <w:tc>
          <w:tcPr>
            <w:tcW w:w="36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Revenue from grants</w:t>
            </w:r>
          </w:p>
        </w:tc>
        <w:tc>
          <w:tcPr>
            <w:tcW w:w="14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186,388</w:t>
            </w:r>
          </w:p>
        </w:tc>
        <w:tc>
          <w:tcPr>
            <w:tcW w:w="3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118,828</w:t>
            </w:r>
          </w:p>
        </w:tc>
        <w:tc>
          <w:tcPr>
            <w:tcW w:w="14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255,123</w:t>
            </w:r>
          </w:p>
        </w:tc>
        <w:tc>
          <w:tcPr>
            <w:tcW w:w="14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67,560</w:t>
            </w:r>
          </w:p>
        </w:tc>
        <w:tc>
          <w:tcPr>
            <w:tcW w:w="700" w:type="dxa"/>
            <w:vAlign w:val="bottom"/>
            <w:gridSpan w:val="2"/>
            <w:shd w:val="clear" w:color="auto" w:fill="CCEEFF"/>
          </w:tcPr>
          <w:p>
            <w:pPr>
              <w:jc w:val="right"/>
              <w:ind w:right="320"/>
              <w:spacing w:after="0"/>
              <w:rPr>
                <w:sz w:val="20"/>
                <w:szCs w:val="20"/>
                <w:color w:val="auto"/>
              </w:rPr>
            </w:pPr>
            <w:r>
              <w:rPr>
                <w:rFonts w:ascii="Arial" w:cs="Arial" w:eastAsia="Arial" w:hAnsi="Arial"/>
                <w:sz w:val="13"/>
                <w:szCs w:val="13"/>
                <w:color w:val="auto"/>
              </w:rPr>
              <w:t>57%</w:t>
            </w:r>
          </w:p>
        </w:tc>
        <w:tc>
          <w:tcPr>
            <w:tcW w:w="160" w:type="dxa"/>
            <w:vAlign w:val="bottom"/>
            <w:shd w:val="clear" w:color="auto" w:fill="CCEEFF"/>
          </w:tcPr>
          <w:p>
            <w:pPr>
              <w:spacing w:after="0"/>
              <w:rPr>
                <w:sz w:val="13"/>
                <w:szCs w:val="13"/>
                <w:color w:val="auto"/>
              </w:rPr>
            </w:pPr>
          </w:p>
        </w:tc>
        <w:tc>
          <w:tcPr>
            <w:tcW w:w="1000" w:type="dxa"/>
            <w:vAlign w:val="bottom"/>
            <w:tcBorders>
              <w:right w:val="single" w:sz="8" w:color="CCEEFF"/>
            </w:tcBorders>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(136,295)</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w w:val="97"/>
              </w:rPr>
              <w:t>(53)%</w:t>
            </w:r>
          </w:p>
        </w:tc>
        <w:tc>
          <w:tcPr>
            <w:tcW w:w="0" w:type="dxa"/>
            <w:vAlign w:val="bottom"/>
          </w:tcPr>
          <w:p>
            <w:pPr>
              <w:spacing w:after="0"/>
              <w:rPr>
                <w:sz w:val="1"/>
                <w:szCs w:val="1"/>
                <w:color w:val="auto"/>
              </w:rPr>
            </w:pPr>
          </w:p>
        </w:tc>
      </w:tr>
      <w:tr>
        <w:trPr>
          <w:trHeight w:val="20"/>
        </w:trPr>
        <w:tc>
          <w:tcPr>
            <w:tcW w:w="3620" w:type="dxa"/>
            <w:vAlign w:val="bottom"/>
            <w:vMerge w:val="restart"/>
          </w:tcPr>
          <w:p>
            <w:pPr>
              <w:spacing w:after="0"/>
              <w:rPr>
                <w:sz w:val="20"/>
                <w:szCs w:val="20"/>
                <w:color w:val="auto"/>
              </w:rPr>
            </w:pPr>
            <w:r>
              <w:rPr>
                <w:rFonts w:ascii="Arial" w:cs="Arial" w:eastAsia="Arial" w:hAnsi="Arial"/>
                <w:sz w:val="13"/>
                <w:szCs w:val="13"/>
                <w:color w:val="auto"/>
              </w:rPr>
              <w:t>Total revenue</w:t>
            </w: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60" w:type="dxa"/>
            <w:vAlign w:val="bottom"/>
            <w:tcBorders>
              <w:right w:val="single" w:sz="8" w:color="auto"/>
            </w:tcBorders>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620" w:type="dxa"/>
            <w:vAlign w:val="bottom"/>
            <w:vMerge w:val="continue"/>
          </w:tcPr>
          <w:p>
            <w:pPr>
              <w:spacing w:after="0"/>
              <w:rPr>
                <w:sz w:val="13"/>
                <w:szCs w:val="13"/>
                <w:color w:val="auto"/>
              </w:rPr>
            </w:pP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205,914</w:t>
            </w:r>
          </w:p>
        </w:tc>
        <w:tc>
          <w:tcPr>
            <w:tcW w:w="360" w:type="dxa"/>
            <w:vAlign w:val="bottom"/>
          </w:tcPr>
          <w:p>
            <w:pPr>
              <w:spacing w:after="0"/>
              <w:rPr>
                <w:sz w:val="13"/>
                <w:szCs w:val="13"/>
                <w:color w:val="auto"/>
              </w:rPr>
            </w:pPr>
          </w:p>
        </w:tc>
        <w:tc>
          <w:tcPr>
            <w:tcW w:w="160" w:type="dxa"/>
            <w:vAlign w:val="bottom"/>
          </w:tcPr>
          <w:p>
            <w:pPr>
              <w:jc w:val="right"/>
              <w:ind w:right="14"/>
              <w:spacing w:after="0"/>
              <w:rPr>
                <w:sz w:val="20"/>
                <w:szCs w:val="20"/>
                <w:color w:val="auto"/>
              </w:rPr>
            </w:pPr>
            <w:r>
              <w:rPr>
                <w:rFonts w:ascii="Arial" w:cs="Arial" w:eastAsia="Arial" w:hAnsi="Arial"/>
                <w:sz w:val="13"/>
                <w:szCs w:val="13"/>
                <w:color w:val="auto"/>
                <w:w w:val="82"/>
              </w:rPr>
              <w:t>$</w:t>
            </w:r>
          </w:p>
        </w:tc>
        <w:tc>
          <w:tcPr>
            <w:tcW w:w="900" w:type="dxa"/>
            <w:vAlign w:val="bottom"/>
            <w:gridSpan w:val="2"/>
          </w:tcPr>
          <w:p>
            <w:pPr>
              <w:jc w:val="right"/>
              <w:ind w:right="380"/>
              <w:spacing w:after="0"/>
              <w:rPr>
                <w:sz w:val="20"/>
                <w:szCs w:val="20"/>
                <w:color w:val="auto"/>
              </w:rPr>
            </w:pPr>
            <w:r>
              <w:rPr>
                <w:rFonts w:ascii="Arial" w:cs="Arial" w:eastAsia="Arial" w:hAnsi="Arial"/>
                <w:sz w:val="13"/>
                <w:szCs w:val="13"/>
                <w:color w:val="auto"/>
              </w:rPr>
              <w:t>141,034</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900" w:type="dxa"/>
            <w:vAlign w:val="bottom"/>
            <w:gridSpan w:val="2"/>
          </w:tcPr>
          <w:p>
            <w:pPr>
              <w:jc w:val="right"/>
              <w:ind w:right="360"/>
              <w:spacing w:after="0"/>
              <w:rPr>
                <w:sz w:val="20"/>
                <w:szCs w:val="20"/>
                <w:color w:val="auto"/>
              </w:rPr>
            </w:pPr>
            <w:r>
              <w:rPr>
                <w:rFonts w:ascii="Arial" w:cs="Arial" w:eastAsia="Arial" w:hAnsi="Arial"/>
                <w:sz w:val="13"/>
                <w:szCs w:val="13"/>
                <w:color w:val="auto"/>
              </w:rPr>
              <w:t>273,430</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64,880</w:t>
            </w:r>
          </w:p>
        </w:tc>
        <w:tc>
          <w:tcPr>
            <w:tcW w:w="700" w:type="dxa"/>
            <w:vAlign w:val="bottom"/>
            <w:gridSpan w:val="2"/>
          </w:tcPr>
          <w:p>
            <w:pPr>
              <w:jc w:val="right"/>
              <w:ind w:right="320"/>
              <w:spacing w:after="0"/>
              <w:rPr>
                <w:sz w:val="20"/>
                <w:szCs w:val="20"/>
                <w:color w:val="auto"/>
              </w:rPr>
            </w:pPr>
            <w:r>
              <w:rPr>
                <w:rFonts w:ascii="Arial" w:cs="Arial" w:eastAsia="Arial" w:hAnsi="Arial"/>
                <w:sz w:val="13"/>
                <w:szCs w:val="13"/>
                <w:color w:val="auto"/>
              </w:rPr>
              <w:t>46%</w:t>
            </w:r>
          </w:p>
        </w:tc>
        <w:tc>
          <w:tcPr>
            <w:tcW w:w="160" w:type="dxa"/>
            <w:vAlign w:val="bottom"/>
          </w:tcPr>
          <w:p>
            <w:pPr>
              <w:jc w:val="right"/>
              <w:ind w:right="14"/>
              <w:spacing w:after="0"/>
              <w:rPr>
                <w:sz w:val="20"/>
                <w:szCs w:val="20"/>
                <w:color w:val="auto"/>
              </w:rPr>
            </w:pPr>
            <w:r>
              <w:rPr>
                <w:rFonts w:ascii="Arial" w:cs="Arial" w:eastAsia="Arial" w:hAnsi="Arial"/>
                <w:sz w:val="13"/>
                <w:szCs w:val="13"/>
                <w:color w:val="auto"/>
                <w:w w:val="82"/>
              </w:rPr>
              <w:t>$</w:t>
            </w:r>
          </w:p>
        </w:tc>
        <w:tc>
          <w:tcPr>
            <w:tcW w:w="1000" w:type="dxa"/>
            <w:vAlign w:val="bottom"/>
            <w:gridSpan w:val="2"/>
          </w:tcPr>
          <w:p>
            <w:pPr>
              <w:jc w:val="right"/>
              <w:ind w:right="420"/>
              <w:spacing w:after="0"/>
              <w:rPr>
                <w:sz w:val="20"/>
                <w:szCs w:val="20"/>
                <w:color w:val="auto"/>
              </w:rPr>
            </w:pPr>
            <w:r>
              <w:rPr>
                <w:rFonts w:ascii="Arial" w:cs="Arial" w:eastAsia="Arial" w:hAnsi="Arial"/>
                <w:sz w:val="13"/>
                <w:szCs w:val="13"/>
                <w:color w:val="auto"/>
              </w:rPr>
              <w:t>(132,396)</w:t>
            </w:r>
          </w:p>
        </w:tc>
        <w:tc>
          <w:tcPr>
            <w:tcW w:w="360" w:type="dxa"/>
            <w:vAlign w:val="bottom"/>
            <w:gridSpan w:val="2"/>
          </w:tcPr>
          <w:p>
            <w:pPr>
              <w:jc w:val="right"/>
              <w:spacing w:after="0"/>
              <w:rPr>
                <w:sz w:val="20"/>
                <w:szCs w:val="20"/>
                <w:color w:val="auto"/>
              </w:rPr>
            </w:pPr>
            <w:r>
              <w:rPr>
                <w:rFonts w:ascii="Arial" w:cs="Arial" w:eastAsia="Arial" w:hAnsi="Arial"/>
                <w:sz w:val="13"/>
                <w:szCs w:val="13"/>
                <w:color w:val="auto"/>
                <w:w w:val="97"/>
              </w:rPr>
              <w:t>(48)%</w:t>
            </w:r>
          </w:p>
        </w:tc>
        <w:tc>
          <w:tcPr>
            <w:tcW w:w="0" w:type="dxa"/>
            <w:vAlign w:val="bottom"/>
          </w:tcPr>
          <w:p>
            <w:pPr>
              <w:spacing w:after="0"/>
              <w:rPr>
                <w:sz w:val="1"/>
                <w:szCs w:val="1"/>
                <w:color w:val="auto"/>
              </w:rPr>
            </w:pPr>
          </w:p>
        </w:tc>
      </w:tr>
    </w:tbl>
    <w:p>
      <w:pPr>
        <w:spacing w:after="0" w:line="81" w:lineRule="exact"/>
        <w:rPr>
          <w:sz w:val="20"/>
          <w:szCs w:val="20"/>
          <w:color w:val="auto"/>
        </w:rPr>
      </w:pPr>
    </w:p>
    <w:p>
      <w:pPr>
        <w:ind w:left="680" w:right="60" w:firstLine="399"/>
        <w:spacing w:after="0" w:line="258" w:lineRule="auto"/>
        <w:rPr>
          <w:sz w:val="20"/>
          <w:szCs w:val="20"/>
          <w:color w:val="auto"/>
        </w:rPr>
      </w:pPr>
      <w:r>
        <w:rPr>
          <w:rFonts w:ascii="Arial" w:cs="Arial" w:eastAsia="Arial" w:hAnsi="Arial"/>
          <w:sz w:val="13"/>
          <w:szCs w:val="13"/>
          <w:color w:val="auto"/>
        </w:rPr>
        <w:t>Revenues for 2005 include $186,000 that is part of a Small Business Technology Transfer (STTR) grant received in 2004 for approximately $464,000 over one and one half years for studies in Alzheimer’s disease. The STTR grant will support joint work with the McLaughlin Research Institute (MRI) in Great Falls, Montana. We will retain $243,000 and the remaining $221,000 will be disbursed to MRI. Revenues for 2004 include $93,000 that completed the draw down of a one-year Small Business Innovation Research grant of $342,000 from the National Institute of Neurological Disease and Stroke (NINDS) received at the end of 2003, and $26,000 which is part of the STTR grant received in 2004. Total revenue includes licensing revenue of $20,000 and $23,000 for 2005 and 2004, respectively.</w:t>
      </w:r>
    </w:p>
    <w:p>
      <w:pPr>
        <w:spacing w:after="0" w:line="71" w:lineRule="exact"/>
        <w:rPr>
          <w:sz w:val="20"/>
          <w:szCs w:val="20"/>
          <w:color w:val="auto"/>
        </w:rPr>
      </w:pPr>
    </w:p>
    <w:p>
      <w:pPr>
        <w:ind w:left="680" w:firstLine="399"/>
        <w:spacing w:after="0" w:line="258" w:lineRule="auto"/>
        <w:rPr>
          <w:sz w:val="20"/>
          <w:szCs w:val="20"/>
          <w:color w:val="auto"/>
        </w:rPr>
      </w:pPr>
      <w:r>
        <w:rPr>
          <w:rFonts w:ascii="Arial" w:cs="Arial" w:eastAsia="Arial" w:hAnsi="Arial"/>
          <w:sz w:val="13"/>
          <w:szCs w:val="13"/>
          <w:color w:val="auto"/>
        </w:rPr>
        <w:t>Revenues for 2003 include $143,000, which was part of the $342,000 NINDS grant and $112,000 from the grant awarded by the National Institute of Diabetes &amp; Digestive &amp; Kidney Disorders (NIDDKD) of the National Institutes of Health. In addition, revenues for 2003 include $18,000 in licensing revenue. The decrease from 2003 to 2004 was primarily attributable to the NIDDKD grant, for which we drew down $112,000 in 2003. Subsequent to 2003, we have not, and shall not, draw further funds from the grant since we are no longer pursuing the particular research that the grant covered. The decrease was also attributable to the completed draw down of the $342,000 NINDS grant. The draw down was $143,000 in 2003 and $93,000 in 2004. The remaining $106,000 was paid to a subcontractor.</w:t>
      </w:r>
    </w:p>
    <w:p>
      <w:pPr>
        <w:spacing w:after="0" w:line="15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Operating Expenses</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Operating expenses totaled approximately $16,594,000, $15,541,000, and $12,420,000 for the years ended December 31, 2005, 2004 and 2003, respectively.</w:t>
      </w:r>
    </w:p>
    <w:p>
      <w:pPr>
        <w:spacing w:after="0" w:line="91"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34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00" w:type="dxa"/>
            <w:vAlign w:val="bottom"/>
            <w:gridSpan w:val="2"/>
          </w:tcPr>
          <w:p>
            <w:pPr>
              <w:jc w:val="center"/>
              <w:ind w:left="1"/>
              <w:spacing w:after="0"/>
              <w:rPr>
                <w:sz w:val="20"/>
                <w:szCs w:val="20"/>
                <w:color w:val="auto"/>
              </w:rPr>
            </w:pPr>
            <w:r>
              <w:rPr>
                <w:rFonts w:ascii="Arial" w:cs="Arial" w:eastAsia="Arial" w:hAnsi="Arial"/>
                <w:sz w:val="10"/>
                <w:szCs w:val="10"/>
                <w:b w:val="1"/>
                <w:bCs w:val="1"/>
                <w:color w:val="auto"/>
                <w:w w:val="97"/>
              </w:rPr>
              <w:t>Change from</w:t>
            </w:r>
          </w:p>
        </w:tc>
        <w:tc>
          <w:tcPr>
            <w:tcW w:w="2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20" w:type="dxa"/>
            <w:vAlign w:val="bottom"/>
            <w:gridSpan w:val="2"/>
          </w:tcPr>
          <w:p>
            <w:pPr>
              <w:jc w:val="center"/>
              <w:ind w:left="1"/>
              <w:spacing w:after="0"/>
              <w:rPr>
                <w:sz w:val="20"/>
                <w:szCs w:val="20"/>
                <w:color w:val="auto"/>
              </w:rPr>
            </w:pPr>
            <w:r>
              <w:rPr>
                <w:rFonts w:ascii="Arial" w:cs="Arial" w:eastAsia="Arial" w:hAnsi="Arial"/>
                <w:sz w:val="10"/>
                <w:szCs w:val="10"/>
                <w:b w:val="1"/>
                <w:bCs w:val="1"/>
                <w:color w:val="auto"/>
                <w:w w:val="93"/>
              </w:rPr>
              <w:t>Change from</w:t>
            </w: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3400" w:type="dxa"/>
            <w:vAlign w:val="bottom"/>
          </w:tcPr>
          <w:p>
            <w:pPr>
              <w:spacing w:after="0"/>
              <w:rPr>
                <w:sz w:val="9"/>
                <w:szCs w:val="9"/>
                <w:color w:val="auto"/>
              </w:rPr>
            </w:pPr>
          </w:p>
        </w:tc>
        <w:tc>
          <w:tcPr>
            <w:tcW w:w="1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7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900" w:type="dxa"/>
            <w:vAlign w:val="bottom"/>
            <w:gridSpan w:val="2"/>
          </w:tcPr>
          <w:p>
            <w:pPr>
              <w:jc w:val="center"/>
              <w:ind w:left="21"/>
              <w:spacing w:after="0" w:line="108" w:lineRule="exact"/>
              <w:rPr>
                <w:sz w:val="20"/>
                <w:szCs w:val="20"/>
                <w:color w:val="auto"/>
              </w:rPr>
            </w:pPr>
            <w:r>
              <w:rPr>
                <w:rFonts w:ascii="Arial" w:cs="Arial" w:eastAsia="Arial" w:hAnsi="Arial"/>
                <w:sz w:val="10"/>
                <w:szCs w:val="10"/>
                <w:b w:val="1"/>
                <w:bCs w:val="1"/>
                <w:color w:val="auto"/>
                <w:w w:val="94"/>
              </w:rPr>
              <w:t>Previous Year:</w:t>
            </w: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920" w:type="dxa"/>
            <w:vAlign w:val="bottom"/>
            <w:gridSpan w:val="2"/>
          </w:tcPr>
          <w:p>
            <w:pPr>
              <w:jc w:val="center"/>
              <w:ind w:left="1"/>
              <w:spacing w:after="0" w:line="108" w:lineRule="exact"/>
              <w:rPr>
                <w:sz w:val="20"/>
                <w:szCs w:val="20"/>
                <w:color w:val="auto"/>
              </w:rPr>
            </w:pPr>
            <w:r>
              <w:rPr>
                <w:rFonts w:ascii="Arial" w:cs="Arial" w:eastAsia="Arial" w:hAnsi="Arial"/>
                <w:sz w:val="10"/>
                <w:szCs w:val="10"/>
                <w:b w:val="1"/>
                <w:bCs w:val="1"/>
                <w:color w:val="auto"/>
                <w:w w:val="94"/>
              </w:rPr>
              <w:t>Previous Year:</w:t>
            </w: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34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vMerge w:val="restart"/>
          </w:tcPr>
          <w:p>
            <w:pPr>
              <w:jc w:val="right"/>
              <w:ind w:right="277"/>
              <w:spacing w:after="0"/>
              <w:rPr>
                <w:sz w:val="20"/>
                <w:szCs w:val="20"/>
                <w:color w:val="auto"/>
              </w:rPr>
            </w:pPr>
            <w:r>
              <w:rPr>
                <w:rFonts w:ascii="Arial" w:cs="Arial" w:eastAsia="Arial" w:hAnsi="Arial"/>
                <w:sz w:val="10"/>
                <w:szCs w:val="10"/>
                <w:b w:val="1"/>
                <w:bCs w:val="1"/>
                <w:color w:val="auto"/>
              </w:rPr>
              <w:t>2005</w:t>
            </w:r>
          </w:p>
        </w:tc>
        <w:tc>
          <w:tcPr>
            <w:tcW w:w="2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vMerge w:val="restart"/>
          </w:tcPr>
          <w:p>
            <w:pPr>
              <w:jc w:val="right"/>
              <w:ind w:right="277"/>
              <w:spacing w:after="0"/>
              <w:rPr>
                <w:sz w:val="20"/>
                <w:szCs w:val="20"/>
                <w:color w:val="auto"/>
              </w:rPr>
            </w:pPr>
            <w:r>
              <w:rPr>
                <w:rFonts w:ascii="Arial" w:cs="Arial" w:eastAsia="Arial" w:hAnsi="Arial"/>
                <w:sz w:val="10"/>
                <w:szCs w:val="10"/>
                <w:b w:val="1"/>
                <w:bCs w:val="1"/>
                <w:color w:val="auto"/>
              </w:rPr>
              <w:t>2004</w:t>
            </w:r>
          </w:p>
        </w:tc>
        <w:tc>
          <w:tcPr>
            <w:tcW w:w="2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vMerge w:val="restart"/>
          </w:tcPr>
          <w:p>
            <w:pPr>
              <w:jc w:val="right"/>
              <w:ind w:right="277"/>
              <w:spacing w:after="0"/>
              <w:rPr>
                <w:sz w:val="20"/>
                <w:szCs w:val="20"/>
                <w:color w:val="auto"/>
              </w:rPr>
            </w:pPr>
            <w:r>
              <w:rPr>
                <w:rFonts w:ascii="Arial" w:cs="Arial" w:eastAsia="Arial" w:hAnsi="Arial"/>
                <w:sz w:val="10"/>
                <w:szCs w:val="10"/>
                <w:b w:val="1"/>
                <w:bCs w:val="1"/>
                <w:color w:val="auto"/>
              </w:rPr>
              <w:t>2003</w:t>
            </w:r>
          </w:p>
        </w:tc>
        <w:tc>
          <w:tcPr>
            <w:tcW w:w="28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gridSpan w:val="2"/>
          </w:tcPr>
          <w:p>
            <w:pPr>
              <w:jc w:val="center"/>
              <w:ind w:left="1"/>
              <w:spacing w:after="0"/>
              <w:rPr>
                <w:sz w:val="20"/>
                <w:szCs w:val="20"/>
                <w:color w:val="auto"/>
              </w:rPr>
            </w:pPr>
            <w:r>
              <w:rPr>
                <w:rFonts w:ascii="Arial" w:cs="Arial" w:eastAsia="Arial" w:hAnsi="Arial"/>
                <w:sz w:val="10"/>
                <w:szCs w:val="10"/>
                <w:b w:val="1"/>
                <w:bCs w:val="1"/>
                <w:color w:val="auto"/>
                <w:w w:val="91"/>
              </w:rPr>
              <w:t>2005 Versus 2004</w:t>
            </w:r>
          </w:p>
        </w:tc>
        <w:tc>
          <w:tcPr>
            <w:tcW w:w="240" w:type="dxa"/>
            <w:vAlign w:val="bottom"/>
            <w:tcBorders>
              <w:bottom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gridSpan w:val="2"/>
          </w:tcPr>
          <w:p>
            <w:pPr>
              <w:jc w:val="center"/>
              <w:ind w:left="1"/>
              <w:spacing w:after="0"/>
              <w:rPr>
                <w:sz w:val="20"/>
                <w:szCs w:val="20"/>
                <w:color w:val="auto"/>
              </w:rPr>
            </w:pPr>
            <w:r>
              <w:rPr>
                <w:rFonts w:ascii="Arial" w:cs="Arial" w:eastAsia="Arial" w:hAnsi="Arial"/>
                <w:sz w:val="10"/>
                <w:szCs w:val="10"/>
                <w:b w:val="1"/>
                <w:bCs w:val="1"/>
                <w:color w:val="auto"/>
                <w:w w:val="93"/>
              </w:rPr>
              <w:t>2004 Versus 2003</w:t>
            </w:r>
          </w:p>
        </w:tc>
        <w:tc>
          <w:tcPr>
            <w:tcW w:w="220" w:type="dxa"/>
            <w:vAlign w:val="bottom"/>
            <w:tcBorders>
              <w:bottom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340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vMerge w:val="continue"/>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vMerge w:val="continue"/>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vMerge w:val="continue"/>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jc w:val="right"/>
              <w:ind w:right="321"/>
              <w:spacing w:after="0" w:line="98" w:lineRule="exact"/>
              <w:rPr>
                <w:sz w:val="20"/>
                <w:szCs w:val="20"/>
                <w:color w:val="auto"/>
              </w:rPr>
            </w:pPr>
            <w:r>
              <w:rPr>
                <w:rFonts w:ascii="Arial" w:cs="Arial" w:eastAsia="Arial" w:hAnsi="Arial"/>
                <w:sz w:val="10"/>
                <w:szCs w:val="10"/>
                <w:b w:val="1"/>
                <w:bCs w:val="1"/>
                <w:color w:val="auto"/>
              </w:rPr>
              <w:t>$</w:t>
            </w:r>
          </w:p>
        </w:tc>
        <w:tc>
          <w:tcPr>
            <w:tcW w:w="280" w:type="dxa"/>
            <w:vAlign w:val="bottom"/>
          </w:tcPr>
          <w:p>
            <w:pPr>
              <w:spacing w:after="0"/>
              <w:rPr>
                <w:sz w:val="8"/>
                <w:szCs w:val="8"/>
                <w:color w:val="auto"/>
              </w:rPr>
            </w:pPr>
          </w:p>
        </w:tc>
        <w:tc>
          <w:tcPr>
            <w:tcW w:w="240" w:type="dxa"/>
            <w:vAlign w:val="bottom"/>
            <w:tcBorders>
              <w:bottom w:val="single" w:sz="8" w:color="auto"/>
            </w:tcBorders>
          </w:tcPr>
          <w:p>
            <w:pPr>
              <w:jc w:val="right"/>
              <w:spacing w:after="0" w:line="98" w:lineRule="exact"/>
              <w:rPr>
                <w:sz w:val="20"/>
                <w:szCs w:val="20"/>
                <w:color w:val="auto"/>
              </w:rPr>
            </w:pPr>
            <w:r>
              <w:rPr>
                <w:rFonts w:ascii="Arial" w:cs="Arial" w:eastAsia="Arial" w:hAnsi="Arial"/>
                <w:sz w:val="10"/>
                <w:szCs w:val="10"/>
                <w:b w:val="1"/>
                <w:bCs w:val="1"/>
                <w:color w:val="auto"/>
              </w:rPr>
              <w:t>%</w:t>
            </w:r>
          </w:p>
        </w:tc>
        <w:tc>
          <w:tcPr>
            <w:tcW w:w="3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jc w:val="right"/>
              <w:ind w:right="301"/>
              <w:spacing w:after="0" w:line="98" w:lineRule="exact"/>
              <w:rPr>
                <w:sz w:val="20"/>
                <w:szCs w:val="20"/>
                <w:color w:val="auto"/>
              </w:rPr>
            </w:pPr>
            <w:r>
              <w:rPr>
                <w:rFonts w:ascii="Arial" w:cs="Arial" w:eastAsia="Arial" w:hAnsi="Arial"/>
                <w:sz w:val="10"/>
                <w:szCs w:val="10"/>
                <w:b w:val="1"/>
                <w:bCs w:val="1"/>
                <w:color w:val="auto"/>
              </w:rPr>
              <w:t>$</w:t>
            </w:r>
          </w:p>
        </w:tc>
        <w:tc>
          <w:tcPr>
            <w:tcW w:w="300" w:type="dxa"/>
            <w:vAlign w:val="bottom"/>
          </w:tcPr>
          <w:p>
            <w:pPr>
              <w:spacing w:after="0"/>
              <w:rPr>
                <w:sz w:val="8"/>
                <w:szCs w:val="8"/>
                <w:color w:val="auto"/>
              </w:rPr>
            </w:pPr>
          </w:p>
        </w:tc>
        <w:tc>
          <w:tcPr>
            <w:tcW w:w="220" w:type="dxa"/>
            <w:vAlign w:val="bottom"/>
            <w:tcBorders>
              <w:bottom w:val="single" w:sz="8" w:color="auto"/>
            </w:tcBorders>
          </w:tcPr>
          <w:p>
            <w:pPr>
              <w:jc w:val="right"/>
              <w:spacing w:after="0" w:line="98" w:lineRule="exact"/>
              <w:rPr>
                <w:sz w:val="20"/>
                <w:szCs w:val="20"/>
                <w:color w:val="auto"/>
              </w:rPr>
            </w:pPr>
            <w:r>
              <w:rPr>
                <w:rFonts w:ascii="Arial" w:cs="Arial" w:eastAsia="Arial" w:hAnsi="Arial"/>
                <w:sz w:val="10"/>
                <w:szCs w:val="10"/>
                <w:b w:val="1"/>
                <w:bCs w:val="1"/>
                <w:color w:val="auto"/>
              </w:rPr>
              <w:t>%</w:t>
            </w: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3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3400" w:type="dxa"/>
            <w:vAlign w:val="bottom"/>
            <w:shd w:val="clear" w:color="auto" w:fill="CCEEFF"/>
          </w:tcPr>
          <w:p>
            <w:pPr>
              <w:spacing w:after="0"/>
              <w:rPr>
                <w:sz w:val="20"/>
                <w:szCs w:val="20"/>
                <w:color w:val="auto"/>
              </w:rPr>
            </w:pPr>
            <w:r>
              <w:rPr>
                <w:rFonts w:ascii="Arial" w:cs="Arial" w:eastAsia="Arial" w:hAnsi="Arial"/>
                <w:sz w:val="13"/>
                <w:szCs w:val="13"/>
                <w:color w:val="auto"/>
              </w:rPr>
              <w:t>Operating Expenses</w:t>
            </w:r>
          </w:p>
        </w:tc>
        <w:tc>
          <w:tcPr>
            <w:tcW w:w="1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3400" w:type="dxa"/>
            <w:vAlign w:val="bottom"/>
          </w:tcPr>
          <w:p>
            <w:pPr>
              <w:ind w:left="140"/>
              <w:spacing w:after="0"/>
              <w:rPr>
                <w:sz w:val="20"/>
                <w:szCs w:val="20"/>
                <w:color w:val="auto"/>
              </w:rPr>
            </w:pPr>
            <w:r>
              <w:rPr>
                <w:rFonts w:ascii="Arial" w:cs="Arial" w:eastAsia="Arial" w:hAnsi="Arial"/>
                <w:sz w:val="13"/>
                <w:szCs w:val="13"/>
                <w:color w:val="auto"/>
              </w:rPr>
              <w:t>Research and development</w:t>
            </w:r>
          </w:p>
        </w:tc>
        <w:tc>
          <w:tcPr>
            <w:tcW w:w="180" w:type="dxa"/>
            <w:vAlign w:val="bottom"/>
          </w:tcPr>
          <w:p>
            <w:pPr>
              <w:jc w:val="right"/>
              <w:ind w:right="71"/>
              <w:spacing w:after="0"/>
              <w:rPr>
                <w:sz w:val="20"/>
                <w:szCs w:val="20"/>
                <w:color w:val="auto"/>
              </w:rPr>
            </w:pPr>
            <w:r>
              <w:rPr>
                <w:rFonts w:ascii="Arial" w:cs="Arial" w:eastAsia="Arial" w:hAnsi="Arial"/>
                <w:sz w:val="10"/>
                <w:szCs w:val="10"/>
                <w:color w:val="auto"/>
                <w:w w:val="71"/>
              </w:rPr>
              <w:t>$</w:t>
            </w:r>
          </w:p>
        </w:tc>
        <w:tc>
          <w:tcPr>
            <w:tcW w:w="980" w:type="dxa"/>
            <w:vAlign w:val="bottom"/>
            <w:gridSpan w:val="2"/>
          </w:tcPr>
          <w:p>
            <w:pPr>
              <w:jc w:val="right"/>
              <w:ind w:right="280"/>
              <w:spacing w:after="0"/>
              <w:rPr>
                <w:sz w:val="20"/>
                <w:szCs w:val="20"/>
                <w:color w:val="auto"/>
              </w:rPr>
            </w:pPr>
            <w:r>
              <w:rPr>
                <w:rFonts w:ascii="Arial" w:cs="Arial" w:eastAsia="Arial" w:hAnsi="Arial"/>
                <w:sz w:val="13"/>
                <w:szCs w:val="13"/>
                <w:color w:val="auto"/>
              </w:rPr>
              <w:t>8,929,282</w:t>
            </w:r>
          </w:p>
        </w:tc>
        <w:tc>
          <w:tcPr>
            <w:tcW w:w="180" w:type="dxa"/>
            <w:vAlign w:val="bottom"/>
          </w:tcPr>
          <w:p>
            <w:pPr>
              <w:jc w:val="right"/>
              <w:ind w:right="34"/>
              <w:spacing w:after="0"/>
              <w:rPr>
                <w:sz w:val="20"/>
                <w:szCs w:val="20"/>
                <w:color w:val="auto"/>
              </w:rPr>
            </w:pPr>
            <w:r>
              <w:rPr>
                <w:rFonts w:ascii="Arial" w:cs="Arial" w:eastAsia="Arial" w:hAnsi="Arial"/>
                <w:sz w:val="13"/>
                <w:szCs w:val="13"/>
                <w:color w:val="auto"/>
                <w:w w:val="82"/>
              </w:rPr>
              <w:t>$</w:t>
            </w:r>
          </w:p>
        </w:tc>
        <w:tc>
          <w:tcPr>
            <w:tcW w:w="1000" w:type="dxa"/>
            <w:vAlign w:val="bottom"/>
            <w:gridSpan w:val="2"/>
          </w:tcPr>
          <w:p>
            <w:pPr>
              <w:jc w:val="right"/>
              <w:ind w:right="280"/>
              <w:spacing w:after="0"/>
              <w:rPr>
                <w:sz w:val="20"/>
                <w:szCs w:val="20"/>
                <w:color w:val="auto"/>
              </w:rPr>
            </w:pPr>
            <w:r>
              <w:rPr>
                <w:rFonts w:ascii="Arial" w:cs="Arial" w:eastAsia="Arial" w:hAnsi="Arial"/>
                <w:sz w:val="13"/>
                <w:szCs w:val="13"/>
                <w:color w:val="auto"/>
              </w:rPr>
              <w:t>8,760,431</w:t>
            </w:r>
          </w:p>
        </w:tc>
        <w:tc>
          <w:tcPr>
            <w:tcW w:w="180" w:type="dxa"/>
            <w:vAlign w:val="bottom"/>
          </w:tcPr>
          <w:p>
            <w:pPr>
              <w:jc w:val="right"/>
              <w:ind w:right="71"/>
              <w:spacing w:after="0"/>
              <w:rPr>
                <w:sz w:val="20"/>
                <w:szCs w:val="20"/>
                <w:color w:val="auto"/>
              </w:rPr>
            </w:pPr>
            <w:r>
              <w:rPr>
                <w:rFonts w:ascii="Arial" w:cs="Arial" w:eastAsia="Arial" w:hAnsi="Arial"/>
                <w:sz w:val="10"/>
                <w:szCs w:val="10"/>
                <w:color w:val="auto"/>
                <w:w w:val="71"/>
              </w:rPr>
              <w:t>$</w:t>
            </w:r>
          </w:p>
        </w:tc>
        <w:tc>
          <w:tcPr>
            <w:tcW w:w="980" w:type="dxa"/>
            <w:vAlign w:val="bottom"/>
            <w:gridSpan w:val="2"/>
          </w:tcPr>
          <w:p>
            <w:pPr>
              <w:jc w:val="right"/>
              <w:ind w:right="280"/>
              <w:spacing w:after="0"/>
              <w:rPr>
                <w:sz w:val="20"/>
                <w:szCs w:val="20"/>
                <w:color w:val="auto"/>
              </w:rPr>
            </w:pPr>
            <w:r>
              <w:rPr>
                <w:rFonts w:ascii="Arial" w:cs="Arial" w:eastAsia="Arial" w:hAnsi="Arial"/>
                <w:sz w:val="13"/>
                <w:szCs w:val="13"/>
                <w:color w:val="auto"/>
              </w:rPr>
              <w:t>6,143,676</w:t>
            </w:r>
          </w:p>
        </w:tc>
        <w:tc>
          <w:tcPr>
            <w:tcW w:w="180" w:type="dxa"/>
            <w:vAlign w:val="bottom"/>
          </w:tcPr>
          <w:p>
            <w:pPr>
              <w:jc w:val="right"/>
              <w:ind w:right="34"/>
              <w:spacing w:after="0"/>
              <w:rPr>
                <w:sz w:val="20"/>
                <w:szCs w:val="20"/>
                <w:color w:val="auto"/>
              </w:rPr>
            </w:pPr>
            <w:r>
              <w:rPr>
                <w:rFonts w:ascii="Arial" w:cs="Arial" w:eastAsia="Arial" w:hAnsi="Arial"/>
                <w:sz w:val="13"/>
                <w:szCs w:val="13"/>
                <w:color w:val="auto"/>
                <w:w w:val="82"/>
              </w:rPr>
              <w:t>$</w:t>
            </w:r>
          </w:p>
        </w:tc>
        <w:tc>
          <w:tcPr>
            <w:tcW w:w="900" w:type="dxa"/>
            <w:vAlign w:val="bottom"/>
            <w:gridSpan w:val="2"/>
          </w:tcPr>
          <w:p>
            <w:pPr>
              <w:jc w:val="right"/>
              <w:ind w:right="280"/>
              <w:spacing w:after="0"/>
              <w:rPr>
                <w:sz w:val="20"/>
                <w:szCs w:val="20"/>
                <w:color w:val="auto"/>
              </w:rPr>
            </w:pPr>
            <w:r>
              <w:rPr>
                <w:rFonts w:ascii="Arial" w:cs="Arial" w:eastAsia="Arial" w:hAnsi="Arial"/>
                <w:sz w:val="13"/>
                <w:szCs w:val="13"/>
                <w:color w:val="auto"/>
              </w:rPr>
              <w:t>168,851</w:t>
            </w:r>
          </w:p>
        </w:tc>
        <w:tc>
          <w:tcPr>
            <w:tcW w:w="540" w:type="dxa"/>
            <w:vAlign w:val="bottom"/>
            <w:gridSpan w:val="2"/>
          </w:tcPr>
          <w:p>
            <w:pPr>
              <w:jc w:val="right"/>
              <w:ind w:right="200"/>
              <w:spacing w:after="0"/>
              <w:rPr>
                <w:sz w:val="20"/>
                <w:szCs w:val="20"/>
                <w:color w:val="auto"/>
              </w:rPr>
            </w:pPr>
            <w:r>
              <w:rPr>
                <w:rFonts w:ascii="Arial" w:cs="Arial" w:eastAsia="Arial" w:hAnsi="Arial"/>
                <w:sz w:val="13"/>
                <w:szCs w:val="13"/>
                <w:color w:val="auto"/>
              </w:rPr>
              <w:t>2%</w:t>
            </w: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920" w:type="dxa"/>
            <w:vAlign w:val="bottom"/>
            <w:gridSpan w:val="2"/>
          </w:tcPr>
          <w:p>
            <w:pPr>
              <w:jc w:val="right"/>
              <w:ind w:right="300"/>
              <w:spacing w:after="0"/>
              <w:rPr>
                <w:sz w:val="20"/>
                <w:szCs w:val="20"/>
                <w:color w:val="auto"/>
              </w:rPr>
            </w:pPr>
            <w:r>
              <w:rPr>
                <w:rFonts w:ascii="Arial" w:cs="Arial" w:eastAsia="Arial" w:hAnsi="Arial"/>
                <w:sz w:val="13"/>
                <w:szCs w:val="13"/>
                <w:color w:val="auto"/>
              </w:rPr>
              <w:t>2,616,755</w:t>
            </w:r>
          </w:p>
        </w:tc>
        <w:tc>
          <w:tcPr>
            <w:tcW w:w="380" w:type="dxa"/>
            <w:vAlign w:val="bottom"/>
            <w:gridSpan w:val="2"/>
          </w:tcPr>
          <w:p>
            <w:pPr>
              <w:jc w:val="right"/>
              <w:ind w:right="40"/>
              <w:spacing w:after="0"/>
              <w:rPr>
                <w:sz w:val="20"/>
                <w:szCs w:val="20"/>
                <w:color w:val="auto"/>
              </w:rPr>
            </w:pPr>
            <w:r>
              <w:rPr>
                <w:rFonts w:ascii="Arial" w:cs="Arial" w:eastAsia="Arial" w:hAnsi="Arial"/>
                <w:sz w:val="13"/>
                <w:szCs w:val="13"/>
                <w:color w:val="auto"/>
              </w:rPr>
              <w:t>43%</w:t>
            </w:r>
          </w:p>
        </w:tc>
        <w:tc>
          <w:tcPr>
            <w:tcW w:w="0" w:type="dxa"/>
            <w:vAlign w:val="bottom"/>
          </w:tcPr>
          <w:p>
            <w:pPr>
              <w:spacing w:after="0"/>
              <w:rPr>
                <w:sz w:val="1"/>
                <w:szCs w:val="1"/>
                <w:color w:val="auto"/>
              </w:rPr>
            </w:pPr>
          </w:p>
        </w:tc>
      </w:tr>
      <w:tr>
        <w:trPr>
          <w:trHeight w:val="157"/>
        </w:trPr>
        <w:tc>
          <w:tcPr>
            <w:tcW w:w="34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General &amp; Administrative</w:t>
            </w:r>
          </w:p>
        </w:tc>
        <w:tc>
          <w:tcPr>
            <w:tcW w:w="18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4,837,297</w:t>
            </w:r>
          </w:p>
        </w:tc>
        <w:tc>
          <w:tcPr>
            <w:tcW w:w="1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3,953,564</w:t>
            </w:r>
          </w:p>
        </w:tc>
        <w:tc>
          <w:tcPr>
            <w:tcW w:w="18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3,390,652</w:t>
            </w:r>
          </w:p>
        </w:tc>
        <w:tc>
          <w:tcPr>
            <w:tcW w:w="1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883,733</w:t>
            </w: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22%</w:t>
            </w:r>
          </w:p>
        </w:tc>
        <w:tc>
          <w:tcPr>
            <w:tcW w:w="16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562,912</w:t>
            </w:r>
          </w:p>
        </w:tc>
        <w:tc>
          <w:tcPr>
            <w:tcW w:w="3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17%</w:t>
            </w:r>
          </w:p>
        </w:tc>
        <w:tc>
          <w:tcPr>
            <w:tcW w:w="0" w:type="dxa"/>
            <w:vAlign w:val="bottom"/>
          </w:tcPr>
          <w:p>
            <w:pPr>
              <w:spacing w:after="0"/>
              <w:rPr>
                <w:sz w:val="1"/>
                <w:szCs w:val="1"/>
                <w:color w:val="auto"/>
              </w:rPr>
            </w:pPr>
          </w:p>
        </w:tc>
      </w:tr>
      <w:tr>
        <w:trPr>
          <w:trHeight w:val="157"/>
        </w:trPr>
        <w:tc>
          <w:tcPr>
            <w:tcW w:w="3400" w:type="dxa"/>
            <w:vAlign w:val="bottom"/>
          </w:tcPr>
          <w:p>
            <w:pPr>
              <w:ind w:left="140"/>
              <w:spacing w:after="0"/>
              <w:rPr>
                <w:sz w:val="20"/>
                <w:szCs w:val="20"/>
                <w:color w:val="auto"/>
              </w:rPr>
            </w:pPr>
            <w:r>
              <w:rPr>
                <w:rFonts w:ascii="Arial" w:cs="Arial" w:eastAsia="Arial" w:hAnsi="Arial"/>
                <w:sz w:val="13"/>
                <w:szCs w:val="13"/>
                <w:color w:val="auto"/>
              </w:rPr>
              <w:t>Wind-down expenses</w:t>
            </w:r>
          </w:p>
        </w:tc>
        <w:tc>
          <w:tcPr>
            <w:tcW w:w="180" w:type="dxa"/>
            <w:vAlign w:val="bottom"/>
          </w:tcPr>
          <w:p>
            <w:pPr>
              <w:spacing w:after="0"/>
              <w:rPr>
                <w:sz w:val="13"/>
                <w:szCs w:val="13"/>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3"/>
                <w:szCs w:val="13"/>
                <w:color w:val="auto"/>
              </w:rPr>
              <w:t>2,827,403</w:t>
            </w:r>
          </w:p>
        </w:tc>
        <w:tc>
          <w:tcPr>
            <w:tcW w:w="180" w:type="dxa"/>
            <w:vAlign w:val="bottom"/>
          </w:tcPr>
          <w:p>
            <w:pPr>
              <w:spacing w:after="0"/>
              <w:rPr>
                <w:sz w:val="13"/>
                <w:szCs w:val="13"/>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3"/>
                <w:szCs w:val="13"/>
                <w:color w:val="auto"/>
              </w:rPr>
              <w:t>2,826,879</w:t>
            </w:r>
          </w:p>
        </w:tc>
        <w:tc>
          <w:tcPr>
            <w:tcW w:w="180" w:type="dxa"/>
            <w:vAlign w:val="bottom"/>
          </w:tcPr>
          <w:p>
            <w:pPr>
              <w:spacing w:after="0"/>
              <w:rPr>
                <w:sz w:val="13"/>
                <w:szCs w:val="13"/>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3"/>
                <w:szCs w:val="13"/>
                <w:color w:val="auto"/>
              </w:rPr>
              <w:t>2,885,329</w:t>
            </w:r>
          </w:p>
        </w:tc>
        <w:tc>
          <w:tcPr>
            <w:tcW w:w="180" w:type="dxa"/>
            <w:vAlign w:val="bottom"/>
          </w:tcPr>
          <w:p>
            <w:pPr>
              <w:spacing w:after="0"/>
              <w:rPr>
                <w:sz w:val="13"/>
                <w:szCs w:val="13"/>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3"/>
                <w:szCs w:val="13"/>
                <w:color w:val="auto"/>
              </w:rPr>
              <w:t>524</w:t>
            </w:r>
          </w:p>
        </w:tc>
        <w:tc>
          <w:tcPr>
            <w:tcW w:w="540" w:type="dxa"/>
            <w:vAlign w:val="bottom"/>
            <w:gridSpan w:val="2"/>
          </w:tcPr>
          <w:p>
            <w:pPr>
              <w:jc w:val="right"/>
              <w:ind w:right="200"/>
              <w:spacing w:after="0"/>
              <w:rPr>
                <w:sz w:val="20"/>
                <w:szCs w:val="20"/>
                <w:color w:val="auto"/>
              </w:rPr>
            </w:pPr>
            <w:r>
              <w:rPr>
                <w:rFonts w:ascii="Arial" w:cs="Arial" w:eastAsia="Arial" w:hAnsi="Arial"/>
                <w:sz w:val="13"/>
                <w:szCs w:val="13"/>
                <w:color w:val="auto"/>
              </w:rPr>
              <w:t>0%</w:t>
            </w:r>
          </w:p>
        </w:tc>
        <w:tc>
          <w:tcPr>
            <w:tcW w:w="160" w:type="dxa"/>
            <w:vAlign w:val="bottom"/>
          </w:tcPr>
          <w:p>
            <w:pPr>
              <w:spacing w:after="0"/>
              <w:rPr>
                <w:sz w:val="13"/>
                <w:szCs w:val="13"/>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3"/>
                <w:szCs w:val="13"/>
                <w:color w:val="auto"/>
              </w:rPr>
              <w:t>(58,450)</w:t>
            </w:r>
          </w:p>
        </w:tc>
        <w:tc>
          <w:tcPr>
            <w:tcW w:w="380" w:type="dxa"/>
            <w:vAlign w:val="bottom"/>
            <w:gridSpan w:val="2"/>
          </w:tcPr>
          <w:p>
            <w:pPr>
              <w:jc w:val="right"/>
              <w:spacing w:after="0"/>
              <w:rPr>
                <w:sz w:val="20"/>
                <w:szCs w:val="20"/>
                <w:color w:val="auto"/>
              </w:rPr>
            </w:pPr>
            <w:r>
              <w:rPr>
                <w:rFonts w:ascii="Arial" w:cs="Arial" w:eastAsia="Arial" w:hAnsi="Arial"/>
                <w:sz w:val="13"/>
                <w:szCs w:val="13"/>
                <w:color w:val="auto"/>
              </w:rPr>
              <w:t>(2)%</w:t>
            </w:r>
          </w:p>
        </w:tc>
        <w:tc>
          <w:tcPr>
            <w:tcW w:w="0" w:type="dxa"/>
            <w:vAlign w:val="bottom"/>
          </w:tcPr>
          <w:p>
            <w:pPr>
              <w:spacing w:after="0"/>
              <w:rPr>
                <w:sz w:val="1"/>
                <w:szCs w:val="1"/>
                <w:color w:val="auto"/>
              </w:rPr>
            </w:pPr>
          </w:p>
        </w:tc>
      </w:tr>
      <w:tr>
        <w:trPr>
          <w:trHeight w:val="20"/>
        </w:trPr>
        <w:tc>
          <w:tcPr>
            <w:tcW w:w="34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3400" w:type="dxa"/>
            <w:vAlign w:val="bottom"/>
            <w:shd w:val="clear" w:color="auto" w:fill="CCEEFF"/>
          </w:tcPr>
          <w:p>
            <w:pPr>
              <w:spacing w:after="0"/>
              <w:rPr>
                <w:sz w:val="20"/>
                <w:szCs w:val="20"/>
                <w:color w:val="auto"/>
              </w:rPr>
            </w:pPr>
            <w:r>
              <w:rPr>
                <w:rFonts w:ascii="Arial" w:cs="Arial" w:eastAsia="Arial" w:hAnsi="Arial"/>
                <w:sz w:val="13"/>
                <w:szCs w:val="13"/>
                <w:color w:val="auto"/>
              </w:rPr>
              <w:t>Total expense</w:t>
            </w:r>
          </w:p>
        </w:tc>
        <w:tc>
          <w:tcPr>
            <w:tcW w:w="18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w w:val="71"/>
              </w:rPr>
              <w:t>$</w:t>
            </w: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16,593,982</w:t>
            </w:r>
          </w:p>
        </w:tc>
        <w:tc>
          <w:tcPr>
            <w:tcW w:w="18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w w:val="82"/>
              </w:rPr>
              <w:t>$</w:t>
            </w: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15,540,874</w:t>
            </w:r>
          </w:p>
        </w:tc>
        <w:tc>
          <w:tcPr>
            <w:tcW w:w="18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w w:val="71"/>
              </w:rPr>
              <w:t>$</w:t>
            </w: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12,419,657</w:t>
            </w:r>
          </w:p>
        </w:tc>
        <w:tc>
          <w:tcPr>
            <w:tcW w:w="18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w w:val="82"/>
              </w:rPr>
              <w:t>$</w:t>
            </w: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1,053,108</w:t>
            </w: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7%</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3,121,217</w:t>
            </w:r>
          </w:p>
        </w:tc>
        <w:tc>
          <w:tcPr>
            <w:tcW w:w="3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25%</w:t>
            </w:r>
          </w:p>
        </w:tc>
        <w:tc>
          <w:tcPr>
            <w:tcW w:w="0" w:type="dxa"/>
            <w:vAlign w:val="bottom"/>
          </w:tcPr>
          <w:p>
            <w:pPr>
              <w:spacing w:after="0"/>
              <w:rPr>
                <w:sz w:val="1"/>
                <w:szCs w:val="1"/>
                <w:color w:val="auto"/>
              </w:rPr>
            </w:pPr>
          </w:p>
        </w:tc>
      </w:tr>
    </w:tbl>
    <w:p>
      <w:pPr>
        <w:spacing w:after="0" w:line="15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Research &amp; Development Expenses</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Research and development expenses totaled approximately $8,929,000 in 2005, as compared to $8,760,000 in 2004 and $6,144,000 in 2003.</w:t>
      </w:r>
    </w:p>
    <w:p>
      <w:pPr>
        <w:spacing w:after="0" w:line="30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38" w:name="page39"/>
    <w:bookmarkEnd w:id="38"/>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firstLine="399"/>
        <w:spacing w:after="0" w:line="256" w:lineRule="auto"/>
        <w:rPr>
          <w:sz w:val="20"/>
          <w:szCs w:val="20"/>
          <w:color w:val="auto"/>
        </w:rPr>
      </w:pPr>
      <w:r>
        <w:rPr>
          <w:rFonts w:ascii="Arial" w:cs="Arial" w:eastAsia="Arial" w:hAnsi="Arial"/>
          <w:sz w:val="13"/>
          <w:szCs w:val="13"/>
          <w:b w:val="1"/>
          <w:bCs w:val="1"/>
          <w:i w:val="1"/>
          <w:iCs w:val="1"/>
          <w:color w:val="auto"/>
        </w:rPr>
        <w:t xml:space="preserve">2005 versus 2004. </w:t>
      </w:r>
      <w:r>
        <w:rPr>
          <w:rFonts w:ascii="Arial" w:cs="Arial" w:eastAsia="Arial" w:hAnsi="Arial"/>
          <w:sz w:val="13"/>
          <w:szCs w:val="13"/>
          <w:color w:val="auto"/>
        </w:rPr>
        <w:t>The increase of $169,000 or 2% from 2004 to 2005 was primarily attributable to increased head count and related costs of $848,000 in 2005 as compared to 2004.</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At December 31, 2005, we had thirty-three full-time employees working in research and development and laboratory support services as compared to twenty-eight at December 31, 2004. This increase in 2005 was partially offset by a net decrease in expenses of $679,000 primarily related to external services. We required a high level of external services in 2004 for preclinical pharmacology and toxicology studies and other external services in preparation for submitting our first IND to the FDA. The decrease in expenses related to external services was also attributable to a decrease in valuation in 2005 of stock options granted as compensation to non-employees as compared to the valuation in 2004. The valuation — computed by the Black Scholes Method — is dependant on variable factors at the time of such valuation such as stock price, stock price volatility, interest rate and remaining life of the option. Our stock price at December 31, 2005 was $3.45 as compared to $4.23 at December 31, 2004.</w:t>
      </w:r>
    </w:p>
    <w:p>
      <w:pPr>
        <w:spacing w:after="0" w:line="73" w:lineRule="exact"/>
        <w:rPr>
          <w:sz w:val="20"/>
          <w:szCs w:val="20"/>
          <w:color w:val="auto"/>
        </w:rPr>
      </w:pPr>
    </w:p>
    <w:p>
      <w:pPr>
        <w:ind w:left="680" w:firstLine="399"/>
        <w:spacing w:after="0" w:line="282" w:lineRule="auto"/>
        <w:rPr>
          <w:sz w:val="20"/>
          <w:szCs w:val="20"/>
          <w:color w:val="auto"/>
        </w:rPr>
      </w:pPr>
      <w:r>
        <w:rPr>
          <w:rFonts w:ascii="Arial" w:cs="Arial" w:eastAsia="Arial" w:hAnsi="Arial"/>
          <w:sz w:val="12"/>
          <w:szCs w:val="12"/>
          <w:b w:val="1"/>
          <w:bCs w:val="1"/>
          <w:i w:val="1"/>
          <w:iCs w:val="1"/>
          <w:color w:val="auto"/>
        </w:rPr>
        <w:t xml:space="preserve">2004 versus 2003. </w:t>
      </w:r>
      <w:r>
        <w:rPr>
          <w:rFonts w:ascii="Arial" w:cs="Arial" w:eastAsia="Arial" w:hAnsi="Arial"/>
          <w:sz w:val="12"/>
          <w:szCs w:val="12"/>
          <w:color w:val="auto"/>
        </w:rPr>
        <w:t>The increase of $2,616,000 or 43% from 2003 to 2004 was primarily due to the expenditures required for preclinical pharmacology and toxicology studies,</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supplies, personnel and other external services in preparation for submitting our first IND to the FDA. The increase was also attributable to a higher valuation in 2004 of stock options granted as compensation to non-employees as compared to the valuation in 2003. The valuation — computed by the Black Scholes Method — is dependant on variable factors at the time of such valuation such as stock price, stock price volatility, interest rate and remaining life of the option. Our stock price at December 31, 2004 was $4.23 as compared to $1.98 at December 31, 2003. In addition, the increase reflects higher patent fees and costs than incurred in the same period in 2003. At December 31, 2004, we had twenty-eight full-time employees working in research and development and laboratory support services as compared to twenty-one at December 31, 2003.</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General &amp; Administrative Expenses</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General and administrative expenses were approximately $4,837,000 in 2005, compared with $3,954,000 in 2004 and $3,391,000 in 2003.</w:t>
      </w:r>
    </w:p>
    <w:p>
      <w:pPr>
        <w:spacing w:after="0" w:line="96" w:lineRule="exact"/>
        <w:rPr>
          <w:sz w:val="20"/>
          <w:szCs w:val="20"/>
          <w:color w:val="auto"/>
        </w:rPr>
      </w:pPr>
    </w:p>
    <w:p>
      <w:pPr>
        <w:ind w:left="680" w:firstLine="399"/>
        <w:spacing w:after="0" w:line="256" w:lineRule="auto"/>
        <w:rPr>
          <w:sz w:val="20"/>
          <w:szCs w:val="20"/>
          <w:color w:val="auto"/>
        </w:rPr>
      </w:pPr>
      <w:r>
        <w:rPr>
          <w:rFonts w:ascii="Arial" w:cs="Arial" w:eastAsia="Arial" w:hAnsi="Arial"/>
          <w:sz w:val="13"/>
          <w:szCs w:val="13"/>
          <w:b w:val="1"/>
          <w:bCs w:val="1"/>
          <w:i w:val="1"/>
          <w:iCs w:val="1"/>
          <w:color w:val="auto"/>
        </w:rPr>
        <w:t xml:space="preserve">2005 versus 2004. </w:t>
      </w:r>
      <w:r>
        <w:rPr>
          <w:rFonts w:ascii="Arial" w:cs="Arial" w:eastAsia="Arial" w:hAnsi="Arial"/>
          <w:sz w:val="13"/>
          <w:szCs w:val="13"/>
          <w:color w:val="auto"/>
        </w:rPr>
        <w:t>The increase of $884,000 or 22% from 2004 to 2005 was primarily attributable to expensing the fair value of stock options granted to our previous chief financial</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officer, which was approximately $457,000. The vesting of the options was accelerated as part of an agreement that retained our previous chief financial officer as a consultant for approximately six months following her employment termination date. The increase was also attributable to the increase in head count and related costs of approximately $394,000; increase in recruiting fees of approximately $145,000; and the increase in listing fees of approximately $114,000 incurred in 2005 for moving the listing of our shares from the Nasdaq Capital Market to the Nasdaq National Market. The aforementioned increases were partially offset by a decrease in 2005 of approximately $186,000 for external services to evaluate and test our internal financial control systems so as to meet the requirements of and be in compliance with the Securities and Exchange Commission rules issued under Section 404 of the Sarbanes-Oxley Act, and a net decrease of approximately $40,000 in other expenses.</w:t>
      </w:r>
    </w:p>
    <w:p>
      <w:pPr>
        <w:spacing w:after="0" w:line="73" w:lineRule="exact"/>
        <w:rPr>
          <w:sz w:val="20"/>
          <w:szCs w:val="20"/>
          <w:color w:val="auto"/>
        </w:rPr>
      </w:pPr>
    </w:p>
    <w:p>
      <w:pPr>
        <w:ind w:left="680" w:firstLine="399"/>
        <w:spacing w:after="0" w:line="258" w:lineRule="auto"/>
        <w:rPr>
          <w:sz w:val="20"/>
          <w:szCs w:val="20"/>
          <w:color w:val="auto"/>
        </w:rPr>
      </w:pPr>
      <w:r>
        <w:rPr>
          <w:rFonts w:ascii="Arial" w:cs="Arial" w:eastAsia="Arial" w:hAnsi="Arial"/>
          <w:sz w:val="13"/>
          <w:szCs w:val="13"/>
          <w:b w:val="1"/>
          <w:bCs w:val="1"/>
          <w:i w:val="1"/>
          <w:iCs w:val="1"/>
          <w:color w:val="auto"/>
        </w:rPr>
        <w:t xml:space="preserve">2004 versus 2003. </w:t>
      </w:r>
      <w:r>
        <w:rPr>
          <w:rFonts w:ascii="Arial" w:cs="Arial" w:eastAsia="Arial" w:hAnsi="Arial"/>
          <w:sz w:val="13"/>
          <w:szCs w:val="13"/>
          <w:color w:val="auto"/>
        </w:rPr>
        <w:t>The increase of $563,000 or 17% from 2003 to 2004 was primarily attributable to the cost of external services incurred in the evaluation and testing of our internal</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financial control systems so as to meet the requirements of and be in compliance with the new Securities and Exchange Commission rules issued under Section 404 of the Sarbanes-Oxley Act. The increase in general and administrative expenses was also attributable to the separate printing of our proxy statement and our Form 10-K and the effect of a greater number of shareholders in 2004 when compared to 2003. In addition, we incurred an increase in the external auditor fees in the first quarter of 2004 as a result of the restatement of our prior year financial statements.</w:t>
      </w:r>
    </w:p>
    <w:p>
      <w:pPr>
        <w:spacing w:after="0" w:line="15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Wind-Down Expenses</w:t>
      </w:r>
    </w:p>
    <w:p>
      <w:pPr>
        <w:spacing w:after="0" w:line="96" w:lineRule="exact"/>
        <w:rPr>
          <w:sz w:val="20"/>
          <w:szCs w:val="20"/>
          <w:color w:val="auto"/>
        </w:rPr>
      </w:pPr>
    </w:p>
    <w:p>
      <w:pPr>
        <w:jc w:val="both"/>
        <w:ind w:left="680" w:right="60" w:firstLine="399"/>
        <w:spacing w:after="0" w:line="334" w:lineRule="auto"/>
        <w:rPr>
          <w:sz w:val="20"/>
          <w:szCs w:val="20"/>
          <w:color w:val="auto"/>
        </w:rPr>
      </w:pPr>
      <w:r>
        <w:rPr>
          <w:rFonts w:ascii="Arial" w:cs="Arial" w:eastAsia="Arial" w:hAnsi="Arial"/>
          <w:sz w:val="11"/>
          <w:szCs w:val="11"/>
          <w:color w:val="auto"/>
        </w:rPr>
        <w:t xml:space="preserve">In connection with the wind-down of our former encapsulated cell technology operations, our research and manufacturing operations in Lincoln, Rhode Island, and the relocation of our remaining research and development activities and corporate headquarters to California in October 1999, we provided a reserve for our estimate of the exit cost obligation in accordance with EITF 94-3, </w:t>
      </w:r>
      <w:r>
        <w:rPr>
          <w:rFonts w:ascii="Arial" w:cs="Arial" w:eastAsia="Arial" w:hAnsi="Arial"/>
          <w:sz w:val="11"/>
          <w:szCs w:val="11"/>
          <w:i w:val="1"/>
          <w:iCs w:val="1"/>
          <w:color w:val="auto"/>
        </w:rPr>
        <w:t>“Liability Recognition for Certain Employee Termination Benefits and Other Costs to Exit an Activity (Including Certain Costs Incurred in a Restructuring.”</w:t>
      </w:r>
      <w:r>
        <w:rPr>
          <w:rFonts w:ascii="Arial" w:cs="Arial" w:eastAsia="Arial" w:hAnsi="Arial"/>
          <w:sz w:val="11"/>
          <w:szCs w:val="11"/>
          <w:color w:val="auto"/>
        </w:rPr>
        <w:t xml:space="preserve"> The reserve</w:t>
      </w:r>
    </w:p>
    <w:p>
      <w:pPr>
        <w:spacing w:after="0" w:line="239"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39" w:name="page40"/>
    <w:bookmarkEnd w:id="39"/>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jc w:val="both"/>
        <w:ind w:left="680" w:right="140"/>
        <w:spacing w:after="0" w:line="264" w:lineRule="auto"/>
        <w:rPr>
          <w:sz w:val="20"/>
          <w:szCs w:val="20"/>
          <w:color w:val="auto"/>
        </w:rPr>
      </w:pPr>
      <w:r>
        <w:rPr>
          <w:rFonts w:ascii="Arial" w:cs="Arial" w:eastAsia="Arial" w:hAnsi="Arial"/>
          <w:sz w:val="13"/>
          <w:szCs w:val="13"/>
          <w:color w:val="auto"/>
        </w:rPr>
        <w:t>reflects estimates of the ongoing costs of our former research and administrative facility in Lincoln, which we hold on a lease that terminates on June 30, 2013. We are seeking to sublease, assign, sell or otherwise divest ourselves of our interest in the facility at the earliest possible time, but we cannot determine with certainty a fixed date by which such events will occur, if at all.</w:t>
      </w:r>
    </w:p>
    <w:p>
      <w:pPr>
        <w:spacing w:after="0" w:line="67" w:lineRule="exact"/>
        <w:rPr>
          <w:sz w:val="20"/>
          <w:szCs w:val="20"/>
          <w:color w:val="auto"/>
        </w:rPr>
      </w:pPr>
    </w:p>
    <w:p>
      <w:pPr>
        <w:ind w:left="680" w:right="40" w:firstLine="399"/>
        <w:spacing w:after="0" w:line="289" w:lineRule="auto"/>
        <w:rPr>
          <w:sz w:val="20"/>
          <w:szCs w:val="20"/>
          <w:color w:val="auto"/>
        </w:rPr>
      </w:pPr>
      <w:r>
        <w:rPr>
          <w:rFonts w:ascii="Arial" w:cs="Arial" w:eastAsia="Arial" w:hAnsi="Arial"/>
          <w:sz w:val="12"/>
          <w:szCs w:val="12"/>
          <w:color w:val="auto"/>
        </w:rPr>
        <w:t>In determining the facility exit cost reserve amount, we are required to consider our lease payments through to the end of the lease term and estimate other relevant factors such as facility operating expenses, real estate market conditions in Rhode Island for similar facilities, occupancy rates and sublease rental rates projected over the course of the leasehold. We re-evaluate the estimate each quarter, taking account of changes, if any, in each underlying factor. The process is inherently subjective because it involves projections over time — from the date of the estimate through the end of the lease — and it is not possible to determine any of the factors except the lease payments with certainty over that period.</w:t>
      </w:r>
    </w:p>
    <w:p>
      <w:pPr>
        <w:spacing w:after="0" w:line="53" w:lineRule="exact"/>
        <w:rPr>
          <w:sz w:val="20"/>
          <w:szCs w:val="20"/>
          <w:color w:val="auto"/>
        </w:rPr>
      </w:pPr>
    </w:p>
    <w:p>
      <w:pPr>
        <w:ind w:left="680" w:firstLine="399"/>
        <w:spacing w:after="0" w:line="277" w:lineRule="auto"/>
        <w:rPr>
          <w:sz w:val="20"/>
          <w:szCs w:val="20"/>
          <w:color w:val="auto"/>
        </w:rPr>
      </w:pPr>
      <w:r>
        <w:rPr>
          <w:rFonts w:ascii="Arial" w:cs="Arial" w:eastAsia="Arial" w:hAnsi="Arial"/>
          <w:sz w:val="12"/>
          <w:szCs w:val="12"/>
          <w:color w:val="auto"/>
        </w:rPr>
        <w:t>Our management forms its best estimate on a quarterly basis, after considering actual sublease activity, reports from our broker/realtor about current and predicted real estate market conditions in Rhode Island, the likelihood of new subleases in the foreseeable future for the specific facility and significant changes in the actual or projected operating expenses of the property. We discount the projected net outflow over the term of the leasehold to arrive at the present value and adjust the reserve to that figure. The estimated vacancy rate for the facility is an important assumption in determining the reserve because changes in this assumption have the greatest effect on estimated sublease income. In addition, the vacancy rate estimate is the variable most subject to change, while at the same time it involves the greatest judgment and uncertainty due to the absence of highly predictive information concerning the future of the local economy and future demand for specialized laboratory and office space in that area. The average vacancy rate of the facility for years 2001 through 2005 was approximately 64%, varying from 49% to 80%. The actual rate in 2005 was 62%. As of December 31, 2005, based on current information available to management, the vacancy rate is projected to be 84% for 2006, 86% for 2007, and approximately 70% from 2008 through the end of the lease. These estimates are based on actual occupancy in 2005, expiration of subleases in 2006 and 2008, predicted lead time for acquiring new subtenants, historical vacancy rates for the area and assessments by our broker/realtor of future real estate market conditions. If the assumed vacancy rate for 2008 to the end of the lease had been five percentage points higher at December 31, 2005, then the reserve would have been increased by approximately $222,000; conversely, if the assumed vacancy rate for that period were five percentage points lower, then the reserve would have been decreased by approximately $222,000. Similarly, a 5% increase or decrease in the operating expenses for the facility from 2006 would have increased or decreased the reserve by approximately $138,000, and a 5% increase or decrease in the assumed average rental charge per square foot would have increased or decreased the reserve by approximately $67,000. Our management does not wait for specific events to change its estimate, but instead uses its best efforts to anticipate them on a quarterly basis.</w:t>
      </w:r>
    </w:p>
    <w:p>
      <w:pPr>
        <w:spacing w:after="0" w:line="61" w:lineRule="exact"/>
        <w:rPr>
          <w:sz w:val="20"/>
          <w:szCs w:val="20"/>
          <w:color w:val="auto"/>
        </w:rPr>
      </w:pPr>
    </w:p>
    <w:p>
      <w:pPr>
        <w:ind w:left="680" w:right="240" w:firstLine="399"/>
        <w:spacing w:after="0" w:line="264" w:lineRule="auto"/>
        <w:rPr>
          <w:sz w:val="20"/>
          <w:szCs w:val="20"/>
          <w:color w:val="auto"/>
        </w:rPr>
      </w:pPr>
      <w:r>
        <w:rPr>
          <w:rFonts w:ascii="Arial" w:cs="Arial" w:eastAsia="Arial" w:hAnsi="Arial"/>
          <w:sz w:val="13"/>
          <w:szCs w:val="13"/>
          <w:color w:val="auto"/>
        </w:rPr>
        <w:t>The wind-down reserve at the end of December 31, 2004 was $4,350,000. For the fiscal year ended December 31, 2005, we recorded actual expenses of $1,079,000 against this reserve. Based on management’s evaluation of the factors mentioned, and particularly the projected vacancy rates described above, we adjusted the reserve to $6,098,000 by recording an additional $2,827,000 during the fiscal year 2005. See Note 8 for a breakdown of these figures by quarter.</w:t>
      </w:r>
    </w:p>
    <w:p>
      <w:pPr>
        <w:spacing w:after="0" w:line="27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40" w:name="page41"/>
    <w:bookmarkEnd w:id="40"/>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Other Income (Expense)</w:t>
      </w:r>
    </w:p>
    <w:p>
      <w:pPr>
        <w:spacing w:after="0" w:line="91"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30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60" w:type="dxa"/>
            <w:vAlign w:val="bottom"/>
            <w:gridSpan w:val="2"/>
          </w:tcPr>
          <w:p>
            <w:pPr>
              <w:jc w:val="center"/>
              <w:ind w:left="140"/>
              <w:spacing w:after="0"/>
              <w:rPr>
                <w:sz w:val="20"/>
                <w:szCs w:val="20"/>
                <w:color w:val="auto"/>
              </w:rPr>
            </w:pPr>
            <w:r>
              <w:rPr>
                <w:rFonts w:ascii="Arial" w:cs="Arial" w:eastAsia="Arial" w:hAnsi="Arial"/>
                <w:sz w:val="10"/>
                <w:szCs w:val="10"/>
                <w:b w:val="1"/>
                <w:bCs w:val="1"/>
                <w:color w:val="auto"/>
                <w:w w:val="93"/>
              </w:rPr>
              <w:t>Change from</w:t>
            </w:r>
          </w:p>
        </w:tc>
        <w:tc>
          <w:tcPr>
            <w:tcW w:w="3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60" w:type="dxa"/>
            <w:vAlign w:val="bottom"/>
            <w:gridSpan w:val="2"/>
          </w:tcPr>
          <w:p>
            <w:pPr>
              <w:jc w:val="center"/>
              <w:ind w:left="60"/>
              <w:spacing w:after="0"/>
              <w:rPr>
                <w:sz w:val="20"/>
                <w:szCs w:val="20"/>
                <w:color w:val="auto"/>
              </w:rPr>
            </w:pPr>
            <w:r>
              <w:rPr>
                <w:rFonts w:ascii="Arial" w:cs="Arial" w:eastAsia="Arial" w:hAnsi="Arial"/>
                <w:sz w:val="10"/>
                <w:szCs w:val="10"/>
                <w:b w:val="1"/>
                <w:bCs w:val="1"/>
                <w:color w:val="auto"/>
                <w:w w:val="97"/>
              </w:rPr>
              <w:t>Change from</w:t>
            </w:r>
          </w:p>
        </w:tc>
        <w:tc>
          <w:tcPr>
            <w:tcW w:w="2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30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3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60" w:type="dxa"/>
            <w:vAlign w:val="bottom"/>
            <w:gridSpan w:val="2"/>
          </w:tcPr>
          <w:p>
            <w:pPr>
              <w:jc w:val="center"/>
              <w:ind w:left="140"/>
              <w:spacing w:after="0" w:line="108" w:lineRule="exact"/>
              <w:rPr>
                <w:sz w:val="20"/>
                <w:szCs w:val="20"/>
                <w:color w:val="auto"/>
              </w:rPr>
            </w:pPr>
            <w:r>
              <w:rPr>
                <w:rFonts w:ascii="Arial" w:cs="Arial" w:eastAsia="Arial" w:hAnsi="Arial"/>
                <w:sz w:val="10"/>
                <w:szCs w:val="10"/>
                <w:b w:val="1"/>
                <w:bCs w:val="1"/>
                <w:color w:val="auto"/>
                <w:w w:val="94"/>
              </w:rPr>
              <w:t>Previous Year:</w:t>
            </w:r>
          </w:p>
        </w:tc>
        <w:tc>
          <w:tcPr>
            <w:tcW w:w="360" w:type="dxa"/>
            <w:vAlign w:val="bottom"/>
          </w:tcPr>
          <w:p>
            <w:pPr>
              <w:spacing w:after="0"/>
              <w:rPr>
                <w:sz w:val="9"/>
                <w:szCs w:val="9"/>
                <w:color w:val="auto"/>
              </w:rPr>
            </w:pPr>
          </w:p>
        </w:tc>
        <w:tc>
          <w:tcPr>
            <w:tcW w:w="460" w:type="dxa"/>
            <w:vAlign w:val="bottom"/>
          </w:tcPr>
          <w:p>
            <w:pPr>
              <w:spacing w:after="0"/>
              <w:rPr>
                <w:sz w:val="9"/>
                <w:szCs w:val="9"/>
                <w:color w:val="auto"/>
              </w:rPr>
            </w:pPr>
          </w:p>
        </w:tc>
        <w:tc>
          <w:tcPr>
            <w:tcW w:w="160" w:type="dxa"/>
            <w:vAlign w:val="bottom"/>
          </w:tcPr>
          <w:p>
            <w:pPr>
              <w:spacing w:after="0"/>
              <w:rPr>
                <w:sz w:val="9"/>
                <w:szCs w:val="9"/>
                <w:color w:val="auto"/>
              </w:rPr>
            </w:pPr>
          </w:p>
        </w:tc>
        <w:tc>
          <w:tcPr>
            <w:tcW w:w="960" w:type="dxa"/>
            <w:vAlign w:val="bottom"/>
            <w:gridSpan w:val="2"/>
          </w:tcPr>
          <w:p>
            <w:pPr>
              <w:jc w:val="center"/>
              <w:ind w:left="60"/>
              <w:spacing w:after="0" w:line="108" w:lineRule="exact"/>
              <w:rPr>
                <w:sz w:val="20"/>
                <w:szCs w:val="20"/>
                <w:color w:val="auto"/>
              </w:rPr>
            </w:pPr>
            <w:r>
              <w:rPr>
                <w:rFonts w:ascii="Arial" w:cs="Arial" w:eastAsia="Arial" w:hAnsi="Arial"/>
                <w:sz w:val="10"/>
                <w:szCs w:val="10"/>
                <w:b w:val="1"/>
                <w:bCs w:val="1"/>
                <w:color w:val="auto"/>
                <w:w w:val="91"/>
              </w:rPr>
              <w:t>Previous Year:</w:t>
            </w:r>
          </w:p>
        </w:tc>
        <w:tc>
          <w:tcPr>
            <w:tcW w:w="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30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vMerge w:val="restart"/>
          </w:tcPr>
          <w:p>
            <w:pPr>
              <w:jc w:val="right"/>
              <w:ind w:right="217"/>
              <w:spacing w:after="0"/>
              <w:rPr>
                <w:sz w:val="20"/>
                <w:szCs w:val="20"/>
                <w:color w:val="auto"/>
              </w:rPr>
            </w:pPr>
            <w:r>
              <w:rPr>
                <w:rFonts w:ascii="Arial" w:cs="Arial" w:eastAsia="Arial" w:hAnsi="Arial"/>
                <w:sz w:val="10"/>
                <w:szCs w:val="10"/>
                <w:b w:val="1"/>
                <w:bCs w:val="1"/>
                <w:color w:val="auto"/>
              </w:rPr>
              <w:t>2005</w:t>
            </w:r>
          </w:p>
        </w:tc>
        <w:tc>
          <w:tcPr>
            <w:tcW w:w="4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vMerge w:val="restart"/>
          </w:tcPr>
          <w:p>
            <w:pPr>
              <w:jc w:val="right"/>
              <w:ind w:right="177"/>
              <w:spacing w:after="0"/>
              <w:rPr>
                <w:sz w:val="20"/>
                <w:szCs w:val="20"/>
                <w:color w:val="auto"/>
              </w:rPr>
            </w:pPr>
            <w:r>
              <w:rPr>
                <w:rFonts w:ascii="Arial" w:cs="Arial" w:eastAsia="Arial" w:hAnsi="Arial"/>
                <w:sz w:val="10"/>
                <w:szCs w:val="10"/>
                <w:b w:val="1"/>
                <w:bCs w:val="1"/>
                <w:color w:val="auto"/>
              </w:rPr>
              <w:t>2004</w:t>
            </w:r>
          </w:p>
        </w:tc>
        <w:tc>
          <w:tcPr>
            <w:tcW w:w="3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vMerge w:val="restart"/>
          </w:tcPr>
          <w:p>
            <w:pPr>
              <w:jc w:val="right"/>
              <w:ind w:right="177"/>
              <w:spacing w:after="0"/>
              <w:rPr>
                <w:sz w:val="20"/>
                <w:szCs w:val="20"/>
                <w:color w:val="auto"/>
              </w:rPr>
            </w:pPr>
            <w:r>
              <w:rPr>
                <w:rFonts w:ascii="Arial" w:cs="Arial" w:eastAsia="Arial" w:hAnsi="Arial"/>
                <w:sz w:val="10"/>
                <w:szCs w:val="10"/>
                <w:b w:val="1"/>
                <w:bCs w:val="1"/>
                <w:color w:val="auto"/>
              </w:rPr>
              <w:t>2003</w:t>
            </w:r>
          </w:p>
        </w:tc>
        <w:tc>
          <w:tcPr>
            <w:tcW w:w="38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gridSpan w:val="2"/>
          </w:tcPr>
          <w:p>
            <w:pPr>
              <w:jc w:val="center"/>
              <w:ind w:left="140"/>
              <w:spacing w:after="0"/>
              <w:rPr>
                <w:sz w:val="20"/>
                <w:szCs w:val="20"/>
                <w:color w:val="auto"/>
              </w:rPr>
            </w:pPr>
            <w:r>
              <w:rPr>
                <w:rFonts w:ascii="Arial" w:cs="Arial" w:eastAsia="Arial" w:hAnsi="Arial"/>
                <w:sz w:val="10"/>
                <w:szCs w:val="10"/>
                <w:b w:val="1"/>
                <w:bCs w:val="1"/>
                <w:color w:val="auto"/>
                <w:w w:val="93"/>
              </w:rPr>
              <w:t>2005 Versus 2004</w:t>
            </w:r>
          </w:p>
        </w:tc>
        <w:tc>
          <w:tcPr>
            <w:tcW w:w="360" w:type="dxa"/>
            <w:vAlign w:val="bottom"/>
            <w:tcBorders>
              <w:bottom w:val="single" w:sz="8" w:color="auto"/>
            </w:tcBorders>
          </w:tcPr>
          <w:p>
            <w:pPr>
              <w:spacing w:after="0"/>
              <w:rPr>
                <w:sz w:val="10"/>
                <w:szCs w:val="10"/>
                <w:color w:val="auto"/>
              </w:rPr>
            </w:pPr>
          </w:p>
        </w:tc>
        <w:tc>
          <w:tcPr>
            <w:tcW w:w="46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gridSpan w:val="2"/>
          </w:tcPr>
          <w:p>
            <w:pPr>
              <w:jc w:val="center"/>
              <w:ind w:left="60"/>
              <w:spacing w:after="0"/>
              <w:rPr>
                <w:sz w:val="20"/>
                <w:szCs w:val="20"/>
                <w:color w:val="auto"/>
              </w:rPr>
            </w:pPr>
            <w:r>
              <w:rPr>
                <w:rFonts w:ascii="Arial" w:cs="Arial" w:eastAsia="Arial" w:hAnsi="Arial"/>
                <w:sz w:val="10"/>
                <w:szCs w:val="10"/>
                <w:b w:val="1"/>
                <w:bCs w:val="1"/>
                <w:color w:val="auto"/>
                <w:w w:val="91"/>
              </w:rPr>
              <w:t>2004 Versus 2003</w:t>
            </w:r>
          </w:p>
        </w:tc>
        <w:tc>
          <w:tcPr>
            <w:tcW w:w="280" w:type="dxa"/>
            <w:vAlign w:val="bottom"/>
            <w:tcBorders>
              <w:bottom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306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vMerge w:val="continue"/>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vMerge w:val="continue"/>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vMerge w:val="continue"/>
          </w:tcPr>
          <w:p>
            <w:pPr>
              <w:spacing w:after="0"/>
              <w:rPr>
                <w:sz w:val="8"/>
                <w:szCs w:val="8"/>
                <w:color w:val="auto"/>
              </w:rPr>
            </w:pPr>
          </w:p>
        </w:tc>
        <w:tc>
          <w:tcPr>
            <w:tcW w:w="38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jc w:val="right"/>
              <w:ind w:right="320"/>
              <w:spacing w:after="0" w:line="98" w:lineRule="exact"/>
              <w:rPr>
                <w:sz w:val="20"/>
                <w:szCs w:val="20"/>
                <w:color w:val="auto"/>
              </w:rPr>
            </w:pPr>
            <w:r>
              <w:rPr>
                <w:rFonts w:ascii="Arial" w:cs="Arial" w:eastAsia="Arial" w:hAnsi="Arial"/>
                <w:sz w:val="10"/>
                <w:szCs w:val="10"/>
                <w:b w:val="1"/>
                <w:bCs w:val="1"/>
                <w:color w:val="auto"/>
              </w:rPr>
              <w:t>$</w:t>
            </w:r>
          </w:p>
        </w:tc>
        <w:tc>
          <w:tcPr>
            <w:tcW w:w="420" w:type="dxa"/>
            <w:vAlign w:val="bottom"/>
          </w:tcPr>
          <w:p>
            <w:pPr>
              <w:spacing w:after="0"/>
              <w:rPr>
                <w:sz w:val="8"/>
                <w:szCs w:val="8"/>
                <w:color w:val="auto"/>
              </w:rPr>
            </w:pPr>
          </w:p>
        </w:tc>
        <w:tc>
          <w:tcPr>
            <w:tcW w:w="360" w:type="dxa"/>
            <w:vAlign w:val="bottom"/>
            <w:tcBorders>
              <w:bottom w:val="single" w:sz="8" w:color="auto"/>
            </w:tcBorders>
          </w:tcPr>
          <w:p>
            <w:pPr>
              <w:jc w:val="right"/>
              <w:ind w:right="77"/>
              <w:spacing w:after="0" w:line="98" w:lineRule="exact"/>
              <w:rPr>
                <w:sz w:val="20"/>
                <w:szCs w:val="20"/>
                <w:color w:val="auto"/>
              </w:rPr>
            </w:pPr>
            <w:r>
              <w:rPr>
                <w:rFonts w:ascii="Arial" w:cs="Arial" w:eastAsia="Arial" w:hAnsi="Arial"/>
                <w:sz w:val="10"/>
                <w:szCs w:val="10"/>
                <w:b w:val="1"/>
                <w:bCs w:val="1"/>
                <w:color w:val="auto"/>
              </w:rPr>
              <w:t>%</w:t>
            </w:r>
          </w:p>
        </w:tc>
        <w:tc>
          <w:tcPr>
            <w:tcW w:w="46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jc w:val="right"/>
              <w:ind w:right="260"/>
              <w:spacing w:after="0" w:line="98" w:lineRule="exact"/>
              <w:rPr>
                <w:sz w:val="20"/>
                <w:szCs w:val="20"/>
                <w:color w:val="auto"/>
              </w:rPr>
            </w:pPr>
            <w:r>
              <w:rPr>
                <w:rFonts w:ascii="Arial" w:cs="Arial" w:eastAsia="Arial" w:hAnsi="Arial"/>
                <w:sz w:val="10"/>
                <w:szCs w:val="10"/>
                <w:b w:val="1"/>
                <w:bCs w:val="1"/>
                <w:color w:val="auto"/>
              </w:rPr>
              <w:t>$</w:t>
            </w:r>
          </w:p>
        </w:tc>
        <w:tc>
          <w:tcPr>
            <w:tcW w:w="440" w:type="dxa"/>
            <w:vAlign w:val="bottom"/>
          </w:tcPr>
          <w:p>
            <w:pPr>
              <w:spacing w:after="0"/>
              <w:rPr>
                <w:sz w:val="8"/>
                <w:szCs w:val="8"/>
                <w:color w:val="auto"/>
              </w:rPr>
            </w:pPr>
          </w:p>
        </w:tc>
        <w:tc>
          <w:tcPr>
            <w:tcW w:w="280" w:type="dxa"/>
            <w:vAlign w:val="bottom"/>
            <w:tcBorders>
              <w:bottom w:val="single" w:sz="8" w:color="auto"/>
            </w:tcBorders>
          </w:tcPr>
          <w:p>
            <w:pPr>
              <w:jc w:val="right"/>
              <w:ind w:right="57"/>
              <w:spacing w:after="0" w:line="98" w:lineRule="exact"/>
              <w:rPr>
                <w:sz w:val="20"/>
                <w:szCs w:val="20"/>
                <w:color w:val="auto"/>
              </w:rPr>
            </w:pPr>
            <w:r>
              <w:rPr>
                <w:rFonts w:ascii="Arial" w:cs="Arial" w:eastAsia="Arial" w:hAnsi="Arial"/>
                <w:sz w:val="10"/>
                <w:szCs w:val="10"/>
                <w:b w:val="1"/>
                <w:bCs w:val="1"/>
                <w:color w:val="auto"/>
              </w:rPr>
              <w:t>%</w:t>
            </w: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3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420" w:type="dxa"/>
            <w:vAlign w:val="bottom"/>
          </w:tcPr>
          <w:p>
            <w:pPr>
              <w:spacing w:after="0"/>
              <w:rPr>
                <w:sz w:val="2"/>
                <w:szCs w:val="2"/>
                <w:color w:val="auto"/>
              </w:rPr>
            </w:pPr>
          </w:p>
        </w:tc>
        <w:tc>
          <w:tcPr>
            <w:tcW w:w="3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3060" w:type="dxa"/>
            <w:vAlign w:val="bottom"/>
            <w:shd w:val="clear" w:color="auto" w:fill="CCEEFF"/>
          </w:tcPr>
          <w:p>
            <w:pPr>
              <w:spacing w:after="0"/>
              <w:rPr>
                <w:sz w:val="20"/>
                <w:szCs w:val="20"/>
                <w:color w:val="auto"/>
              </w:rPr>
            </w:pPr>
            <w:r>
              <w:rPr>
                <w:rFonts w:ascii="Arial" w:cs="Arial" w:eastAsia="Arial" w:hAnsi="Arial"/>
                <w:sz w:val="13"/>
                <w:szCs w:val="13"/>
                <w:color w:val="auto"/>
              </w:rPr>
              <w:t>Other income (expense):</w:t>
            </w:r>
          </w:p>
        </w:tc>
        <w:tc>
          <w:tcPr>
            <w:tcW w:w="1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420" w:type="dxa"/>
            <w:vAlign w:val="bottom"/>
            <w:tcBorders>
              <w:right w:val="single" w:sz="8" w:color="CCEEFF"/>
            </w:tcBorders>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440" w:type="dxa"/>
            <w:vAlign w:val="bottom"/>
            <w:tcBorders>
              <w:right w:val="single" w:sz="8" w:color="CCEEFF"/>
            </w:tcBorders>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3060" w:type="dxa"/>
            <w:vAlign w:val="bottom"/>
          </w:tcPr>
          <w:p>
            <w:pPr>
              <w:ind w:left="140"/>
              <w:spacing w:after="0"/>
              <w:rPr>
                <w:sz w:val="20"/>
                <w:szCs w:val="20"/>
                <w:color w:val="auto"/>
              </w:rPr>
            </w:pPr>
            <w:r>
              <w:rPr>
                <w:rFonts w:ascii="Arial" w:cs="Arial" w:eastAsia="Arial" w:hAnsi="Arial"/>
                <w:sz w:val="13"/>
                <w:szCs w:val="13"/>
                <w:color w:val="auto"/>
              </w:rPr>
              <w:t>License and settlement agreement</w:t>
            </w:r>
          </w:p>
        </w:tc>
        <w:tc>
          <w:tcPr>
            <w:tcW w:w="160" w:type="dxa"/>
            <w:vAlign w:val="bottom"/>
          </w:tcPr>
          <w:p>
            <w:pPr>
              <w:jc w:val="right"/>
              <w:ind w:right="14"/>
              <w:spacing w:after="0"/>
              <w:rPr>
                <w:sz w:val="20"/>
                <w:szCs w:val="20"/>
                <w:color w:val="auto"/>
              </w:rPr>
            </w:pPr>
            <w:r>
              <w:rPr>
                <w:rFonts w:ascii="Arial" w:cs="Arial" w:eastAsia="Arial" w:hAnsi="Arial"/>
                <w:sz w:val="13"/>
                <w:szCs w:val="13"/>
                <w:color w:val="auto"/>
                <w:w w:val="82"/>
              </w:rPr>
              <w:t>$</w:t>
            </w:r>
          </w:p>
        </w:tc>
        <w:tc>
          <w:tcPr>
            <w:tcW w:w="1020" w:type="dxa"/>
            <w:vAlign w:val="bottom"/>
            <w:gridSpan w:val="2"/>
          </w:tcPr>
          <w:p>
            <w:pPr>
              <w:jc w:val="right"/>
              <w:ind w:right="380"/>
              <w:spacing w:after="0"/>
              <w:rPr>
                <w:sz w:val="20"/>
                <w:szCs w:val="20"/>
                <w:color w:val="auto"/>
              </w:rPr>
            </w:pPr>
            <w:r>
              <w:rPr>
                <w:rFonts w:ascii="Arial" w:cs="Arial" w:eastAsia="Arial" w:hAnsi="Arial"/>
                <w:sz w:val="13"/>
                <w:szCs w:val="13"/>
                <w:color w:val="auto"/>
              </w:rPr>
              <w:t>3,735,556</w:t>
            </w:r>
          </w:p>
        </w:tc>
        <w:tc>
          <w:tcPr>
            <w:tcW w:w="140" w:type="dxa"/>
            <w:vAlign w:val="bottom"/>
          </w:tcPr>
          <w:p>
            <w:pPr>
              <w:spacing w:after="0"/>
              <w:rPr>
                <w:sz w:val="13"/>
                <w:szCs w:val="13"/>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1060" w:type="dxa"/>
            <w:vAlign w:val="bottom"/>
            <w:gridSpan w:val="2"/>
          </w:tcPr>
          <w:p>
            <w:pPr>
              <w:jc w:val="right"/>
              <w:ind w:right="420"/>
              <w:spacing w:after="0"/>
              <w:rPr>
                <w:sz w:val="20"/>
                <w:szCs w:val="20"/>
                <w:color w:val="auto"/>
              </w:rPr>
            </w:pPr>
            <w:r>
              <w:rPr>
                <w:rFonts w:ascii="Arial" w:cs="Arial" w:eastAsia="Arial" w:hAnsi="Arial"/>
                <w:sz w:val="13"/>
                <w:szCs w:val="13"/>
                <w:color w:val="auto"/>
              </w:rPr>
              <w:t>3,735,556</w:t>
            </w:r>
          </w:p>
        </w:tc>
        <w:tc>
          <w:tcPr>
            <w:tcW w:w="820" w:type="dxa"/>
            <w:vAlign w:val="bottom"/>
            <w:gridSpan w:val="2"/>
          </w:tcPr>
          <w:p>
            <w:pPr>
              <w:jc w:val="right"/>
              <w:ind w:right="440"/>
              <w:spacing w:after="0"/>
              <w:rPr>
                <w:sz w:val="20"/>
                <w:szCs w:val="20"/>
                <w:color w:val="auto"/>
              </w:rPr>
            </w:pPr>
            <w:r>
              <w:rPr>
                <w:rFonts w:ascii="Arial" w:cs="Arial" w:eastAsia="Arial" w:hAnsi="Arial"/>
                <w:sz w:val="13"/>
                <w:szCs w:val="13"/>
                <w:color w:val="auto"/>
              </w:rPr>
              <w:t>*N/M</w:t>
            </w:r>
          </w:p>
        </w:tc>
        <w:tc>
          <w:tcPr>
            <w:tcW w:w="160" w:type="dxa"/>
            <w:vAlign w:val="bottom"/>
          </w:tcPr>
          <w:p>
            <w:pPr>
              <w:spacing w:after="0"/>
              <w:rPr>
                <w:sz w:val="13"/>
                <w:szCs w:val="13"/>
                <w:color w:val="auto"/>
              </w:rPr>
            </w:pPr>
          </w:p>
        </w:tc>
        <w:tc>
          <w:tcPr>
            <w:tcW w:w="960" w:type="dxa"/>
            <w:vAlign w:val="bottom"/>
            <w:gridSpan w:val="2"/>
          </w:tcPr>
          <w:p>
            <w:pPr>
              <w:jc w:val="right"/>
              <w:ind w:right="440"/>
              <w:spacing w:after="0"/>
              <w:rPr>
                <w:sz w:val="20"/>
                <w:szCs w:val="20"/>
                <w:color w:val="auto"/>
              </w:rPr>
            </w:pPr>
            <w:r>
              <w:rPr>
                <w:rFonts w:ascii="Arial" w:cs="Arial" w:eastAsia="Arial" w:hAnsi="Arial"/>
                <w:sz w:val="13"/>
                <w:szCs w:val="13"/>
                <w:color w:val="auto"/>
              </w:rPr>
              <w:t>—</w:t>
            </w:r>
          </w:p>
        </w:tc>
        <w:tc>
          <w:tcPr>
            <w:tcW w:w="4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3060" w:type="dxa"/>
            <w:vAlign w:val="bottom"/>
            <w:shd w:val="clear" w:color="auto" w:fill="CCEEFF"/>
          </w:tcPr>
          <w:p>
            <w:pPr>
              <w:ind w:left="280"/>
              <w:spacing w:after="0"/>
              <w:rPr>
                <w:sz w:val="20"/>
                <w:szCs w:val="20"/>
                <w:color w:val="auto"/>
              </w:rPr>
            </w:pPr>
            <w:r>
              <w:rPr>
                <w:rFonts w:ascii="Arial" w:cs="Arial" w:eastAsia="Arial" w:hAnsi="Arial"/>
                <w:sz w:val="13"/>
                <w:szCs w:val="13"/>
                <w:color w:val="auto"/>
              </w:rPr>
              <w:t>Interest income</w:t>
            </w:r>
          </w:p>
        </w:tc>
        <w:tc>
          <w:tcPr>
            <w:tcW w:w="16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1,122,963</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322,227</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38,826</w:t>
            </w:r>
          </w:p>
        </w:tc>
        <w:tc>
          <w:tcPr>
            <w:tcW w:w="160" w:type="dxa"/>
            <w:vAlign w:val="bottom"/>
            <w:shd w:val="clear" w:color="auto" w:fill="CCEEFF"/>
          </w:tcPr>
          <w:p>
            <w:pPr>
              <w:spacing w:after="0"/>
              <w:rPr>
                <w:sz w:val="13"/>
                <w:szCs w:val="13"/>
                <w:color w:val="auto"/>
              </w:rPr>
            </w:pPr>
          </w:p>
        </w:tc>
        <w:tc>
          <w:tcPr>
            <w:tcW w:w="1060" w:type="dxa"/>
            <w:vAlign w:val="bottom"/>
            <w:tcBorders>
              <w:right w:val="single" w:sz="8" w:color="CCEEFF"/>
            </w:tcBorders>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800,736</w:t>
            </w:r>
          </w:p>
        </w:tc>
        <w:tc>
          <w:tcPr>
            <w:tcW w:w="82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249%</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960" w:type="dxa"/>
            <w:vAlign w:val="bottom"/>
            <w:tcBorders>
              <w:right w:val="single" w:sz="8" w:color="CCEEFF"/>
            </w:tcBorders>
            <w:gridSpan w:val="2"/>
            <w:shd w:val="clear" w:color="auto" w:fill="CCEEFF"/>
          </w:tcPr>
          <w:p>
            <w:pPr>
              <w:jc w:val="right"/>
              <w:ind w:right="440"/>
              <w:spacing w:after="0"/>
              <w:rPr>
                <w:sz w:val="20"/>
                <w:szCs w:val="20"/>
                <w:color w:val="auto"/>
              </w:rPr>
            </w:pPr>
            <w:r>
              <w:rPr>
                <w:rFonts w:ascii="Arial" w:cs="Arial" w:eastAsia="Arial" w:hAnsi="Arial"/>
                <w:sz w:val="13"/>
                <w:szCs w:val="13"/>
                <w:color w:val="auto"/>
              </w:rPr>
              <w:t>283,401</w:t>
            </w: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730%</w:t>
            </w:r>
          </w:p>
        </w:tc>
        <w:tc>
          <w:tcPr>
            <w:tcW w:w="0" w:type="dxa"/>
            <w:vAlign w:val="bottom"/>
          </w:tcPr>
          <w:p>
            <w:pPr>
              <w:spacing w:after="0"/>
              <w:rPr>
                <w:sz w:val="1"/>
                <w:szCs w:val="1"/>
                <w:color w:val="auto"/>
              </w:rPr>
            </w:pPr>
          </w:p>
        </w:tc>
      </w:tr>
      <w:tr>
        <w:trPr>
          <w:trHeight w:val="157"/>
        </w:trPr>
        <w:tc>
          <w:tcPr>
            <w:tcW w:w="3060" w:type="dxa"/>
            <w:vAlign w:val="bottom"/>
          </w:tcPr>
          <w:p>
            <w:pPr>
              <w:ind w:left="280"/>
              <w:spacing w:after="0"/>
              <w:rPr>
                <w:sz w:val="20"/>
                <w:szCs w:val="20"/>
                <w:color w:val="auto"/>
              </w:rPr>
            </w:pPr>
            <w:r>
              <w:rPr>
                <w:rFonts w:ascii="Arial" w:cs="Arial" w:eastAsia="Arial" w:hAnsi="Arial"/>
                <w:sz w:val="13"/>
                <w:szCs w:val="13"/>
                <w:color w:val="auto"/>
              </w:rPr>
              <w:t>Interest expense</w:t>
            </w:r>
          </w:p>
        </w:tc>
        <w:tc>
          <w:tcPr>
            <w:tcW w:w="160" w:type="dxa"/>
            <w:vAlign w:val="bottom"/>
          </w:tcPr>
          <w:p>
            <w:pPr>
              <w:spacing w:after="0"/>
              <w:rPr>
                <w:sz w:val="13"/>
                <w:szCs w:val="13"/>
                <w:color w:val="auto"/>
              </w:rPr>
            </w:pPr>
          </w:p>
        </w:tc>
        <w:tc>
          <w:tcPr>
            <w:tcW w:w="1020" w:type="dxa"/>
            <w:vAlign w:val="bottom"/>
            <w:gridSpan w:val="2"/>
          </w:tcPr>
          <w:p>
            <w:pPr>
              <w:jc w:val="right"/>
              <w:ind w:right="340"/>
              <w:spacing w:after="0"/>
              <w:rPr>
                <w:sz w:val="20"/>
                <w:szCs w:val="20"/>
                <w:color w:val="auto"/>
              </w:rPr>
            </w:pPr>
            <w:r>
              <w:rPr>
                <w:rFonts w:ascii="Arial" w:cs="Arial" w:eastAsia="Arial" w:hAnsi="Arial"/>
                <w:sz w:val="13"/>
                <w:szCs w:val="13"/>
                <w:color w:val="auto"/>
              </w:rPr>
              <w:t>(171,909)</w:t>
            </w:r>
          </w:p>
        </w:tc>
        <w:tc>
          <w:tcPr>
            <w:tcW w:w="140" w:type="dxa"/>
            <w:vAlign w:val="bottom"/>
          </w:tcPr>
          <w:p>
            <w:pPr>
              <w:spacing w:after="0"/>
              <w:rPr>
                <w:sz w:val="13"/>
                <w:szCs w:val="13"/>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3"/>
                <w:szCs w:val="13"/>
                <w:color w:val="auto"/>
              </w:rPr>
              <w:t>(191,006)</w:t>
            </w:r>
          </w:p>
        </w:tc>
        <w:tc>
          <w:tcPr>
            <w:tcW w:w="140" w:type="dxa"/>
            <w:vAlign w:val="bottom"/>
          </w:tcPr>
          <w:p>
            <w:pPr>
              <w:spacing w:after="0"/>
              <w:rPr>
                <w:sz w:val="13"/>
                <w:szCs w:val="13"/>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3"/>
                <w:szCs w:val="13"/>
                <w:color w:val="auto"/>
              </w:rPr>
              <w:t>(207,112)</w:t>
            </w:r>
          </w:p>
        </w:tc>
        <w:tc>
          <w:tcPr>
            <w:tcW w:w="160" w:type="dxa"/>
            <w:vAlign w:val="bottom"/>
          </w:tcPr>
          <w:p>
            <w:pPr>
              <w:spacing w:after="0"/>
              <w:rPr>
                <w:sz w:val="13"/>
                <w:szCs w:val="13"/>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3"/>
                <w:szCs w:val="13"/>
                <w:color w:val="auto"/>
              </w:rPr>
              <w:t>19,097</w:t>
            </w:r>
          </w:p>
        </w:tc>
        <w:tc>
          <w:tcPr>
            <w:tcW w:w="820" w:type="dxa"/>
            <w:vAlign w:val="bottom"/>
            <w:gridSpan w:val="2"/>
          </w:tcPr>
          <w:p>
            <w:pPr>
              <w:jc w:val="right"/>
              <w:ind w:right="300"/>
              <w:spacing w:after="0"/>
              <w:rPr>
                <w:sz w:val="20"/>
                <w:szCs w:val="20"/>
                <w:color w:val="auto"/>
              </w:rPr>
            </w:pPr>
            <w:r>
              <w:rPr>
                <w:rFonts w:ascii="Arial" w:cs="Arial" w:eastAsia="Arial" w:hAnsi="Arial"/>
                <w:sz w:val="13"/>
                <w:szCs w:val="13"/>
                <w:color w:val="auto"/>
              </w:rPr>
              <w:t>(10)%</w:t>
            </w:r>
          </w:p>
        </w:tc>
        <w:tc>
          <w:tcPr>
            <w:tcW w:w="160" w:type="dxa"/>
            <w:vAlign w:val="bottom"/>
          </w:tcPr>
          <w:p>
            <w:pPr>
              <w:spacing w:after="0"/>
              <w:rPr>
                <w:sz w:val="13"/>
                <w:szCs w:val="13"/>
                <w:color w:val="auto"/>
              </w:rPr>
            </w:pPr>
          </w:p>
        </w:tc>
        <w:tc>
          <w:tcPr>
            <w:tcW w:w="960" w:type="dxa"/>
            <w:vAlign w:val="bottom"/>
            <w:gridSpan w:val="2"/>
          </w:tcPr>
          <w:p>
            <w:pPr>
              <w:jc w:val="right"/>
              <w:ind w:right="440"/>
              <w:spacing w:after="0"/>
              <w:rPr>
                <w:sz w:val="20"/>
                <w:szCs w:val="20"/>
                <w:color w:val="auto"/>
              </w:rPr>
            </w:pPr>
            <w:r>
              <w:rPr>
                <w:rFonts w:ascii="Arial" w:cs="Arial" w:eastAsia="Arial" w:hAnsi="Arial"/>
                <w:sz w:val="13"/>
                <w:szCs w:val="13"/>
                <w:color w:val="auto"/>
              </w:rPr>
              <w:t>16,106</w:t>
            </w:r>
          </w:p>
        </w:tc>
        <w:tc>
          <w:tcPr>
            <w:tcW w:w="440" w:type="dxa"/>
            <w:vAlign w:val="bottom"/>
            <w:gridSpan w:val="2"/>
          </w:tcPr>
          <w:p>
            <w:pPr>
              <w:jc w:val="right"/>
              <w:spacing w:after="0"/>
              <w:rPr>
                <w:sz w:val="20"/>
                <w:szCs w:val="20"/>
                <w:color w:val="auto"/>
              </w:rPr>
            </w:pPr>
            <w:r>
              <w:rPr>
                <w:rFonts w:ascii="Arial" w:cs="Arial" w:eastAsia="Arial" w:hAnsi="Arial"/>
                <w:sz w:val="13"/>
                <w:szCs w:val="13"/>
                <w:color w:val="auto"/>
              </w:rPr>
              <w:t>(8)%</w:t>
            </w:r>
          </w:p>
        </w:tc>
        <w:tc>
          <w:tcPr>
            <w:tcW w:w="0" w:type="dxa"/>
            <w:vAlign w:val="bottom"/>
          </w:tcPr>
          <w:p>
            <w:pPr>
              <w:spacing w:after="0"/>
              <w:rPr>
                <w:sz w:val="1"/>
                <w:szCs w:val="1"/>
                <w:color w:val="auto"/>
              </w:rPr>
            </w:pPr>
          </w:p>
        </w:tc>
      </w:tr>
      <w:tr>
        <w:trPr>
          <w:trHeight w:val="157"/>
        </w:trPr>
        <w:tc>
          <w:tcPr>
            <w:tcW w:w="3060" w:type="dxa"/>
            <w:vAlign w:val="bottom"/>
            <w:shd w:val="clear" w:color="auto" w:fill="CCEEFF"/>
          </w:tcPr>
          <w:p>
            <w:pPr>
              <w:ind w:left="280"/>
              <w:spacing w:after="0"/>
              <w:rPr>
                <w:sz w:val="20"/>
                <w:szCs w:val="20"/>
                <w:color w:val="auto"/>
              </w:rPr>
            </w:pPr>
            <w:r>
              <w:rPr>
                <w:rFonts w:ascii="Arial" w:cs="Arial" w:eastAsia="Arial" w:hAnsi="Arial"/>
                <w:sz w:val="13"/>
                <w:szCs w:val="13"/>
                <w:color w:val="auto"/>
              </w:rPr>
              <w:t>Other income (expense)</w:t>
            </w:r>
          </w:p>
        </w:tc>
        <w:tc>
          <w:tcPr>
            <w:tcW w:w="16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(36,892)</w:t>
            </w:r>
          </w:p>
        </w:tc>
        <w:tc>
          <w:tcPr>
            <w:tcW w:w="14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(61,680)</w:t>
            </w:r>
          </w:p>
        </w:tc>
        <w:tc>
          <w:tcPr>
            <w:tcW w:w="1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23,761</w:t>
            </w:r>
          </w:p>
        </w:tc>
        <w:tc>
          <w:tcPr>
            <w:tcW w:w="160" w:type="dxa"/>
            <w:vAlign w:val="bottom"/>
            <w:shd w:val="clear" w:color="auto" w:fill="CCEEFF"/>
          </w:tcPr>
          <w:p>
            <w:pPr>
              <w:spacing w:after="0"/>
              <w:rPr>
                <w:sz w:val="13"/>
                <w:szCs w:val="13"/>
                <w:color w:val="auto"/>
              </w:rPr>
            </w:pPr>
          </w:p>
        </w:tc>
        <w:tc>
          <w:tcPr>
            <w:tcW w:w="1060" w:type="dxa"/>
            <w:vAlign w:val="bottom"/>
            <w:tcBorders>
              <w:right w:val="single" w:sz="8" w:color="CCEEFF"/>
            </w:tcBorders>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24,788</w:t>
            </w: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(40)%</w:t>
            </w:r>
          </w:p>
        </w:tc>
        <w:tc>
          <w:tcPr>
            <w:tcW w:w="160" w:type="dxa"/>
            <w:vAlign w:val="bottom"/>
            <w:shd w:val="clear" w:color="auto" w:fill="CCEEFF"/>
          </w:tcPr>
          <w:p>
            <w:pPr>
              <w:spacing w:after="0"/>
              <w:rPr>
                <w:sz w:val="13"/>
                <w:szCs w:val="13"/>
                <w:color w:val="auto"/>
              </w:rPr>
            </w:pPr>
          </w:p>
        </w:tc>
        <w:tc>
          <w:tcPr>
            <w:tcW w:w="960" w:type="dxa"/>
            <w:vAlign w:val="bottom"/>
            <w:tcBorders>
              <w:right w:val="single" w:sz="8" w:color="CCEEFF"/>
            </w:tcBorders>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(85,441)</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(360)%</w:t>
            </w:r>
          </w:p>
        </w:tc>
        <w:tc>
          <w:tcPr>
            <w:tcW w:w="0" w:type="dxa"/>
            <w:vAlign w:val="bottom"/>
          </w:tcPr>
          <w:p>
            <w:pPr>
              <w:spacing w:after="0"/>
              <w:rPr>
                <w:sz w:val="1"/>
                <w:szCs w:val="1"/>
                <w:color w:val="auto"/>
              </w:rPr>
            </w:pPr>
          </w:p>
        </w:tc>
      </w:tr>
      <w:tr>
        <w:trPr>
          <w:trHeight w:val="20"/>
        </w:trPr>
        <w:tc>
          <w:tcPr>
            <w:tcW w:w="3060" w:type="dxa"/>
            <w:vAlign w:val="bottom"/>
            <w:vMerge w:val="restart"/>
          </w:tcPr>
          <w:p>
            <w:pPr>
              <w:spacing w:after="0"/>
              <w:rPr>
                <w:sz w:val="20"/>
                <w:szCs w:val="20"/>
                <w:color w:val="auto"/>
              </w:rPr>
            </w:pPr>
            <w:r>
              <w:rPr>
                <w:rFonts w:ascii="Arial" w:cs="Arial" w:eastAsia="Arial" w:hAnsi="Arial"/>
                <w:sz w:val="13"/>
                <w:szCs w:val="13"/>
                <w:color w:val="auto"/>
              </w:rPr>
              <w:t>Total other income (expense)</w:t>
            </w: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20" w:type="dxa"/>
            <w:vAlign w:val="bottom"/>
            <w:tcBorders>
              <w:right w:val="single" w:sz="8" w:color="auto"/>
            </w:tcBorders>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40" w:type="dxa"/>
            <w:vAlign w:val="bottom"/>
            <w:tcBorders>
              <w:right w:val="single" w:sz="8" w:color="auto"/>
            </w:tcBorders>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060" w:type="dxa"/>
            <w:vAlign w:val="bottom"/>
            <w:vMerge w:val="continue"/>
          </w:tcPr>
          <w:p>
            <w:pPr>
              <w:spacing w:after="0"/>
              <w:rPr>
                <w:sz w:val="13"/>
                <w:szCs w:val="13"/>
                <w:color w:val="auto"/>
              </w:rPr>
            </w:pPr>
          </w:p>
        </w:tc>
        <w:tc>
          <w:tcPr>
            <w:tcW w:w="160" w:type="dxa"/>
            <w:vAlign w:val="bottom"/>
          </w:tcPr>
          <w:p>
            <w:pPr>
              <w:jc w:val="right"/>
              <w:ind w:right="14"/>
              <w:spacing w:after="0"/>
              <w:rPr>
                <w:sz w:val="20"/>
                <w:szCs w:val="20"/>
                <w:color w:val="auto"/>
              </w:rPr>
            </w:pPr>
            <w:r>
              <w:rPr>
                <w:rFonts w:ascii="Arial" w:cs="Arial" w:eastAsia="Arial" w:hAnsi="Arial"/>
                <w:sz w:val="13"/>
                <w:szCs w:val="13"/>
                <w:color w:val="auto"/>
                <w:w w:val="82"/>
              </w:rPr>
              <w:t>$</w:t>
            </w:r>
          </w:p>
        </w:tc>
        <w:tc>
          <w:tcPr>
            <w:tcW w:w="1020" w:type="dxa"/>
            <w:vAlign w:val="bottom"/>
            <w:gridSpan w:val="2"/>
          </w:tcPr>
          <w:p>
            <w:pPr>
              <w:jc w:val="right"/>
              <w:ind w:right="380"/>
              <w:spacing w:after="0"/>
              <w:rPr>
                <w:sz w:val="20"/>
                <w:szCs w:val="20"/>
                <w:color w:val="auto"/>
              </w:rPr>
            </w:pPr>
            <w:r>
              <w:rPr>
                <w:rFonts w:ascii="Arial" w:cs="Arial" w:eastAsia="Arial" w:hAnsi="Arial"/>
                <w:sz w:val="13"/>
                <w:szCs w:val="13"/>
                <w:color w:val="auto"/>
              </w:rPr>
              <w:t>4,649,718</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920" w:type="dxa"/>
            <w:vAlign w:val="bottom"/>
            <w:gridSpan w:val="2"/>
          </w:tcPr>
          <w:p>
            <w:pPr>
              <w:jc w:val="right"/>
              <w:ind w:right="380"/>
              <w:spacing w:after="0"/>
              <w:rPr>
                <w:sz w:val="20"/>
                <w:szCs w:val="20"/>
                <w:color w:val="auto"/>
              </w:rPr>
            </w:pPr>
            <w:r>
              <w:rPr>
                <w:rFonts w:ascii="Arial" w:cs="Arial" w:eastAsia="Arial" w:hAnsi="Arial"/>
                <w:sz w:val="13"/>
                <w:szCs w:val="13"/>
                <w:color w:val="auto"/>
              </w:rPr>
              <w:t>69,541</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40" w:type="dxa"/>
            <w:vAlign w:val="bottom"/>
            <w:gridSpan w:val="2"/>
          </w:tcPr>
          <w:p>
            <w:pPr>
              <w:jc w:val="right"/>
              <w:ind w:right="340"/>
              <w:spacing w:after="0"/>
              <w:rPr>
                <w:sz w:val="20"/>
                <w:szCs w:val="20"/>
                <w:color w:val="auto"/>
              </w:rPr>
            </w:pPr>
            <w:r>
              <w:rPr>
                <w:rFonts w:ascii="Arial" w:cs="Arial" w:eastAsia="Arial" w:hAnsi="Arial"/>
                <w:sz w:val="13"/>
                <w:szCs w:val="13"/>
                <w:color w:val="auto"/>
              </w:rPr>
              <w:t>(144,525)</w:t>
            </w: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1060" w:type="dxa"/>
            <w:vAlign w:val="bottom"/>
            <w:gridSpan w:val="2"/>
          </w:tcPr>
          <w:p>
            <w:pPr>
              <w:jc w:val="right"/>
              <w:ind w:right="420"/>
              <w:spacing w:after="0"/>
              <w:rPr>
                <w:sz w:val="20"/>
                <w:szCs w:val="20"/>
                <w:color w:val="auto"/>
              </w:rPr>
            </w:pPr>
            <w:r>
              <w:rPr>
                <w:rFonts w:ascii="Arial" w:cs="Arial" w:eastAsia="Arial" w:hAnsi="Arial"/>
                <w:sz w:val="13"/>
                <w:szCs w:val="13"/>
                <w:color w:val="auto"/>
              </w:rPr>
              <w:t>4,580,177</w:t>
            </w:r>
          </w:p>
        </w:tc>
        <w:tc>
          <w:tcPr>
            <w:tcW w:w="820" w:type="dxa"/>
            <w:vAlign w:val="bottom"/>
            <w:gridSpan w:val="2"/>
          </w:tcPr>
          <w:p>
            <w:pPr>
              <w:jc w:val="right"/>
              <w:ind w:right="440"/>
              <w:spacing w:after="0"/>
              <w:rPr>
                <w:sz w:val="20"/>
                <w:szCs w:val="20"/>
                <w:color w:val="auto"/>
              </w:rPr>
            </w:pPr>
            <w:r>
              <w:rPr>
                <w:rFonts w:ascii="Arial" w:cs="Arial" w:eastAsia="Arial" w:hAnsi="Arial"/>
                <w:sz w:val="13"/>
                <w:szCs w:val="13"/>
                <w:color w:val="auto"/>
              </w:rPr>
              <w:t>*N/M</w:t>
            </w: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960" w:type="dxa"/>
            <w:vAlign w:val="bottom"/>
            <w:gridSpan w:val="2"/>
          </w:tcPr>
          <w:p>
            <w:pPr>
              <w:jc w:val="right"/>
              <w:ind w:right="440"/>
              <w:spacing w:after="0"/>
              <w:rPr>
                <w:sz w:val="20"/>
                <w:szCs w:val="20"/>
                <w:color w:val="auto"/>
              </w:rPr>
            </w:pPr>
            <w:r>
              <w:rPr>
                <w:rFonts w:ascii="Arial" w:cs="Arial" w:eastAsia="Arial" w:hAnsi="Arial"/>
                <w:sz w:val="13"/>
                <w:szCs w:val="13"/>
                <w:color w:val="auto"/>
              </w:rPr>
              <w:t>214,066</w:t>
            </w:r>
          </w:p>
        </w:tc>
        <w:tc>
          <w:tcPr>
            <w:tcW w:w="440" w:type="dxa"/>
            <w:vAlign w:val="bottom"/>
            <w:gridSpan w:val="2"/>
          </w:tcPr>
          <w:p>
            <w:pPr>
              <w:jc w:val="right"/>
              <w:ind w:right="40"/>
              <w:spacing w:after="0"/>
              <w:rPr>
                <w:sz w:val="20"/>
                <w:szCs w:val="20"/>
                <w:color w:val="auto"/>
              </w:rPr>
            </w:pPr>
            <w:r>
              <w:rPr>
                <w:rFonts w:ascii="Arial" w:cs="Arial" w:eastAsia="Arial" w:hAnsi="Arial"/>
                <w:sz w:val="13"/>
                <w:szCs w:val="13"/>
                <w:color w:val="auto"/>
              </w:rPr>
              <w:t>148%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63500</wp:posOffset>
            </wp:positionV>
            <wp:extent cx="823595" cy="63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823595" cy="6350"/>
                    </a:xfrm>
                    <a:prstGeom prst="rect">
                      <a:avLst/>
                    </a:prstGeom>
                    <a:noFill/>
                  </pic:spPr>
                </pic:pic>
              </a:graphicData>
            </a:graphic>
          </wp:anchor>
        </w:drawing>
      </w:r>
    </w:p>
    <w:p>
      <w:pPr>
        <w:spacing w:after="0" w:line="130" w:lineRule="exact"/>
        <w:rPr>
          <w:sz w:val="20"/>
          <w:szCs w:val="20"/>
          <w:color w:val="auto"/>
        </w:rPr>
      </w:pPr>
    </w:p>
    <w:p>
      <w:pPr>
        <w:ind w:left="680"/>
        <w:spacing w:after="0"/>
        <w:tabs>
          <w:tab w:leader="none" w:pos="880" w:val="left"/>
        </w:tabs>
        <w:rPr>
          <w:sz w:val="20"/>
          <w:szCs w:val="20"/>
          <w:color w:val="auto"/>
        </w:rPr>
      </w:pPr>
      <w:r>
        <w:rPr>
          <w:rFonts w:ascii="Arial" w:cs="Arial" w:eastAsia="Arial" w:hAnsi="Arial"/>
          <w:sz w:val="13"/>
          <w:szCs w:val="13"/>
          <w:color w:val="auto"/>
        </w:rPr>
        <w:t>*</w:t>
        <w:tab/>
        <w:t>Non meaningful</w:t>
      </w:r>
    </w:p>
    <w:p>
      <w:pPr>
        <w:spacing w:after="0" w:line="175"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License and Settlement Agreement</w:t>
      </w:r>
    </w:p>
    <w:p>
      <w:pPr>
        <w:spacing w:after="0" w:line="96" w:lineRule="exact"/>
        <w:rPr>
          <w:sz w:val="20"/>
          <w:szCs w:val="20"/>
          <w:color w:val="auto"/>
        </w:rPr>
      </w:pPr>
    </w:p>
    <w:p>
      <w:pPr>
        <w:ind w:left="680" w:right="80" w:firstLine="399"/>
        <w:spacing w:after="0" w:line="282" w:lineRule="auto"/>
        <w:rPr>
          <w:sz w:val="20"/>
          <w:szCs w:val="20"/>
          <w:color w:val="auto"/>
        </w:rPr>
      </w:pPr>
      <w:r>
        <w:rPr>
          <w:rFonts w:ascii="Arial" w:cs="Arial" w:eastAsia="Arial" w:hAnsi="Arial"/>
          <w:sz w:val="12"/>
          <w:szCs w:val="12"/>
          <w:color w:val="auto"/>
        </w:rPr>
        <w:t>In July 2005, we entered into an agreement with ReNeuron Limited, a wholly owned subsidiary of ReNeuron Group plc, a listed UK corporation (collectively referred to as “ReNeuron”). As part of the agreement, we granted ReNeuron a license that allows ReNeuron to exploit their “c-mycER” conditionally immortalized adult human neural stem cell technology for therapy and other purposes. In return for the license, we received a 7.5% fully-diluted equity interest in ReNeuron, subject to certain anti-dilution provisions, and a cross-license to the exclusive use of ReNeuron’s technology for certain diseases and conditions, including lysosomal storage diseases, spinal cord injury, cerebral palsy and multiple sclerosis. The agreement also provides for full settlement of any potential claims that either we or ReNeuron might have had against the other in connection with any putative infringement of certain of each party’s patent rights prior to the effective date of the agreement. The agreement is Exhibit 10.71 to our Quarterly Report on Form 10-Q for the quarter ended June 30, 2005.</w:t>
      </w:r>
    </w:p>
    <w:p>
      <w:pPr>
        <w:spacing w:after="0" w:line="59" w:lineRule="exact"/>
        <w:rPr>
          <w:sz w:val="20"/>
          <w:szCs w:val="20"/>
          <w:color w:val="auto"/>
        </w:rPr>
      </w:pPr>
    </w:p>
    <w:p>
      <w:pPr>
        <w:ind w:left="680" w:right="200" w:firstLine="399"/>
        <w:spacing w:after="0" w:line="264" w:lineRule="auto"/>
        <w:rPr>
          <w:sz w:val="20"/>
          <w:szCs w:val="20"/>
          <w:color w:val="auto"/>
        </w:rPr>
      </w:pPr>
      <w:r>
        <w:rPr>
          <w:rFonts w:ascii="Arial" w:cs="Arial" w:eastAsia="Arial" w:hAnsi="Arial"/>
          <w:sz w:val="13"/>
          <w:szCs w:val="13"/>
          <w:color w:val="auto"/>
        </w:rPr>
        <w:t>We recorded approximately $3,736,000 as other income in 2005, which was the fair value of the ReNeuron shares net of legal fees and the value of 104,000 shares that was transferred to NeuroSpheres Ltd., an Alberta corporation from which we have licensed some of the patent rights that are the subject of the agreement with ReNeuron. See Note 2 for more details on this transaction.</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Interest Income</w:t>
      </w:r>
    </w:p>
    <w:p>
      <w:pPr>
        <w:spacing w:after="0" w:line="96" w:lineRule="exact"/>
        <w:rPr>
          <w:sz w:val="20"/>
          <w:szCs w:val="20"/>
          <w:color w:val="auto"/>
        </w:rPr>
      </w:pPr>
    </w:p>
    <w:p>
      <w:pPr>
        <w:jc w:val="both"/>
        <w:ind w:left="680" w:right="100" w:firstLine="399"/>
        <w:spacing w:after="0" w:line="264" w:lineRule="auto"/>
        <w:rPr>
          <w:sz w:val="20"/>
          <w:szCs w:val="20"/>
          <w:color w:val="auto"/>
        </w:rPr>
      </w:pPr>
      <w:r>
        <w:rPr>
          <w:rFonts w:ascii="Arial" w:cs="Arial" w:eastAsia="Arial" w:hAnsi="Arial"/>
          <w:sz w:val="13"/>
          <w:szCs w:val="13"/>
          <w:color w:val="auto"/>
        </w:rPr>
        <w:t>Interest income for the years ended December 31, 2005, 2004 and 2003 totaled approximately $1,123,000, $322,000 and $39,000, respectively. The increase in interest income from 2003 to 2005 was primarily attributable to a higher average bank balance as a result of our financing transactions in 2004 (See “Liquidity and Capital Resources” below for further detail on these transactions) and a higher yield on overnight and money market funds.</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Interest Expense</w:t>
      </w:r>
    </w:p>
    <w:p>
      <w:pPr>
        <w:spacing w:after="0" w:line="96" w:lineRule="exact"/>
        <w:rPr>
          <w:sz w:val="20"/>
          <w:szCs w:val="20"/>
          <w:color w:val="auto"/>
        </w:rPr>
      </w:pPr>
    </w:p>
    <w:p>
      <w:pPr>
        <w:ind w:left="680" w:right="60" w:firstLine="399"/>
        <w:spacing w:after="0" w:line="276" w:lineRule="auto"/>
        <w:rPr>
          <w:sz w:val="20"/>
          <w:szCs w:val="20"/>
          <w:color w:val="auto"/>
        </w:rPr>
      </w:pPr>
      <w:r>
        <w:rPr>
          <w:rFonts w:ascii="Arial" w:cs="Arial" w:eastAsia="Arial" w:hAnsi="Arial"/>
          <w:sz w:val="13"/>
          <w:szCs w:val="13"/>
          <w:color w:val="auto"/>
        </w:rPr>
        <w:t>In 2005, interest expense was $172,000, compared to $191,000 in 2004 and $207,000 in 2003. The decrease from 2003 to 2005 was attributable to lower outstanding debt and capital lease balances.</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Other Income/Expense, Net</w:t>
      </w:r>
    </w:p>
    <w:p>
      <w:pPr>
        <w:spacing w:after="0" w:line="96" w:lineRule="exact"/>
        <w:rPr>
          <w:sz w:val="20"/>
          <w:szCs w:val="20"/>
          <w:color w:val="auto"/>
        </w:rPr>
      </w:pPr>
    </w:p>
    <w:p>
      <w:pPr>
        <w:ind w:left="680" w:right="40" w:firstLine="399"/>
        <w:spacing w:after="0" w:line="264" w:lineRule="auto"/>
        <w:rPr>
          <w:sz w:val="20"/>
          <w:szCs w:val="20"/>
          <w:color w:val="auto"/>
        </w:rPr>
      </w:pPr>
      <w:r>
        <w:rPr>
          <w:rFonts w:ascii="Arial" w:cs="Arial" w:eastAsia="Arial" w:hAnsi="Arial"/>
          <w:sz w:val="13"/>
          <w:szCs w:val="13"/>
          <w:color w:val="auto"/>
        </w:rPr>
        <w:t>Other expenses for 2005 include $36,000 in state franchise taxes and $1,000 from a write-off of obsolete equipment. Other expenses for 2004 include a loss of $56,000 resulting from a write-off of obsolete lab equipment and $6,000 in state franchise taxes. For 2003, other income net of other expenses was $24,000, consisting of income received from the leasing of equipment to subtenants and state franchise taxes paid.</w:t>
      </w:r>
    </w:p>
    <w:p>
      <w:pPr>
        <w:spacing w:after="0" w:line="264"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41" w:name="page42"/>
    <w:bookmarkEnd w:id="4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1080"/>
        <w:spacing w:after="0"/>
        <w:rPr>
          <w:sz w:val="20"/>
          <w:szCs w:val="20"/>
          <w:color w:val="auto"/>
        </w:rPr>
      </w:pPr>
      <w:r>
        <w:rPr>
          <w:rFonts w:ascii="Arial" w:cs="Arial" w:eastAsia="Arial" w:hAnsi="Arial"/>
          <w:sz w:val="13"/>
          <w:szCs w:val="13"/>
          <w:b w:val="1"/>
          <w:bCs w:val="1"/>
          <w:i w:val="1"/>
          <w:iCs w:val="1"/>
          <w:color w:val="auto"/>
        </w:rPr>
        <w:t>Liquidity and Capital Resources</w:t>
      </w:r>
    </w:p>
    <w:p>
      <w:pPr>
        <w:spacing w:after="0" w:line="96" w:lineRule="exact"/>
        <w:rPr>
          <w:sz w:val="20"/>
          <w:szCs w:val="20"/>
          <w:color w:val="auto"/>
        </w:rPr>
      </w:pPr>
    </w:p>
    <w:p>
      <w:pPr>
        <w:ind w:left="680" w:right="40" w:firstLine="399"/>
        <w:spacing w:after="0" w:line="276" w:lineRule="auto"/>
        <w:rPr>
          <w:sz w:val="20"/>
          <w:szCs w:val="20"/>
          <w:color w:val="auto"/>
        </w:rPr>
      </w:pPr>
      <w:r>
        <w:rPr>
          <w:rFonts w:ascii="Arial" w:cs="Arial" w:eastAsia="Arial" w:hAnsi="Arial"/>
          <w:sz w:val="13"/>
          <w:szCs w:val="13"/>
          <w:color w:val="auto"/>
        </w:rPr>
        <w:t>Since our inception, we have financed our operations through the sale of common and preferred stock, the issuance of long-term debt and capitalized lease obligations, revenues from collaborative agreements, research grants and interest income.</w:t>
      </w:r>
    </w:p>
    <w:p>
      <w:pPr>
        <w:spacing w:after="0" w:line="59" w:lineRule="exact"/>
        <w:rPr>
          <w:sz w:val="20"/>
          <w:szCs w:val="20"/>
          <w:color w:val="auto"/>
        </w:rPr>
      </w:pPr>
    </w:p>
    <w:p>
      <w:pPr>
        <w:ind w:left="680" w:right="220" w:firstLine="399"/>
        <w:spacing w:after="0" w:line="276" w:lineRule="auto"/>
        <w:rPr>
          <w:sz w:val="20"/>
          <w:szCs w:val="20"/>
          <w:color w:val="auto"/>
        </w:rPr>
      </w:pPr>
      <w:r>
        <w:rPr>
          <w:rFonts w:ascii="Arial" w:cs="Arial" w:eastAsia="Arial" w:hAnsi="Arial"/>
          <w:sz w:val="13"/>
          <w:szCs w:val="13"/>
          <w:color w:val="auto"/>
        </w:rPr>
        <w:t>We had cash and cash equivalents totaling $34,541,000 at December 31, 2005. Cash equivalents are generally invested in U.S. Treasuries with maturities of less than 90 days. The table below summarizes our cash flows for the respective twelve month periods.</w:t>
      </w:r>
    </w:p>
    <w:p>
      <w:pPr>
        <w:spacing w:after="0" w:line="54"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28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0" w:type="dxa"/>
            <w:vAlign w:val="bottom"/>
            <w:gridSpan w:val="2"/>
          </w:tcPr>
          <w:p>
            <w:pPr>
              <w:jc w:val="center"/>
              <w:ind w:left="84"/>
              <w:spacing w:after="0"/>
              <w:rPr>
                <w:sz w:val="20"/>
                <w:szCs w:val="20"/>
                <w:color w:val="auto"/>
              </w:rPr>
            </w:pPr>
            <w:r>
              <w:rPr>
                <w:rFonts w:ascii="Arial" w:cs="Arial" w:eastAsia="Arial" w:hAnsi="Arial"/>
                <w:sz w:val="10"/>
                <w:szCs w:val="10"/>
                <w:b w:val="1"/>
                <w:bCs w:val="1"/>
                <w:color w:val="auto"/>
                <w:w w:val="93"/>
              </w:rPr>
              <w:t>Change from</w:t>
            </w:r>
          </w:p>
        </w:tc>
        <w:tc>
          <w:tcPr>
            <w:tcW w:w="3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80" w:type="dxa"/>
            <w:vAlign w:val="bottom"/>
            <w:gridSpan w:val="2"/>
          </w:tcPr>
          <w:p>
            <w:pPr>
              <w:jc w:val="center"/>
              <w:ind w:left="44"/>
              <w:spacing w:after="0"/>
              <w:rPr>
                <w:sz w:val="20"/>
                <w:szCs w:val="20"/>
                <w:color w:val="auto"/>
              </w:rPr>
            </w:pPr>
            <w:r>
              <w:rPr>
                <w:rFonts w:ascii="Arial" w:cs="Arial" w:eastAsia="Arial" w:hAnsi="Arial"/>
                <w:sz w:val="10"/>
                <w:szCs w:val="10"/>
                <w:b w:val="1"/>
                <w:bCs w:val="1"/>
                <w:color w:val="auto"/>
                <w:w w:val="97"/>
              </w:rPr>
              <w:t>Change from</w:t>
            </w: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8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0" w:type="dxa"/>
            <w:vAlign w:val="bottom"/>
            <w:gridSpan w:val="2"/>
          </w:tcPr>
          <w:p>
            <w:pPr>
              <w:jc w:val="center"/>
              <w:ind w:left="84"/>
              <w:spacing w:after="0" w:line="108" w:lineRule="exact"/>
              <w:rPr>
                <w:sz w:val="20"/>
                <w:szCs w:val="20"/>
                <w:color w:val="auto"/>
              </w:rPr>
            </w:pPr>
            <w:r>
              <w:rPr>
                <w:rFonts w:ascii="Arial" w:cs="Arial" w:eastAsia="Arial" w:hAnsi="Arial"/>
                <w:sz w:val="10"/>
                <w:szCs w:val="10"/>
                <w:b w:val="1"/>
                <w:bCs w:val="1"/>
                <w:color w:val="auto"/>
                <w:w w:val="94"/>
              </w:rPr>
              <w:t>Previous Year:</w:t>
            </w:r>
          </w:p>
        </w:tc>
        <w:tc>
          <w:tcPr>
            <w:tcW w:w="32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0" w:type="dxa"/>
            <w:vAlign w:val="bottom"/>
          </w:tcPr>
          <w:p>
            <w:pPr>
              <w:spacing w:after="0"/>
              <w:rPr>
                <w:sz w:val="9"/>
                <w:szCs w:val="9"/>
                <w:color w:val="auto"/>
              </w:rPr>
            </w:pPr>
          </w:p>
        </w:tc>
        <w:tc>
          <w:tcPr>
            <w:tcW w:w="980" w:type="dxa"/>
            <w:vAlign w:val="bottom"/>
            <w:gridSpan w:val="2"/>
          </w:tcPr>
          <w:p>
            <w:pPr>
              <w:jc w:val="center"/>
              <w:ind w:left="44"/>
              <w:spacing w:after="0" w:line="108" w:lineRule="exact"/>
              <w:rPr>
                <w:sz w:val="20"/>
                <w:szCs w:val="20"/>
                <w:color w:val="auto"/>
              </w:rPr>
            </w:pPr>
            <w:r>
              <w:rPr>
                <w:rFonts w:ascii="Arial" w:cs="Arial" w:eastAsia="Arial" w:hAnsi="Arial"/>
                <w:sz w:val="10"/>
                <w:szCs w:val="10"/>
                <w:b w:val="1"/>
                <w:bCs w:val="1"/>
                <w:color w:val="auto"/>
                <w:w w:val="91"/>
              </w:rPr>
              <w:t>Previous Year:</w:t>
            </w:r>
          </w:p>
        </w:tc>
        <w:tc>
          <w:tcPr>
            <w:tcW w:w="30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28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vMerge w:val="restart"/>
          </w:tcPr>
          <w:p>
            <w:pPr>
              <w:jc w:val="right"/>
              <w:ind w:right="282"/>
              <w:spacing w:after="0"/>
              <w:rPr>
                <w:sz w:val="20"/>
                <w:szCs w:val="20"/>
                <w:color w:val="auto"/>
              </w:rPr>
            </w:pPr>
            <w:r>
              <w:rPr>
                <w:rFonts w:ascii="Arial" w:cs="Arial" w:eastAsia="Arial" w:hAnsi="Arial"/>
                <w:sz w:val="10"/>
                <w:szCs w:val="10"/>
                <w:b w:val="1"/>
                <w:bCs w:val="1"/>
                <w:color w:val="auto"/>
              </w:rPr>
              <w:t>2005</w:t>
            </w:r>
          </w:p>
        </w:tc>
        <w:tc>
          <w:tcPr>
            <w:tcW w:w="2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vMerge w:val="restart"/>
          </w:tcPr>
          <w:p>
            <w:pPr>
              <w:jc w:val="right"/>
              <w:ind w:right="282"/>
              <w:spacing w:after="0"/>
              <w:rPr>
                <w:sz w:val="20"/>
                <w:szCs w:val="20"/>
                <w:color w:val="auto"/>
              </w:rPr>
            </w:pPr>
            <w:r>
              <w:rPr>
                <w:rFonts w:ascii="Arial" w:cs="Arial" w:eastAsia="Arial" w:hAnsi="Arial"/>
                <w:sz w:val="10"/>
                <w:szCs w:val="10"/>
                <w:b w:val="1"/>
                <w:bCs w:val="1"/>
                <w:color w:val="auto"/>
              </w:rPr>
              <w:t>2004</w:t>
            </w:r>
          </w:p>
        </w:tc>
        <w:tc>
          <w:tcPr>
            <w:tcW w:w="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vMerge w:val="restart"/>
          </w:tcPr>
          <w:p>
            <w:pPr>
              <w:jc w:val="right"/>
              <w:ind w:right="282"/>
              <w:spacing w:after="0"/>
              <w:rPr>
                <w:sz w:val="20"/>
                <w:szCs w:val="20"/>
                <w:color w:val="auto"/>
              </w:rPr>
            </w:pPr>
            <w:r>
              <w:rPr>
                <w:rFonts w:ascii="Arial" w:cs="Arial" w:eastAsia="Arial" w:hAnsi="Arial"/>
                <w:sz w:val="10"/>
                <w:szCs w:val="10"/>
                <w:b w:val="1"/>
                <w:bCs w:val="1"/>
                <w:color w:val="auto"/>
              </w:rPr>
              <w:t>2003</w:t>
            </w:r>
          </w:p>
        </w:tc>
        <w:tc>
          <w:tcPr>
            <w:tcW w:w="28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gridSpan w:val="2"/>
          </w:tcPr>
          <w:p>
            <w:pPr>
              <w:jc w:val="center"/>
              <w:ind w:left="84"/>
              <w:spacing w:after="0"/>
              <w:rPr>
                <w:sz w:val="20"/>
                <w:szCs w:val="20"/>
                <w:color w:val="auto"/>
              </w:rPr>
            </w:pPr>
            <w:r>
              <w:rPr>
                <w:rFonts w:ascii="Arial" w:cs="Arial" w:eastAsia="Arial" w:hAnsi="Arial"/>
                <w:sz w:val="10"/>
                <w:szCs w:val="10"/>
                <w:b w:val="1"/>
                <w:bCs w:val="1"/>
                <w:color w:val="auto"/>
                <w:w w:val="93"/>
              </w:rPr>
              <w:t>2005 Versus 2004</w:t>
            </w:r>
          </w:p>
        </w:tc>
        <w:tc>
          <w:tcPr>
            <w:tcW w:w="320" w:type="dxa"/>
            <w:vAlign w:val="bottom"/>
            <w:tcBorders>
              <w:bottom w:val="single" w:sz="8" w:color="auto"/>
            </w:tcBorders>
          </w:tcPr>
          <w:p>
            <w:pPr>
              <w:spacing w:after="0"/>
              <w:rPr>
                <w:sz w:val="10"/>
                <w:szCs w:val="10"/>
                <w:color w:val="auto"/>
              </w:rPr>
            </w:pPr>
          </w:p>
        </w:tc>
        <w:tc>
          <w:tcPr>
            <w:tcW w:w="520" w:type="dxa"/>
            <w:vAlign w:val="bottom"/>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gridSpan w:val="2"/>
          </w:tcPr>
          <w:p>
            <w:pPr>
              <w:jc w:val="center"/>
              <w:ind w:left="44"/>
              <w:spacing w:after="0"/>
              <w:rPr>
                <w:sz w:val="20"/>
                <w:szCs w:val="20"/>
                <w:color w:val="auto"/>
              </w:rPr>
            </w:pPr>
            <w:r>
              <w:rPr>
                <w:rFonts w:ascii="Arial" w:cs="Arial" w:eastAsia="Arial" w:hAnsi="Arial"/>
                <w:sz w:val="10"/>
                <w:szCs w:val="10"/>
                <w:b w:val="1"/>
                <w:bCs w:val="1"/>
                <w:color w:val="auto"/>
                <w:w w:val="91"/>
              </w:rPr>
              <w:t>2004 Versus 2003</w:t>
            </w:r>
          </w:p>
        </w:tc>
        <w:tc>
          <w:tcPr>
            <w:tcW w:w="300" w:type="dxa"/>
            <w:vAlign w:val="bottom"/>
            <w:tcBorders>
              <w:bottom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282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vMerge w:val="continue"/>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vMerge w:val="continue"/>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vMerge w:val="continue"/>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jc w:val="right"/>
              <w:ind w:right="364"/>
              <w:spacing w:after="0" w:line="98" w:lineRule="exact"/>
              <w:rPr>
                <w:sz w:val="20"/>
                <w:szCs w:val="20"/>
                <w:color w:val="auto"/>
              </w:rPr>
            </w:pPr>
            <w:r>
              <w:rPr>
                <w:rFonts w:ascii="Arial" w:cs="Arial" w:eastAsia="Arial" w:hAnsi="Arial"/>
                <w:sz w:val="10"/>
                <w:szCs w:val="10"/>
                <w:b w:val="1"/>
                <w:bCs w:val="1"/>
                <w:color w:val="auto"/>
              </w:rPr>
              <w:t>$</w:t>
            </w:r>
          </w:p>
        </w:tc>
        <w:tc>
          <w:tcPr>
            <w:tcW w:w="300" w:type="dxa"/>
            <w:vAlign w:val="bottom"/>
          </w:tcPr>
          <w:p>
            <w:pPr>
              <w:spacing w:after="0"/>
              <w:rPr>
                <w:sz w:val="8"/>
                <w:szCs w:val="8"/>
                <w:color w:val="auto"/>
              </w:rPr>
            </w:pPr>
          </w:p>
        </w:tc>
        <w:tc>
          <w:tcPr>
            <w:tcW w:w="320" w:type="dxa"/>
            <w:vAlign w:val="bottom"/>
            <w:tcBorders>
              <w:bottom w:val="single" w:sz="8" w:color="auto"/>
            </w:tcBorders>
          </w:tcPr>
          <w:p>
            <w:pPr>
              <w:jc w:val="right"/>
              <w:ind w:right="62"/>
              <w:spacing w:after="0" w:line="98" w:lineRule="exact"/>
              <w:rPr>
                <w:sz w:val="20"/>
                <w:szCs w:val="20"/>
                <w:color w:val="auto"/>
              </w:rPr>
            </w:pPr>
            <w:r>
              <w:rPr>
                <w:rFonts w:ascii="Arial" w:cs="Arial" w:eastAsia="Arial" w:hAnsi="Arial"/>
                <w:sz w:val="10"/>
                <w:szCs w:val="10"/>
                <w:b w:val="1"/>
                <w:bCs w:val="1"/>
                <w:color w:val="auto"/>
              </w:rPr>
              <w:t>%</w:t>
            </w:r>
          </w:p>
        </w:tc>
        <w:tc>
          <w:tcPr>
            <w:tcW w:w="52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jc w:val="right"/>
              <w:ind w:right="364"/>
              <w:spacing w:after="0" w:line="98" w:lineRule="exact"/>
              <w:rPr>
                <w:sz w:val="20"/>
                <w:szCs w:val="20"/>
                <w:color w:val="auto"/>
              </w:rPr>
            </w:pPr>
            <w:r>
              <w:rPr>
                <w:rFonts w:ascii="Arial" w:cs="Arial" w:eastAsia="Arial" w:hAnsi="Arial"/>
                <w:sz w:val="10"/>
                <w:szCs w:val="10"/>
                <w:b w:val="1"/>
                <w:bCs w:val="1"/>
                <w:color w:val="auto"/>
              </w:rPr>
              <w:t>$</w:t>
            </w:r>
          </w:p>
        </w:tc>
        <w:tc>
          <w:tcPr>
            <w:tcW w:w="300" w:type="dxa"/>
            <w:vAlign w:val="bottom"/>
          </w:tcPr>
          <w:p>
            <w:pPr>
              <w:spacing w:after="0"/>
              <w:rPr>
                <w:sz w:val="8"/>
                <w:szCs w:val="8"/>
                <w:color w:val="auto"/>
              </w:rPr>
            </w:pPr>
          </w:p>
        </w:tc>
        <w:tc>
          <w:tcPr>
            <w:tcW w:w="300" w:type="dxa"/>
            <w:vAlign w:val="bottom"/>
            <w:tcBorders>
              <w:bottom w:val="single" w:sz="8" w:color="auto"/>
            </w:tcBorders>
          </w:tcPr>
          <w:p>
            <w:pPr>
              <w:jc w:val="right"/>
              <w:ind w:right="42"/>
              <w:spacing w:after="0" w:line="98" w:lineRule="exact"/>
              <w:rPr>
                <w:sz w:val="20"/>
                <w:szCs w:val="20"/>
                <w:color w:val="auto"/>
              </w:rPr>
            </w:pPr>
            <w:r>
              <w:rPr>
                <w:rFonts w:ascii="Arial" w:cs="Arial" w:eastAsia="Arial" w:hAnsi="Arial"/>
                <w:sz w:val="10"/>
                <w:szCs w:val="10"/>
                <w:b w:val="1"/>
                <w:bCs w:val="1"/>
                <w:color w:val="auto"/>
              </w:rPr>
              <w:t>%</w:t>
            </w: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2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7"/>
        </w:trPr>
        <w:tc>
          <w:tcPr>
            <w:tcW w:w="2820" w:type="dxa"/>
            <w:vAlign w:val="bottom"/>
            <w:shd w:val="clear" w:color="auto" w:fill="CCEEFF"/>
          </w:tcPr>
          <w:p>
            <w:pPr>
              <w:spacing w:after="0"/>
              <w:rPr>
                <w:sz w:val="20"/>
                <w:szCs w:val="20"/>
                <w:color w:val="auto"/>
              </w:rPr>
            </w:pPr>
            <w:r>
              <w:rPr>
                <w:rFonts w:ascii="Arial" w:cs="Arial" w:eastAsia="Arial" w:hAnsi="Arial"/>
                <w:sz w:val="12"/>
                <w:szCs w:val="12"/>
                <w:color w:val="auto"/>
              </w:rPr>
              <w:t>Net cash used in operating activities</w:t>
            </w:r>
          </w:p>
        </w:tc>
        <w:tc>
          <w:tcPr>
            <w:tcW w:w="200" w:type="dxa"/>
            <w:vAlign w:val="bottom"/>
            <w:shd w:val="clear" w:color="auto" w:fill="CCEEFF"/>
          </w:tcPr>
          <w:p>
            <w:pPr>
              <w:jc w:val="right"/>
              <w:ind w:right="93"/>
              <w:spacing w:after="0"/>
              <w:rPr>
                <w:sz w:val="20"/>
                <w:szCs w:val="20"/>
                <w:color w:val="auto"/>
              </w:rPr>
            </w:pPr>
            <w:r>
              <w:rPr>
                <w:rFonts w:ascii="Arial" w:cs="Arial" w:eastAsia="Arial" w:hAnsi="Arial"/>
                <w:sz w:val="9"/>
                <w:szCs w:val="9"/>
                <w:color w:val="auto"/>
                <w:w w:val="78"/>
              </w:rPr>
              <w:t>$</w:t>
            </w: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(11,870,568)</w:t>
            </w:r>
          </w:p>
        </w:tc>
        <w:tc>
          <w:tcPr>
            <w:tcW w:w="180" w:type="dxa"/>
            <w:vAlign w:val="bottom"/>
            <w:shd w:val="clear" w:color="auto" w:fill="CCEEFF"/>
          </w:tcPr>
          <w:p>
            <w:pPr>
              <w:jc w:val="right"/>
              <w:ind w:right="73"/>
              <w:spacing w:after="0"/>
              <w:rPr>
                <w:sz w:val="20"/>
                <w:szCs w:val="20"/>
                <w:color w:val="auto"/>
              </w:rPr>
            </w:pPr>
            <w:r>
              <w:rPr>
                <w:rFonts w:ascii="Arial" w:cs="Arial" w:eastAsia="Arial" w:hAnsi="Arial"/>
                <w:sz w:val="9"/>
                <w:szCs w:val="9"/>
                <w:color w:val="auto"/>
                <w:w w:val="78"/>
              </w:rPr>
              <w:t>$</w:t>
            </w: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(11,273,908)</w:t>
            </w:r>
          </w:p>
        </w:tc>
        <w:tc>
          <w:tcPr>
            <w:tcW w:w="200" w:type="dxa"/>
            <w:vAlign w:val="bottom"/>
            <w:shd w:val="clear" w:color="auto" w:fill="CCEEFF"/>
          </w:tcPr>
          <w:p>
            <w:pPr>
              <w:jc w:val="right"/>
              <w:ind w:right="93"/>
              <w:spacing w:after="0"/>
              <w:rPr>
                <w:sz w:val="20"/>
                <w:szCs w:val="20"/>
                <w:color w:val="auto"/>
              </w:rPr>
            </w:pPr>
            <w:r>
              <w:rPr>
                <w:rFonts w:ascii="Arial" w:cs="Arial" w:eastAsia="Arial" w:hAnsi="Arial"/>
                <w:sz w:val="9"/>
                <w:szCs w:val="9"/>
                <w:color w:val="auto"/>
                <w:w w:val="78"/>
              </w:rPr>
              <w:t>$</w:t>
            </w: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(8,543,196)</w:t>
            </w:r>
          </w:p>
        </w:tc>
        <w:tc>
          <w:tcPr>
            <w:tcW w:w="180" w:type="dxa"/>
            <w:vAlign w:val="bottom"/>
            <w:shd w:val="clear" w:color="auto" w:fill="CCEEFF"/>
          </w:tcPr>
          <w:p>
            <w:pPr>
              <w:jc w:val="right"/>
              <w:ind w:right="73"/>
              <w:spacing w:after="0"/>
              <w:rPr>
                <w:sz w:val="20"/>
                <w:szCs w:val="20"/>
                <w:color w:val="auto"/>
              </w:rPr>
            </w:pPr>
            <w:r>
              <w:rPr>
                <w:rFonts w:ascii="Arial" w:cs="Arial" w:eastAsia="Arial" w:hAnsi="Arial"/>
                <w:sz w:val="9"/>
                <w:szCs w:val="9"/>
                <w:color w:val="auto"/>
                <w:w w:val="78"/>
              </w:rPr>
              <w:t>$</w:t>
            </w: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(596,660)</w:t>
            </w:r>
          </w:p>
        </w:tc>
        <w:tc>
          <w:tcPr>
            <w:tcW w:w="840" w:type="dxa"/>
            <w:vAlign w:val="bottom"/>
            <w:gridSpan w:val="2"/>
            <w:shd w:val="clear" w:color="auto" w:fill="CCEEFF"/>
          </w:tcPr>
          <w:p>
            <w:pPr>
              <w:jc w:val="right"/>
              <w:ind w:right="420"/>
              <w:spacing w:after="0"/>
              <w:rPr>
                <w:sz w:val="20"/>
                <w:szCs w:val="20"/>
                <w:color w:val="auto"/>
              </w:rPr>
            </w:pPr>
            <w:r>
              <w:rPr>
                <w:rFonts w:ascii="Arial" w:cs="Arial" w:eastAsia="Arial" w:hAnsi="Arial"/>
                <w:sz w:val="12"/>
                <w:szCs w:val="12"/>
                <w:color w:val="auto"/>
              </w:rPr>
              <w:t>5%</w:t>
            </w:r>
          </w:p>
        </w:tc>
        <w:tc>
          <w:tcPr>
            <w:tcW w:w="200" w:type="dxa"/>
            <w:vAlign w:val="bottom"/>
            <w:shd w:val="clear" w:color="auto" w:fill="CCEEFF"/>
          </w:tcPr>
          <w:p>
            <w:pPr>
              <w:jc w:val="right"/>
              <w:ind w:right="93"/>
              <w:spacing w:after="0"/>
              <w:rPr>
                <w:sz w:val="20"/>
                <w:szCs w:val="20"/>
                <w:color w:val="auto"/>
              </w:rPr>
            </w:pPr>
            <w:r>
              <w:rPr>
                <w:rFonts w:ascii="Arial" w:cs="Arial" w:eastAsia="Arial" w:hAnsi="Arial"/>
                <w:sz w:val="9"/>
                <w:szCs w:val="9"/>
                <w:color w:val="auto"/>
                <w:w w:val="78"/>
              </w:rPr>
              <w:t>$</w:t>
            </w: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(2,730,712)</w:t>
            </w: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32%</w:t>
            </w:r>
          </w:p>
        </w:tc>
        <w:tc>
          <w:tcPr>
            <w:tcW w:w="0" w:type="dxa"/>
            <w:vAlign w:val="bottom"/>
          </w:tcPr>
          <w:p>
            <w:pPr>
              <w:spacing w:after="0"/>
              <w:rPr>
                <w:sz w:val="1"/>
                <w:szCs w:val="1"/>
                <w:color w:val="auto"/>
              </w:rPr>
            </w:pPr>
          </w:p>
        </w:tc>
      </w:tr>
      <w:tr>
        <w:trPr>
          <w:trHeight w:val="147"/>
        </w:trPr>
        <w:tc>
          <w:tcPr>
            <w:tcW w:w="2820" w:type="dxa"/>
            <w:vAlign w:val="bottom"/>
          </w:tcPr>
          <w:p>
            <w:pPr>
              <w:spacing w:after="0"/>
              <w:rPr>
                <w:sz w:val="20"/>
                <w:szCs w:val="20"/>
                <w:color w:val="auto"/>
              </w:rPr>
            </w:pPr>
            <w:r>
              <w:rPr>
                <w:rFonts w:ascii="Arial" w:cs="Arial" w:eastAsia="Arial" w:hAnsi="Arial"/>
                <w:sz w:val="12"/>
                <w:szCs w:val="12"/>
                <w:color w:val="auto"/>
              </w:rPr>
              <w:t>Net cash used in investing activities</w:t>
            </w:r>
          </w:p>
        </w:tc>
        <w:tc>
          <w:tcPr>
            <w:tcW w:w="200" w:type="dxa"/>
            <w:vAlign w:val="bottom"/>
          </w:tcPr>
          <w:p>
            <w:pPr>
              <w:spacing w:after="0"/>
              <w:rPr>
                <w:sz w:val="12"/>
                <w:szCs w:val="12"/>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2"/>
                <w:szCs w:val="12"/>
                <w:color w:val="auto"/>
              </w:rPr>
              <w:t>(847,505)</w:t>
            </w:r>
          </w:p>
        </w:tc>
        <w:tc>
          <w:tcPr>
            <w:tcW w:w="180" w:type="dxa"/>
            <w:vAlign w:val="bottom"/>
          </w:tcPr>
          <w:p>
            <w:pPr>
              <w:spacing w:after="0"/>
              <w:rPr>
                <w:sz w:val="12"/>
                <w:szCs w:val="12"/>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2"/>
                <w:szCs w:val="12"/>
                <w:color w:val="auto"/>
              </w:rPr>
              <w:t>(748,305)</w:t>
            </w:r>
          </w:p>
        </w:tc>
        <w:tc>
          <w:tcPr>
            <w:tcW w:w="200" w:type="dxa"/>
            <w:vAlign w:val="bottom"/>
          </w:tcPr>
          <w:p>
            <w:pPr>
              <w:spacing w:after="0"/>
              <w:rPr>
                <w:sz w:val="12"/>
                <w:szCs w:val="12"/>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2"/>
                <w:szCs w:val="12"/>
                <w:color w:val="auto"/>
              </w:rPr>
              <w:t>(189,733)</w:t>
            </w:r>
          </w:p>
        </w:tc>
        <w:tc>
          <w:tcPr>
            <w:tcW w:w="180" w:type="dxa"/>
            <w:vAlign w:val="bottom"/>
          </w:tcPr>
          <w:p>
            <w:pPr>
              <w:spacing w:after="0"/>
              <w:rPr>
                <w:sz w:val="12"/>
                <w:szCs w:val="12"/>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2"/>
                <w:szCs w:val="12"/>
                <w:color w:val="auto"/>
              </w:rPr>
              <w:t>(99,200)</w:t>
            </w:r>
          </w:p>
        </w:tc>
        <w:tc>
          <w:tcPr>
            <w:tcW w:w="840" w:type="dxa"/>
            <w:vAlign w:val="bottom"/>
            <w:gridSpan w:val="2"/>
          </w:tcPr>
          <w:p>
            <w:pPr>
              <w:jc w:val="right"/>
              <w:ind w:right="420"/>
              <w:spacing w:after="0"/>
              <w:rPr>
                <w:sz w:val="20"/>
                <w:szCs w:val="20"/>
                <w:color w:val="auto"/>
              </w:rPr>
            </w:pPr>
            <w:r>
              <w:rPr>
                <w:rFonts w:ascii="Arial" w:cs="Arial" w:eastAsia="Arial" w:hAnsi="Arial"/>
                <w:sz w:val="12"/>
                <w:szCs w:val="12"/>
                <w:color w:val="auto"/>
              </w:rPr>
              <w:t>13%</w:t>
            </w:r>
          </w:p>
        </w:tc>
        <w:tc>
          <w:tcPr>
            <w:tcW w:w="200" w:type="dxa"/>
            <w:vAlign w:val="bottom"/>
          </w:tcPr>
          <w:p>
            <w:pPr>
              <w:spacing w:after="0"/>
              <w:rPr>
                <w:sz w:val="12"/>
                <w:szCs w:val="12"/>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2"/>
                <w:szCs w:val="12"/>
                <w:color w:val="auto"/>
              </w:rPr>
              <w:t>(558,572)</w:t>
            </w:r>
          </w:p>
        </w:tc>
        <w:tc>
          <w:tcPr>
            <w:tcW w:w="440" w:type="dxa"/>
            <w:vAlign w:val="bottom"/>
            <w:gridSpan w:val="2"/>
          </w:tcPr>
          <w:p>
            <w:pPr>
              <w:jc w:val="right"/>
              <w:spacing w:after="0"/>
              <w:rPr>
                <w:sz w:val="20"/>
                <w:szCs w:val="20"/>
                <w:color w:val="auto"/>
              </w:rPr>
            </w:pPr>
            <w:r>
              <w:rPr>
                <w:rFonts w:ascii="Arial" w:cs="Arial" w:eastAsia="Arial" w:hAnsi="Arial"/>
                <w:sz w:val="12"/>
                <w:szCs w:val="12"/>
                <w:color w:val="auto"/>
              </w:rPr>
              <w:t>(294)%</w:t>
            </w:r>
          </w:p>
        </w:tc>
        <w:tc>
          <w:tcPr>
            <w:tcW w:w="0" w:type="dxa"/>
            <w:vAlign w:val="bottom"/>
          </w:tcPr>
          <w:p>
            <w:pPr>
              <w:spacing w:after="0"/>
              <w:rPr>
                <w:sz w:val="1"/>
                <w:szCs w:val="1"/>
                <w:color w:val="auto"/>
              </w:rPr>
            </w:pPr>
          </w:p>
        </w:tc>
      </w:tr>
      <w:tr>
        <w:trPr>
          <w:trHeight w:val="147"/>
        </w:trPr>
        <w:tc>
          <w:tcPr>
            <w:tcW w:w="2820" w:type="dxa"/>
            <w:vAlign w:val="bottom"/>
            <w:shd w:val="clear" w:color="auto" w:fill="CCEEFF"/>
          </w:tcPr>
          <w:p>
            <w:pPr>
              <w:spacing w:after="0"/>
              <w:rPr>
                <w:sz w:val="20"/>
                <w:szCs w:val="20"/>
                <w:color w:val="auto"/>
              </w:rPr>
            </w:pPr>
            <w:r>
              <w:rPr>
                <w:rFonts w:ascii="Arial" w:cs="Arial" w:eastAsia="Arial" w:hAnsi="Arial"/>
                <w:sz w:val="12"/>
                <w:szCs w:val="12"/>
                <w:color w:val="auto"/>
              </w:rPr>
              <w:t>Net cash provided by financing activities</w:t>
            </w: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6,199,450</w:t>
            </w:r>
          </w:p>
        </w:tc>
        <w:tc>
          <w:tcPr>
            <w:tcW w:w="2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40,000,042</w:t>
            </w:r>
          </w:p>
        </w:tc>
        <w:tc>
          <w:tcPr>
            <w:tcW w:w="2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17,578,265</w:t>
            </w:r>
          </w:p>
        </w:tc>
        <w:tc>
          <w:tcPr>
            <w:tcW w:w="1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(33,800,592)</w:t>
            </w:r>
          </w:p>
        </w:tc>
        <w:tc>
          <w:tcPr>
            <w:tcW w:w="84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rPr>
              <w:t>(85)%</w:t>
            </w:r>
          </w:p>
        </w:tc>
        <w:tc>
          <w:tcPr>
            <w:tcW w:w="2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22,421,777</w:t>
            </w: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128%</w:t>
            </w:r>
          </w:p>
        </w:tc>
        <w:tc>
          <w:tcPr>
            <w:tcW w:w="0" w:type="dxa"/>
            <w:vAlign w:val="bottom"/>
          </w:tcPr>
          <w:p>
            <w:pPr>
              <w:spacing w:after="0"/>
              <w:rPr>
                <w:sz w:val="1"/>
                <w:szCs w:val="1"/>
                <w:color w:val="auto"/>
              </w:rPr>
            </w:pPr>
          </w:p>
        </w:tc>
      </w:tr>
      <w:tr>
        <w:trPr>
          <w:trHeight w:val="20"/>
        </w:trPr>
        <w:tc>
          <w:tcPr>
            <w:tcW w:w="2820" w:type="dxa"/>
            <w:vAlign w:val="bottom"/>
            <w:vMerge w:val="restart"/>
          </w:tcPr>
          <w:p>
            <w:pPr>
              <w:spacing w:after="0"/>
              <w:rPr>
                <w:sz w:val="20"/>
                <w:szCs w:val="20"/>
                <w:color w:val="auto"/>
              </w:rPr>
            </w:pPr>
            <w:r>
              <w:rPr>
                <w:rFonts w:ascii="Arial" w:cs="Arial" w:eastAsia="Arial" w:hAnsi="Arial"/>
                <w:sz w:val="12"/>
                <w:szCs w:val="12"/>
                <w:color w:val="auto"/>
              </w:rPr>
              <w:t>Increase (decrease) in cash and cash equivalents</w:t>
            </w: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820" w:type="dxa"/>
            <w:vAlign w:val="bottom"/>
            <w:vMerge w:val="continue"/>
          </w:tcPr>
          <w:p>
            <w:pPr>
              <w:spacing w:after="0"/>
              <w:rPr>
                <w:sz w:val="12"/>
                <w:szCs w:val="12"/>
                <w:color w:val="auto"/>
              </w:rPr>
            </w:pPr>
          </w:p>
        </w:tc>
        <w:tc>
          <w:tcPr>
            <w:tcW w:w="200" w:type="dxa"/>
            <w:vAlign w:val="bottom"/>
          </w:tcPr>
          <w:p>
            <w:pPr>
              <w:jc w:val="right"/>
              <w:ind w:right="93"/>
              <w:spacing w:after="0"/>
              <w:rPr>
                <w:sz w:val="20"/>
                <w:szCs w:val="20"/>
                <w:color w:val="auto"/>
              </w:rPr>
            </w:pPr>
            <w:r>
              <w:rPr>
                <w:rFonts w:ascii="Arial" w:cs="Arial" w:eastAsia="Arial" w:hAnsi="Arial"/>
                <w:sz w:val="9"/>
                <w:szCs w:val="9"/>
                <w:color w:val="auto"/>
                <w:w w:val="78"/>
              </w:rPr>
              <w:t>$</w:t>
            </w:r>
          </w:p>
        </w:tc>
        <w:tc>
          <w:tcPr>
            <w:tcW w:w="980" w:type="dxa"/>
            <w:vAlign w:val="bottom"/>
            <w:gridSpan w:val="2"/>
          </w:tcPr>
          <w:p>
            <w:pPr>
              <w:jc w:val="right"/>
              <w:ind w:right="240"/>
              <w:spacing w:after="0"/>
              <w:rPr>
                <w:sz w:val="20"/>
                <w:szCs w:val="20"/>
                <w:color w:val="auto"/>
              </w:rPr>
            </w:pPr>
            <w:r>
              <w:rPr>
                <w:rFonts w:ascii="Arial" w:cs="Arial" w:eastAsia="Arial" w:hAnsi="Arial"/>
                <w:sz w:val="12"/>
                <w:szCs w:val="12"/>
                <w:color w:val="auto"/>
              </w:rPr>
              <w:t>(6,518,623)</w:t>
            </w:r>
          </w:p>
        </w:tc>
        <w:tc>
          <w:tcPr>
            <w:tcW w:w="180" w:type="dxa"/>
            <w:vAlign w:val="bottom"/>
          </w:tcPr>
          <w:p>
            <w:pPr>
              <w:jc w:val="right"/>
              <w:ind w:right="73"/>
              <w:spacing w:after="0"/>
              <w:rPr>
                <w:sz w:val="20"/>
                <w:szCs w:val="20"/>
                <w:color w:val="auto"/>
              </w:rPr>
            </w:pPr>
            <w:r>
              <w:rPr>
                <w:rFonts w:ascii="Arial" w:cs="Arial" w:eastAsia="Arial" w:hAnsi="Arial"/>
                <w:sz w:val="9"/>
                <w:szCs w:val="9"/>
                <w:color w:val="auto"/>
                <w:w w:val="78"/>
              </w:rPr>
              <w:t>$</w:t>
            </w:r>
          </w:p>
        </w:tc>
        <w:tc>
          <w:tcPr>
            <w:tcW w:w="980" w:type="dxa"/>
            <w:vAlign w:val="bottom"/>
            <w:gridSpan w:val="2"/>
          </w:tcPr>
          <w:p>
            <w:pPr>
              <w:jc w:val="right"/>
              <w:ind w:right="280"/>
              <w:spacing w:after="0"/>
              <w:rPr>
                <w:sz w:val="20"/>
                <w:szCs w:val="20"/>
                <w:color w:val="auto"/>
              </w:rPr>
            </w:pPr>
            <w:r>
              <w:rPr>
                <w:rFonts w:ascii="Arial" w:cs="Arial" w:eastAsia="Arial" w:hAnsi="Arial"/>
                <w:sz w:val="12"/>
                <w:szCs w:val="12"/>
                <w:color w:val="auto"/>
              </w:rPr>
              <w:t>27,977,829</w:t>
            </w:r>
          </w:p>
        </w:tc>
        <w:tc>
          <w:tcPr>
            <w:tcW w:w="200" w:type="dxa"/>
            <w:vAlign w:val="bottom"/>
          </w:tcPr>
          <w:p>
            <w:pPr>
              <w:jc w:val="right"/>
              <w:ind w:right="93"/>
              <w:spacing w:after="0"/>
              <w:rPr>
                <w:sz w:val="20"/>
                <w:szCs w:val="20"/>
                <w:color w:val="auto"/>
              </w:rPr>
            </w:pPr>
            <w:r>
              <w:rPr>
                <w:rFonts w:ascii="Arial" w:cs="Arial" w:eastAsia="Arial" w:hAnsi="Arial"/>
                <w:sz w:val="9"/>
                <w:szCs w:val="9"/>
                <w:color w:val="auto"/>
                <w:w w:val="78"/>
              </w:rPr>
              <w:t>$</w:t>
            </w:r>
          </w:p>
        </w:tc>
        <w:tc>
          <w:tcPr>
            <w:tcW w:w="980" w:type="dxa"/>
            <w:vAlign w:val="bottom"/>
            <w:gridSpan w:val="2"/>
          </w:tcPr>
          <w:p>
            <w:pPr>
              <w:jc w:val="right"/>
              <w:ind w:right="280"/>
              <w:spacing w:after="0"/>
              <w:rPr>
                <w:sz w:val="20"/>
                <w:szCs w:val="20"/>
                <w:color w:val="auto"/>
              </w:rPr>
            </w:pPr>
            <w:r>
              <w:rPr>
                <w:rFonts w:ascii="Arial" w:cs="Arial" w:eastAsia="Arial" w:hAnsi="Arial"/>
                <w:sz w:val="12"/>
                <w:szCs w:val="12"/>
                <w:color w:val="auto"/>
              </w:rPr>
              <w:t>8,845,336</w:t>
            </w:r>
          </w:p>
        </w:tc>
        <w:tc>
          <w:tcPr>
            <w:tcW w:w="180" w:type="dxa"/>
            <w:vAlign w:val="bottom"/>
          </w:tcPr>
          <w:p>
            <w:pPr>
              <w:jc w:val="right"/>
              <w:ind w:right="73"/>
              <w:spacing w:after="0"/>
              <w:rPr>
                <w:sz w:val="20"/>
                <w:szCs w:val="20"/>
                <w:color w:val="auto"/>
              </w:rPr>
            </w:pPr>
            <w:r>
              <w:rPr>
                <w:rFonts w:ascii="Arial" w:cs="Arial" w:eastAsia="Arial" w:hAnsi="Arial"/>
                <w:sz w:val="9"/>
                <w:szCs w:val="9"/>
                <w:color w:val="auto"/>
                <w:w w:val="78"/>
              </w:rPr>
              <w:t>$</w:t>
            </w:r>
          </w:p>
        </w:tc>
        <w:tc>
          <w:tcPr>
            <w:tcW w:w="1000" w:type="dxa"/>
            <w:vAlign w:val="bottom"/>
            <w:gridSpan w:val="2"/>
          </w:tcPr>
          <w:p>
            <w:pPr>
              <w:jc w:val="right"/>
              <w:ind w:right="260"/>
              <w:spacing w:after="0"/>
              <w:rPr>
                <w:sz w:val="20"/>
                <w:szCs w:val="20"/>
                <w:color w:val="auto"/>
              </w:rPr>
            </w:pPr>
            <w:r>
              <w:rPr>
                <w:rFonts w:ascii="Arial" w:cs="Arial" w:eastAsia="Arial" w:hAnsi="Arial"/>
                <w:sz w:val="12"/>
                <w:szCs w:val="12"/>
                <w:color w:val="auto"/>
              </w:rPr>
              <w:t>(34,496,452)</w:t>
            </w:r>
          </w:p>
        </w:tc>
        <w:tc>
          <w:tcPr>
            <w:tcW w:w="840" w:type="dxa"/>
            <w:vAlign w:val="bottom"/>
            <w:gridSpan w:val="2"/>
          </w:tcPr>
          <w:p>
            <w:pPr>
              <w:jc w:val="right"/>
              <w:ind w:right="400"/>
              <w:spacing w:after="0"/>
              <w:rPr>
                <w:sz w:val="20"/>
                <w:szCs w:val="20"/>
                <w:color w:val="auto"/>
              </w:rPr>
            </w:pPr>
            <w:r>
              <w:rPr>
                <w:rFonts w:ascii="Arial" w:cs="Arial" w:eastAsia="Arial" w:hAnsi="Arial"/>
                <w:sz w:val="12"/>
                <w:szCs w:val="12"/>
                <w:color w:val="auto"/>
              </w:rPr>
              <w:t>(123)%</w:t>
            </w:r>
          </w:p>
        </w:tc>
        <w:tc>
          <w:tcPr>
            <w:tcW w:w="200" w:type="dxa"/>
            <w:vAlign w:val="bottom"/>
          </w:tcPr>
          <w:p>
            <w:pPr>
              <w:jc w:val="right"/>
              <w:ind w:right="93"/>
              <w:spacing w:after="0"/>
              <w:rPr>
                <w:sz w:val="20"/>
                <w:szCs w:val="20"/>
                <w:color w:val="auto"/>
              </w:rPr>
            </w:pPr>
            <w:r>
              <w:rPr>
                <w:rFonts w:ascii="Arial" w:cs="Arial" w:eastAsia="Arial" w:hAnsi="Arial"/>
                <w:sz w:val="9"/>
                <w:szCs w:val="9"/>
                <w:color w:val="auto"/>
                <w:w w:val="78"/>
              </w:rPr>
              <w:t>$</w:t>
            </w:r>
          </w:p>
        </w:tc>
        <w:tc>
          <w:tcPr>
            <w:tcW w:w="980" w:type="dxa"/>
            <w:vAlign w:val="bottom"/>
            <w:gridSpan w:val="2"/>
          </w:tcPr>
          <w:p>
            <w:pPr>
              <w:jc w:val="right"/>
              <w:ind w:right="300"/>
              <w:spacing w:after="0"/>
              <w:rPr>
                <w:sz w:val="20"/>
                <w:szCs w:val="20"/>
                <w:color w:val="auto"/>
              </w:rPr>
            </w:pPr>
            <w:r>
              <w:rPr>
                <w:rFonts w:ascii="Arial" w:cs="Arial" w:eastAsia="Arial" w:hAnsi="Arial"/>
                <w:sz w:val="12"/>
                <w:szCs w:val="12"/>
                <w:color w:val="auto"/>
              </w:rPr>
              <w:t>19,132,493</w:t>
            </w:r>
          </w:p>
        </w:tc>
        <w:tc>
          <w:tcPr>
            <w:tcW w:w="440" w:type="dxa"/>
            <w:vAlign w:val="bottom"/>
            <w:gridSpan w:val="2"/>
          </w:tcPr>
          <w:p>
            <w:pPr>
              <w:jc w:val="right"/>
              <w:ind w:right="40"/>
              <w:spacing w:after="0"/>
              <w:rPr>
                <w:sz w:val="20"/>
                <w:szCs w:val="20"/>
                <w:color w:val="auto"/>
              </w:rPr>
            </w:pPr>
            <w:r>
              <w:rPr>
                <w:rFonts w:ascii="Arial" w:cs="Arial" w:eastAsia="Arial" w:hAnsi="Arial"/>
                <w:sz w:val="12"/>
                <w:szCs w:val="12"/>
                <w:color w:val="auto"/>
              </w:rPr>
              <w:t>216%</w:t>
            </w:r>
          </w:p>
        </w:tc>
        <w:tc>
          <w:tcPr>
            <w:tcW w:w="0" w:type="dxa"/>
            <w:vAlign w:val="bottom"/>
          </w:tcPr>
          <w:p>
            <w:pPr>
              <w:spacing w:after="0"/>
              <w:rPr>
                <w:sz w:val="1"/>
                <w:szCs w:val="1"/>
                <w:color w:val="auto"/>
              </w:rPr>
            </w:pPr>
          </w:p>
        </w:tc>
      </w:tr>
    </w:tbl>
    <w:p>
      <w:pPr>
        <w:spacing w:after="0" w:line="85" w:lineRule="exact"/>
        <w:rPr>
          <w:sz w:val="20"/>
          <w:szCs w:val="20"/>
          <w:color w:val="auto"/>
        </w:rPr>
      </w:pPr>
    </w:p>
    <w:p>
      <w:pPr>
        <w:ind w:left="680" w:right="100" w:firstLine="399"/>
        <w:spacing w:after="0" w:line="296" w:lineRule="auto"/>
        <w:rPr>
          <w:sz w:val="20"/>
          <w:szCs w:val="20"/>
          <w:color w:val="auto"/>
        </w:rPr>
      </w:pPr>
      <w:r>
        <w:rPr>
          <w:rFonts w:ascii="Arial" w:cs="Arial" w:eastAsia="Arial" w:hAnsi="Arial"/>
          <w:sz w:val="12"/>
          <w:szCs w:val="12"/>
          <w:color w:val="auto"/>
        </w:rPr>
        <w:t>We used approximately $11,871,000, $11,274,000, and $8,543,000 of cash, in 2005, 2004 and 2003 respectively, in our operating activities. The increase in cash used in 2005 in comparison to 2004 was primarily attributable to an increase in head count to strengthen our scientific and management team. The increase in cash used in 2004 in comparison to 2003, was primarily attributable to the expenses incurred in preparing to submit our first IND to the FDA for a clinical trial of our human neural stem cells as a treatment for Batten disease.</w:t>
      </w:r>
    </w:p>
    <w:p>
      <w:pPr>
        <w:spacing w:after="0" w:line="50" w:lineRule="exact"/>
        <w:rPr>
          <w:sz w:val="20"/>
          <w:szCs w:val="20"/>
          <w:color w:val="auto"/>
        </w:rPr>
      </w:pPr>
    </w:p>
    <w:p>
      <w:pPr>
        <w:ind w:left="680" w:right="620" w:firstLine="399"/>
        <w:spacing w:after="0" w:line="276" w:lineRule="auto"/>
        <w:rPr>
          <w:sz w:val="20"/>
          <w:szCs w:val="20"/>
          <w:color w:val="auto"/>
        </w:rPr>
      </w:pPr>
      <w:r>
        <w:rPr>
          <w:rFonts w:ascii="Arial" w:cs="Arial" w:eastAsia="Arial" w:hAnsi="Arial"/>
          <w:sz w:val="13"/>
          <w:szCs w:val="13"/>
          <w:color w:val="auto"/>
        </w:rPr>
        <w:t>In 2005, an aggregate of 2,958,348 warrants were exercised. For the exercise of these warrants, we issued 2,842,625 shares of our common stock and received proceeds of approximately $5,939,000.</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Listed below are key financing transactions entered into by us in the last three years:</w:t>
      </w:r>
    </w:p>
    <w:p>
      <w:pPr>
        <w:spacing w:after="0" w:line="96" w:lineRule="exact"/>
        <w:rPr>
          <w:sz w:val="20"/>
          <w:szCs w:val="20"/>
          <w:color w:val="auto"/>
        </w:rPr>
      </w:pPr>
    </w:p>
    <w:p>
      <w:pPr>
        <w:ind w:left="1180" w:right="180" w:hanging="90"/>
        <w:spacing w:after="0" w:line="258" w:lineRule="auto"/>
        <w:tabs>
          <w:tab w:leader="none" w:pos="1180" w:val="left"/>
        </w:tabs>
        <w:numPr>
          <w:ilvl w:val="0"/>
          <w:numId w:val="23"/>
        </w:numPr>
        <w:rPr>
          <w:rFonts w:ascii="Arial" w:cs="Arial" w:eastAsia="Arial" w:hAnsi="Arial"/>
          <w:sz w:val="13"/>
          <w:szCs w:val="13"/>
          <w:color w:val="auto"/>
        </w:rPr>
      </w:pPr>
      <w:r>
        <w:rPr>
          <w:rFonts w:ascii="Arial" w:cs="Arial" w:eastAsia="Arial" w:hAnsi="Arial"/>
          <w:sz w:val="13"/>
          <w:szCs w:val="13"/>
          <w:color w:val="auto"/>
        </w:rPr>
        <w:t>On October 26, 2004, we entered into an agreement with institutional investors with respect to the registered direct placement of 7,500,000 shares of our common stock at a purchase price of $3.00 per share, for gross proceeds of $22,500,000. Unterberg and Shoreline Pacific, LLC (Shoreline) served as placement agents for the transaction. We sold these shares under a shelf registration statement previously filed with and declared effective by the U.S. Securities and Exchange Commission. For acting as our placement agent Unterberg and Shoreline received fees of approximately $1,350,000 and expense reimbursement of approximately $40,000. No warrants were issued as part of this financing transaction.</w:t>
      </w:r>
    </w:p>
    <w:p>
      <w:pPr>
        <w:spacing w:after="0" w:line="61" w:lineRule="exact"/>
        <w:rPr>
          <w:rFonts w:ascii="Arial" w:cs="Arial" w:eastAsia="Arial" w:hAnsi="Arial"/>
          <w:sz w:val="13"/>
          <w:szCs w:val="13"/>
          <w:color w:val="auto"/>
        </w:rPr>
      </w:pPr>
    </w:p>
    <w:p>
      <w:pPr>
        <w:ind w:left="1180" w:right="80" w:hanging="90"/>
        <w:spacing w:after="0" w:line="282" w:lineRule="auto"/>
        <w:tabs>
          <w:tab w:leader="none" w:pos="1180" w:val="left"/>
        </w:tabs>
        <w:numPr>
          <w:ilvl w:val="0"/>
          <w:numId w:val="23"/>
        </w:numPr>
        <w:rPr>
          <w:rFonts w:ascii="Arial" w:cs="Arial" w:eastAsia="Arial" w:hAnsi="Arial"/>
          <w:sz w:val="12"/>
          <w:szCs w:val="12"/>
          <w:color w:val="auto"/>
        </w:rPr>
      </w:pPr>
      <w:r>
        <w:rPr>
          <w:rFonts w:ascii="Arial" w:cs="Arial" w:eastAsia="Arial" w:hAnsi="Arial"/>
          <w:sz w:val="12"/>
          <w:szCs w:val="12"/>
          <w:color w:val="auto"/>
        </w:rPr>
        <w:t>On June 16, 2004, we entered into an agreement with institutional and other accredited investors with respect to the private placement of approximately 13,160,000 shares of our common stock at a purchase price of $1.52 per share, for gross proceeds of approximately $20,000,000. Investors also received warrants exercisable for five years to purchase approximately 3,290,000 shares of common stock at an exercise price of $1.90 per share. During the period October 2004 to December 2005, part of these warrants were exercised to purchase an aggregate of 1,459,342 shares of our common stock at $1.90 per share. We received proceeds of $2,772,750 on issuance of the shares. C.E. Unterberg, Towbin LLC (Unterberg) served as placement agent for the private placement. For acting as our placement agent, Unterberg received fees of approximately $1,200,000, expense reimbursement of approximately $25,000 and a five year warrant to purchase 526,400 shares of our common stock at an exercise price of $1.89 per share.</w:t>
      </w:r>
    </w:p>
    <w:p>
      <w:pPr>
        <w:spacing w:after="0" w:line="49" w:lineRule="exact"/>
        <w:rPr>
          <w:rFonts w:ascii="Arial" w:cs="Arial" w:eastAsia="Arial" w:hAnsi="Arial"/>
          <w:sz w:val="12"/>
          <w:szCs w:val="12"/>
          <w:color w:val="auto"/>
        </w:rPr>
      </w:pPr>
    </w:p>
    <w:p>
      <w:pPr>
        <w:ind w:left="1180" w:right="260" w:hanging="90"/>
        <w:spacing w:after="0" w:line="276" w:lineRule="auto"/>
        <w:tabs>
          <w:tab w:leader="none" w:pos="1180" w:val="left"/>
        </w:tabs>
        <w:numPr>
          <w:ilvl w:val="0"/>
          <w:numId w:val="23"/>
        </w:numPr>
        <w:rPr>
          <w:rFonts w:ascii="Arial" w:cs="Arial" w:eastAsia="Arial" w:hAnsi="Arial"/>
          <w:sz w:val="13"/>
          <w:szCs w:val="13"/>
          <w:color w:val="auto"/>
        </w:rPr>
      </w:pPr>
      <w:r>
        <w:rPr>
          <w:rFonts w:ascii="Arial" w:cs="Arial" w:eastAsia="Arial" w:hAnsi="Arial"/>
          <w:sz w:val="13"/>
          <w:szCs w:val="13"/>
          <w:color w:val="auto"/>
        </w:rPr>
        <w:t>On December 10, 2003 we completed a $9.5 million financing transaction with Riverview Group L.L.C. (Riverview), through the sale of 5 million shares of common stock at a price of $1.90 per share. The closing price of our common stock on that date was $2.00 per share.</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42" w:name="page43"/>
    <w:bookmarkEnd w:id="42"/>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1180" w:right="60" w:hanging="90"/>
        <w:spacing w:after="0" w:line="280" w:lineRule="auto"/>
        <w:tabs>
          <w:tab w:leader="none" w:pos="1180" w:val="left"/>
        </w:tabs>
        <w:numPr>
          <w:ilvl w:val="0"/>
          <w:numId w:val="24"/>
        </w:numPr>
        <w:rPr>
          <w:rFonts w:ascii="Arial" w:cs="Arial" w:eastAsia="Arial" w:hAnsi="Arial"/>
          <w:sz w:val="12"/>
          <w:szCs w:val="12"/>
          <w:color w:val="auto"/>
        </w:rPr>
      </w:pPr>
      <w:r>
        <w:rPr>
          <w:rFonts w:ascii="Arial" w:cs="Arial" w:eastAsia="Arial" w:hAnsi="Arial"/>
          <w:sz w:val="12"/>
          <w:szCs w:val="12"/>
          <w:color w:val="auto"/>
        </w:rPr>
        <w:t>On May 7, 2003, we entered into a stock purchase agreement with Riverview, under which Riverview agreed to purchase 4 million shares of our common stock for $6.5 million, or $1.625 per share. On the date of the agreement, the sale price was above the trading price of our common stock, which closed at $1.43 per share on that date. We also agreed to issue a 2-year warrant to Riverview to purchase 1,898,000 shares of common stock at $1.50 per share. The exercise price is subject to adjustment for stock splits, dividends, distributions, reclassifications and similar events. On May 15, 2003 we issued the purchased shares and the warrant, and registered the resale of the purchased shares and the shares underlying the warrant. The exercise price may be below the trading market price at the time of the exercise. In the event that certain conditions are met, including the closing sale price per share of our common stock remaining at or above $2.50 per share for 10 consecutive trading days, we may require Riverview to exercise the warrant for any remaining shares or to relinquish any unexercised portion. On November 11, 2003 and May 6, 2005, Riverview exercised the warrant acquiring 1,098,000 shares and 800,000 shares respectively at $1.50 per share. The total proceeds to us from this warrant exercise were $2,847,000.</w:t>
      </w:r>
    </w:p>
    <w:p>
      <w:pPr>
        <w:spacing w:after="0" w:line="59" w:lineRule="exact"/>
        <w:rPr>
          <w:sz w:val="20"/>
          <w:szCs w:val="20"/>
          <w:color w:val="auto"/>
        </w:rPr>
      </w:pPr>
    </w:p>
    <w:p>
      <w:pPr>
        <w:ind w:left="680" w:right="20" w:firstLine="399"/>
        <w:spacing w:after="0" w:line="306" w:lineRule="auto"/>
        <w:rPr>
          <w:sz w:val="20"/>
          <w:szCs w:val="20"/>
          <w:color w:val="auto"/>
        </w:rPr>
      </w:pPr>
      <w:r>
        <w:rPr>
          <w:rFonts w:ascii="Arial" w:cs="Arial" w:eastAsia="Arial" w:hAnsi="Arial"/>
          <w:sz w:val="11"/>
          <w:szCs w:val="11"/>
          <w:color w:val="auto"/>
        </w:rPr>
        <w:t>We continue to have outstanding obligations in regard to our former facilities in Lincoln, Rhode Island. In 1997, we had entered into a fifteen-year lease for a scientific and administrative facility (the SAF) in a sale and leaseback arrangement. The lease includes escalating rent payments. For the year 2006, we expect to pay $938,000 as an operating lease payment and in addition, based on our 2005 expenses, approximately $490,000 as operating expenses. In 1992 and 1994 we had undertaken direct financing transactions with the State of Rhode Island and received proceeds from the issuance of industrial revenue bonds totaling $5,000,000 to finance the construction of a pilot manufacturing facility and a related cell processing facility. The related leases are structured such that lease payments will fully fund all semiannual interest payments and annual principal payments through maturity in August 2014. For these related facilities we expect to pay approximately $432,000 in principal, interest and related expenses in 2006. In addition based on 2005 expenses we expect to incur approximately $20,000 in expenses common to both facilities such as property management and legal fees. We have subleased the pilot manufacturing facility and the cell processing facility, as well as a portion (approximately one-fourth) of the SAF. We expect to receive, in aggregate, approximately $686,000 in sub-tenant rent for all of the Rhode Island facilities. As a result of the above transactions, our estimated cash outlay net of sub-tenant rent for the Rhode Island facilities will be approximately $1,194,000 for 2006. We are actively seeking to sublease, assign or sell our remaining interests in these facilities. Failure to do so within a reasonable period of time will have a material adverse effect on our liquidity and capital resources.</w:t>
      </w:r>
    </w:p>
    <w:p>
      <w:pPr>
        <w:spacing w:after="0" w:line="48" w:lineRule="exact"/>
        <w:rPr>
          <w:sz w:val="20"/>
          <w:szCs w:val="20"/>
          <w:color w:val="auto"/>
        </w:rPr>
      </w:pPr>
    </w:p>
    <w:p>
      <w:pPr>
        <w:ind w:left="680" w:right="100" w:firstLine="399"/>
        <w:spacing w:after="0" w:line="276" w:lineRule="auto"/>
        <w:rPr>
          <w:sz w:val="20"/>
          <w:szCs w:val="20"/>
          <w:color w:val="auto"/>
        </w:rPr>
      </w:pPr>
      <w:r>
        <w:rPr>
          <w:rFonts w:ascii="Arial" w:cs="Arial" w:eastAsia="Arial" w:hAnsi="Arial"/>
          <w:sz w:val="13"/>
          <w:szCs w:val="13"/>
          <w:color w:val="auto"/>
        </w:rPr>
        <w:t>The following table summarizes our future contractual cash obligations (including both Rhode Island and California leases, but excluding interest income and sub-lease income with respect to the Rhode Island properties):</w:t>
      </w:r>
    </w:p>
    <w:p>
      <w:pPr>
        <w:spacing w:after="0" w:line="60" w:lineRule="exact"/>
        <w:rPr>
          <w:sz w:val="20"/>
          <w:szCs w:val="20"/>
          <w:color w:val="auto"/>
        </w:rPr>
      </w:pPr>
    </w:p>
    <w:tbl>
      <w:tblPr>
        <w:tblLayout w:type="fixed"/>
        <w:tblInd w:w="680" w:type="dxa"/>
        <w:tblCellMar>
          <w:top w:w="0" w:type="dxa"/>
          <w:left w:w="0" w:type="dxa"/>
          <w:bottom w:w="0" w:type="dxa"/>
          <w:right w:w="0" w:type="dxa"/>
        </w:tblCellMar>
      </w:tblPr>
      <w:tr>
        <w:trPr>
          <w:trHeight w:val="103"/>
        </w:trPr>
        <w:tc>
          <w:tcPr>
            <w:tcW w:w="2800" w:type="dxa"/>
            <w:vAlign w:val="bottom"/>
          </w:tcPr>
          <w:p>
            <w:pPr>
              <w:spacing w:after="0"/>
              <w:rPr>
                <w:sz w:val="8"/>
                <w:szCs w:val="8"/>
                <w:color w:val="auto"/>
              </w:rPr>
            </w:pPr>
          </w:p>
        </w:tc>
        <w:tc>
          <w:tcPr>
            <w:tcW w:w="160" w:type="dxa"/>
            <w:vAlign w:val="bottom"/>
          </w:tcPr>
          <w:p>
            <w:pPr>
              <w:spacing w:after="0"/>
              <w:rPr>
                <w:sz w:val="8"/>
                <w:szCs w:val="8"/>
                <w:color w:val="auto"/>
              </w:rPr>
            </w:pPr>
          </w:p>
        </w:tc>
        <w:tc>
          <w:tcPr>
            <w:tcW w:w="960" w:type="dxa"/>
            <w:vAlign w:val="bottom"/>
            <w:gridSpan w:val="2"/>
          </w:tcPr>
          <w:p>
            <w:pPr>
              <w:jc w:val="center"/>
              <w:ind w:right="360"/>
              <w:spacing w:after="0"/>
              <w:rPr>
                <w:sz w:val="20"/>
                <w:szCs w:val="20"/>
                <w:color w:val="auto"/>
              </w:rPr>
            </w:pPr>
            <w:r>
              <w:rPr>
                <w:rFonts w:ascii="Arial" w:cs="Arial" w:eastAsia="Arial" w:hAnsi="Arial"/>
                <w:sz w:val="9"/>
                <w:szCs w:val="9"/>
                <w:b w:val="1"/>
                <w:bCs w:val="1"/>
                <w:color w:val="auto"/>
                <w:w w:val="92"/>
              </w:rPr>
              <w:t>Total</w:t>
            </w: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98"/>
        </w:trPr>
        <w:tc>
          <w:tcPr>
            <w:tcW w:w="2800" w:type="dxa"/>
            <w:vAlign w:val="bottom"/>
          </w:tcPr>
          <w:p>
            <w:pPr>
              <w:spacing w:after="0"/>
              <w:rPr>
                <w:sz w:val="8"/>
                <w:szCs w:val="8"/>
                <w:color w:val="auto"/>
              </w:rPr>
            </w:pPr>
          </w:p>
        </w:tc>
        <w:tc>
          <w:tcPr>
            <w:tcW w:w="160" w:type="dxa"/>
            <w:vAlign w:val="bottom"/>
          </w:tcPr>
          <w:p>
            <w:pPr>
              <w:spacing w:after="0"/>
              <w:rPr>
                <w:sz w:val="8"/>
                <w:szCs w:val="8"/>
                <w:color w:val="auto"/>
              </w:rPr>
            </w:pPr>
          </w:p>
        </w:tc>
        <w:tc>
          <w:tcPr>
            <w:tcW w:w="960" w:type="dxa"/>
            <w:vAlign w:val="bottom"/>
            <w:gridSpan w:val="2"/>
          </w:tcPr>
          <w:p>
            <w:pPr>
              <w:jc w:val="center"/>
              <w:ind w:right="340"/>
              <w:spacing w:after="0" w:line="98" w:lineRule="exact"/>
              <w:rPr>
                <w:sz w:val="20"/>
                <w:szCs w:val="20"/>
                <w:color w:val="auto"/>
              </w:rPr>
            </w:pPr>
            <w:r>
              <w:rPr>
                <w:rFonts w:ascii="Arial" w:cs="Arial" w:eastAsia="Arial" w:hAnsi="Arial"/>
                <w:sz w:val="9"/>
                <w:szCs w:val="9"/>
                <w:b w:val="1"/>
                <w:bCs w:val="1"/>
                <w:color w:val="auto"/>
                <w:w w:val="92"/>
              </w:rPr>
              <w:t>Obligations</w:t>
            </w:r>
          </w:p>
        </w:tc>
        <w:tc>
          <w:tcPr>
            <w:tcW w:w="140" w:type="dxa"/>
            <w:vAlign w:val="bottom"/>
          </w:tcPr>
          <w:p>
            <w:pPr>
              <w:spacing w:after="0"/>
              <w:rPr>
                <w:sz w:val="8"/>
                <w:szCs w:val="8"/>
                <w:color w:val="auto"/>
              </w:rPr>
            </w:pPr>
          </w:p>
        </w:tc>
        <w:tc>
          <w:tcPr>
            <w:tcW w:w="860" w:type="dxa"/>
            <w:vAlign w:val="bottom"/>
            <w:gridSpan w:val="2"/>
          </w:tcPr>
          <w:p>
            <w:pPr>
              <w:jc w:val="center"/>
              <w:ind w:right="320"/>
              <w:spacing w:after="0" w:line="98" w:lineRule="exact"/>
              <w:rPr>
                <w:sz w:val="20"/>
                <w:szCs w:val="20"/>
                <w:color w:val="auto"/>
              </w:rPr>
            </w:pPr>
            <w:r>
              <w:rPr>
                <w:rFonts w:ascii="Arial" w:cs="Arial" w:eastAsia="Arial" w:hAnsi="Arial"/>
                <w:sz w:val="9"/>
                <w:szCs w:val="9"/>
                <w:b w:val="1"/>
                <w:bCs w:val="1"/>
                <w:color w:val="auto"/>
                <w:w w:val="94"/>
              </w:rPr>
              <w:t>Payable in</w:t>
            </w:r>
          </w:p>
        </w:tc>
        <w:tc>
          <w:tcPr>
            <w:tcW w:w="120" w:type="dxa"/>
            <w:vAlign w:val="bottom"/>
          </w:tcPr>
          <w:p>
            <w:pPr>
              <w:spacing w:after="0"/>
              <w:rPr>
                <w:sz w:val="8"/>
                <w:szCs w:val="8"/>
                <w:color w:val="auto"/>
              </w:rPr>
            </w:pPr>
          </w:p>
        </w:tc>
        <w:tc>
          <w:tcPr>
            <w:tcW w:w="880" w:type="dxa"/>
            <w:vAlign w:val="bottom"/>
            <w:gridSpan w:val="2"/>
          </w:tcPr>
          <w:p>
            <w:pPr>
              <w:ind w:left="80"/>
              <w:spacing w:after="0" w:line="98" w:lineRule="exact"/>
              <w:rPr>
                <w:sz w:val="20"/>
                <w:szCs w:val="20"/>
                <w:color w:val="auto"/>
              </w:rPr>
            </w:pPr>
            <w:r>
              <w:rPr>
                <w:rFonts w:ascii="Arial" w:cs="Arial" w:eastAsia="Arial" w:hAnsi="Arial"/>
                <w:sz w:val="9"/>
                <w:szCs w:val="9"/>
                <w:b w:val="1"/>
                <w:bCs w:val="1"/>
                <w:color w:val="auto"/>
              </w:rPr>
              <w:t>Payable in</w:t>
            </w:r>
          </w:p>
        </w:tc>
        <w:tc>
          <w:tcPr>
            <w:tcW w:w="120" w:type="dxa"/>
            <w:vAlign w:val="bottom"/>
          </w:tcPr>
          <w:p>
            <w:pPr>
              <w:spacing w:after="0"/>
              <w:rPr>
                <w:sz w:val="8"/>
                <w:szCs w:val="8"/>
                <w:color w:val="auto"/>
              </w:rPr>
            </w:pPr>
          </w:p>
        </w:tc>
        <w:tc>
          <w:tcPr>
            <w:tcW w:w="860" w:type="dxa"/>
            <w:vAlign w:val="bottom"/>
            <w:gridSpan w:val="2"/>
          </w:tcPr>
          <w:p>
            <w:pPr>
              <w:ind w:left="60"/>
              <w:spacing w:after="0" w:line="98" w:lineRule="exact"/>
              <w:rPr>
                <w:sz w:val="20"/>
                <w:szCs w:val="20"/>
                <w:color w:val="auto"/>
              </w:rPr>
            </w:pPr>
            <w:r>
              <w:rPr>
                <w:rFonts w:ascii="Arial" w:cs="Arial" w:eastAsia="Arial" w:hAnsi="Arial"/>
                <w:sz w:val="9"/>
                <w:szCs w:val="9"/>
                <w:b w:val="1"/>
                <w:bCs w:val="1"/>
                <w:color w:val="auto"/>
              </w:rPr>
              <w:t>Payable in</w:t>
            </w:r>
          </w:p>
        </w:tc>
        <w:tc>
          <w:tcPr>
            <w:tcW w:w="140" w:type="dxa"/>
            <w:vAlign w:val="bottom"/>
          </w:tcPr>
          <w:p>
            <w:pPr>
              <w:spacing w:after="0"/>
              <w:rPr>
                <w:sz w:val="8"/>
                <w:szCs w:val="8"/>
                <w:color w:val="auto"/>
              </w:rPr>
            </w:pPr>
          </w:p>
        </w:tc>
        <w:tc>
          <w:tcPr>
            <w:tcW w:w="860" w:type="dxa"/>
            <w:vAlign w:val="bottom"/>
            <w:gridSpan w:val="2"/>
          </w:tcPr>
          <w:p>
            <w:pPr>
              <w:jc w:val="center"/>
              <w:ind w:right="320"/>
              <w:spacing w:after="0" w:line="98" w:lineRule="exact"/>
              <w:rPr>
                <w:sz w:val="20"/>
                <w:szCs w:val="20"/>
                <w:color w:val="auto"/>
              </w:rPr>
            </w:pPr>
            <w:r>
              <w:rPr>
                <w:rFonts w:ascii="Arial" w:cs="Arial" w:eastAsia="Arial" w:hAnsi="Arial"/>
                <w:sz w:val="9"/>
                <w:szCs w:val="9"/>
                <w:b w:val="1"/>
                <w:bCs w:val="1"/>
                <w:color w:val="auto"/>
                <w:w w:val="94"/>
              </w:rPr>
              <w:t>Payable in</w:t>
            </w:r>
          </w:p>
        </w:tc>
        <w:tc>
          <w:tcPr>
            <w:tcW w:w="120" w:type="dxa"/>
            <w:vAlign w:val="bottom"/>
          </w:tcPr>
          <w:p>
            <w:pPr>
              <w:spacing w:after="0"/>
              <w:rPr>
                <w:sz w:val="8"/>
                <w:szCs w:val="8"/>
                <w:color w:val="auto"/>
              </w:rPr>
            </w:pPr>
          </w:p>
        </w:tc>
        <w:tc>
          <w:tcPr>
            <w:tcW w:w="880" w:type="dxa"/>
            <w:vAlign w:val="bottom"/>
            <w:gridSpan w:val="2"/>
          </w:tcPr>
          <w:p>
            <w:pPr>
              <w:ind w:left="80"/>
              <w:spacing w:after="0" w:line="98" w:lineRule="exact"/>
              <w:rPr>
                <w:sz w:val="20"/>
                <w:szCs w:val="20"/>
                <w:color w:val="auto"/>
              </w:rPr>
            </w:pPr>
            <w:r>
              <w:rPr>
                <w:rFonts w:ascii="Arial" w:cs="Arial" w:eastAsia="Arial" w:hAnsi="Arial"/>
                <w:sz w:val="9"/>
                <w:szCs w:val="9"/>
                <w:b w:val="1"/>
                <w:bCs w:val="1"/>
                <w:color w:val="auto"/>
              </w:rPr>
              <w:t>Payable in</w:t>
            </w:r>
          </w:p>
        </w:tc>
        <w:tc>
          <w:tcPr>
            <w:tcW w:w="100" w:type="dxa"/>
            <w:vAlign w:val="bottom"/>
          </w:tcPr>
          <w:p>
            <w:pPr>
              <w:spacing w:after="0"/>
              <w:rPr>
                <w:sz w:val="8"/>
                <w:szCs w:val="8"/>
                <w:color w:val="auto"/>
              </w:rPr>
            </w:pPr>
          </w:p>
        </w:tc>
        <w:tc>
          <w:tcPr>
            <w:tcW w:w="980" w:type="dxa"/>
            <w:vAlign w:val="bottom"/>
            <w:gridSpan w:val="2"/>
          </w:tcPr>
          <w:p>
            <w:pPr>
              <w:jc w:val="right"/>
              <w:ind w:right="380"/>
              <w:spacing w:after="0" w:line="98" w:lineRule="exact"/>
              <w:rPr>
                <w:sz w:val="20"/>
                <w:szCs w:val="20"/>
                <w:color w:val="auto"/>
              </w:rPr>
            </w:pPr>
            <w:r>
              <w:rPr>
                <w:rFonts w:ascii="Arial" w:cs="Arial" w:eastAsia="Arial" w:hAnsi="Arial"/>
                <w:sz w:val="9"/>
                <w:szCs w:val="9"/>
                <w:b w:val="1"/>
                <w:bCs w:val="1"/>
                <w:color w:val="auto"/>
              </w:rPr>
              <w:t>Payable in</w:t>
            </w:r>
          </w:p>
        </w:tc>
      </w:tr>
      <w:tr>
        <w:trPr>
          <w:trHeight w:val="111"/>
        </w:trPr>
        <w:tc>
          <w:tcPr>
            <w:tcW w:w="2800" w:type="dxa"/>
            <w:vAlign w:val="bottom"/>
          </w:tcPr>
          <w:p>
            <w:pPr>
              <w:spacing w:after="0"/>
              <w:rPr>
                <w:sz w:val="9"/>
                <w:szCs w:val="9"/>
                <w:color w:val="auto"/>
              </w:rPr>
            </w:pPr>
          </w:p>
        </w:tc>
        <w:tc>
          <w:tcPr>
            <w:tcW w:w="160" w:type="dxa"/>
            <w:vAlign w:val="bottom"/>
          </w:tcPr>
          <w:p>
            <w:pPr>
              <w:spacing w:after="0"/>
              <w:rPr>
                <w:sz w:val="9"/>
                <w:szCs w:val="9"/>
                <w:color w:val="auto"/>
              </w:rPr>
            </w:pPr>
          </w:p>
        </w:tc>
        <w:tc>
          <w:tcPr>
            <w:tcW w:w="960" w:type="dxa"/>
            <w:vAlign w:val="bottom"/>
            <w:gridSpan w:val="2"/>
          </w:tcPr>
          <w:p>
            <w:pPr>
              <w:jc w:val="center"/>
              <w:ind w:right="340"/>
              <w:spacing w:after="0"/>
              <w:rPr>
                <w:sz w:val="20"/>
                <w:szCs w:val="20"/>
                <w:color w:val="auto"/>
              </w:rPr>
            </w:pPr>
            <w:r>
              <w:rPr>
                <w:rFonts w:ascii="Arial" w:cs="Arial" w:eastAsia="Arial" w:hAnsi="Arial"/>
                <w:sz w:val="9"/>
                <w:szCs w:val="9"/>
                <w:b w:val="1"/>
                <w:bCs w:val="1"/>
                <w:color w:val="auto"/>
                <w:w w:val="92"/>
              </w:rPr>
              <w:t>at 12/31/05</w:t>
            </w:r>
          </w:p>
        </w:tc>
        <w:tc>
          <w:tcPr>
            <w:tcW w:w="140" w:type="dxa"/>
            <w:vAlign w:val="bottom"/>
          </w:tcPr>
          <w:p>
            <w:pPr>
              <w:spacing w:after="0"/>
              <w:rPr>
                <w:sz w:val="9"/>
                <w:szCs w:val="9"/>
                <w:color w:val="auto"/>
              </w:rPr>
            </w:pPr>
          </w:p>
        </w:tc>
        <w:tc>
          <w:tcPr>
            <w:tcW w:w="660" w:type="dxa"/>
            <w:vAlign w:val="bottom"/>
          </w:tcPr>
          <w:p>
            <w:pPr>
              <w:jc w:val="right"/>
              <w:ind w:right="246"/>
              <w:spacing w:after="0"/>
              <w:rPr>
                <w:sz w:val="20"/>
                <w:szCs w:val="20"/>
                <w:color w:val="auto"/>
              </w:rPr>
            </w:pPr>
            <w:r>
              <w:rPr>
                <w:rFonts w:ascii="Arial" w:cs="Arial" w:eastAsia="Arial" w:hAnsi="Arial"/>
                <w:sz w:val="9"/>
                <w:szCs w:val="9"/>
                <w:b w:val="1"/>
                <w:bCs w:val="1"/>
                <w:color w:val="auto"/>
              </w:rPr>
              <w:t>2006</w:t>
            </w: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jc w:val="right"/>
              <w:ind w:right="246"/>
              <w:spacing w:after="0"/>
              <w:rPr>
                <w:sz w:val="20"/>
                <w:szCs w:val="20"/>
                <w:color w:val="auto"/>
              </w:rPr>
            </w:pPr>
            <w:r>
              <w:rPr>
                <w:rFonts w:ascii="Arial" w:cs="Arial" w:eastAsia="Arial" w:hAnsi="Arial"/>
                <w:sz w:val="9"/>
                <w:szCs w:val="9"/>
                <w:b w:val="1"/>
                <w:bCs w:val="1"/>
                <w:color w:val="auto"/>
              </w:rPr>
              <w:t>2007</w:t>
            </w: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jc w:val="right"/>
              <w:ind w:right="266"/>
              <w:spacing w:after="0"/>
              <w:rPr>
                <w:sz w:val="20"/>
                <w:szCs w:val="20"/>
                <w:color w:val="auto"/>
              </w:rPr>
            </w:pPr>
            <w:r>
              <w:rPr>
                <w:rFonts w:ascii="Arial" w:cs="Arial" w:eastAsia="Arial" w:hAnsi="Arial"/>
                <w:sz w:val="9"/>
                <w:szCs w:val="9"/>
                <w:b w:val="1"/>
                <w:bCs w:val="1"/>
                <w:color w:val="auto"/>
              </w:rPr>
              <w:t>2008</w:t>
            </w: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jc w:val="right"/>
              <w:ind w:right="246"/>
              <w:spacing w:after="0"/>
              <w:rPr>
                <w:sz w:val="20"/>
                <w:szCs w:val="20"/>
                <w:color w:val="auto"/>
              </w:rPr>
            </w:pPr>
            <w:r>
              <w:rPr>
                <w:rFonts w:ascii="Arial" w:cs="Arial" w:eastAsia="Arial" w:hAnsi="Arial"/>
                <w:sz w:val="9"/>
                <w:szCs w:val="9"/>
                <w:b w:val="1"/>
                <w:bCs w:val="1"/>
                <w:color w:val="auto"/>
              </w:rPr>
              <w:t>2009</w:t>
            </w: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jc w:val="right"/>
              <w:ind w:right="246"/>
              <w:spacing w:after="0"/>
              <w:rPr>
                <w:sz w:val="20"/>
                <w:szCs w:val="20"/>
                <w:color w:val="auto"/>
              </w:rPr>
            </w:pPr>
            <w:r>
              <w:rPr>
                <w:rFonts w:ascii="Arial" w:cs="Arial" w:eastAsia="Arial" w:hAnsi="Arial"/>
                <w:sz w:val="9"/>
                <w:szCs w:val="9"/>
                <w:b w:val="1"/>
                <w:bCs w:val="1"/>
                <w:color w:val="auto"/>
              </w:rPr>
              <w:t>2010</w:t>
            </w: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9"/>
                <w:szCs w:val="9"/>
                <w:b w:val="1"/>
                <w:bCs w:val="1"/>
                <w:color w:val="auto"/>
                <w:w w:val="94"/>
              </w:rPr>
              <w:t>2011 and Beyond</w:t>
            </w:r>
          </w:p>
        </w:tc>
      </w:tr>
      <w:tr>
        <w:trPr>
          <w:trHeight w:val="29"/>
        </w:trPr>
        <w:tc>
          <w:tcPr>
            <w:tcW w:w="2800" w:type="dxa"/>
            <w:vAlign w:val="bottom"/>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76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66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68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680" w:type="dxa"/>
            <w:vAlign w:val="bottom"/>
            <w:tcBorders>
              <w:top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66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68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8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147"/>
        </w:trPr>
        <w:tc>
          <w:tcPr>
            <w:tcW w:w="2800" w:type="dxa"/>
            <w:vAlign w:val="bottom"/>
            <w:shd w:val="clear" w:color="auto" w:fill="CCEEFF"/>
          </w:tcPr>
          <w:p>
            <w:pPr>
              <w:spacing w:after="0"/>
              <w:rPr>
                <w:sz w:val="20"/>
                <w:szCs w:val="20"/>
                <w:color w:val="auto"/>
              </w:rPr>
            </w:pPr>
            <w:r>
              <w:rPr>
                <w:rFonts w:ascii="Arial" w:cs="Arial" w:eastAsia="Arial" w:hAnsi="Arial"/>
                <w:sz w:val="12"/>
                <w:szCs w:val="12"/>
                <w:color w:val="auto"/>
              </w:rPr>
              <w:t>Capital lease payments (principal &amp; interest)</w:t>
            </w:r>
          </w:p>
        </w:tc>
        <w:tc>
          <w:tcPr>
            <w:tcW w:w="160" w:type="dxa"/>
            <w:vAlign w:val="bottom"/>
            <w:shd w:val="clear" w:color="auto" w:fill="CCEEFF"/>
          </w:tcPr>
          <w:p>
            <w:pPr>
              <w:jc w:val="right"/>
              <w:ind w:right="53"/>
              <w:spacing w:after="0"/>
              <w:rPr>
                <w:sz w:val="20"/>
                <w:szCs w:val="20"/>
                <w:color w:val="auto"/>
              </w:rPr>
            </w:pPr>
            <w:r>
              <w:rPr>
                <w:rFonts w:ascii="Arial" w:cs="Arial" w:eastAsia="Arial" w:hAnsi="Arial"/>
                <w:sz w:val="9"/>
                <w:szCs w:val="9"/>
                <w:color w:val="auto"/>
                <w:w w:val="78"/>
              </w:rPr>
              <w:t>$</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2,381,739</w:t>
            </w:r>
          </w:p>
        </w:tc>
        <w:tc>
          <w:tcPr>
            <w:tcW w:w="140" w:type="dxa"/>
            <w:vAlign w:val="bottom"/>
            <w:shd w:val="clear" w:color="auto" w:fill="CCEEFF"/>
          </w:tcPr>
          <w:p>
            <w:pPr>
              <w:jc w:val="right"/>
              <w:ind w:right="33"/>
              <w:spacing w:after="0"/>
              <w:rPr>
                <w:sz w:val="20"/>
                <w:szCs w:val="20"/>
                <w:color w:val="auto"/>
              </w:rPr>
            </w:pPr>
            <w:r>
              <w:rPr>
                <w:rFonts w:ascii="Arial" w:cs="Arial" w:eastAsia="Arial" w:hAnsi="Arial"/>
                <w:sz w:val="9"/>
                <w:szCs w:val="9"/>
                <w:color w:val="auto"/>
                <w:w w:val="78"/>
              </w:rPr>
              <w:t>$</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460,100</w:t>
            </w:r>
          </w:p>
        </w:tc>
        <w:tc>
          <w:tcPr>
            <w:tcW w:w="120" w:type="dxa"/>
            <w:vAlign w:val="bottom"/>
            <w:shd w:val="clear" w:color="auto" w:fill="CCEEFF"/>
          </w:tcPr>
          <w:p>
            <w:pPr>
              <w:jc w:val="right"/>
              <w:ind w:right="13"/>
              <w:spacing w:after="0"/>
              <w:rPr>
                <w:sz w:val="20"/>
                <w:szCs w:val="20"/>
                <w:color w:val="auto"/>
              </w:rPr>
            </w:pPr>
            <w:r>
              <w:rPr>
                <w:rFonts w:ascii="Arial" w:cs="Arial" w:eastAsia="Arial" w:hAnsi="Arial"/>
                <w:sz w:val="9"/>
                <w:szCs w:val="9"/>
                <w:color w:val="auto"/>
                <w:w w:val="78"/>
              </w:rPr>
              <w:t>$</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332,545</w:t>
            </w:r>
          </w:p>
        </w:tc>
        <w:tc>
          <w:tcPr>
            <w:tcW w:w="120" w:type="dxa"/>
            <w:vAlign w:val="bottom"/>
            <w:shd w:val="clear" w:color="auto" w:fill="CCEEFF"/>
          </w:tcPr>
          <w:p>
            <w:pPr>
              <w:jc w:val="right"/>
              <w:ind w:right="13"/>
              <w:spacing w:after="0"/>
              <w:rPr>
                <w:sz w:val="20"/>
                <w:szCs w:val="20"/>
                <w:color w:val="auto"/>
              </w:rPr>
            </w:pPr>
            <w:r>
              <w:rPr>
                <w:rFonts w:ascii="Arial" w:cs="Arial" w:eastAsia="Arial" w:hAnsi="Arial"/>
                <w:sz w:val="9"/>
                <w:szCs w:val="9"/>
                <w:color w:val="auto"/>
                <w:w w:val="78"/>
              </w:rPr>
              <w:t>$</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244,531</w:t>
            </w:r>
          </w:p>
        </w:tc>
        <w:tc>
          <w:tcPr>
            <w:tcW w:w="140" w:type="dxa"/>
            <w:vAlign w:val="bottom"/>
            <w:shd w:val="clear" w:color="auto" w:fill="CCEEFF"/>
          </w:tcPr>
          <w:p>
            <w:pPr>
              <w:jc w:val="right"/>
              <w:ind w:right="33"/>
              <w:spacing w:after="0"/>
              <w:rPr>
                <w:sz w:val="20"/>
                <w:szCs w:val="20"/>
                <w:color w:val="auto"/>
              </w:rPr>
            </w:pPr>
            <w:r>
              <w:rPr>
                <w:rFonts w:ascii="Arial" w:cs="Arial" w:eastAsia="Arial" w:hAnsi="Arial"/>
                <w:sz w:val="9"/>
                <w:szCs w:val="9"/>
                <w:color w:val="auto"/>
                <w:w w:val="78"/>
              </w:rPr>
              <w:t>$</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244,572</w:t>
            </w:r>
          </w:p>
        </w:tc>
        <w:tc>
          <w:tcPr>
            <w:tcW w:w="120" w:type="dxa"/>
            <w:vAlign w:val="bottom"/>
            <w:shd w:val="clear" w:color="auto" w:fill="CCEEFF"/>
          </w:tcPr>
          <w:p>
            <w:pPr>
              <w:jc w:val="right"/>
              <w:ind w:right="13"/>
              <w:spacing w:after="0"/>
              <w:rPr>
                <w:sz w:val="20"/>
                <w:szCs w:val="20"/>
                <w:color w:val="auto"/>
              </w:rPr>
            </w:pPr>
            <w:r>
              <w:rPr>
                <w:rFonts w:ascii="Arial" w:cs="Arial" w:eastAsia="Arial" w:hAnsi="Arial"/>
                <w:sz w:val="9"/>
                <w:szCs w:val="9"/>
                <w:color w:val="auto"/>
                <w:w w:val="78"/>
              </w:rPr>
              <w:t>$</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242,560</w:t>
            </w: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857,431</w:t>
            </w:r>
          </w:p>
        </w:tc>
      </w:tr>
      <w:tr>
        <w:trPr>
          <w:trHeight w:val="147"/>
        </w:trPr>
        <w:tc>
          <w:tcPr>
            <w:tcW w:w="2800" w:type="dxa"/>
            <w:vAlign w:val="bottom"/>
          </w:tcPr>
          <w:p>
            <w:pPr>
              <w:spacing w:after="0"/>
              <w:rPr>
                <w:sz w:val="20"/>
                <w:szCs w:val="20"/>
                <w:color w:val="auto"/>
              </w:rPr>
            </w:pPr>
            <w:r>
              <w:rPr>
                <w:rFonts w:ascii="Arial" w:cs="Arial" w:eastAsia="Arial" w:hAnsi="Arial"/>
                <w:sz w:val="12"/>
                <w:szCs w:val="12"/>
                <w:color w:val="auto"/>
              </w:rPr>
              <w:t>Operating lease payments</w:t>
            </w:r>
          </w:p>
        </w:tc>
        <w:tc>
          <w:tcPr>
            <w:tcW w:w="160" w:type="dxa"/>
            <w:vAlign w:val="bottom"/>
          </w:tcPr>
          <w:p>
            <w:pPr>
              <w:spacing w:after="0"/>
              <w:rPr>
                <w:sz w:val="12"/>
                <w:szCs w:val="12"/>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2"/>
                <w:szCs w:val="12"/>
                <w:color w:val="auto"/>
              </w:rPr>
              <w:t>17,846,427</w:t>
            </w:r>
          </w:p>
        </w:tc>
        <w:tc>
          <w:tcPr>
            <w:tcW w:w="140" w:type="dxa"/>
            <w:vAlign w:val="bottom"/>
          </w:tcPr>
          <w:p>
            <w:pPr>
              <w:spacing w:after="0"/>
              <w:rPr>
                <w:sz w:val="12"/>
                <w:szCs w:val="12"/>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2"/>
                <w:szCs w:val="12"/>
                <w:color w:val="auto"/>
              </w:rPr>
              <w:t>2,831,929</w:t>
            </w:r>
          </w:p>
        </w:tc>
        <w:tc>
          <w:tcPr>
            <w:tcW w:w="120" w:type="dxa"/>
            <w:vAlign w:val="bottom"/>
          </w:tcPr>
          <w:p>
            <w:pPr>
              <w:spacing w:after="0"/>
              <w:rPr>
                <w:sz w:val="12"/>
                <w:szCs w:val="12"/>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2"/>
                <w:szCs w:val="12"/>
                <w:color w:val="auto"/>
              </w:rPr>
              <w:t>3,165,162</w:t>
            </w:r>
          </w:p>
        </w:tc>
        <w:tc>
          <w:tcPr>
            <w:tcW w:w="120" w:type="dxa"/>
            <w:vAlign w:val="bottom"/>
          </w:tcPr>
          <w:p>
            <w:pPr>
              <w:spacing w:after="0"/>
              <w:rPr>
                <w:sz w:val="12"/>
                <w:szCs w:val="12"/>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2"/>
                <w:szCs w:val="12"/>
                <w:color w:val="auto"/>
              </w:rPr>
              <w:t>3,469,017</w:t>
            </w:r>
          </w:p>
        </w:tc>
        <w:tc>
          <w:tcPr>
            <w:tcW w:w="140" w:type="dxa"/>
            <w:vAlign w:val="bottom"/>
          </w:tcPr>
          <w:p>
            <w:pPr>
              <w:spacing w:after="0"/>
              <w:rPr>
                <w:sz w:val="12"/>
                <w:szCs w:val="12"/>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2"/>
                <w:szCs w:val="12"/>
                <w:color w:val="auto"/>
              </w:rPr>
              <w:t>3,536,843</w:t>
            </w:r>
          </w:p>
        </w:tc>
        <w:tc>
          <w:tcPr>
            <w:tcW w:w="120" w:type="dxa"/>
            <w:vAlign w:val="bottom"/>
          </w:tcPr>
          <w:p>
            <w:pPr>
              <w:spacing w:after="0"/>
              <w:rPr>
                <w:sz w:val="12"/>
                <w:szCs w:val="12"/>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2"/>
                <w:szCs w:val="12"/>
                <w:color w:val="auto"/>
              </w:rPr>
              <w:t>1,767,304</w:t>
            </w:r>
          </w:p>
        </w:tc>
        <w:tc>
          <w:tcPr>
            <w:tcW w:w="100" w:type="dxa"/>
            <w:vAlign w:val="bottom"/>
          </w:tcPr>
          <w:p>
            <w:pPr>
              <w:spacing w:after="0"/>
              <w:rPr>
                <w:sz w:val="12"/>
                <w:szCs w:val="12"/>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2"/>
                <w:szCs w:val="12"/>
                <w:color w:val="auto"/>
              </w:rPr>
              <w:t>3,076,172</w:t>
            </w:r>
          </w:p>
        </w:tc>
      </w:tr>
      <w:tr>
        <w:trPr>
          <w:trHeight w:val="20"/>
        </w:trPr>
        <w:tc>
          <w:tcPr>
            <w:tcW w:w="28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47"/>
        </w:trPr>
        <w:tc>
          <w:tcPr>
            <w:tcW w:w="2800" w:type="dxa"/>
            <w:vAlign w:val="bottom"/>
            <w:shd w:val="clear" w:color="auto" w:fill="CCEEFF"/>
          </w:tcPr>
          <w:p>
            <w:pPr>
              <w:spacing w:after="0"/>
              <w:rPr>
                <w:sz w:val="20"/>
                <w:szCs w:val="20"/>
                <w:color w:val="auto"/>
              </w:rPr>
            </w:pPr>
            <w:r>
              <w:rPr>
                <w:rFonts w:ascii="Arial" w:cs="Arial" w:eastAsia="Arial" w:hAnsi="Arial"/>
                <w:sz w:val="12"/>
                <w:szCs w:val="12"/>
                <w:color w:val="auto"/>
              </w:rPr>
              <w:t>Total contractual cash obligations</w:t>
            </w:r>
          </w:p>
        </w:tc>
        <w:tc>
          <w:tcPr>
            <w:tcW w:w="160" w:type="dxa"/>
            <w:vAlign w:val="bottom"/>
            <w:shd w:val="clear" w:color="auto" w:fill="CCEEFF"/>
          </w:tcPr>
          <w:p>
            <w:pPr>
              <w:jc w:val="right"/>
              <w:ind w:right="53"/>
              <w:spacing w:after="0"/>
              <w:rPr>
                <w:sz w:val="20"/>
                <w:szCs w:val="20"/>
                <w:color w:val="auto"/>
              </w:rPr>
            </w:pPr>
            <w:r>
              <w:rPr>
                <w:rFonts w:ascii="Arial" w:cs="Arial" w:eastAsia="Arial" w:hAnsi="Arial"/>
                <w:sz w:val="9"/>
                <w:szCs w:val="9"/>
                <w:color w:val="auto"/>
                <w:w w:val="78"/>
              </w:rPr>
              <w:t>$</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20,228,166</w:t>
            </w:r>
          </w:p>
        </w:tc>
        <w:tc>
          <w:tcPr>
            <w:tcW w:w="140" w:type="dxa"/>
            <w:vAlign w:val="bottom"/>
            <w:shd w:val="clear" w:color="auto" w:fill="CCEEFF"/>
          </w:tcPr>
          <w:p>
            <w:pPr>
              <w:jc w:val="right"/>
              <w:ind w:right="33"/>
              <w:spacing w:after="0"/>
              <w:rPr>
                <w:sz w:val="20"/>
                <w:szCs w:val="20"/>
                <w:color w:val="auto"/>
              </w:rPr>
            </w:pPr>
            <w:r>
              <w:rPr>
                <w:rFonts w:ascii="Arial" w:cs="Arial" w:eastAsia="Arial" w:hAnsi="Arial"/>
                <w:sz w:val="9"/>
                <w:szCs w:val="9"/>
                <w:color w:val="auto"/>
                <w:w w:val="78"/>
              </w:rPr>
              <w:t>$</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3,292,029</w:t>
            </w:r>
          </w:p>
        </w:tc>
        <w:tc>
          <w:tcPr>
            <w:tcW w:w="120" w:type="dxa"/>
            <w:vAlign w:val="bottom"/>
            <w:shd w:val="clear" w:color="auto" w:fill="CCEEFF"/>
          </w:tcPr>
          <w:p>
            <w:pPr>
              <w:jc w:val="right"/>
              <w:ind w:right="13"/>
              <w:spacing w:after="0"/>
              <w:rPr>
                <w:sz w:val="20"/>
                <w:szCs w:val="20"/>
                <w:color w:val="auto"/>
              </w:rPr>
            </w:pPr>
            <w:r>
              <w:rPr>
                <w:rFonts w:ascii="Arial" w:cs="Arial" w:eastAsia="Arial" w:hAnsi="Arial"/>
                <w:sz w:val="9"/>
                <w:szCs w:val="9"/>
                <w:color w:val="auto"/>
                <w:w w:val="78"/>
              </w:rPr>
              <w:t>$</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3,497,707</w:t>
            </w:r>
          </w:p>
        </w:tc>
        <w:tc>
          <w:tcPr>
            <w:tcW w:w="120" w:type="dxa"/>
            <w:vAlign w:val="bottom"/>
            <w:shd w:val="clear" w:color="auto" w:fill="CCEEFF"/>
          </w:tcPr>
          <w:p>
            <w:pPr>
              <w:jc w:val="right"/>
              <w:ind w:right="13"/>
              <w:spacing w:after="0"/>
              <w:rPr>
                <w:sz w:val="20"/>
                <w:szCs w:val="20"/>
                <w:color w:val="auto"/>
              </w:rPr>
            </w:pPr>
            <w:r>
              <w:rPr>
                <w:rFonts w:ascii="Arial" w:cs="Arial" w:eastAsia="Arial" w:hAnsi="Arial"/>
                <w:sz w:val="9"/>
                <w:szCs w:val="9"/>
                <w:color w:val="auto"/>
                <w:w w:val="78"/>
              </w:rPr>
              <w:t>$</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3,713,548</w:t>
            </w:r>
          </w:p>
        </w:tc>
        <w:tc>
          <w:tcPr>
            <w:tcW w:w="140" w:type="dxa"/>
            <w:vAlign w:val="bottom"/>
            <w:shd w:val="clear" w:color="auto" w:fill="CCEEFF"/>
          </w:tcPr>
          <w:p>
            <w:pPr>
              <w:jc w:val="right"/>
              <w:ind w:right="33"/>
              <w:spacing w:after="0"/>
              <w:rPr>
                <w:sz w:val="20"/>
                <w:szCs w:val="20"/>
                <w:color w:val="auto"/>
              </w:rPr>
            </w:pPr>
            <w:r>
              <w:rPr>
                <w:rFonts w:ascii="Arial" w:cs="Arial" w:eastAsia="Arial" w:hAnsi="Arial"/>
                <w:sz w:val="9"/>
                <w:szCs w:val="9"/>
                <w:color w:val="auto"/>
                <w:w w:val="78"/>
              </w:rPr>
              <w:t>$</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3,781,415</w:t>
            </w:r>
          </w:p>
        </w:tc>
        <w:tc>
          <w:tcPr>
            <w:tcW w:w="120" w:type="dxa"/>
            <w:vAlign w:val="bottom"/>
            <w:shd w:val="clear" w:color="auto" w:fill="CCEEFF"/>
          </w:tcPr>
          <w:p>
            <w:pPr>
              <w:jc w:val="right"/>
              <w:ind w:right="13"/>
              <w:spacing w:after="0"/>
              <w:rPr>
                <w:sz w:val="20"/>
                <w:szCs w:val="20"/>
                <w:color w:val="auto"/>
              </w:rPr>
            </w:pPr>
            <w:r>
              <w:rPr>
                <w:rFonts w:ascii="Arial" w:cs="Arial" w:eastAsia="Arial" w:hAnsi="Arial"/>
                <w:sz w:val="9"/>
                <w:szCs w:val="9"/>
                <w:color w:val="auto"/>
                <w:w w:val="78"/>
              </w:rPr>
              <w:t>$</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2,009,864</w:t>
            </w: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3,933,603</w:t>
            </w:r>
          </w:p>
        </w:tc>
      </w:tr>
      <w:tr>
        <w:trPr>
          <w:trHeight w:val="29"/>
        </w:trPr>
        <w:tc>
          <w:tcPr>
            <w:tcW w:w="28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90" w:lineRule="exact"/>
        <w:rPr>
          <w:sz w:val="20"/>
          <w:szCs w:val="20"/>
          <w:color w:val="auto"/>
        </w:rPr>
      </w:pPr>
    </w:p>
    <w:p>
      <w:pPr>
        <w:ind w:left="680" w:right="20" w:firstLine="399"/>
        <w:spacing w:after="0" w:line="256" w:lineRule="auto"/>
        <w:rPr>
          <w:sz w:val="20"/>
          <w:szCs w:val="20"/>
          <w:color w:val="auto"/>
        </w:rPr>
      </w:pPr>
      <w:r>
        <w:rPr>
          <w:rFonts w:ascii="Arial" w:cs="Arial" w:eastAsia="Arial" w:hAnsi="Arial"/>
          <w:sz w:val="13"/>
          <w:szCs w:val="13"/>
          <w:color w:val="auto"/>
        </w:rPr>
        <w:t>We have incurred significant operating losses and negative cash flows since inception. We have not achieved profitability and may not be able to realize sufficient revenues to achieve or sustain profitability in the future. We do not expect to be profitable in the next several years, but rather expect to incur additional operating losses. We have limited liquidity and capital resources and must obtain significant additional capital resources in order to sustain our product development efforts, for acquisition of technologies and intellectual property rights, for preclinical and clinical testing of our anticipated products, pursuit of regulatory approvals, acquisition of capital equipment, laboratory and office facilities, establishment of production capabilities, for general and administrative expenses and other working capital requirements. We rely on cash balances and proceeds from equity and debt offerings, proceeds from the transfer or sale of our intellectual property rights, equipment, facilities or investments, and government grants and funding from collaborative arrangements, if obtainable, to fund our operations.</w:t>
      </w:r>
    </w:p>
    <w:p>
      <w:pPr>
        <w:spacing w:after="0" w:line="280"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43" w:name="page44"/>
    <w:bookmarkEnd w:id="43"/>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60" w:firstLine="399"/>
        <w:spacing w:after="0" w:line="285" w:lineRule="auto"/>
        <w:rPr>
          <w:sz w:val="20"/>
          <w:szCs w:val="20"/>
          <w:color w:val="auto"/>
        </w:rPr>
      </w:pPr>
      <w:r>
        <w:rPr>
          <w:rFonts w:ascii="Arial" w:cs="Arial" w:eastAsia="Arial" w:hAnsi="Arial"/>
          <w:sz w:val="12"/>
          <w:szCs w:val="12"/>
          <w:color w:val="auto"/>
        </w:rPr>
        <w:t>We intend to pursue opportunities to obtain additional financing in the future through equity and debt financings, grants and collaborative research arrangements. We have a shelf registration covering shares of our common stock up to a value of $100 million that could be available for financings. The source, timing and availability of any future financing will depend principally upon market conditions, interest rates and, more specifically, on our progress in our exploratory, preclinical and future clinical development programs. Funding may not be available when needed — at all, or on terms acceptable to us. Lack of necessary funds may require us to delay, scale back or eliminate some or all of our research and product development programs, planned clinical trials, and/or our capital expenditures or to license our potential products or technologies to third parties.</w:t>
      </w:r>
    </w:p>
    <w:p>
      <w:pPr>
        <w:spacing w:after="0" w:line="130"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Off-Balance Sheet Transactions</w:t>
      </w:r>
    </w:p>
    <w:p>
      <w:pPr>
        <w:spacing w:after="0" w:line="100" w:lineRule="exact"/>
        <w:rPr>
          <w:sz w:val="20"/>
          <w:szCs w:val="20"/>
          <w:color w:val="auto"/>
        </w:rPr>
      </w:pPr>
    </w:p>
    <w:p>
      <w:pPr>
        <w:ind w:left="680" w:right="140" w:firstLine="399"/>
        <w:spacing w:after="0" w:line="276" w:lineRule="auto"/>
        <w:rPr>
          <w:sz w:val="20"/>
          <w:szCs w:val="20"/>
          <w:color w:val="auto"/>
        </w:rPr>
      </w:pPr>
      <w:r>
        <w:rPr>
          <w:rFonts w:ascii="Arial" w:cs="Arial" w:eastAsia="Arial" w:hAnsi="Arial"/>
          <w:sz w:val="13"/>
          <w:szCs w:val="13"/>
          <w:color w:val="auto"/>
        </w:rPr>
        <w:t>With the exception of operating leases for facilities, we have not entered into any off balance sheet financial arrangements and have not established any special purpose entities. We have not guaranteed any debts or commitments of other entities or entered into any options on non-financial assets.</w:t>
      </w:r>
    </w:p>
    <w:p>
      <w:pPr>
        <w:spacing w:after="0" w:line="13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Recent Accounting Pronouncements</w:t>
      </w:r>
    </w:p>
    <w:p>
      <w:pPr>
        <w:spacing w:after="0" w:line="10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Accounting for Stock-Based Compensation</w:t>
      </w:r>
    </w:p>
    <w:p>
      <w:pPr>
        <w:spacing w:after="0" w:line="96" w:lineRule="exact"/>
        <w:rPr>
          <w:sz w:val="20"/>
          <w:szCs w:val="20"/>
          <w:color w:val="auto"/>
        </w:rPr>
      </w:pPr>
    </w:p>
    <w:p>
      <w:pPr>
        <w:ind w:left="680" w:firstLine="399"/>
        <w:spacing w:after="0" w:line="278" w:lineRule="auto"/>
        <w:rPr>
          <w:sz w:val="20"/>
          <w:szCs w:val="20"/>
          <w:color w:val="auto"/>
        </w:rPr>
      </w:pPr>
      <w:r>
        <w:rPr>
          <w:rFonts w:ascii="Arial" w:cs="Arial" w:eastAsia="Arial" w:hAnsi="Arial"/>
          <w:sz w:val="12"/>
          <w:szCs w:val="12"/>
          <w:color w:val="auto"/>
        </w:rPr>
        <w:t>In December 2004, FASB issued SFAS No. 123R (revised 2004</w:t>
      </w:r>
      <w:r>
        <w:rPr>
          <w:rFonts w:ascii="Arial" w:cs="Arial" w:eastAsia="Arial" w:hAnsi="Arial"/>
          <w:sz w:val="12"/>
          <w:szCs w:val="12"/>
          <w:i w:val="1"/>
          <w:iCs w:val="1"/>
          <w:color w:val="auto"/>
        </w:rPr>
        <w:t>), “Share-Based Payments”.</w:t>
      </w:r>
      <w:r>
        <w:rPr>
          <w:rFonts w:ascii="Arial" w:cs="Arial" w:eastAsia="Arial" w:hAnsi="Arial"/>
          <w:sz w:val="12"/>
          <w:szCs w:val="12"/>
          <w:color w:val="auto"/>
        </w:rPr>
        <w:t xml:space="preserve"> This Statement is a revision of SFAS 123, “</w:t>
      </w:r>
      <w:r>
        <w:rPr>
          <w:rFonts w:ascii="Arial" w:cs="Arial" w:eastAsia="Arial" w:hAnsi="Arial"/>
          <w:sz w:val="12"/>
          <w:szCs w:val="12"/>
          <w:i w:val="1"/>
          <w:iCs w:val="1"/>
          <w:color w:val="auto"/>
        </w:rPr>
        <w:t>Accounting for Stock-Based Compensation</w:t>
      </w:r>
      <w:r>
        <w:rPr>
          <w:rFonts w:ascii="Arial" w:cs="Arial" w:eastAsia="Arial" w:hAnsi="Arial"/>
          <w:sz w:val="12"/>
          <w:szCs w:val="12"/>
          <w:color w:val="auto"/>
        </w:rPr>
        <w:t>.” This Statement supersedes APB 25, and its related implementation guidance. Upon the adoption of SFAS No. 123R we will be required to expense stock options using a fair-value method in our Statement of Operations. We will be required to apply SFAS No. 123R as of the first annual reporting period starting on or after June 15, 2005, which is our first quarter beginning January 1, 2006. Adoption of the expensing requirements will increase our net loss. See “Stock-based Compensation” in Note 1 for disclosures regarding the effect on net earnings and earnings per share if we had applied the fair value recognition provisions of SAFS No. 123R. Upon adoption, we intend to use the modified prospective method. Under this method, compensation cost is recognized beginning with the effective date of adoption (a) based on the requirements of SFAS 123R for all share-based payments granted after the effective date of adoption and (b) based on the requirements of SFAS 123R for all awards granted to employees prior to the effective date of adoption that remain unvested on the date of adoption. We currently utilize the Black-Scholes option pricing model to estimate the fair value. The Black-Scholes model meets the requirements of SFAS 123R but the fair values generated by the model may not be indicative of the actual fair values of our stock-based awards. Although StemCells has not yet determined whether the adoption of SFAS 123R will result in amounts that are similar to the current pro forma disclosures under SFAS 123, it believes the adoption will have a material negative impact on our operating results.</w:t>
      </w:r>
    </w:p>
    <w:p>
      <w:pPr>
        <w:spacing w:after="0" w:line="141"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Accounting for Changes and Error Corrections</w:t>
      </w:r>
    </w:p>
    <w:p>
      <w:pPr>
        <w:spacing w:after="0" w:line="96" w:lineRule="exact"/>
        <w:rPr>
          <w:sz w:val="20"/>
          <w:szCs w:val="20"/>
          <w:color w:val="auto"/>
        </w:rPr>
      </w:pPr>
    </w:p>
    <w:p>
      <w:pPr>
        <w:jc w:val="both"/>
        <w:ind w:left="680" w:right="140" w:firstLine="399"/>
        <w:spacing w:after="0" w:line="301" w:lineRule="auto"/>
        <w:rPr>
          <w:sz w:val="20"/>
          <w:szCs w:val="20"/>
          <w:color w:val="auto"/>
        </w:rPr>
      </w:pPr>
      <w:r>
        <w:rPr>
          <w:rFonts w:ascii="Arial" w:cs="Arial" w:eastAsia="Arial" w:hAnsi="Arial"/>
          <w:sz w:val="11"/>
          <w:szCs w:val="11"/>
          <w:color w:val="auto"/>
        </w:rPr>
        <w:t xml:space="preserve">In June 2005, the FASB issued Statement of Financial Accounting Standards No. 154, Accounting Changes and Error Corrections (“SFAS 154”). SFAS 154 replaces APB Opinion No. 20, </w:t>
      </w:r>
      <w:r>
        <w:rPr>
          <w:rFonts w:ascii="Arial" w:cs="Arial" w:eastAsia="Arial" w:hAnsi="Arial"/>
          <w:sz w:val="11"/>
          <w:szCs w:val="11"/>
          <w:i w:val="1"/>
          <w:iCs w:val="1"/>
          <w:color w:val="auto"/>
        </w:rPr>
        <w:t>“Accounting Changes”</w:t>
      </w:r>
      <w:r>
        <w:rPr>
          <w:rFonts w:ascii="Arial" w:cs="Arial" w:eastAsia="Arial" w:hAnsi="Arial"/>
          <w:sz w:val="11"/>
          <w:szCs w:val="11"/>
          <w:color w:val="auto"/>
        </w:rPr>
        <w:t xml:space="preserve"> and SFAS No. 3, </w:t>
      </w:r>
      <w:r>
        <w:rPr>
          <w:rFonts w:ascii="Arial" w:cs="Arial" w:eastAsia="Arial" w:hAnsi="Arial"/>
          <w:sz w:val="11"/>
          <w:szCs w:val="11"/>
          <w:i w:val="1"/>
          <w:iCs w:val="1"/>
          <w:color w:val="auto"/>
        </w:rPr>
        <w:t>“Reporting Accounting Changes in Interim Financial Statements”.</w:t>
      </w:r>
      <w:r>
        <w:rPr>
          <w:rFonts w:ascii="Arial" w:cs="Arial" w:eastAsia="Arial" w:hAnsi="Arial"/>
          <w:sz w:val="11"/>
          <w:szCs w:val="11"/>
          <w:color w:val="auto"/>
        </w:rPr>
        <w:t xml:space="preserve"> SFAS 154 requires that a voluntary change in accounting principle be applied retrospectively with all prior period financial statements presented on the new accounting principle. SFAS 154 also requires that a change in method of depreciating or amortizing a long-lived non-financial asset be accounted for prospectively as a change in estimate, and correction of errors in previously issued financial statements should be termed a restatement.</w:t>
      </w:r>
    </w:p>
    <w:p>
      <w:pPr>
        <w:spacing w:after="0" w:line="2" w:lineRule="exact"/>
        <w:rPr>
          <w:sz w:val="20"/>
          <w:szCs w:val="20"/>
          <w:color w:val="auto"/>
        </w:rPr>
      </w:pPr>
    </w:p>
    <w:p>
      <w:pPr>
        <w:ind w:left="680" w:right="260"/>
        <w:spacing w:after="0" w:line="264" w:lineRule="auto"/>
        <w:rPr>
          <w:sz w:val="20"/>
          <w:szCs w:val="20"/>
          <w:color w:val="auto"/>
        </w:rPr>
      </w:pPr>
      <w:r>
        <w:rPr>
          <w:rFonts w:ascii="Arial" w:cs="Arial" w:eastAsia="Arial" w:hAnsi="Arial"/>
          <w:sz w:val="13"/>
          <w:szCs w:val="13"/>
          <w:color w:val="auto"/>
        </w:rPr>
        <w:t>SFAS 154 is effective for accounting changes and correction of errors made in fiscal years beginning after December 15, 2005. The implementation of FAS 154 is not expected to have a material impact on our consolidated financial statements.</w:t>
      </w:r>
    </w:p>
    <w:p>
      <w:pPr>
        <w:spacing w:after="0" w:line="27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44" w:name="page45"/>
    <w:bookmarkEnd w:id="4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ind w:left="680"/>
        <w:spacing w:after="0"/>
        <w:tabs>
          <w:tab w:leader="none" w:pos="1760" w:val="left"/>
        </w:tabs>
        <w:rPr>
          <w:sz w:val="20"/>
          <w:szCs w:val="20"/>
          <w:color w:val="auto"/>
        </w:rPr>
      </w:pPr>
      <w:r>
        <w:rPr>
          <w:rFonts w:ascii="Arial" w:cs="Arial" w:eastAsia="Arial" w:hAnsi="Arial"/>
          <w:sz w:val="13"/>
          <w:szCs w:val="13"/>
          <w:b w:val="1"/>
          <w:bCs w:val="1"/>
          <w:color w:val="auto"/>
        </w:rPr>
        <w:t>ITEM 7A.</w:t>
      </w:r>
      <w:r>
        <w:rPr>
          <w:sz w:val="20"/>
          <w:szCs w:val="20"/>
          <w:color w:val="auto"/>
        </w:rPr>
        <w:tab/>
      </w:r>
      <w:r>
        <w:rPr>
          <w:rFonts w:ascii="Arial" w:cs="Arial" w:eastAsia="Arial" w:hAnsi="Arial"/>
          <w:sz w:val="12"/>
          <w:szCs w:val="12"/>
          <w:b w:val="1"/>
          <w:bCs w:val="1"/>
          <w:i w:val="1"/>
          <w:iCs w:val="1"/>
          <w:color w:val="auto"/>
        </w:rPr>
        <w:t>QUANTITATIVE AND QUALITATIVE DISCLOSURES ABOUT MARKET RISK</w:t>
      </w:r>
    </w:p>
    <w:p>
      <w:pPr>
        <w:spacing w:after="0" w:line="100" w:lineRule="exact"/>
        <w:rPr>
          <w:sz w:val="20"/>
          <w:szCs w:val="20"/>
          <w:color w:val="auto"/>
        </w:rPr>
      </w:pPr>
    </w:p>
    <w:p>
      <w:pPr>
        <w:ind w:left="680" w:right="180" w:firstLine="399"/>
        <w:spacing w:after="0" w:line="307" w:lineRule="auto"/>
        <w:rPr>
          <w:sz w:val="20"/>
          <w:szCs w:val="20"/>
          <w:color w:val="auto"/>
        </w:rPr>
      </w:pPr>
      <w:r>
        <w:rPr>
          <w:rFonts w:ascii="Arial" w:cs="Arial" w:eastAsia="Arial" w:hAnsi="Arial"/>
          <w:sz w:val="11"/>
          <w:szCs w:val="11"/>
          <w:color w:val="auto"/>
        </w:rPr>
        <w:t>In July 2005, we entered into an agreement with ReNeuron. As part of the agreement, we granted ReNeuron a license that allows ReNeuron to exploit its “c-mycER” conditionally immortalized adult human neural stem cell technology for therapy and other purposes. In return for the license, we received a 7.5% fully-diluted equity interest in ReNeuron, subject to certain anti-dilution provisions, and a cross-license to the exclusive use of ReNeuron’s technology for certain diseases and conditions, including lysosomal storage diseases, spinal cord injury, cerebral palsy and multiple sclerosis. The agreement also provides for full settlement of any potential claims that either StemCells or ReNeuron might have had against the other in connection with any putative infringement of certain of each party’s patent rights prior to the effective date of the agreement. The agreement is Exhibit 10.71 to our Quarterly Report on Form 10-Q for the quarter ended June 30, 2005. On August 22, 2005, we received 3,774,493 shares of ReNeuron, representing 7.5% of its fully-diluted share capital. On August 12, 2005 ReNeuron listed its shares on the London Stock Exchange’s Alternative Investment Market (“AIM”), a market for smaller, growing companies. As provided for under the agreement, the placement and listing of additional shares by ReNeuron resulted in StemCells’ receiving an additional 5,165,000 shares. Approximately 104,000 shares of ReNeuron were transferred to NeuroSpheres LTD., an Alberta corporation from which StemCells has licensed some of the patent rights that are the subject of the agreement with ReNeuron.</w:t>
      </w:r>
    </w:p>
    <w:p>
      <w:pPr>
        <w:spacing w:after="0" w:line="43"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142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00" w:type="dxa"/>
            <w:vAlign w:val="bottom"/>
            <w:gridSpan w:val="2"/>
            <w:vMerge w:val="restart"/>
          </w:tcPr>
          <w:p>
            <w:pPr>
              <w:jc w:val="center"/>
              <w:ind w:right="200"/>
              <w:spacing w:after="0"/>
              <w:rPr>
                <w:sz w:val="20"/>
                <w:szCs w:val="20"/>
                <w:color w:val="auto"/>
              </w:rPr>
            </w:pPr>
            <w:r>
              <w:rPr>
                <w:rFonts w:ascii="Arial" w:cs="Arial" w:eastAsia="Arial" w:hAnsi="Arial"/>
                <w:sz w:val="10"/>
                <w:szCs w:val="10"/>
                <w:b w:val="1"/>
                <w:bCs w:val="1"/>
                <w:color w:val="auto"/>
                <w:w w:val="92"/>
              </w:rPr>
              <w:t>Share Price at</w:t>
            </w:r>
          </w:p>
        </w:tc>
        <w:tc>
          <w:tcPr>
            <w:tcW w:w="1080" w:type="dxa"/>
            <w:vAlign w:val="bottom"/>
            <w:gridSpan w:val="2"/>
          </w:tcPr>
          <w:p>
            <w:pPr>
              <w:jc w:val="center"/>
              <w:ind w:right="200"/>
              <w:spacing w:after="0"/>
              <w:rPr>
                <w:sz w:val="20"/>
                <w:szCs w:val="20"/>
                <w:color w:val="auto"/>
              </w:rPr>
            </w:pPr>
            <w:r>
              <w:rPr>
                <w:rFonts w:ascii="Arial" w:cs="Arial" w:eastAsia="Arial" w:hAnsi="Arial"/>
                <w:sz w:val="10"/>
                <w:szCs w:val="10"/>
                <w:b w:val="1"/>
                <w:bCs w:val="1"/>
                <w:color w:val="auto"/>
                <w:w w:val="93"/>
              </w:rPr>
              <w:t>Exchange</w:t>
            </w:r>
          </w:p>
        </w:tc>
        <w:tc>
          <w:tcPr>
            <w:tcW w:w="100" w:type="dxa"/>
            <w:vAlign w:val="bottom"/>
          </w:tcPr>
          <w:p>
            <w:pPr>
              <w:spacing w:after="0"/>
              <w:rPr>
                <w:sz w:val="10"/>
                <w:szCs w:val="10"/>
                <w:color w:val="auto"/>
              </w:rPr>
            </w:pPr>
          </w:p>
        </w:tc>
        <w:tc>
          <w:tcPr>
            <w:tcW w:w="1000" w:type="dxa"/>
            <w:vAlign w:val="bottom"/>
            <w:gridSpan w:val="2"/>
            <w:vMerge w:val="restart"/>
          </w:tcPr>
          <w:p>
            <w:pPr>
              <w:jc w:val="center"/>
              <w:ind w:right="300"/>
              <w:spacing w:after="0"/>
              <w:rPr>
                <w:sz w:val="20"/>
                <w:szCs w:val="20"/>
                <w:color w:val="auto"/>
              </w:rPr>
            </w:pPr>
            <w:r>
              <w:rPr>
                <w:rFonts w:ascii="Arial" w:cs="Arial" w:eastAsia="Arial" w:hAnsi="Arial"/>
                <w:sz w:val="10"/>
                <w:szCs w:val="10"/>
                <w:b w:val="1"/>
                <w:bCs w:val="1"/>
                <w:color w:val="auto"/>
              </w:rPr>
              <w:t>Market Value</w:t>
            </w:r>
          </w:p>
        </w:tc>
        <w:tc>
          <w:tcPr>
            <w:tcW w:w="580" w:type="dxa"/>
            <w:vAlign w:val="bottom"/>
            <w:gridSpan w:val="2"/>
            <w:vMerge w:val="restart"/>
          </w:tcPr>
          <w:p>
            <w:pPr>
              <w:jc w:val="center"/>
              <w:ind w:right="100"/>
              <w:spacing w:after="0"/>
              <w:rPr>
                <w:sz w:val="20"/>
                <w:szCs w:val="20"/>
                <w:color w:val="auto"/>
              </w:rPr>
            </w:pPr>
            <w:r>
              <w:rPr>
                <w:rFonts w:ascii="Arial" w:cs="Arial" w:eastAsia="Arial" w:hAnsi="Arial"/>
                <w:sz w:val="10"/>
                <w:szCs w:val="10"/>
                <w:b w:val="1"/>
                <w:bCs w:val="1"/>
                <w:color w:val="auto"/>
                <w:w w:val="89"/>
              </w:rPr>
              <w:t>Expected</w:t>
            </w:r>
          </w:p>
        </w:tc>
        <w:tc>
          <w:tcPr>
            <w:tcW w:w="0" w:type="dxa"/>
            <w:vAlign w:val="bottom"/>
          </w:tcPr>
          <w:p>
            <w:pPr>
              <w:spacing w:after="0"/>
              <w:rPr>
                <w:sz w:val="1"/>
                <w:szCs w:val="1"/>
                <w:color w:val="auto"/>
              </w:rPr>
            </w:pPr>
          </w:p>
        </w:tc>
      </w:tr>
      <w:tr>
        <w:trPr>
          <w:trHeight w:val="108"/>
        </w:trPr>
        <w:tc>
          <w:tcPr>
            <w:tcW w:w="1420" w:type="dxa"/>
            <w:vAlign w:val="bottom"/>
          </w:tcPr>
          <w:p>
            <w:pPr>
              <w:spacing w:after="0"/>
              <w:rPr>
                <w:sz w:val="9"/>
                <w:szCs w:val="9"/>
                <w:color w:val="auto"/>
              </w:rPr>
            </w:pPr>
          </w:p>
        </w:tc>
        <w:tc>
          <w:tcPr>
            <w:tcW w:w="1720" w:type="dxa"/>
            <w:vAlign w:val="bottom"/>
          </w:tcPr>
          <w:p>
            <w:pPr>
              <w:spacing w:after="0"/>
              <w:rPr>
                <w:sz w:val="9"/>
                <w:szCs w:val="9"/>
                <w:color w:val="auto"/>
              </w:rPr>
            </w:pPr>
          </w:p>
        </w:tc>
        <w:tc>
          <w:tcPr>
            <w:tcW w:w="1700" w:type="dxa"/>
            <w:vAlign w:val="bottom"/>
          </w:tcPr>
          <w:p>
            <w:pPr>
              <w:spacing w:after="0"/>
              <w:rPr>
                <w:sz w:val="9"/>
                <w:szCs w:val="9"/>
                <w:color w:val="auto"/>
              </w:rPr>
            </w:pPr>
          </w:p>
        </w:tc>
        <w:tc>
          <w:tcPr>
            <w:tcW w:w="1280" w:type="dxa"/>
            <w:vAlign w:val="bottom"/>
            <w:gridSpan w:val="2"/>
            <w:vMerge w:val="restart"/>
          </w:tcPr>
          <w:p>
            <w:pPr>
              <w:jc w:val="center"/>
              <w:ind w:right="200"/>
              <w:spacing w:after="0"/>
              <w:rPr>
                <w:sz w:val="20"/>
                <w:szCs w:val="20"/>
                <w:color w:val="auto"/>
              </w:rPr>
            </w:pPr>
            <w:r>
              <w:rPr>
                <w:rFonts w:ascii="Arial" w:cs="Arial" w:eastAsia="Arial" w:hAnsi="Arial"/>
                <w:sz w:val="10"/>
                <w:szCs w:val="10"/>
                <w:b w:val="1"/>
                <w:bCs w:val="1"/>
                <w:color w:val="auto"/>
                <w:w w:val="93"/>
              </w:rPr>
              <w:t>No. of Shares</w:t>
            </w:r>
          </w:p>
        </w:tc>
        <w:tc>
          <w:tcPr>
            <w:tcW w:w="1100" w:type="dxa"/>
            <w:vAlign w:val="bottom"/>
            <w:gridSpan w:val="2"/>
            <w:vMerge w:val="continue"/>
          </w:tcPr>
          <w:p>
            <w:pPr>
              <w:spacing w:after="0"/>
              <w:rPr>
                <w:sz w:val="9"/>
                <w:szCs w:val="9"/>
                <w:color w:val="auto"/>
              </w:rPr>
            </w:pPr>
          </w:p>
        </w:tc>
        <w:tc>
          <w:tcPr>
            <w:tcW w:w="1080" w:type="dxa"/>
            <w:vAlign w:val="bottom"/>
            <w:gridSpan w:val="2"/>
          </w:tcPr>
          <w:p>
            <w:pPr>
              <w:jc w:val="center"/>
              <w:ind w:right="200"/>
              <w:spacing w:after="0" w:line="108" w:lineRule="exact"/>
              <w:rPr>
                <w:sz w:val="20"/>
                <w:szCs w:val="20"/>
                <w:color w:val="auto"/>
              </w:rPr>
            </w:pPr>
            <w:r>
              <w:rPr>
                <w:rFonts w:ascii="Arial" w:cs="Arial" w:eastAsia="Arial" w:hAnsi="Arial"/>
                <w:sz w:val="10"/>
                <w:szCs w:val="10"/>
                <w:b w:val="1"/>
                <w:bCs w:val="1"/>
                <w:color w:val="auto"/>
                <w:w w:val="95"/>
              </w:rPr>
              <w:t>Rate at</w:t>
            </w:r>
          </w:p>
        </w:tc>
        <w:tc>
          <w:tcPr>
            <w:tcW w:w="100" w:type="dxa"/>
            <w:vAlign w:val="bottom"/>
          </w:tcPr>
          <w:p>
            <w:pPr>
              <w:spacing w:after="0"/>
              <w:rPr>
                <w:sz w:val="9"/>
                <w:szCs w:val="9"/>
                <w:color w:val="auto"/>
              </w:rPr>
            </w:pPr>
          </w:p>
        </w:tc>
        <w:tc>
          <w:tcPr>
            <w:tcW w:w="1000" w:type="dxa"/>
            <w:vAlign w:val="bottom"/>
            <w:gridSpan w:val="2"/>
            <w:vMerge w:val="continue"/>
          </w:tcPr>
          <w:p>
            <w:pPr>
              <w:spacing w:after="0"/>
              <w:rPr>
                <w:sz w:val="9"/>
                <w:szCs w:val="9"/>
                <w:color w:val="auto"/>
              </w:rPr>
            </w:pPr>
          </w:p>
        </w:tc>
        <w:tc>
          <w:tcPr>
            <w:tcW w:w="58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420" w:type="dxa"/>
            <w:vAlign w:val="bottom"/>
            <w:vMerge w:val="restart"/>
          </w:tcPr>
          <w:p>
            <w:pPr>
              <w:spacing w:after="0"/>
              <w:rPr>
                <w:sz w:val="20"/>
                <w:szCs w:val="20"/>
                <w:color w:val="auto"/>
              </w:rPr>
            </w:pPr>
            <w:r>
              <w:rPr>
                <w:rFonts w:ascii="Arial" w:cs="Arial" w:eastAsia="Arial" w:hAnsi="Arial"/>
                <w:sz w:val="10"/>
                <w:szCs w:val="10"/>
                <w:b w:val="1"/>
                <w:bCs w:val="1"/>
                <w:color w:val="auto"/>
              </w:rPr>
              <w:t>Company/Stock</w:t>
            </w:r>
          </w:p>
        </w:tc>
        <w:tc>
          <w:tcPr>
            <w:tcW w:w="1720" w:type="dxa"/>
            <w:vAlign w:val="bottom"/>
          </w:tcPr>
          <w:p>
            <w:pPr>
              <w:spacing w:after="0"/>
              <w:rPr>
                <w:sz w:val="9"/>
                <w:szCs w:val="9"/>
                <w:color w:val="auto"/>
              </w:rPr>
            </w:pPr>
          </w:p>
        </w:tc>
        <w:tc>
          <w:tcPr>
            <w:tcW w:w="1700" w:type="dxa"/>
            <w:vAlign w:val="bottom"/>
            <w:vMerge w:val="restart"/>
          </w:tcPr>
          <w:p>
            <w:pPr>
              <w:jc w:val="right"/>
              <w:ind w:right="512"/>
              <w:spacing w:after="0"/>
              <w:rPr>
                <w:sz w:val="20"/>
                <w:szCs w:val="20"/>
                <w:color w:val="auto"/>
              </w:rPr>
            </w:pPr>
            <w:r>
              <w:rPr>
                <w:rFonts w:ascii="Arial" w:cs="Arial" w:eastAsia="Arial" w:hAnsi="Arial"/>
                <w:sz w:val="10"/>
                <w:szCs w:val="10"/>
                <w:b w:val="1"/>
                <w:bCs w:val="1"/>
                <w:color w:val="auto"/>
              </w:rPr>
              <w:t>Associated</w:t>
            </w:r>
          </w:p>
        </w:tc>
        <w:tc>
          <w:tcPr>
            <w:tcW w:w="1280" w:type="dxa"/>
            <w:vAlign w:val="bottom"/>
            <w:gridSpan w:val="2"/>
            <w:vMerge w:val="continue"/>
          </w:tcPr>
          <w:p>
            <w:pPr>
              <w:spacing w:after="0"/>
              <w:rPr>
                <w:sz w:val="9"/>
                <w:szCs w:val="9"/>
                <w:color w:val="auto"/>
              </w:rPr>
            </w:pPr>
          </w:p>
        </w:tc>
        <w:tc>
          <w:tcPr>
            <w:tcW w:w="1100" w:type="dxa"/>
            <w:vAlign w:val="bottom"/>
            <w:gridSpan w:val="2"/>
          </w:tcPr>
          <w:p>
            <w:pPr>
              <w:jc w:val="center"/>
              <w:ind w:right="200"/>
              <w:spacing w:after="0" w:line="108" w:lineRule="exact"/>
              <w:rPr>
                <w:sz w:val="20"/>
                <w:szCs w:val="20"/>
                <w:color w:val="auto"/>
              </w:rPr>
            </w:pPr>
            <w:r>
              <w:rPr>
                <w:rFonts w:ascii="Arial" w:cs="Arial" w:eastAsia="Arial" w:hAnsi="Arial"/>
                <w:sz w:val="10"/>
                <w:szCs w:val="10"/>
                <w:b w:val="1"/>
                <w:bCs w:val="1"/>
                <w:color w:val="auto"/>
                <w:w w:val="95"/>
              </w:rPr>
              <w:t>December</w:t>
            </w:r>
          </w:p>
        </w:tc>
        <w:tc>
          <w:tcPr>
            <w:tcW w:w="1080" w:type="dxa"/>
            <w:vAlign w:val="bottom"/>
            <w:gridSpan w:val="2"/>
          </w:tcPr>
          <w:p>
            <w:pPr>
              <w:jc w:val="center"/>
              <w:ind w:right="200"/>
              <w:spacing w:after="0" w:line="108" w:lineRule="exact"/>
              <w:rPr>
                <w:sz w:val="20"/>
                <w:szCs w:val="20"/>
                <w:color w:val="auto"/>
              </w:rPr>
            </w:pPr>
            <w:r>
              <w:rPr>
                <w:rFonts w:ascii="Arial" w:cs="Arial" w:eastAsia="Arial" w:hAnsi="Arial"/>
                <w:sz w:val="10"/>
                <w:szCs w:val="10"/>
                <w:b w:val="1"/>
                <w:bCs w:val="1"/>
                <w:color w:val="auto"/>
                <w:w w:val="92"/>
              </w:rPr>
              <w:t>December 31,</w:t>
            </w:r>
          </w:p>
        </w:tc>
        <w:tc>
          <w:tcPr>
            <w:tcW w:w="100" w:type="dxa"/>
            <w:vAlign w:val="bottom"/>
          </w:tcPr>
          <w:p>
            <w:pPr>
              <w:spacing w:after="0"/>
              <w:rPr>
                <w:sz w:val="9"/>
                <w:szCs w:val="9"/>
                <w:color w:val="auto"/>
              </w:rPr>
            </w:pPr>
          </w:p>
        </w:tc>
        <w:tc>
          <w:tcPr>
            <w:tcW w:w="1000" w:type="dxa"/>
            <w:vAlign w:val="bottom"/>
            <w:gridSpan w:val="2"/>
          </w:tcPr>
          <w:p>
            <w:pPr>
              <w:jc w:val="center"/>
              <w:ind w:right="300"/>
              <w:spacing w:after="0" w:line="108" w:lineRule="exact"/>
              <w:rPr>
                <w:sz w:val="20"/>
                <w:szCs w:val="20"/>
                <w:color w:val="auto"/>
              </w:rPr>
            </w:pPr>
            <w:r>
              <w:rPr>
                <w:rFonts w:ascii="Arial" w:cs="Arial" w:eastAsia="Arial" w:hAnsi="Arial"/>
                <w:sz w:val="10"/>
                <w:szCs w:val="10"/>
                <w:b w:val="1"/>
                <w:bCs w:val="1"/>
                <w:color w:val="auto"/>
                <w:w w:val="94"/>
              </w:rPr>
              <w:t>in USD at</w:t>
            </w:r>
          </w:p>
        </w:tc>
        <w:tc>
          <w:tcPr>
            <w:tcW w:w="580" w:type="dxa"/>
            <w:vAlign w:val="bottom"/>
            <w:gridSpan w:val="2"/>
          </w:tcPr>
          <w:p>
            <w:pPr>
              <w:jc w:val="center"/>
              <w:ind w:right="100"/>
              <w:spacing w:after="0" w:line="108" w:lineRule="exact"/>
              <w:rPr>
                <w:sz w:val="20"/>
                <w:szCs w:val="20"/>
                <w:color w:val="auto"/>
              </w:rPr>
            </w:pPr>
            <w:r>
              <w:rPr>
                <w:rFonts w:ascii="Arial" w:cs="Arial" w:eastAsia="Arial" w:hAnsi="Arial"/>
                <w:sz w:val="10"/>
                <w:szCs w:val="10"/>
                <w:b w:val="1"/>
                <w:bCs w:val="1"/>
                <w:color w:val="auto"/>
              </w:rPr>
              <w:t>Future</w:t>
            </w:r>
          </w:p>
        </w:tc>
        <w:tc>
          <w:tcPr>
            <w:tcW w:w="0" w:type="dxa"/>
            <w:vAlign w:val="bottom"/>
          </w:tcPr>
          <w:p>
            <w:pPr>
              <w:spacing w:after="0"/>
              <w:rPr>
                <w:sz w:val="1"/>
                <w:szCs w:val="1"/>
                <w:color w:val="auto"/>
              </w:rPr>
            </w:pPr>
          </w:p>
        </w:tc>
      </w:tr>
      <w:tr>
        <w:trPr>
          <w:trHeight w:val="108"/>
        </w:trPr>
        <w:tc>
          <w:tcPr>
            <w:tcW w:w="1420" w:type="dxa"/>
            <w:vAlign w:val="bottom"/>
            <w:vMerge w:val="continue"/>
          </w:tcPr>
          <w:p>
            <w:pPr>
              <w:spacing w:after="0"/>
              <w:rPr>
                <w:sz w:val="9"/>
                <w:szCs w:val="9"/>
                <w:color w:val="auto"/>
              </w:rPr>
            </w:pPr>
          </w:p>
        </w:tc>
        <w:tc>
          <w:tcPr>
            <w:tcW w:w="1720" w:type="dxa"/>
            <w:vAlign w:val="bottom"/>
          </w:tcPr>
          <w:p>
            <w:pPr>
              <w:spacing w:after="0"/>
              <w:rPr>
                <w:sz w:val="9"/>
                <w:szCs w:val="9"/>
                <w:color w:val="auto"/>
              </w:rPr>
            </w:pPr>
          </w:p>
        </w:tc>
        <w:tc>
          <w:tcPr>
            <w:tcW w:w="1700" w:type="dxa"/>
            <w:vAlign w:val="bottom"/>
            <w:vMerge w:val="continue"/>
          </w:tcPr>
          <w:p>
            <w:pPr>
              <w:spacing w:after="0"/>
              <w:rPr>
                <w:sz w:val="9"/>
                <w:szCs w:val="9"/>
                <w:color w:val="auto"/>
              </w:rPr>
            </w:pPr>
          </w:p>
        </w:tc>
        <w:tc>
          <w:tcPr>
            <w:tcW w:w="1280" w:type="dxa"/>
            <w:vAlign w:val="bottom"/>
            <w:gridSpan w:val="2"/>
          </w:tcPr>
          <w:p>
            <w:pPr>
              <w:jc w:val="center"/>
              <w:ind w:right="200"/>
              <w:spacing w:after="0" w:line="108" w:lineRule="exact"/>
              <w:rPr>
                <w:sz w:val="20"/>
                <w:szCs w:val="20"/>
                <w:color w:val="auto"/>
              </w:rPr>
            </w:pPr>
            <w:r>
              <w:rPr>
                <w:rFonts w:ascii="Arial" w:cs="Arial" w:eastAsia="Arial" w:hAnsi="Arial"/>
                <w:sz w:val="10"/>
                <w:szCs w:val="10"/>
                <w:b w:val="1"/>
                <w:bCs w:val="1"/>
                <w:color w:val="auto"/>
                <w:w w:val="93"/>
              </w:rPr>
              <w:t>at December 31,</w:t>
            </w:r>
          </w:p>
        </w:tc>
        <w:tc>
          <w:tcPr>
            <w:tcW w:w="1100" w:type="dxa"/>
            <w:vAlign w:val="bottom"/>
            <w:gridSpan w:val="2"/>
          </w:tcPr>
          <w:p>
            <w:pPr>
              <w:jc w:val="center"/>
              <w:ind w:right="200"/>
              <w:spacing w:after="0" w:line="108" w:lineRule="exact"/>
              <w:rPr>
                <w:sz w:val="20"/>
                <w:szCs w:val="20"/>
                <w:color w:val="auto"/>
              </w:rPr>
            </w:pPr>
            <w:r>
              <w:rPr>
                <w:rFonts w:ascii="Arial" w:cs="Arial" w:eastAsia="Arial" w:hAnsi="Arial"/>
                <w:sz w:val="10"/>
                <w:szCs w:val="10"/>
                <w:b w:val="1"/>
                <w:bCs w:val="1"/>
                <w:color w:val="auto"/>
                <w:w w:val="96"/>
              </w:rPr>
              <w:t>31,2005 in</w:t>
            </w:r>
          </w:p>
        </w:tc>
        <w:tc>
          <w:tcPr>
            <w:tcW w:w="88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89"/>
              </w:rPr>
              <w:t>2005</w:t>
            </w: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gridSpan w:val="2"/>
          </w:tcPr>
          <w:p>
            <w:pPr>
              <w:jc w:val="center"/>
              <w:ind w:right="300"/>
              <w:spacing w:after="0" w:line="108" w:lineRule="exact"/>
              <w:rPr>
                <w:sz w:val="20"/>
                <w:szCs w:val="20"/>
                <w:color w:val="auto"/>
              </w:rPr>
            </w:pPr>
            <w:r>
              <w:rPr>
                <w:rFonts w:ascii="Arial" w:cs="Arial" w:eastAsia="Arial" w:hAnsi="Arial"/>
                <w:sz w:val="10"/>
                <w:szCs w:val="10"/>
                <w:b w:val="1"/>
                <w:bCs w:val="1"/>
                <w:color w:val="auto"/>
                <w:w w:val="95"/>
              </w:rPr>
              <w:t>December 31,</w:t>
            </w:r>
          </w:p>
        </w:tc>
        <w:tc>
          <w:tcPr>
            <w:tcW w:w="580" w:type="dxa"/>
            <w:vAlign w:val="bottom"/>
            <w:gridSpan w:val="2"/>
          </w:tcPr>
          <w:p>
            <w:pPr>
              <w:jc w:val="center"/>
              <w:ind w:right="100"/>
              <w:spacing w:after="0" w:line="108" w:lineRule="exact"/>
              <w:rPr>
                <w:sz w:val="20"/>
                <w:szCs w:val="20"/>
                <w:color w:val="auto"/>
              </w:rPr>
            </w:pPr>
            <w:r>
              <w:rPr>
                <w:rFonts w:ascii="Arial" w:cs="Arial" w:eastAsia="Arial" w:hAnsi="Arial"/>
                <w:sz w:val="10"/>
                <w:szCs w:val="10"/>
                <w:b w:val="1"/>
                <w:bCs w:val="1"/>
                <w:color w:val="auto"/>
                <w:w w:val="97"/>
              </w:rPr>
              <w:t>Cash</w:t>
            </w:r>
          </w:p>
        </w:tc>
        <w:tc>
          <w:tcPr>
            <w:tcW w:w="0" w:type="dxa"/>
            <w:vAlign w:val="bottom"/>
          </w:tcPr>
          <w:p>
            <w:pPr>
              <w:spacing w:after="0"/>
              <w:rPr>
                <w:sz w:val="1"/>
                <w:szCs w:val="1"/>
                <w:color w:val="auto"/>
              </w:rPr>
            </w:pPr>
          </w:p>
        </w:tc>
      </w:tr>
      <w:tr>
        <w:trPr>
          <w:trHeight w:val="135"/>
        </w:trPr>
        <w:tc>
          <w:tcPr>
            <w:tcW w:w="1420" w:type="dxa"/>
            <w:vAlign w:val="bottom"/>
          </w:tcPr>
          <w:p>
            <w:pPr>
              <w:spacing w:after="0"/>
              <w:rPr>
                <w:sz w:val="20"/>
                <w:szCs w:val="20"/>
                <w:color w:val="auto"/>
              </w:rPr>
            </w:pPr>
            <w:r>
              <w:rPr>
                <w:rFonts w:ascii="Arial" w:cs="Arial" w:eastAsia="Arial" w:hAnsi="Arial"/>
                <w:sz w:val="10"/>
                <w:szCs w:val="10"/>
                <w:b w:val="1"/>
                <w:bCs w:val="1"/>
                <w:color w:val="auto"/>
              </w:rPr>
              <w:t>Symbol</w:t>
            </w:r>
          </w:p>
        </w:tc>
        <w:tc>
          <w:tcPr>
            <w:tcW w:w="1720" w:type="dxa"/>
            <w:vAlign w:val="bottom"/>
          </w:tcPr>
          <w:p>
            <w:pPr>
              <w:ind w:left="1100"/>
              <w:spacing w:after="0"/>
              <w:rPr>
                <w:sz w:val="20"/>
                <w:szCs w:val="20"/>
                <w:color w:val="auto"/>
              </w:rPr>
            </w:pPr>
            <w:r>
              <w:rPr>
                <w:rFonts w:ascii="Arial" w:cs="Arial" w:eastAsia="Arial" w:hAnsi="Arial"/>
                <w:sz w:val="10"/>
                <w:szCs w:val="10"/>
                <w:b w:val="1"/>
                <w:bCs w:val="1"/>
                <w:color w:val="auto"/>
              </w:rPr>
              <w:t>Exchange</w:t>
            </w:r>
          </w:p>
        </w:tc>
        <w:tc>
          <w:tcPr>
            <w:tcW w:w="1700" w:type="dxa"/>
            <w:vAlign w:val="bottom"/>
          </w:tcPr>
          <w:p>
            <w:pPr>
              <w:jc w:val="right"/>
              <w:ind w:right="512"/>
              <w:spacing w:after="0"/>
              <w:rPr>
                <w:sz w:val="20"/>
                <w:szCs w:val="20"/>
                <w:color w:val="auto"/>
              </w:rPr>
            </w:pPr>
            <w:r>
              <w:rPr>
                <w:rFonts w:ascii="Arial" w:cs="Arial" w:eastAsia="Arial" w:hAnsi="Arial"/>
                <w:sz w:val="10"/>
                <w:szCs w:val="10"/>
                <w:b w:val="1"/>
                <w:bCs w:val="1"/>
                <w:color w:val="auto"/>
              </w:rPr>
              <w:t>Risks</w:t>
            </w:r>
          </w:p>
        </w:tc>
        <w:tc>
          <w:tcPr>
            <w:tcW w:w="1080" w:type="dxa"/>
            <w:vAlign w:val="bottom"/>
          </w:tcPr>
          <w:p>
            <w:pPr>
              <w:jc w:val="center"/>
              <w:spacing w:after="0"/>
              <w:rPr>
                <w:sz w:val="20"/>
                <w:szCs w:val="20"/>
                <w:color w:val="auto"/>
              </w:rPr>
            </w:pPr>
            <w:r>
              <w:rPr>
                <w:rFonts w:ascii="Arial" w:cs="Arial" w:eastAsia="Arial" w:hAnsi="Arial"/>
                <w:sz w:val="10"/>
                <w:szCs w:val="10"/>
                <w:b w:val="1"/>
                <w:bCs w:val="1"/>
                <w:color w:val="auto"/>
                <w:w w:val="89"/>
              </w:rPr>
              <w:t>2005</w:t>
            </w:r>
          </w:p>
        </w:tc>
        <w:tc>
          <w:tcPr>
            <w:tcW w:w="200" w:type="dxa"/>
            <w:vAlign w:val="bottom"/>
          </w:tcPr>
          <w:p>
            <w:pPr>
              <w:spacing w:after="0"/>
              <w:rPr>
                <w:sz w:val="11"/>
                <w:szCs w:val="11"/>
                <w:color w:val="auto"/>
              </w:rPr>
            </w:pPr>
          </w:p>
        </w:tc>
        <w:tc>
          <w:tcPr>
            <w:tcW w:w="1100" w:type="dxa"/>
            <w:vAlign w:val="bottom"/>
            <w:gridSpan w:val="2"/>
          </w:tcPr>
          <w:p>
            <w:pPr>
              <w:jc w:val="center"/>
              <w:ind w:right="200"/>
              <w:spacing w:after="0"/>
              <w:rPr>
                <w:sz w:val="20"/>
                <w:szCs w:val="20"/>
                <w:color w:val="auto"/>
              </w:rPr>
            </w:pPr>
            <w:r>
              <w:rPr>
                <w:rFonts w:ascii="Arial" w:cs="Arial" w:eastAsia="Arial" w:hAnsi="Arial"/>
                <w:sz w:val="10"/>
                <w:szCs w:val="10"/>
                <w:b w:val="1"/>
                <w:bCs w:val="1"/>
                <w:color w:val="auto"/>
              </w:rPr>
              <w:t>GBP (£)</w:t>
            </w:r>
          </w:p>
        </w:tc>
        <w:tc>
          <w:tcPr>
            <w:tcW w:w="1080" w:type="dxa"/>
            <w:vAlign w:val="bottom"/>
            <w:gridSpan w:val="2"/>
          </w:tcPr>
          <w:p>
            <w:pPr>
              <w:jc w:val="center"/>
              <w:ind w:right="200"/>
              <w:spacing w:after="0"/>
              <w:rPr>
                <w:sz w:val="20"/>
                <w:szCs w:val="20"/>
                <w:color w:val="auto"/>
              </w:rPr>
            </w:pPr>
            <w:r>
              <w:rPr>
                <w:rFonts w:ascii="Arial" w:cs="Arial" w:eastAsia="Arial" w:hAnsi="Arial"/>
                <w:sz w:val="10"/>
                <w:szCs w:val="10"/>
                <w:b w:val="1"/>
                <w:bCs w:val="1"/>
                <w:color w:val="auto"/>
                <w:w w:val="95"/>
              </w:rPr>
              <w:t>1 GBP = USD</w:t>
            </w:r>
          </w:p>
        </w:tc>
        <w:tc>
          <w:tcPr>
            <w:tcW w:w="100" w:type="dxa"/>
            <w:vAlign w:val="bottom"/>
          </w:tcPr>
          <w:p>
            <w:pPr>
              <w:spacing w:after="0"/>
              <w:rPr>
                <w:sz w:val="11"/>
                <w:szCs w:val="11"/>
                <w:color w:val="auto"/>
              </w:rPr>
            </w:pPr>
          </w:p>
        </w:tc>
        <w:tc>
          <w:tcPr>
            <w:tcW w:w="800" w:type="dxa"/>
            <w:vAlign w:val="bottom"/>
          </w:tcPr>
          <w:p>
            <w:pPr>
              <w:jc w:val="center"/>
              <w:ind w:right="49"/>
              <w:spacing w:after="0"/>
              <w:rPr>
                <w:sz w:val="20"/>
                <w:szCs w:val="20"/>
                <w:color w:val="auto"/>
              </w:rPr>
            </w:pPr>
            <w:r>
              <w:rPr>
                <w:rFonts w:ascii="Arial" w:cs="Arial" w:eastAsia="Arial" w:hAnsi="Arial"/>
                <w:sz w:val="10"/>
                <w:szCs w:val="10"/>
                <w:b w:val="1"/>
                <w:bCs w:val="1"/>
                <w:color w:val="auto"/>
                <w:w w:val="98"/>
              </w:rPr>
              <w:t>2005</w:t>
            </w:r>
          </w:p>
        </w:tc>
        <w:tc>
          <w:tcPr>
            <w:tcW w:w="200" w:type="dxa"/>
            <w:vAlign w:val="bottom"/>
          </w:tcPr>
          <w:p>
            <w:pPr>
              <w:spacing w:after="0"/>
              <w:rPr>
                <w:sz w:val="11"/>
                <w:szCs w:val="11"/>
                <w:color w:val="auto"/>
              </w:rPr>
            </w:pPr>
          </w:p>
        </w:tc>
        <w:tc>
          <w:tcPr>
            <w:tcW w:w="58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w w:val="98"/>
              </w:rPr>
              <w:t>Flows</w:t>
            </w:r>
          </w:p>
        </w:tc>
        <w:tc>
          <w:tcPr>
            <w:tcW w:w="0" w:type="dxa"/>
            <w:vAlign w:val="bottom"/>
          </w:tcPr>
          <w:p>
            <w:pPr>
              <w:spacing w:after="0"/>
              <w:rPr>
                <w:sz w:val="1"/>
                <w:szCs w:val="1"/>
                <w:color w:val="auto"/>
              </w:rPr>
            </w:pPr>
          </w:p>
        </w:tc>
      </w:tr>
      <w:tr>
        <w:trPr>
          <w:trHeight w:val="29"/>
        </w:trPr>
        <w:tc>
          <w:tcPr>
            <w:tcW w:w="14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8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80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87"/>
        </w:trPr>
        <w:tc>
          <w:tcPr>
            <w:tcW w:w="1420" w:type="dxa"/>
            <w:vAlign w:val="bottom"/>
            <w:shd w:val="clear" w:color="auto" w:fill="CCEEFF"/>
          </w:tcPr>
          <w:p>
            <w:pPr>
              <w:spacing w:after="0" w:line="88" w:lineRule="exact"/>
              <w:rPr>
                <w:sz w:val="20"/>
                <w:szCs w:val="20"/>
                <w:color w:val="auto"/>
              </w:rPr>
            </w:pPr>
            <w:r>
              <w:rPr>
                <w:rFonts w:ascii="Arial" w:cs="Arial" w:eastAsia="Arial" w:hAnsi="Arial"/>
                <w:sz w:val="9"/>
                <w:szCs w:val="9"/>
                <w:color w:val="auto"/>
              </w:rPr>
              <w:t>ReNeuron Group plc/RENE</w:t>
            </w:r>
          </w:p>
        </w:tc>
        <w:tc>
          <w:tcPr>
            <w:tcW w:w="1720" w:type="dxa"/>
            <w:vAlign w:val="bottom"/>
            <w:shd w:val="clear" w:color="auto" w:fill="CCEEFF"/>
          </w:tcPr>
          <w:p>
            <w:pPr>
              <w:ind w:left="400"/>
              <w:spacing w:after="0" w:line="88" w:lineRule="exact"/>
              <w:rPr>
                <w:sz w:val="20"/>
                <w:szCs w:val="20"/>
                <w:color w:val="auto"/>
              </w:rPr>
            </w:pPr>
            <w:r>
              <w:rPr>
                <w:rFonts w:ascii="Arial" w:cs="Arial" w:eastAsia="Arial" w:hAnsi="Arial"/>
                <w:sz w:val="9"/>
                <w:szCs w:val="9"/>
                <w:color w:val="auto"/>
              </w:rPr>
              <w:t>AIM (AIM is</w:t>
            </w:r>
          </w:p>
        </w:tc>
        <w:tc>
          <w:tcPr>
            <w:tcW w:w="1700" w:type="dxa"/>
            <w:vAlign w:val="bottom"/>
            <w:shd w:val="clear" w:color="auto" w:fill="CCEEFF"/>
          </w:tcPr>
          <w:p>
            <w:pPr>
              <w:spacing w:after="0"/>
              <w:rPr>
                <w:sz w:val="7"/>
                <w:szCs w:val="7"/>
                <w:color w:val="auto"/>
              </w:rPr>
            </w:pPr>
          </w:p>
        </w:tc>
        <w:tc>
          <w:tcPr>
            <w:tcW w:w="108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90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88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80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98"/>
        </w:trPr>
        <w:tc>
          <w:tcPr>
            <w:tcW w:w="1420" w:type="dxa"/>
            <w:vAlign w:val="bottom"/>
            <w:shd w:val="clear" w:color="auto" w:fill="CCEEFF"/>
          </w:tcPr>
          <w:p>
            <w:pPr>
              <w:spacing w:after="0"/>
              <w:rPr>
                <w:sz w:val="8"/>
                <w:szCs w:val="8"/>
                <w:color w:val="auto"/>
              </w:rPr>
            </w:pPr>
          </w:p>
        </w:tc>
        <w:tc>
          <w:tcPr>
            <w:tcW w:w="1720" w:type="dxa"/>
            <w:vAlign w:val="bottom"/>
            <w:shd w:val="clear" w:color="auto" w:fill="CCEEFF"/>
          </w:tcPr>
          <w:p>
            <w:pPr>
              <w:ind w:left="400"/>
              <w:spacing w:after="0" w:line="98" w:lineRule="exact"/>
              <w:rPr>
                <w:sz w:val="20"/>
                <w:szCs w:val="20"/>
                <w:color w:val="auto"/>
              </w:rPr>
            </w:pPr>
            <w:r>
              <w:rPr>
                <w:rFonts w:ascii="Arial" w:cs="Arial" w:eastAsia="Arial" w:hAnsi="Arial"/>
                <w:sz w:val="9"/>
                <w:szCs w:val="9"/>
                <w:color w:val="auto"/>
              </w:rPr>
              <w:t>the London Stock</w:t>
            </w:r>
          </w:p>
        </w:tc>
        <w:tc>
          <w:tcPr>
            <w:tcW w:w="1700" w:type="dxa"/>
            <w:vAlign w:val="bottom"/>
            <w:shd w:val="clear" w:color="auto" w:fill="CCEEFF"/>
          </w:tcPr>
          <w:p>
            <w:pPr>
              <w:ind w:left="200"/>
              <w:spacing w:after="0" w:line="98" w:lineRule="exact"/>
              <w:rPr>
                <w:sz w:val="20"/>
                <w:szCs w:val="20"/>
                <w:color w:val="auto"/>
              </w:rPr>
            </w:pPr>
            <w:r>
              <w:rPr>
                <w:rFonts w:ascii="Arial" w:cs="Arial" w:eastAsia="Arial" w:hAnsi="Arial"/>
                <w:sz w:val="9"/>
                <w:szCs w:val="9"/>
                <w:color w:val="auto"/>
              </w:rPr>
              <w:t>• Lower share price</w:t>
            </w:r>
          </w:p>
        </w:tc>
        <w:tc>
          <w:tcPr>
            <w:tcW w:w="108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88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1420" w:type="dxa"/>
            <w:vAlign w:val="bottom"/>
            <w:shd w:val="clear" w:color="auto" w:fill="CCEEFF"/>
          </w:tcPr>
          <w:p>
            <w:pPr>
              <w:spacing w:after="0"/>
              <w:rPr>
                <w:sz w:val="8"/>
                <w:szCs w:val="8"/>
                <w:color w:val="auto"/>
              </w:rPr>
            </w:pPr>
          </w:p>
        </w:tc>
        <w:tc>
          <w:tcPr>
            <w:tcW w:w="1720" w:type="dxa"/>
            <w:vAlign w:val="bottom"/>
            <w:shd w:val="clear" w:color="auto" w:fill="CCEEFF"/>
          </w:tcPr>
          <w:p>
            <w:pPr>
              <w:ind w:left="400"/>
              <w:spacing w:after="0" w:line="98" w:lineRule="exact"/>
              <w:rPr>
                <w:sz w:val="20"/>
                <w:szCs w:val="20"/>
                <w:color w:val="auto"/>
              </w:rPr>
            </w:pPr>
            <w:r>
              <w:rPr>
                <w:rFonts w:ascii="Arial" w:cs="Arial" w:eastAsia="Arial" w:hAnsi="Arial"/>
                <w:sz w:val="9"/>
                <w:szCs w:val="9"/>
                <w:color w:val="auto"/>
              </w:rPr>
              <w:t>Exchange’s</w:t>
            </w:r>
          </w:p>
        </w:tc>
        <w:tc>
          <w:tcPr>
            <w:tcW w:w="1700" w:type="dxa"/>
            <w:vAlign w:val="bottom"/>
            <w:shd w:val="clear" w:color="auto" w:fill="CCEEFF"/>
          </w:tcPr>
          <w:p>
            <w:pPr>
              <w:ind w:left="260"/>
              <w:spacing w:after="0" w:line="98" w:lineRule="exact"/>
              <w:rPr>
                <w:sz w:val="20"/>
                <w:szCs w:val="20"/>
                <w:color w:val="auto"/>
              </w:rPr>
            </w:pPr>
            <w:r>
              <w:rPr>
                <w:rFonts w:ascii="Arial" w:cs="Arial" w:eastAsia="Arial" w:hAnsi="Arial"/>
                <w:sz w:val="9"/>
                <w:szCs w:val="9"/>
                <w:color w:val="auto"/>
              </w:rPr>
              <w:t>• Foreign currencytranslation</w:t>
            </w:r>
          </w:p>
        </w:tc>
        <w:tc>
          <w:tcPr>
            <w:tcW w:w="108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88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1420" w:type="dxa"/>
            <w:vAlign w:val="bottom"/>
            <w:shd w:val="clear" w:color="auto" w:fill="CCEEFF"/>
          </w:tcPr>
          <w:p>
            <w:pPr>
              <w:spacing w:after="0"/>
              <w:rPr>
                <w:sz w:val="8"/>
                <w:szCs w:val="8"/>
                <w:color w:val="auto"/>
              </w:rPr>
            </w:pPr>
          </w:p>
        </w:tc>
        <w:tc>
          <w:tcPr>
            <w:tcW w:w="1720" w:type="dxa"/>
            <w:vAlign w:val="bottom"/>
            <w:shd w:val="clear" w:color="auto" w:fill="CCEEFF"/>
          </w:tcPr>
          <w:p>
            <w:pPr>
              <w:ind w:left="400"/>
              <w:spacing w:after="0" w:line="98" w:lineRule="exact"/>
              <w:rPr>
                <w:sz w:val="20"/>
                <w:szCs w:val="20"/>
                <w:color w:val="auto"/>
              </w:rPr>
            </w:pPr>
            <w:r>
              <w:rPr>
                <w:rFonts w:ascii="Arial" w:cs="Arial" w:eastAsia="Arial" w:hAnsi="Arial"/>
                <w:sz w:val="9"/>
                <w:szCs w:val="9"/>
                <w:color w:val="auto"/>
              </w:rPr>
              <w:t>Alternative</w:t>
            </w:r>
          </w:p>
        </w:tc>
        <w:tc>
          <w:tcPr>
            <w:tcW w:w="1700" w:type="dxa"/>
            <w:vAlign w:val="bottom"/>
            <w:shd w:val="clear" w:color="auto" w:fill="CCEEFF"/>
          </w:tcPr>
          <w:p>
            <w:pPr>
              <w:ind w:left="260"/>
              <w:spacing w:after="0" w:line="98" w:lineRule="exact"/>
              <w:rPr>
                <w:sz w:val="20"/>
                <w:szCs w:val="20"/>
                <w:color w:val="auto"/>
              </w:rPr>
            </w:pPr>
            <w:r>
              <w:rPr>
                <w:rFonts w:ascii="Arial" w:cs="Arial" w:eastAsia="Arial" w:hAnsi="Arial"/>
                <w:sz w:val="9"/>
                <w:szCs w:val="9"/>
                <w:color w:val="auto"/>
              </w:rPr>
              <w:t>• Liquidity</w:t>
            </w:r>
          </w:p>
        </w:tc>
        <w:tc>
          <w:tcPr>
            <w:tcW w:w="108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88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09"/>
        </w:trPr>
        <w:tc>
          <w:tcPr>
            <w:tcW w:w="1420" w:type="dxa"/>
            <w:vAlign w:val="bottom"/>
            <w:shd w:val="clear" w:color="auto" w:fill="CCEEFF"/>
          </w:tcPr>
          <w:p>
            <w:pPr>
              <w:spacing w:after="0"/>
              <w:rPr>
                <w:sz w:val="9"/>
                <w:szCs w:val="9"/>
                <w:color w:val="auto"/>
              </w:rPr>
            </w:pPr>
          </w:p>
        </w:tc>
        <w:tc>
          <w:tcPr>
            <w:tcW w:w="1720" w:type="dxa"/>
            <w:vAlign w:val="bottom"/>
            <w:shd w:val="clear" w:color="auto" w:fill="CCEEFF"/>
          </w:tcPr>
          <w:p>
            <w:pPr>
              <w:ind w:left="400"/>
              <w:spacing w:after="0"/>
              <w:rPr>
                <w:sz w:val="20"/>
                <w:szCs w:val="20"/>
                <w:color w:val="auto"/>
              </w:rPr>
            </w:pPr>
            <w:r>
              <w:rPr>
                <w:rFonts w:ascii="Arial" w:cs="Arial" w:eastAsia="Arial" w:hAnsi="Arial"/>
                <w:sz w:val="9"/>
                <w:szCs w:val="9"/>
                <w:color w:val="auto"/>
              </w:rPr>
              <w:t>Investment Market)</w:t>
            </w:r>
          </w:p>
        </w:tc>
        <w:tc>
          <w:tcPr>
            <w:tcW w:w="1700" w:type="dxa"/>
            <w:vAlign w:val="bottom"/>
            <w:shd w:val="clear" w:color="auto" w:fill="CCEEFF"/>
          </w:tcPr>
          <w:p>
            <w:pPr>
              <w:ind w:left="260"/>
              <w:spacing w:after="0"/>
              <w:rPr>
                <w:sz w:val="20"/>
                <w:szCs w:val="20"/>
                <w:color w:val="auto"/>
              </w:rPr>
            </w:pPr>
            <w:r>
              <w:rPr>
                <w:rFonts w:ascii="Arial" w:cs="Arial" w:eastAsia="Arial" w:hAnsi="Arial"/>
                <w:sz w:val="9"/>
                <w:szCs w:val="9"/>
                <w:color w:val="auto"/>
              </w:rPr>
              <w:t>• Bankruptcy</w:t>
            </w: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9"/>
                <w:szCs w:val="9"/>
                <w:color w:val="auto"/>
              </w:rPr>
              <w:t>8,835,629</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9"/>
                <w:szCs w:val="9"/>
                <w:color w:val="auto"/>
              </w:rPr>
              <w:t>0.245</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9"/>
                <w:szCs w:val="9"/>
                <w:color w:val="auto"/>
              </w:rPr>
              <w:t>1.7188</w:t>
            </w: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9"/>
                <w:szCs w:val="9"/>
                <w:color w:val="auto"/>
              </w:rPr>
              <w:t>3,720,794</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9"/>
                <w:szCs w:val="9"/>
                <w:color w:val="auto"/>
              </w:rPr>
              <w:t>(1)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-342900</wp:posOffset>
            </wp:positionV>
            <wp:extent cx="12700" cy="63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2027555</wp:posOffset>
            </wp:positionH>
            <wp:positionV relativeFrom="paragraph">
              <wp:posOffset>-342900</wp:posOffset>
            </wp:positionV>
            <wp:extent cx="6350" cy="63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2988945</wp:posOffset>
            </wp:positionH>
            <wp:positionV relativeFrom="paragraph">
              <wp:posOffset>-342900</wp:posOffset>
            </wp:positionV>
            <wp:extent cx="6350" cy="63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436245</wp:posOffset>
            </wp:positionH>
            <wp:positionV relativeFrom="paragraph">
              <wp:posOffset>62230</wp:posOffset>
            </wp:positionV>
            <wp:extent cx="823595" cy="63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823595" cy="6350"/>
                    </a:xfrm>
                    <a:prstGeom prst="rect">
                      <a:avLst/>
                    </a:prstGeom>
                    <a:noFill/>
                  </pic:spPr>
                </pic:pic>
              </a:graphicData>
            </a:graphic>
          </wp:anchor>
        </w:drawing>
      </w:r>
    </w:p>
    <w:p>
      <w:pPr>
        <w:spacing w:after="0" w:line="128" w:lineRule="exact"/>
        <w:rPr>
          <w:sz w:val="20"/>
          <w:szCs w:val="20"/>
          <w:color w:val="auto"/>
        </w:rPr>
      </w:pPr>
    </w:p>
    <w:p>
      <w:pPr>
        <w:ind w:left="1000" w:right="80" w:hanging="259"/>
        <w:spacing w:after="0" w:line="264" w:lineRule="auto"/>
        <w:tabs>
          <w:tab w:leader="none" w:pos="1000" w:val="left"/>
        </w:tabs>
        <w:numPr>
          <w:ilvl w:val="0"/>
          <w:numId w:val="25"/>
        </w:numPr>
        <w:rPr>
          <w:rFonts w:ascii="Arial" w:cs="Arial" w:eastAsia="Arial" w:hAnsi="Arial"/>
          <w:sz w:val="13"/>
          <w:szCs w:val="13"/>
          <w:color w:val="auto"/>
        </w:rPr>
      </w:pPr>
      <w:r>
        <w:rPr>
          <w:rFonts w:ascii="Arial" w:cs="Arial" w:eastAsia="Arial" w:hAnsi="Arial"/>
          <w:sz w:val="13"/>
          <w:szCs w:val="13"/>
          <w:color w:val="auto"/>
        </w:rPr>
        <w:t>We have not formally adopted a liquidation plan for this investment. Liquidation may be necessary in the future to meet operating cash flow requirements. Although we are not legally restricted from selling the stock, the share price is subject to change and the volume traded has been very small since the stock was listed on the AIM on August 12, 2005. The performance of ReNeuron Group plc stock since its listing does not predict its future value.</w:t>
      </w:r>
    </w:p>
    <w:p>
      <w:pPr>
        <w:spacing w:after="0" w:line="264"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45" w:name="page46"/>
    <w:bookmarkEnd w:id="45"/>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jc w:val="center"/>
        <w:ind w:right="-779"/>
        <w:spacing w:after="0"/>
        <w:rPr>
          <w:sz w:val="20"/>
          <w:szCs w:val="20"/>
          <w:color w:val="auto"/>
        </w:rPr>
      </w:pPr>
      <w:r>
        <w:rPr>
          <w:rFonts w:ascii="Arial" w:cs="Arial" w:eastAsia="Arial" w:hAnsi="Arial"/>
          <w:sz w:val="13"/>
          <w:szCs w:val="13"/>
          <w:b w:val="1"/>
          <w:bCs w:val="1"/>
          <w:color w:val="auto"/>
        </w:rPr>
        <w:t>REPORT OF INDEPENDENT REGISTERED PUBLIC ACCOUNTING FIRM</w:t>
      </w:r>
    </w:p>
    <w:p>
      <w:pPr>
        <w:spacing w:after="0" w:line="19" w:lineRule="exact"/>
        <w:rPr>
          <w:sz w:val="20"/>
          <w:szCs w:val="20"/>
          <w:color w:val="auto"/>
        </w:rPr>
      </w:pPr>
    </w:p>
    <w:p>
      <w:pPr>
        <w:jc w:val="center"/>
        <w:ind w:right="-779"/>
        <w:spacing w:after="0"/>
        <w:rPr>
          <w:sz w:val="20"/>
          <w:szCs w:val="20"/>
          <w:color w:val="auto"/>
        </w:rPr>
      </w:pPr>
      <w:r>
        <w:rPr>
          <w:rFonts w:ascii="Arial" w:cs="Arial" w:eastAsia="Arial" w:hAnsi="Arial"/>
          <w:sz w:val="13"/>
          <w:szCs w:val="13"/>
          <w:b w:val="1"/>
          <w:bCs w:val="1"/>
          <w:color w:val="auto"/>
        </w:rPr>
        <w:t>ON INTERNAL CONTROL OVER FINANCIAL REPORTING</w:t>
      </w:r>
    </w:p>
    <w:p>
      <w:pPr>
        <w:spacing w:after="0" w:line="89" w:lineRule="exact"/>
        <w:rPr>
          <w:sz w:val="20"/>
          <w:szCs w:val="20"/>
          <w:color w:val="auto"/>
        </w:rPr>
      </w:pPr>
    </w:p>
    <w:p>
      <w:pPr>
        <w:ind w:left="680"/>
        <w:spacing w:after="0"/>
        <w:rPr>
          <w:sz w:val="20"/>
          <w:szCs w:val="20"/>
          <w:color w:val="auto"/>
        </w:rPr>
      </w:pPr>
      <w:r>
        <w:rPr>
          <w:rFonts w:ascii="Arial" w:cs="Arial" w:eastAsia="Arial" w:hAnsi="Arial"/>
          <w:sz w:val="13"/>
          <w:szCs w:val="13"/>
          <w:color w:val="auto"/>
        </w:rPr>
        <w:t>Board of Directors and Stockholders</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StemCells, Inc.</w:t>
      </w:r>
    </w:p>
    <w:p>
      <w:pPr>
        <w:spacing w:after="0" w:line="69" w:lineRule="exact"/>
        <w:rPr>
          <w:sz w:val="20"/>
          <w:szCs w:val="20"/>
          <w:color w:val="auto"/>
        </w:rPr>
      </w:pPr>
    </w:p>
    <w:p>
      <w:pPr>
        <w:ind w:left="680" w:right="40" w:firstLine="399"/>
        <w:spacing w:after="0" w:line="258" w:lineRule="auto"/>
        <w:rPr>
          <w:sz w:val="20"/>
          <w:szCs w:val="20"/>
          <w:color w:val="auto"/>
        </w:rPr>
      </w:pPr>
      <w:r>
        <w:rPr>
          <w:rFonts w:ascii="Arial" w:cs="Arial" w:eastAsia="Arial" w:hAnsi="Arial"/>
          <w:sz w:val="13"/>
          <w:szCs w:val="13"/>
          <w:color w:val="auto"/>
        </w:rPr>
        <w:t>We have audited management’s assessment, included in the accompanying Management’s Report on Internal Control Over Financial Reporting as of December 31, 2005, that the Company maintained effective internal control over financial reporting as of December 31, 2005, based on criteria established in Internal Control — Integrated Framework issued by the Committee of Sponsoring Organizations of the Treadway Commission (COSO). The Company’s management is responsible for maintaining effective internal control over financial reporting, and for its assessment of the effectiveness of internal control over financial reporting. Our responsibility is to express an opinion on management’s assessment, and an opinion on the effectiveness of the Company’s internal control over financial reporting based on our audit.</w:t>
      </w:r>
    </w:p>
    <w:p>
      <w:pPr>
        <w:spacing w:after="0" w:line="42" w:lineRule="exact"/>
        <w:rPr>
          <w:sz w:val="20"/>
          <w:szCs w:val="20"/>
          <w:color w:val="auto"/>
        </w:rPr>
      </w:pPr>
    </w:p>
    <w:p>
      <w:pPr>
        <w:ind w:left="680" w:firstLine="399"/>
        <w:spacing w:after="0" w:line="289" w:lineRule="auto"/>
        <w:rPr>
          <w:sz w:val="20"/>
          <w:szCs w:val="20"/>
          <w:color w:val="auto"/>
        </w:rPr>
      </w:pPr>
      <w:r>
        <w:rPr>
          <w:rFonts w:ascii="Arial" w:cs="Arial" w:eastAsia="Arial" w:hAnsi="Arial"/>
          <w:sz w:val="12"/>
          <w:szCs w:val="12"/>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of internal control included obtaining an understanding of internal control over financial reporting, evaluating management’s assessment, testing and evaluating the design and operating effectiveness of internal control, and performing such other procedures as we considered necessary in the circumstances. We believe that our audit provides a reasonable basis for our opinion.</w:t>
      </w:r>
    </w:p>
    <w:p>
      <w:pPr>
        <w:spacing w:after="0" w:line="23" w:lineRule="exact"/>
        <w:rPr>
          <w:sz w:val="20"/>
          <w:szCs w:val="20"/>
          <w:color w:val="auto"/>
        </w:rPr>
      </w:pPr>
    </w:p>
    <w:p>
      <w:pPr>
        <w:ind w:left="680" w:right="60" w:firstLine="399"/>
        <w:spacing w:after="0" w:line="282" w:lineRule="auto"/>
        <w:rPr>
          <w:sz w:val="20"/>
          <w:szCs w:val="20"/>
          <w:color w:val="auto"/>
        </w:rPr>
      </w:pPr>
      <w:r>
        <w:rPr>
          <w:rFonts w:ascii="Arial" w:cs="Arial" w:eastAsia="Arial" w:hAnsi="Arial"/>
          <w:sz w:val="12"/>
          <w:szCs w:val="12"/>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40" w:lineRule="exact"/>
        <w:rPr>
          <w:sz w:val="20"/>
          <w:szCs w:val="20"/>
          <w:color w:val="auto"/>
        </w:rPr>
      </w:pPr>
    </w:p>
    <w:p>
      <w:pPr>
        <w:ind w:left="680" w:right="180" w:firstLine="399"/>
        <w:spacing w:after="0" w:line="354" w:lineRule="auto"/>
        <w:rPr>
          <w:sz w:val="20"/>
          <w:szCs w:val="20"/>
          <w:color w:val="auto"/>
        </w:rPr>
      </w:pPr>
      <w:r>
        <w:rPr>
          <w:rFonts w:ascii="Arial" w:cs="Arial" w:eastAsia="Arial" w:hAnsi="Arial"/>
          <w:sz w:val="11"/>
          <w:szCs w:val="11"/>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ind w:left="680" w:right="40" w:firstLine="399"/>
        <w:spacing w:after="0" w:line="260" w:lineRule="auto"/>
        <w:rPr>
          <w:sz w:val="20"/>
          <w:szCs w:val="20"/>
          <w:color w:val="auto"/>
        </w:rPr>
      </w:pPr>
      <w:r>
        <w:rPr>
          <w:rFonts w:ascii="Arial" w:cs="Arial" w:eastAsia="Arial" w:hAnsi="Arial"/>
          <w:sz w:val="13"/>
          <w:szCs w:val="13"/>
          <w:color w:val="auto"/>
        </w:rPr>
        <w:t>In our opinion, management’s assessment that the Company maintained effective internal control over financial reporting as of December 31, 2005, is fairly stated, in all material respects, based on Internal Control — Integrated Framework issued by the Committee of Sponsoring Organizations of the Treadway Commission (COSO). Furthermore, in our opinion, the Company maintained, in all material respects, effective internal control over financial reporting as of December 31, 2005, based on Internal Control — Integrated Framework issued by the Committee of Sponsoring Organizations of the Treadway Commission (COSO).</w:t>
      </w:r>
    </w:p>
    <w:p>
      <w:pPr>
        <w:spacing w:after="0" w:line="4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We do not express an opinion or any other form of assurance on management’s statements with respect to their remediation actions.</w:t>
      </w:r>
    </w:p>
    <w:p>
      <w:pPr>
        <w:spacing w:after="0" w:line="77" w:lineRule="exact"/>
        <w:rPr>
          <w:sz w:val="20"/>
          <w:szCs w:val="20"/>
          <w:color w:val="auto"/>
        </w:rPr>
      </w:pPr>
    </w:p>
    <w:p>
      <w:pPr>
        <w:jc w:val="both"/>
        <w:ind w:left="680" w:right="60" w:firstLine="399"/>
        <w:spacing w:after="0" w:line="296" w:lineRule="auto"/>
        <w:rPr>
          <w:sz w:val="20"/>
          <w:szCs w:val="20"/>
          <w:color w:val="auto"/>
        </w:rPr>
      </w:pPr>
      <w:r>
        <w:rPr>
          <w:rFonts w:ascii="Arial" w:cs="Arial" w:eastAsia="Arial" w:hAnsi="Arial"/>
          <w:sz w:val="12"/>
          <w:szCs w:val="12"/>
          <w:color w:val="auto"/>
        </w:rPr>
        <w:t>We have also audited, in accordance with the standards of the Public Company Accounting Oversight Board (United States), the consolidated balance sheets of StemCells Inc. as of December 31, 2005 and 2004, and the related consolidated statements of operations, changes in redeemable convertible preferred stock and stockholders’ equity, and cash flows for each of the three years in the period ended December 31, 2005 and our report dated March 3, 2006 expressed an unqualified opinion on those financial statements.</w:t>
      </w:r>
    </w:p>
    <w:p>
      <w:pPr>
        <w:spacing w:after="0" w:line="128"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/s/ GRANT THORNTON LLP</w:t>
      </w:r>
    </w:p>
    <w:p>
      <w:pPr>
        <w:spacing w:after="0" w:line="96" w:lineRule="exact"/>
        <w:rPr>
          <w:sz w:val="20"/>
          <w:szCs w:val="20"/>
          <w:color w:val="auto"/>
        </w:rPr>
      </w:pPr>
    </w:p>
    <w:p>
      <w:pPr>
        <w:ind w:left="680"/>
        <w:spacing w:after="0"/>
        <w:rPr>
          <w:sz w:val="20"/>
          <w:szCs w:val="20"/>
          <w:color w:val="auto"/>
        </w:rPr>
      </w:pPr>
      <w:r>
        <w:rPr>
          <w:rFonts w:ascii="Arial" w:cs="Arial" w:eastAsia="Arial" w:hAnsi="Arial"/>
          <w:sz w:val="13"/>
          <w:szCs w:val="13"/>
          <w:color w:val="auto"/>
        </w:rPr>
        <w:t>San Jose, CA</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March 3, 2006</w:t>
      </w:r>
    </w:p>
    <w:p>
      <w:pPr>
        <w:spacing w:after="0" w:line="285"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580"/>
          </w:cols>
          <w:pgMar w:left="220" w:top="343" w:right="1099" w:bottom="1440" w:gutter="0" w:footer="0" w:header="0"/>
        </w:sectPr>
      </w:pPr>
    </w:p>
    <w:bookmarkStart w:id="46" w:name="page47"/>
    <w:bookmarkEnd w:id="46"/>
    <w:tbl>
      <w:tblPr>
        <w:tblLayout w:type="fixed"/>
        <w:tblInd w:w="0" w:type="dxa"/>
        <w:tblCellMar>
          <w:top w:w="0" w:type="dxa"/>
          <w:left w:w="0" w:type="dxa"/>
          <w:bottom w:w="0" w:type="dxa"/>
          <w:right w:w="0" w:type="dxa"/>
        </w:tblCellMar>
      </w:tblPr>
      <w:tr>
        <w:trPr>
          <w:trHeight w:val="149"/>
        </w:trPr>
        <w:tc>
          <w:tcPr>
            <w:tcW w:w="980" w:type="dxa"/>
            <w:vAlign w:val="bottom"/>
            <w:tcBorders>
              <w:bottom w:val="single" w:sz="8" w:color="0000EE"/>
            </w:tcBorders>
            <w:gridSpan w:val="2"/>
          </w:tcPr>
          <w:p>
            <w:pPr>
              <w:spacing w:after="0"/>
              <w:rPr>
                <w:rFonts w:ascii="Arial" w:cs="Arial" w:eastAsia="Arial" w:hAnsi="Arial"/>
                <w:sz w:val="13"/>
                <w:szCs w:val="13"/>
                <w:b w:val="1"/>
                <w:bCs w:val="1"/>
                <w:color w:val="0000EE"/>
                <w:w w:val="87"/>
              </w:rPr>
            </w:pPr>
            <w:hyperlink w:anchor="page3">
              <w:r>
                <w:rPr>
                  <w:rFonts w:ascii="Arial" w:cs="Arial" w:eastAsia="Arial" w:hAnsi="Arial"/>
                  <w:sz w:val="13"/>
                  <w:szCs w:val="13"/>
                  <w:b w:val="1"/>
                  <w:bCs w:val="1"/>
                  <w:color w:val="0000EE"/>
                  <w:w w:val="87"/>
                </w:rPr>
                <w:t>Table of Contents</w:t>
              </w:r>
            </w:hyperlink>
          </w:p>
        </w:tc>
        <w:tc>
          <w:tcPr>
            <w:tcW w:w="4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40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392"/>
        </w:trPr>
        <w:tc>
          <w:tcPr>
            <w:tcW w:w="1380" w:type="dxa"/>
            <w:vAlign w:val="bottom"/>
            <w:gridSpan w:val="3"/>
          </w:tcPr>
          <w:p>
            <w:pPr>
              <w:ind w:left="680"/>
              <w:spacing w:after="0"/>
              <w:rPr>
                <w:sz w:val="20"/>
                <w:szCs w:val="20"/>
                <w:color w:val="auto"/>
              </w:rPr>
            </w:pPr>
            <w:r>
              <w:rPr>
                <w:rFonts w:ascii="Arial" w:cs="Arial" w:eastAsia="Arial" w:hAnsi="Arial"/>
                <w:sz w:val="13"/>
                <w:szCs w:val="13"/>
                <w:b w:val="1"/>
                <w:bCs w:val="1"/>
                <w:color w:val="auto"/>
              </w:rPr>
              <w:t>ITEM 8.</w:t>
            </w:r>
          </w:p>
        </w:tc>
        <w:tc>
          <w:tcPr>
            <w:tcW w:w="8980" w:type="dxa"/>
            <w:vAlign w:val="bottom"/>
            <w:gridSpan w:val="7"/>
          </w:tcPr>
          <w:p>
            <w:pPr>
              <w:ind w:left="220"/>
              <w:spacing w:after="0"/>
              <w:rPr>
                <w:sz w:val="20"/>
                <w:szCs w:val="20"/>
                <w:color w:val="auto"/>
              </w:rPr>
            </w:pPr>
            <w:r>
              <w:rPr>
                <w:rFonts w:ascii="Arial" w:cs="Arial" w:eastAsia="Arial" w:hAnsi="Arial"/>
                <w:sz w:val="13"/>
                <w:szCs w:val="13"/>
                <w:b w:val="1"/>
                <w:bCs w:val="1"/>
                <w:i w:val="1"/>
                <w:iCs w:val="1"/>
                <w:color w:val="auto"/>
              </w:rPr>
              <w:t>FINANCIAL STATEMENTS AND SUPPLEMENTARY DATA</w:t>
            </w: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403"/>
        </w:trPr>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5460" w:type="dxa"/>
            <w:vAlign w:val="bottom"/>
            <w:gridSpan w:val="2"/>
          </w:tcPr>
          <w:p>
            <w:pPr>
              <w:jc w:val="center"/>
              <w:ind w:right="3920"/>
              <w:spacing w:after="0"/>
              <w:rPr>
                <w:sz w:val="20"/>
                <w:szCs w:val="20"/>
                <w:color w:val="auto"/>
              </w:rPr>
            </w:pPr>
            <w:r>
              <w:rPr>
                <w:rFonts w:ascii="Arial" w:cs="Arial" w:eastAsia="Arial" w:hAnsi="Arial"/>
                <w:sz w:val="13"/>
                <w:szCs w:val="13"/>
                <w:b w:val="1"/>
                <w:bCs w:val="1"/>
                <w:color w:val="auto"/>
              </w:rPr>
              <w:t>STEMCELLS, INC.</w:t>
            </w: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46"/>
        </w:trPr>
        <w:tc>
          <w:tcPr>
            <w:tcW w:w="6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380" w:type="dxa"/>
            <w:vAlign w:val="bottom"/>
            <w:gridSpan w:val="3"/>
          </w:tcPr>
          <w:p>
            <w:pPr>
              <w:jc w:val="center"/>
              <w:ind w:right="1980"/>
              <w:spacing w:after="0"/>
              <w:rPr>
                <w:sz w:val="20"/>
                <w:szCs w:val="20"/>
                <w:color w:val="auto"/>
              </w:rPr>
            </w:pPr>
            <w:r>
              <w:rPr>
                <w:rFonts w:ascii="Arial" w:cs="Arial" w:eastAsia="Arial" w:hAnsi="Arial"/>
                <w:sz w:val="13"/>
                <w:szCs w:val="13"/>
                <w:b w:val="1"/>
                <w:bCs w:val="1"/>
                <w:color w:val="auto"/>
              </w:rPr>
              <w:t>INDEX TO CONSOLIDATED FINANCIAL STATEMENTS</w:t>
            </w:r>
          </w:p>
        </w:tc>
        <w:tc>
          <w:tcPr>
            <w:tcW w:w="30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86"/>
        </w:trPr>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30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1"/>
              </w:rPr>
              <w:t>Page</w:t>
            </w:r>
          </w:p>
        </w:tc>
        <w:tc>
          <w:tcPr>
            <w:tcW w:w="800" w:type="dxa"/>
            <w:vAlign w:val="bottom"/>
          </w:tcPr>
          <w:p>
            <w:pPr>
              <w:spacing w:after="0"/>
              <w:rPr>
                <w:sz w:val="24"/>
                <w:szCs w:val="24"/>
                <w:color w:val="auto"/>
              </w:rPr>
            </w:pPr>
          </w:p>
        </w:tc>
      </w:tr>
      <w:tr>
        <w:trPr>
          <w:trHeight w:val="157"/>
        </w:trPr>
        <w:tc>
          <w:tcPr>
            <w:tcW w:w="680" w:type="dxa"/>
            <w:vAlign w:val="bottom"/>
          </w:tcPr>
          <w:p>
            <w:pPr>
              <w:spacing w:after="0"/>
              <w:rPr>
                <w:sz w:val="13"/>
                <w:szCs w:val="13"/>
                <w:color w:val="auto"/>
              </w:rPr>
            </w:pPr>
          </w:p>
        </w:tc>
        <w:tc>
          <w:tcPr>
            <w:tcW w:w="4220" w:type="dxa"/>
            <w:vAlign w:val="bottom"/>
            <w:tcBorders>
              <w:bottom w:val="single" w:sz="8" w:color="0000EE"/>
            </w:tcBorders>
            <w:gridSpan w:val="7"/>
          </w:tcPr>
          <w:p>
            <w:pPr>
              <w:spacing w:after="0"/>
              <w:rPr>
                <w:rFonts w:ascii="Arial" w:cs="Arial" w:eastAsia="Arial" w:hAnsi="Arial"/>
                <w:sz w:val="13"/>
                <w:szCs w:val="13"/>
                <w:color w:val="0000EE"/>
                <w:w w:val="92"/>
              </w:rPr>
            </w:pPr>
            <w:hyperlink w:anchor="page48">
              <w:r>
                <w:rPr>
                  <w:rFonts w:ascii="Arial" w:cs="Arial" w:eastAsia="Arial" w:hAnsi="Arial"/>
                  <w:sz w:val="13"/>
                  <w:szCs w:val="13"/>
                  <w:color w:val="0000EE"/>
                  <w:w w:val="92"/>
                </w:rPr>
                <w:t>Report of Grant Thornton LLP, Independent Registered Public Accounting Firm</w:t>
              </w:r>
            </w:hyperlink>
          </w:p>
        </w:tc>
        <w:tc>
          <w:tcPr>
            <w:tcW w:w="5460" w:type="dxa"/>
            <w:vAlign w:val="bottom"/>
            <w:gridSpan w:val="2"/>
          </w:tcPr>
          <w:p>
            <w:pPr>
              <w:spacing w:after="0"/>
              <w:rPr>
                <w:sz w:val="13"/>
                <w:szCs w:val="13"/>
                <w:color w:val="auto"/>
              </w:rPr>
            </w:pPr>
          </w:p>
        </w:tc>
        <w:tc>
          <w:tcPr>
            <w:tcW w:w="300" w:type="dxa"/>
            <w:vAlign w:val="bottom"/>
          </w:tcPr>
          <w:p>
            <w:pPr>
              <w:jc w:val="center"/>
              <w:spacing w:after="0"/>
              <w:rPr>
                <w:sz w:val="20"/>
                <w:szCs w:val="20"/>
                <w:color w:val="auto"/>
              </w:rPr>
            </w:pPr>
            <w:r>
              <w:rPr>
                <w:rFonts w:ascii="Arial" w:cs="Arial" w:eastAsia="Arial" w:hAnsi="Arial"/>
                <w:sz w:val="13"/>
                <w:szCs w:val="13"/>
                <w:color w:val="auto"/>
                <w:w w:val="96"/>
              </w:rPr>
              <w:t>46</w:t>
            </w:r>
          </w:p>
        </w:tc>
        <w:tc>
          <w:tcPr>
            <w:tcW w:w="800" w:type="dxa"/>
            <w:vAlign w:val="bottom"/>
          </w:tcPr>
          <w:p>
            <w:pPr>
              <w:spacing w:after="0"/>
              <w:rPr>
                <w:sz w:val="13"/>
                <w:szCs w:val="13"/>
                <w:color w:val="auto"/>
              </w:rPr>
            </w:pPr>
          </w:p>
        </w:tc>
      </w:tr>
      <w:tr>
        <w:trPr>
          <w:trHeight w:val="137"/>
        </w:trPr>
        <w:tc>
          <w:tcPr>
            <w:tcW w:w="680" w:type="dxa"/>
            <w:vAlign w:val="bottom"/>
          </w:tcPr>
          <w:p>
            <w:pPr>
              <w:spacing w:after="0"/>
              <w:rPr>
                <w:sz w:val="11"/>
                <w:szCs w:val="11"/>
                <w:color w:val="auto"/>
              </w:rPr>
            </w:pPr>
          </w:p>
        </w:tc>
        <w:tc>
          <w:tcPr>
            <w:tcW w:w="9680" w:type="dxa"/>
            <w:vAlign w:val="bottom"/>
            <w:gridSpan w:val="9"/>
          </w:tcPr>
          <w:p>
            <w:pPr>
              <w:spacing w:after="0" w:line="138" w:lineRule="exact"/>
              <w:rPr>
                <w:rFonts w:ascii="Arial" w:cs="Arial" w:eastAsia="Arial" w:hAnsi="Arial"/>
                <w:sz w:val="13"/>
                <w:szCs w:val="13"/>
                <w:color w:val="0000EE"/>
              </w:rPr>
            </w:pPr>
            <w:hyperlink w:anchor="page49">
              <w:r>
                <w:rPr>
                  <w:rFonts w:ascii="Arial" w:cs="Arial" w:eastAsia="Arial" w:hAnsi="Arial"/>
                  <w:sz w:val="13"/>
                  <w:szCs w:val="13"/>
                  <w:color w:val="0000EE"/>
                </w:rPr>
                <w:t>Consolidated Balance Sheets</w:t>
              </w:r>
            </w:hyperlink>
          </w:p>
        </w:tc>
        <w:tc>
          <w:tcPr>
            <w:tcW w:w="300" w:type="dxa"/>
            <w:vAlign w:val="bottom"/>
          </w:tcPr>
          <w:p>
            <w:pPr>
              <w:jc w:val="center"/>
              <w:spacing w:after="0" w:line="138" w:lineRule="exact"/>
              <w:rPr>
                <w:sz w:val="20"/>
                <w:szCs w:val="20"/>
                <w:color w:val="auto"/>
              </w:rPr>
            </w:pPr>
            <w:r>
              <w:rPr>
                <w:rFonts w:ascii="Arial" w:cs="Arial" w:eastAsia="Arial" w:hAnsi="Arial"/>
                <w:sz w:val="13"/>
                <w:szCs w:val="13"/>
                <w:color w:val="auto"/>
                <w:w w:val="96"/>
              </w:rPr>
              <w:t>47</w:t>
            </w:r>
          </w:p>
        </w:tc>
        <w:tc>
          <w:tcPr>
            <w:tcW w:w="800" w:type="dxa"/>
            <w:vAlign w:val="bottom"/>
          </w:tcPr>
          <w:p>
            <w:pPr>
              <w:spacing w:after="0"/>
              <w:rPr>
                <w:sz w:val="11"/>
                <w:szCs w:val="11"/>
                <w:color w:val="auto"/>
              </w:rPr>
            </w:pPr>
          </w:p>
        </w:tc>
      </w:tr>
      <w:tr>
        <w:trPr>
          <w:trHeight w:val="20"/>
        </w:trPr>
        <w:tc>
          <w:tcPr>
            <w:tcW w:w="680" w:type="dxa"/>
            <w:vAlign w:val="bottom"/>
          </w:tcPr>
          <w:p>
            <w:pPr>
              <w:spacing w:after="0" w:line="20" w:lineRule="exact"/>
              <w:rPr>
                <w:sz w:val="1"/>
                <w:szCs w:val="1"/>
                <w:color w:val="auto"/>
              </w:rPr>
            </w:pPr>
          </w:p>
        </w:tc>
        <w:tc>
          <w:tcPr>
            <w:tcW w:w="1520" w:type="dxa"/>
            <w:vAlign w:val="bottom"/>
            <w:gridSpan w:val="3"/>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320" w:type="dxa"/>
            <w:vAlign w:val="bottom"/>
            <w:gridSpan w:val="2"/>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37"/>
        </w:trPr>
        <w:tc>
          <w:tcPr>
            <w:tcW w:w="680" w:type="dxa"/>
            <w:vAlign w:val="bottom"/>
          </w:tcPr>
          <w:p>
            <w:pPr>
              <w:spacing w:after="0"/>
              <w:rPr>
                <w:sz w:val="11"/>
                <w:szCs w:val="11"/>
                <w:color w:val="auto"/>
              </w:rPr>
            </w:pPr>
          </w:p>
        </w:tc>
        <w:tc>
          <w:tcPr>
            <w:tcW w:w="2060" w:type="dxa"/>
            <w:vAlign w:val="bottom"/>
            <w:tcBorders>
              <w:bottom w:val="single" w:sz="8" w:color="0000EE"/>
            </w:tcBorders>
            <w:gridSpan w:val="4"/>
          </w:tcPr>
          <w:p>
            <w:pPr>
              <w:spacing w:after="0" w:line="138" w:lineRule="exact"/>
              <w:rPr>
                <w:rFonts w:ascii="Arial" w:cs="Arial" w:eastAsia="Arial" w:hAnsi="Arial"/>
                <w:sz w:val="13"/>
                <w:szCs w:val="13"/>
                <w:color w:val="0000EE"/>
                <w:w w:val="89"/>
              </w:rPr>
            </w:pPr>
            <w:hyperlink w:anchor="page50">
              <w:r>
                <w:rPr>
                  <w:rFonts w:ascii="Arial" w:cs="Arial" w:eastAsia="Arial" w:hAnsi="Arial"/>
                  <w:sz w:val="13"/>
                  <w:szCs w:val="13"/>
                  <w:color w:val="0000EE"/>
                  <w:w w:val="89"/>
                </w:rPr>
                <w:t>Consolidated Statements of Operations</w:t>
              </w:r>
            </w:hyperlink>
          </w:p>
        </w:tc>
        <w:tc>
          <w:tcPr>
            <w:tcW w:w="7620" w:type="dxa"/>
            <w:vAlign w:val="bottom"/>
            <w:gridSpan w:val="5"/>
          </w:tcPr>
          <w:p>
            <w:pPr>
              <w:spacing w:after="0"/>
              <w:rPr>
                <w:sz w:val="11"/>
                <w:szCs w:val="11"/>
                <w:color w:val="auto"/>
              </w:rPr>
            </w:pPr>
          </w:p>
        </w:tc>
        <w:tc>
          <w:tcPr>
            <w:tcW w:w="300" w:type="dxa"/>
            <w:vAlign w:val="bottom"/>
          </w:tcPr>
          <w:p>
            <w:pPr>
              <w:jc w:val="center"/>
              <w:spacing w:after="0" w:line="138" w:lineRule="exact"/>
              <w:rPr>
                <w:sz w:val="20"/>
                <w:szCs w:val="20"/>
                <w:color w:val="auto"/>
              </w:rPr>
            </w:pPr>
            <w:r>
              <w:rPr>
                <w:rFonts w:ascii="Arial" w:cs="Arial" w:eastAsia="Arial" w:hAnsi="Arial"/>
                <w:sz w:val="13"/>
                <w:szCs w:val="13"/>
                <w:color w:val="auto"/>
                <w:w w:val="96"/>
              </w:rPr>
              <w:t>48</w:t>
            </w:r>
          </w:p>
        </w:tc>
        <w:tc>
          <w:tcPr>
            <w:tcW w:w="800" w:type="dxa"/>
            <w:vAlign w:val="bottom"/>
          </w:tcPr>
          <w:p>
            <w:pPr>
              <w:spacing w:after="0"/>
              <w:rPr>
                <w:sz w:val="11"/>
                <w:szCs w:val="11"/>
                <w:color w:val="auto"/>
              </w:rPr>
            </w:pPr>
          </w:p>
        </w:tc>
      </w:tr>
      <w:tr>
        <w:trPr>
          <w:trHeight w:val="137"/>
        </w:trPr>
        <w:tc>
          <w:tcPr>
            <w:tcW w:w="680" w:type="dxa"/>
            <w:vAlign w:val="bottom"/>
          </w:tcPr>
          <w:p>
            <w:pPr>
              <w:spacing w:after="0"/>
              <w:rPr>
                <w:sz w:val="11"/>
                <w:szCs w:val="11"/>
                <w:color w:val="auto"/>
              </w:rPr>
            </w:pPr>
          </w:p>
        </w:tc>
        <w:tc>
          <w:tcPr>
            <w:tcW w:w="5620" w:type="dxa"/>
            <w:vAlign w:val="bottom"/>
            <w:tcBorders>
              <w:bottom w:val="single" w:sz="8" w:color="0000EE"/>
            </w:tcBorders>
            <w:gridSpan w:val="8"/>
          </w:tcPr>
          <w:p>
            <w:pPr>
              <w:spacing w:after="0" w:line="138" w:lineRule="exact"/>
              <w:rPr>
                <w:rFonts w:ascii="Arial" w:cs="Arial" w:eastAsia="Arial" w:hAnsi="Arial"/>
                <w:sz w:val="13"/>
                <w:szCs w:val="13"/>
                <w:color w:val="0000EE"/>
                <w:w w:val="90"/>
              </w:rPr>
            </w:pPr>
            <w:hyperlink w:anchor="page51">
              <w:r>
                <w:rPr>
                  <w:rFonts w:ascii="Arial" w:cs="Arial" w:eastAsia="Arial" w:hAnsi="Arial"/>
                  <w:sz w:val="13"/>
                  <w:szCs w:val="13"/>
                  <w:color w:val="0000EE"/>
                  <w:w w:val="90"/>
                </w:rPr>
                <w:t>Consolidated Statements of Changes in Redeemable Convertible Preferred Stock and Stockholders’ Equity</w:t>
              </w:r>
            </w:hyperlink>
          </w:p>
        </w:tc>
        <w:tc>
          <w:tcPr>
            <w:tcW w:w="4060" w:type="dxa"/>
            <w:vAlign w:val="bottom"/>
          </w:tcPr>
          <w:p>
            <w:pPr>
              <w:spacing w:after="0"/>
              <w:rPr>
                <w:sz w:val="11"/>
                <w:szCs w:val="11"/>
                <w:color w:val="auto"/>
              </w:rPr>
            </w:pPr>
          </w:p>
        </w:tc>
        <w:tc>
          <w:tcPr>
            <w:tcW w:w="300" w:type="dxa"/>
            <w:vAlign w:val="bottom"/>
          </w:tcPr>
          <w:p>
            <w:pPr>
              <w:jc w:val="center"/>
              <w:spacing w:after="0" w:line="138" w:lineRule="exact"/>
              <w:rPr>
                <w:sz w:val="20"/>
                <w:szCs w:val="20"/>
                <w:color w:val="auto"/>
              </w:rPr>
            </w:pPr>
            <w:r>
              <w:rPr>
                <w:rFonts w:ascii="Arial" w:cs="Arial" w:eastAsia="Arial" w:hAnsi="Arial"/>
                <w:sz w:val="13"/>
                <w:szCs w:val="13"/>
                <w:color w:val="auto"/>
                <w:w w:val="96"/>
              </w:rPr>
              <w:t>49</w:t>
            </w:r>
          </w:p>
        </w:tc>
        <w:tc>
          <w:tcPr>
            <w:tcW w:w="800" w:type="dxa"/>
            <w:vAlign w:val="bottom"/>
          </w:tcPr>
          <w:p>
            <w:pPr>
              <w:spacing w:after="0"/>
              <w:rPr>
                <w:sz w:val="11"/>
                <w:szCs w:val="11"/>
                <w:color w:val="auto"/>
              </w:rPr>
            </w:pPr>
          </w:p>
        </w:tc>
      </w:tr>
      <w:tr>
        <w:trPr>
          <w:trHeight w:val="137"/>
        </w:trPr>
        <w:tc>
          <w:tcPr>
            <w:tcW w:w="680" w:type="dxa"/>
            <w:vAlign w:val="bottom"/>
          </w:tcPr>
          <w:p>
            <w:pPr>
              <w:spacing w:after="0"/>
              <w:rPr>
                <w:sz w:val="11"/>
                <w:szCs w:val="11"/>
                <w:color w:val="auto"/>
              </w:rPr>
            </w:pPr>
          </w:p>
        </w:tc>
        <w:tc>
          <w:tcPr>
            <w:tcW w:w="2100" w:type="dxa"/>
            <w:vAlign w:val="bottom"/>
            <w:tcBorders>
              <w:bottom w:val="single" w:sz="8" w:color="0000EE"/>
            </w:tcBorders>
            <w:gridSpan w:val="5"/>
          </w:tcPr>
          <w:p>
            <w:pPr>
              <w:spacing w:after="0" w:line="138" w:lineRule="exact"/>
              <w:rPr>
                <w:rFonts w:ascii="Arial" w:cs="Arial" w:eastAsia="Arial" w:hAnsi="Arial"/>
                <w:sz w:val="13"/>
                <w:szCs w:val="13"/>
                <w:color w:val="0000EE"/>
                <w:w w:val="89"/>
              </w:rPr>
            </w:pPr>
            <w:hyperlink w:anchor="page52">
              <w:r>
                <w:rPr>
                  <w:rFonts w:ascii="Arial" w:cs="Arial" w:eastAsia="Arial" w:hAnsi="Arial"/>
                  <w:sz w:val="13"/>
                  <w:szCs w:val="13"/>
                  <w:color w:val="0000EE"/>
                  <w:w w:val="89"/>
                </w:rPr>
                <w:t>Consolidated Statements of Cash Flows</w:t>
              </w:r>
            </w:hyperlink>
          </w:p>
        </w:tc>
        <w:tc>
          <w:tcPr>
            <w:tcW w:w="7580" w:type="dxa"/>
            <w:vAlign w:val="bottom"/>
            <w:gridSpan w:val="4"/>
          </w:tcPr>
          <w:p>
            <w:pPr>
              <w:spacing w:after="0"/>
              <w:rPr>
                <w:sz w:val="11"/>
                <w:szCs w:val="11"/>
                <w:color w:val="auto"/>
              </w:rPr>
            </w:pPr>
          </w:p>
        </w:tc>
        <w:tc>
          <w:tcPr>
            <w:tcW w:w="300" w:type="dxa"/>
            <w:vAlign w:val="bottom"/>
          </w:tcPr>
          <w:p>
            <w:pPr>
              <w:jc w:val="center"/>
              <w:spacing w:after="0" w:line="138" w:lineRule="exact"/>
              <w:rPr>
                <w:sz w:val="20"/>
                <w:szCs w:val="20"/>
                <w:color w:val="auto"/>
              </w:rPr>
            </w:pPr>
            <w:r>
              <w:rPr>
                <w:rFonts w:ascii="Arial" w:cs="Arial" w:eastAsia="Arial" w:hAnsi="Arial"/>
                <w:sz w:val="13"/>
                <w:szCs w:val="13"/>
                <w:color w:val="auto"/>
                <w:w w:val="96"/>
              </w:rPr>
              <w:t>50</w:t>
            </w:r>
          </w:p>
        </w:tc>
        <w:tc>
          <w:tcPr>
            <w:tcW w:w="800" w:type="dxa"/>
            <w:vAlign w:val="bottom"/>
          </w:tcPr>
          <w:p>
            <w:pPr>
              <w:spacing w:after="0"/>
              <w:rPr>
                <w:sz w:val="11"/>
                <w:szCs w:val="11"/>
                <w:color w:val="auto"/>
              </w:rPr>
            </w:pPr>
          </w:p>
        </w:tc>
      </w:tr>
      <w:tr>
        <w:trPr>
          <w:trHeight w:val="137"/>
        </w:trPr>
        <w:tc>
          <w:tcPr>
            <w:tcW w:w="680" w:type="dxa"/>
            <w:vAlign w:val="bottom"/>
          </w:tcPr>
          <w:p>
            <w:pPr>
              <w:spacing w:after="0"/>
              <w:rPr>
                <w:sz w:val="11"/>
                <w:szCs w:val="11"/>
                <w:color w:val="auto"/>
              </w:rPr>
            </w:pPr>
          </w:p>
        </w:tc>
        <w:tc>
          <w:tcPr>
            <w:tcW w:w="9680" w:type="dxa"/>
            <w:vAlign w:val="bottom"/>
            <w:gridSpan w:val="9"/>
          </w:tcPr>
          <w:p>
            <w:pPr>
              <w:spacing w:after="0" w:line="138" w:lineRule="exact"/>
              <w:rPr>
                <w:rFonts w:ascii="Arial" w:cs="Arial" w:eastAsia="Arial" w:hAnsi="Arial"/>
                <w:sz w:val="13"/>
                <w:szCs w:val="13"/>
                <w:color w:val="0000EE"/>
              </w:rPr>
            </w:pPr>
            <w:hyperlink w:anchor="page53">
              <w:r>
                <w:rPr>
                  <w:rFonts w:ascii="Arial" w:cs="Arial" w:eastAsia="Arial" w:hAnsi="Arial"/>
                  <w:sz w:val="13"/>
                  <w:szCs w:val="13"/>
                  <w:color w:val="0000EE"/>
                </w:rPr>
                <w:t>Notes to Consolidated Financial Statements</w:t>
              </w:r>
            </w:hyperlink>
          </w:p>
        </w:tc>
        <w:tc>
          <w:tcPr>
            <w:tcW w:w="300" w:type="dxa"/>
            <w:vAlign w:val="bottom"/>
          </w:tcPr>
          <w:p>
            <w:pPr>
              <w:jc w:val="center"/>
              <w:spacing w:after="0" w:line="138" w:lineRule="exact"/>
              <w:rPr>
                <w:sz w:val="20"/>
                <w:szCs w:val="20"/>
                <w:color w:val="auto"/>
              </w:rPr>
            </w:pPr>
            <w:r>
              <w:rPr>
                <w:rFonts w:ascii="Arial" w:cs="Arial" w:eastAsia="Arial" w:hAnsi="Arial"/>
                <w:sz w:val="13"/>
                <w:szCs w:val="13"/>
                <w:color w:val="auto"/>
                <w:w w:val="96"/>
              </w:rPr>
              <w:t>51</w:t>
            </w:r>
          </w:p>
        </w:tc>
        <w:tc>
          <w:tcPr>
            <w:tcW w:w="800" w:type="dxa"/>
            <w:vAlign w:val="bottom"/>
          </w:tcPr>
          <w:p>
            <w:pPr>
              <w:spacing w:after="0"/>
              <w:rPr>
                <w:sz w:val="11"/>
                <w:szCs w:val="11"/>
                <w:color w:val="auto"/>
              </w:rPr>
            </w:pPr>
          </w:p>
        </w:tc>
      </w:tr>
      <w:tr>
        <w:trPr>
          <w:trHeight w:val="460"/>
        </w:trPr>
        <w:tc>
          <w:tcPr>
            <w:tcW w:w="680" w:type="dxa"/>
            <w:vAlign w:val="bottom"/>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1600" w:type="dxa"/>
            <w:vAlign w:val="bottom"/>
            <w:tcBorders>
              <w:top w:val="single" w:sz="8" w:color="0000EE"/>
            </w:tcBorders>
            <w:gridSpan w:val="4"/>
          </w:tcPr>
          <w:p>
            <w:pPr>
              <w:spacing w:after="0"/>
              <w:rPr>
                <w:sz w:val="24"/>
                <w:szCs w:val="24"/>
                <w:color w:val="auto"/>
              </w:rPr>
            </w:pPr>
          </w:p>
        </w:tc>
        <w:tc>
          <w:tcPr>
            <w:tcW w:w="3320" w:type="dxa"/>
            <w:vAlign w:val="bottom"/>
            <w:gridSpan w:val="2"/>
          </w:tcPr>
          <w:p>
            <w:pPr>
              <w:jc w:val="center"/>
              <w:ind w:left="2014"/>
              <w:spacing w:after="0"/>
              <w:rPr>
                <w:sz w:val="20"/>
                <w:szCs w:val="20"/>
                <w:color w:val="auto"/>
              </w:rPr>
            </w:pPr>
            <w:r>
              <w:rPr>
                <w:rFonts w:ascii="Arial" w:cs="Arial" w:eastAsia="Arial" w:hAnsi="Arial"/>
                <w:sz w:val="13"/>
                <w:szCs w:val="13"/>
                <w:color w:val="auto"/>
                <w:w w:val="82"/>
              </w:rPr>
              <w:t>45</w:t>
            </w:r>
          </w:p>
        </w:tc>
        <w:tc>
          <w:tcPr>
            <w:tcW w:w="4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30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820" w:type="dxa"/>
            <w:vAlign w:val="bottom"/>
            <w:tcBorders>
              <w:bottom w:val="single" w:sz="8" w:color="808080"/>
            </w:tcBorders>
          </w:tcPr>
          <w:p>
            <w:pPr>
              <w:spacing w:after="0"/>
              <w:rPr>
                <w:sz w:val="14"/>
                <w:szCs w:val="14"/>
                <w:color w:val="auto"/>
              </w:rPr>
            </w:pPr>
          </w:p>
        </w:tc>
        <w:tc>
          <w:tcPr>
            <w:tcW w:w="540" w:type="dxa"/>
            <w:vAlign w:val="bottom"/>
            <w:tcBorders>
              <w:bottom w:val="single" w:sz="8" w:color="808080"/>
            </w:tcBorders>
          </w:tcPr>
          <w:p>
            <w:pPr>
              <w:spacing w:after="0"/>
              <w:rPr>
                <w:sz w:val="14"/>
                <w:szCs w:val="14"/>
                <w:color w:val="auto"/>
              </w:rPr>
            </w:pPr>
          </w:p>
        </w:tc>
        <w:tc>
          <w:tcPr>
            <w:tcW w:w="40" w:type="dxa"/>
            <w:vAlign w:val="bottom"/>
            <w:tcBorders>
              <w:bottom w:val="single" w:sz="8" w:color="808080"/>
            </w:tcBorders>
          </w:tcPr>
          <w:p>
            <w:pPr>
              <w:spacing w:after="0"/>
              <w:rPr>
                <w:sz w:val="14"/>
                <w:szCs w:val="14"/>
                <w:color w:val="auto"/>
              </w:rPr>
            </w:pPr>
          </w:p>
        </w:tc>
        <w:tc>
          <w:tcPr>
            <w:tcW w:w="200" w:type="dxa"/>
            <w:vAlign w:val="bottom"/>
            <w:tcBorders>
              <w:bottom w:val="single" w:sz="8" w:color="808080"/>
            </w:tcBorders>
          </w:tcPr>
          <w:p>
            <w:pPr>
              <w:spacing w:after="0"/>
              <w:rPr>
                <w:sz w:val="14"/>
                <w:szCs w:val="14"/>
                <w:color w:val="auto"/>
              </w:rPr>
            </w:pPr>
          </w:p>
        </w:tc>
        <w:tc>
          <w:tcPr>
            <w:tcW w:w="1920" w:type="dxa"/>
            <w:vAlign w:val="bottom"/>
            <w:tcBorders>
              <w:bottom w:val="single" w:sz="8" w:color="808080"/>
            </w:tcBorders>
          </w:tcPr>
          <w:p>
            <w:pPr>
              <w:spacing w:after="0"/>
              <w:rPr>
                <w:sz w:val="14"/>
                <w:szCs w:val="14"/>
                <w:color w:val="auto"/>
              </w:rPr>
            </w:pPr>
          </w:p>
        </w:tc>
        <w:tc>
          <w:tcPr>
            <w:tcW w:w="1400" w:type="dxa"/>
            <w:vAlign w:val="bottom"/>
            <w:tcBorders>
              <w:bottom w:val="single" w:sz="8" w:color="808080"/>
            </w:tcBorders>
          </w:tcPr>
          <w:p>
            <w:pPr>
              <w:spacing w:after="0"/>
              <w:rPr>
                <w:sz w:val="14"/>
                <w:szCs w:val="14"/>
                <w:color w:val="auto"/>
              </w:rPr>
            </w:pPr>
          </w:p>
        </w:tc>
        <w:tc>
          <w:tcPr>
            <w:tcW w:w="4060" w:type="dxa"/>
            <w:vAlign w:val="bottom"/>
            <w:tcBorders>
              <w:bottom w:val="single" w:sz="8" w:color="808080"/>
            </w:tcBorders>
          </w:tcPr>
          <w:p>
            <w:pPr>
              <w:spacing w:after="0"/>
              <w:rPr>
                <w:sz w:val="14"/>
                <w:szCs w:val="14"/>
                <w:color w:val="auto"/>
              </w:rPr>
            </w:pPr>
          </w:p>
        </w:tc>
        <w:tc>
          <w:tcPr>
            <w:tcW w:w="3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34" w:right="219" w:bottom="1440" w:gutter="0" w:footer="0" w:header="0"/>
        </w:sectPr>
      </w:pPr>
    </w:p>
    <w:bookmarkStart w:id="47" w:name="page48"/>
    <w:bookmarkEnd w:id="47"/>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ind w:left="3440"/>
        <w:spacing w:after="0"/>
        <w:rPr>
          <w:sz w:val="20"/>
          <w:szCs w:val="20"/>
          <w:color w:val="auto"/>
        </w:rPr>
      </w:pPr>
      <w:r>
        <w:rPr>
          <w:rFonts w:ascii="Arial" w:cs="Arial" w:eastAsia="Arial" w:hAnsi="Arial"/>
          <w:sz w:val="13"/>
          <w:szCs w:val="13"/>
          <w:b w:val="1"/>
          <w:bCs w:val="1"/>
          <w:color w:val="auto"/>
        </w:rPr>
        <w:t>REPORT OF INDEPENDENT REGISTERED PUBLIC ACCOUNTING FIRM</w:t>
      </w:r>
    </w:p>
    <w:p>
      <w:pPr>
        <w:spacing w:after="0" w:line="179" w:lineRule="exact"/>
        <w:rPr>
          <w:sz w:val="20"/>
          <w:szCs w:val="20"/>
          <w:color w:val="auto"/>
        </w:rPr>
      </w:pPr>
    </w:p>
    <w:p>
      <w:pPr>
        <w:ind w:left="680"/>
        <w:spacing w:after="0"/>
        <w:rPr>
          <w:sz w:val="20"/>
          <w:szCs w:val="20"/>
          <w:color w:val="auto"/>
        </w:rPr>
      </w:pPr>
      <w:r>
        <w:rPr>
          <w:rFonts w:ascii="Arial" w:cs="Arial" w:eastAsia="Arial" w:hAnsi="Arial"/>
          <w:sz w:val="13"/>
          <w:szCs w:val="13"/>
          <w:color w:val="auto"/>
        </w:rPr>
        <w:t>Board of Directors and Stockholders</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StemCells, Inc.</w:t>
      </w:r>
    </w:p>
    <w:p>
      <w:pPr>
        <w:spacing w:after="0" w:line="89" w:lineRule="exact"/>
        <w:rPr>
          <w:sz w:val="20"/>
          <w:szCs w:val="20"/>
          <w:color w:val="auto"/>
        </w:rPr>
      </w:pPr>
    </w:p>
    <w:p>
      <w:pPr>
        <w:ind w:left="680" w:right="40" w:firstLine="399"/>
        <w:spacing w:after="0" w:line="264" w:lineRule="auto"/>
        <w:rPr>
          <w:sz w:val="20"/>
          <w:szCs w:val="20"/>
          <w:color w:val="auto"/>
        </w:rPr>
      </w:pPr>
      <w:r>
        <w:rPr>
          <w:rFonts w:ascii="Arial" w:cs="Arial" w:eastAsia="Arial" w:hAnsi="Arial"/>
          <w:sz w:val="13"/>
          <w:szCs w:val="13"/>
          <w:color w:val="auto"/>
        </w:rPr>
        <w:t>We have audited the consolidated balance sheets of StemCells Inc. and subsidiary as of December 31, 2005 and 2004, and the related consolidated statements of operations, changes in redeemable convertible preferred stock and stockholders’ equity, and cash flows for each of the three years in the period ended December 31, 2005. These financial statements are the responsibility of management. Our responsibility is to express an opinion on these financial statements based on our audits.</w:t>
      </w:r>
    </w:p>
    <w:p>
      <w:pPr>
        <w:spacing w:after="0" w:line="67"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70" w:lineRule="exact"/>
        <w:rPr>
          <w:sz w:val="20"/>
          <w:szCs w:val="20"/>
          <w:color w:val="auto"/>
        </w:rPr>
      </w:pPr>
    </w:p>
    <w:p>
      <w:pPr>
        <w:jc w:val="both"/>
        <w:ind w:left="680" w:right="180" w:firstLine="399"/>
        <w:spacing w:after="0" w:line="264" w:lineRule="auto"/>
        <w:rPr>
          <w:sz w:val="20"/>
          <w:szCs w:val="20"/>
          <w:color w:val="auto"/>
        </w:rPr>
      </w:pPr>
      <w:r>
        <w:rPr>
          <w:rFonts w:ascii="Arial" w:cs="Arial" w:eastAsia="Arial" w:hAnsi="Arial"/>
          <w:sz w:val="13"/>
          <w:szCs w:val="13"/>
          <w:color w:val="auto"/>
        </w:rPr>
        <w:t>In our opinion, the financial statements referred to above present fairly, in all material respects, the consolidated financial position of StemCells Inc. as of December 31, 2005 and 2004, and the consolidated results of their operations and their consolidated cash flows for each of the three years in the period ended December 31, 2005, in conformity with accounting principles generally accepted in the United States of America.</w:t>
      </w:r>
    </w:p>
    <w:p>
      <w:pPr>
        <w:spacing w:after="0" w:line="67" w:lineRule="exact"/>
        <w:rPr>
          <w:sz w:val="20"/>
          <w:szCs w:val="20"/>
          <w:color w:val="auto"/>
        </w:rPr>
      </w:pPr>
    </w:p>
    <w:p>
      <w:pPr>
        <w:ind w:left="680" w:right="140" w:firstLine="399"/>
        <w:spacing w:after="0" w:line="260" w:lineRule="auto"/>
        <w:rPr>
          <w:sz w:val="20"/>
          <w:szCs w:val="20"/>
          <w:color w:val="auto"/>
        </w:rPr>
      </w:pPr>
      <w:r>
        <w:rPr>
          <w:rFonts w:ascii="Arial" w:cs="Arial" w:eastAsia="Arial" w:hAnsi="Arial"/>
          <w:sz w:val="13"/>
          <w:szCs w:val="13"/>
          <w:color w:val="auto"/>
        </w:rPr>
        <w:t>We also have audited, in accordance with standards of the Public Company Accounting Oversight Board (United States), the effectiveness of StemCells Inc.’s internal control over financial reporting as of December 31, 2005, based on criteria established in Internal Control — Integrated Framework issued by the Committee of Sponsoring Organizations of the Treadway Commission, and our report dated March 3, 2006, expressed an unqualified opinion on management’s assessment of, and an unqualified opinion on the effective operation of, internal control over financial reporting.</w:t>
      </w:r>
    </w:p>
    <w:p>
      <w:pPr>
        <w:spacing w:after="0" w:line="306"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/s/ GRANT THORNTON LLP</w:t>
      </w:r>
    </w:p>
    <w:p>
      <w:pPr>
        <w:spacing w:after="0" w:line="17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San Jose, California</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March 3, 2006</w:t>
      </w:r>
    </w:p>
    <w:p>
      <w:pPr>
        <w:spacing w:after="0" w:line="295"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00"/>
          </w:cols>
          <w:pgMar w:left="220" w:top="343" w:right="1079" w:bottom="1440" w:gutter="0" w:footer="0" w:header="0"/>
        </w:sectPr>
      </w:pPr>
    </w:p>
    <w:bookmarkStart w:id="48" w:name="page49"/>
    <w:bookmarkEnd w:id="48"/>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StemCells, Inc.</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Consolidated Balance Sheets</w:t>
      </w:r>
    </w:p>
    <w:p>
      <w:pPr>
        <w:spacing w:after="0" w:line="181"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7300" w:type="dxa"/>
            <w:vAlign w:val="bottom"/>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500" w:type="dxa"/>
            <w:vAlign w:val="bottom"/>
            <w:tcBorders>
              <w:bottom w:val="single" w:sz="8" w:color="auto"/>
            </w:tcBorders>
            <w:gridSpan w:val="3"/>
          </w:tcPr>
          <w:p>
            <w:pPr>
              <w:jc w:val="right"/>
              <w:ind w:right="91"/>
              <w:spacing w:after="0"/>
              <w:rPr>
                <w:sz w:val="20"/>
                <w:szCs w:val="20"/>
                <w:color w:val="auto"/>
              </w:rPr>
            </w:pPr>
            <w:r>
              <w:rPr>
                <w:rFonts w:ascii="Arial" w:cs="Arial" w:eastAsia="Arial" w:hAnsi="Arial"/>
                <w:sz w:val="10"/>
                <w:szCs w:val="10"/>
                <w:b w:val="1"/>
                <w:bCs w:val="1"/>
                <w:color w:val="auto"/>
              </w:rPr>
              <w:t>December 31,</w:t>
            </w:r>
          </w:p>
        </w:tc>
        <w:tc>
          <w:tcPr>
            <w:tcW w:w="84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7300" w:type="dxa"/>
            <w:vAlign w:val="bottom"/>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jc w:val="right"/>
              <w:ind w:right="375"/>
              <w:spacing w:after="0" w:line="98" w:lineRule="exact"/>
              <w:rPr>
                <w:sz w:val="20"/>
                <w:szCs w:val="20"/>
                <w:color w:val="auto"/>
              </w:rPr>
            </w:pPr>
            <w:r>
              <w:rPr>
                <w:rFonts w:ascii="Arial" w:cs="Arial" w:eastAsia="Arial" w:hAnsi="Arial"/>
                <w:sz w:val="10"/>
                <w:szCs w:val="10"/>
                <w:b w:val="1"/>
                <w:bCs w:val="1"/>
                <w:color w:val="auto"/>
              </w:rPr>
              <w:t>2005</w:t>
            </w:r>
          </w:p>
        </w:tc>
        <w:tc>
          <w:tcPr>
            <w:tcW w:w="400" w:type="dxa"/>
            <w:vAlign w:val="bottom"/>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jc w:val="right"/>
              <w:ind w:right="375"/>
              <w:spacing w:after="0" w:line="98" w:lineRule="exact"/>
              <w:rPr>
                <w:sz w:val="20"/>
                <w:szCs w:val="20"/>
                <w:color w:val="auto"/>
              </w:rPr>
            </w:pPr>
            <w:r>
              <w:rPr>
                <w:rFonts w:ascii="Arial" w:cs="Arial" w:eastAsia="Arial" w:hAnsi="Arial"/>
                <w:sz w:val="10"/>
                <w:szCs w:val="10"/>
                <w:b w:val="1"/>
                <w:bCs w:val="1"/>
                <w:color w:val="auto"/>
              </w:rPr>
              <w:t>2004</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7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7300" w:type="dxa"/>
            <w:vAlign w:val="bottom"/>
            <w:shd w:val="clear" w:color="auto" w:fill="CCEEFF"/>
          </w:tcPr>
          <w:p>
            <w:pPr>
              <w:ind w:left="4760"/>
              <w:spacing w:after="0"/>
              <w:rPr>
                <w:sz w:val="20"/>
                <w:szCs w:val="20"/>
                <w:color w:val="auto"/>
              </w:rPr>
            </w:pPr>
            <w:r>
              <w:rPr>
                <w:rFonts w:ascii="Arial" w:cs="Arial" w:eastAsia="Arial" w:hAnsi="Arial"/>
                <w:sz w:val="13"/>
                <w:szCs w:val="13"/>
                <w:b w:val="1"/>
                <w:bCs w:val="1"/>
                <w:color w:val="auto"/>
              </w:rPr>
              <w:t>ASSETS</w:t>
            </w:r>
          </w:p>
        </w:tc>
        <w:tc>
          <w:tcPr>
            <w:tcW w:w="24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7300" w:type="dxa"/>
            <w:vAlign w:val="bottom"/>
          </w:tcPr>
          <w:p>
            <w:pPr>
              <w:spacing w:after="0"/>
              <w:rPr>
                <w:sz w:val="20"/>
                <w:szCs w:val="20"/>
                <w:color w:val="auto"/>
              </w:rPr>
            </w:pPr>
            <w:r>
              <w:rPr>
                <w:rFonts w:ascii="Arial" w:cs="Arial" w:eastAsia="Arial" w:hAnsi="Arial"/>
                <w:sz w:val="13"/>
                <w:szCs w:val="13"/>
                <w:color w:val="auto"/>
              </w:rPr>
              <w:t>Current assets:</w:t>
            </w: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73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Cash and cash equivalents</w:t>
            </w:r>
          </w:p>
        </w:tc>
        <w:tc>
          <w:tcPr>
            <w:tcW w:w="240" w:type="dxa"/>
            <w:vAlign w:val="bottom"/>
            <w:shd w:val="clear" w:color="auto" w:fill="CCEEFF"/>
          </w:tcPr>
          <w:p>
            <w:pPr>
              <w:jc w:val="right"/>
              <w:ind w:right="131"/>
              <w:spacing w:after="0"/>
              <w:rPr>
                <w:sz w:val="20"/>
                <w:szCs w:val="20"/>
                <w:color w:val="auto"/>
              </w:rPr>
            </w:pPr>
            <w:r>
              <w:rPr>
                <w:rFonts w:ascii="Arial" w:cs="Arial" w:eastAsia="Arial" w:hAnsi="Arial"/>
                <w:sz w:val="10"/>
                <w:szCs w:val="10"/>
                <w:color w:val="auto"/>
                <w:w w:val="71"/>
              </w:rPr>
              <w:t>$</w:t>
            </w: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34,540,908</w:t>
            </w:r>
          </w:p>
        </w:tc>
        <w:tc>
          <w:tcPr>
            <w:tcW w:w="240" w:type="dxa"/>
            <w:vAlign w:val="bottom"/>
            <w:shd w:val="clear" w:color="auto" w:fill="CCEEFF"/>
          </w:tcPr>
          <w:p>
            <w:pPr>
              <w:jc w:val="right"/>
              <w:ind w:right="131"/>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41,059,532</w:t>
            </w:r>
          </w:p>
        </w:tc>
        <w:tc>
          <w:tcPr>
            <w:tcW w:w="0" w:type="dxa"/>
            <w:vAlign w:val="bottom"/>
          </w:tcPr>
          <w:p>
            <w:pPr>
              <w:spacing w:after="0"/>
              <w:rPr>
                <w:sz w:val="1"/>
                <w:szCs w:val="1"/>
                <w:color w:val="auto"/>
              </w:rPr>
            </w:pPr>
          </w:p>
        </w:tc>
      </w:tr>
      <w:tr>
        <w:trPr>
          <w:trHeight w:val="157"/>
        </w:trPr>
        <w:tc>
          <w:tcPr>
            <w:tcW w:w="7300" w:type="dxa"/>
            <w:vAlign w:val="bottom"/>
          </w:tcPr>
          <w:p>
            <w:pPr>
              <w:ind w:left="140"/>
              <w:spacing w:after="0"/>
              <w:rPr>
                <w:sz w:val="20"/>
                <w:szCs w:val="20"/>
                <w:color w:val="auto"/>
              </w:rPr>
            </w:pPr>
            <w:r>
              <w:rPr>
                <w:rFonts w:ascii="Arial" w:cs="Arial" w:eastAsia="Arial" w:hAnsi="Arial"/>
                <w:sz w:val="13"/>
                <w:szCs w:val="13"/>
                <w:color w:val="auto"/>
              </w:rPr>
              <w:t>Other receivables</w:t>
            </w:r>
          </w:p>
        </w:tc>
        <w:tc>
          <w:tcPr>
            <w:tcW w:w="240" w:type="dxa"/>
            <w:vAlign w:val="bottom"/>
          </w:tcPr>
          <w:p>
            <w:pPr>
              <w:spacing w:after="0"/>
              <w:rPr>
                <w:sz w:val="13"/>
                <w:szCs w:val="13"/>
                <w:color w:val="auto"/>
              </w:rPr>
            </w:pPr>
          </w:p>
        </w:tc>
        <w:tc>
          <w:tcPr>
            <w:tcW w:w="1260" w:type="dxa"/>
            <w:vAlign w:val="bottom"/>
            <w:gridSpan w:val="2"/>
          </w:tcPr>
          <w:p>
            <w:pPr>
              <w:jc w:val="right"/>
              <w:ind w:right="400"/>
              <w:spacing w:after="0"/>
              <w:rPr>
                <w:sz w:val="20"/>
                <w:szCs w:val="20"/>
                <w:color w:val="auto"/>
              </w:rPr>
            </w:pPr>
            <w:r>
              <w:rPr>
                <w:rFonts w:ascii="Arial" w:cs="Arial" w:eastAsia="Arial" w:hAnsi="Arial"/>
                <w:sz w:val="13"/>
                <w:szCs w:val="13"/>
                <w:color w:val="auto"/>
              </w:rPr>
              <w:t>201,919</w:t>
            </w:r>
          </w:p>
        </w:tc>
        <w:tc>
          <w:tcPr>
            <w:tcW w:w="240" w:type="dxa"/>
            <w:vAlign w:val="bottom"/>
          </w:tcPr>
          <w:p>
            <w:pPr>
              <w:spacing w:after="0"/>
              <w:rPr>
                <w:sz w:val="13"/>
                <w:szCs w:val="13"/>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3"/>
                <w:szCs w:val="13"/>
                <w:color w:val="auto"/>
              </w:rPr>
              <w:t>180,963</w:t>
            </w:r>
          </w:p>
        </w:tc>
        <w:tc>
          <w:tcPr>
            <w:tcW w:w="0" w:type="dxa"/>
            <w:vAlign w:val="bottom"/>
          </w:tcPr>
          <w:p>
            <w:pPr>
              <w:spacing w:after="0"/>
              <w:rPr>
                <w:sz w:val="1"/>
                <w:szCs w:val="1"/>
                <w:color w:val="auto"/>
              </w:rPr>
            </w:pPr>
          </w:p>
        </w:tc>
      </w:tr>
      <w:tr>
        <w:trPr>
          <w:trHeight w:val="157"/>
        </w:trPr>
        <w:tc>
          <w:tcPr>
            <w:tcW w:w="73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Other current assets</w:t>
            </w:r>
          </w:p>
        </w:tc>
        <w:tc>
          <w:tcPr>
            <w:tcW w:w="24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386,966</w:t>
            </w:r>
          </w:p>
        </w:tc>
        <w:tc>
          <w:tcPr>
            <w:tcW w:w="2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209,074</w:t>
            </w:r>
          </w:p>
        </w:tc>
        <w:tc>
          <w:tcPr>
            <w:tcW w:w="0" w:type="dxa"/>
            <w:vAlign w:val="bottom"/>
          </w:tcPr>
          <w:p>
            <w:pPr>
              <w:spacing w:after="0"/>
              <w:rPr>
                <w:sz w:val="1"/>
                <w:szCs w:val="1"/>
                <w:color w:val="auto"/>
              </w:rPr>
            </w:pPr>
          </w:p>
        </w:tc>
      </w:tr>
      <w:tr>
        <w:trPr>
          <w:trHeight w:val="20"/>
        </w:trPr>
        <w:tc>
          <w:tcPr>
            <w:tcW w:w="7300" w:type="dxa"/>
            <w:vAlign w:val="bottom"/>
            <w:vMerge w:val="restart"/>
          </w:tcPr>
          <w:p>
            <w:pPr>
              <w:spacing w:after="0"/>
              <w:rPr>
                <w:sz w:val="20"/>
                <w:szCs w:val="20"/>
                <w:color w:val="auto"/>
              </w:rPr>
            </w:pPr>
            <w:r>
              <w:rPr>
                <w:rFonts w:ascii="Arial" w:cs="Arial" w:eastAsia="Arial" w:hAnsi="Arial"/>
                <w:sz w:val="13"/>
                <w:szCs w:val="13"/>
                <w:color w:val="auto"/>
              </w:rPr>
              <w:t>Total current assets</w:t>
            </w: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30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1260" w:type="dxa"/>
            <w:vAlign w:val="bottom"/>
            <w:gridSpan w:val="2"/>
          </w:tcPr>
          <w:p>
            <w:pPr>
              <w:jc w:val="right"/>
              <w:ind w:right="400"/>
              <w:spacing w:after="0"/>
              <w:rPr>
                <w:sz w:val="20"/>
                <w:szCs w:val="20"/>
                <w:color w:val="auto"/>
              </w:rPr>
            </w:pPr>
            <w:r>
              <w:rPr>
                <w:rFonts w:ascii="Arial" w:cs="Arial" w:eastAsia="Arial" w:hAnsi="Arial"/>
                <w:sz w:val="13"/>
                <w:szCs w:val="13"/>
                <w:color w:val="auto"/>
              </w:rPr>
              <w:t>35,129,793</w:t>
            </w:r>
          </w:p>
        </w:tc>
        <w:tc>
          <w:tcPr>
            <w:tcW w:w="240" w:type="dxa"/>
            <w:vAlign w:val="bottom"/>
          </w:tcPr>
          <w:p>
            <w:pPr>
              <w:spacing w:after="0"/>
              <w:rPr>
                <w:sz w:val="13"/>
                <w:szCs w:val="13"/>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3"/>
                <w:szCs w:val="13"/>
                <w:color w:val="auto"/>
              </w:rPr>
              <w:t>41,449,569</w:t>
            </w:r>
          </w:p>
        </w:tc>
        <w:tc>
          <w:tcPr>
            <w:tcW w:w="0" w:type="dxa"/>
            <w:vAlign w:val="bottom"/>
          </w:tcPr>
          <w:p>
            <w:pPr>
              <w:spacing w:after="0"/>
              <w:rPr>
                <w:sz w:val="1"/>
                <w:szCs w:val="1"/>
                <w:color w:val="auto"/>
              </w:rPr>
            </w:pPr>
          </w:p>
        </w:tc>
      </w:tr>
      <w:tr>
        <w:trPr>
          <w:trHeight w:val="158"/>
        </w:trPr>
        <w:tc>
          <w:tcPr>
            <w:tcW w:w="7300" w:type="dxa"/>
            <w:vAlign w:val="bottom"/>
            <w:shd w:val="clear" w:color="auto" w:fill="CCEEFF"/>
          </w:tcPr>
          <w:p>
            <w:pPr>
              <w:spacing w:after="0"/>
              <w:rPr>
                <w:sz w:val="20"/>
                <w:szCs w:val="20"/>
                <w:color w:val="auto"/>
              </w:rPr>
            </w:pPr>
            <w:r>
              <w:rPr>
                <w:rFonts w:ascii="Arial" w:cs="Arial" w:eastAsia="Arial" w:hAnsi="Arial"/>
                <w:sz w:val="13"/>
                <w:szCs w:val="13"/>
                <w:color w:val="auto"/>
              </w:rPr>
              <w:t>Marketable securities</w:t>
            </w:r>
          </w:p>
        </w:tc>
        <w:tc>
          <w:tcPr>
            <w:tcW w:w="24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3,720,794</w:t>
            </w:r>
          </w:p>
        </w:tc>
        <w:tc>
          <w:tcPr>
            <w:tcW w:w="2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7300" w:type="dxa"/>
            <w:vAlign w:val="bottom"/>
          </w:tcPr>
          <w:p>
            <w:pPr>
              <w:spacing w:after="0"/>
              <w:rPr>
                <w:sz w:val="20"/>
                <w:szCs w:val="20"/>
                <w:color w:val="auto"/>
              </w:rPr>
            </w:pPr>
            <w:r>
              <w:rPr>
                <w:rFonts w:ascii="Arial" w:cs="Arial" w:eastAsia="Arial" w:hAnsi="Arial"/>
                <w:sz w:val="13"/>
                <w:szCs w:val="13"/>
                <w:color w:val="auto"/>
              </w:rPr>
              <w:t>Property, plant and equipment, net</w:t>
            </w:r>
          </w:p>
        </w:tc>
        <w:tc>
          <w:tcPr>
            <w:tcW w:w="240" w:type="dxa"/>
            <w:vAlign w:val="bottom"/>
          </w:tcPr>
          <w:p>
            <w:pPr>
              <w:spacing w:after="0"/>
              <w:rPr>
                <w:sz w:val="13"/>
                <w:szCs w:val="13"/>
                <w:color w:val="auto"/>
              </w:rPr>
            </w:pPr>
          </w:p>
        </w:tc>
        <w:tc>
          <w:tcPr>
            <w:tcW w:w="1260" w:type="dxa"/>
            <w:vAlign w:val="bottom"/>
            <w:gridSpan w:val="2"/>
          </w:tcPr>
          <w:p>
            <w:pPr>
              <w:jc w:val="right"/>
              <w:ind w:right="400"/>
              <w:spacing w:after="0"/>
              <w:rPr>
                <w:sz w:val="20"/>
                <w:szCs w:val="20"/>
                <w:color w:val="auto"/>
              </w:rPr>
            </w:pPr>
            <w:r>
              <w:rPr>
                <w:rFonts w:ascii="Arial" w:cs="Arial" w:eastAsia="Arial" w:hAnsi="Arial"/>
                <w:sz w:val="13"/>
                <w:szCs w:val="13"/>
                <w:color w:val="auto"/>
              </w:rPr>
              <w:t>3,282,588</w:t>
            </w:r>
          </w:p>
        </w:tc>
        <w:tc>
          <w:tcPr>
            <w:tcW w:w="240" w:type="dxa"/>
            <w:vAlign w:val="bottom"/>
          </w:tcPr>
          <w:p>
            <w:pPr>
              <w:spacing w:after="0"/>
              <w:rPr>
                <w:sz w:val="13"/>
                <w:szCs w:val="13"/>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3"/>
                <w:szCs w:val="13"/>
                <w:color w:val="auto"/>
              </w:rPr>
              <w:t>3,424,294</w:t>
            </w:r>
          </w:p>
        </w:tc>
        <w:tc>
          <w:tcPr>
            <w:tcW w:w="0" w:type="dxa"/>
            <w:vAlign w:val="bottom"/>
          </w:tcPr>
          <w:p>
            <w:pPr>
              <w:spacing w:after="0"/>
              <w:rPr>
                <w:sz w:val="1"/>
                <w:szCs w:val="1"/>
                <w:color w:val="auto"/>
              </w:rPr>
            </w:pPr>
          </w:p>
        </w:tc>
      </w:tr>
      <w:tr>
        <w:trPr>
          <w:trHeight w:val="157"/>
        </w:trPr>
        <w:tc>
          <w:tcPr>
            <w:tcW w:w="7300" w:type="dxa"/>
            <w:vAlign w:val="bottom"/>
            <w:shd w:val="clear" w:color="auto" w:fill="CCEEFF"/>
          </w:tcPr>
          <w:p>
            <w:pPr>
              <w:spacing w:after="0"/>
              <w:rPr>
                <w:sz w:val="20"/>
                <w:szCs w:val="20"/>
                <w:color w:val="auto"/>
              </w:rPr>
            </w:pPr>
            <w:r>
              <w:rPr>
                <w:rFonts w:ascii="Arial" w:cs="Arial" w:eastAsia="Arial" w:hAnsi="Arial"/>
                <w:sz w:val="13"/>
                <w:szCs w:val="13"/>
                <w:color w:val="auto"/>
              </w:rPr>
              <w:t>Other assets, net</w:t>
            </w:r>
          </w:p>
        </w:tc>
        <w:tc>
          <w:tcPr>
            <w:tcW w:w="24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2,705,513</w:t>
            </w:r>
          </w:p>
        </w:tc>
        <w:tc>
          <w:tcPr>
            <w:tcW w:w="2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2,753,419</w:t>
            </w:r>
          </w:p>
        </w:tc>
        <w:tc>
          <w:tcPr>
            <w:tcW w:w="0" w:type="dxa"/>
            <w:vAlign w:val="bottom"/>
          </w:tcPr>
          <w:p>
            <w:pPr>
              <w:spacing w:after="0"/>
              <w:rPr>
                <w:sz w:val="1"/>
                <w:szCs w:val="1"/>
                <w:color w:val="auto"/>
              </w:rPr>
            </w:pPr>
          </w:p>
        </w:tc>
      </w:tr>
      <w:tr>
        <w:trPr>
          <w:trHeight w:val="20"/>
        </w:trPr>
        <w:tc>
          <w:tcPr>
            <w:tcW w:w="7300" w:type="dxa"/>
            <w:vAlign w:val="bottom"/>
            <w:vMerge w:val="restart"/>
          </w:tcPr>
          <w:p>
            <w:pPr>
              <w:spacing w:after="0"/>
              <w:rPr>
                <w:sz w:val="20"/>
                <w:szCs w:val="20"/>
                <w:color w:val="auto"/>
              </w:rPr>
            </w:pPr>
            <w:r>
              <w:rPr>
                <w:rFonts w:ascii="Arial" w:cs="Arial" w:eastAsia="Arial" w:hAnsi="Arial"/>
                <w:sz w:val="13"/>
                <w:szCs w:val="13"/>
                <w:color w:val="auto"/>
              </w:rPr>
              <w:t>Total assets</w:t>
            </w: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7300" w:type="dxa"/>
            <w:vAlign w:val="bottom"/>
            <w:vMerge w:val="continue"/>
          </w:tcPr>
          <w:p>
            <w:pPr>
              <w:spacing w:after="0"/>
              <w:rPr>
                <w:sz w:val="14"/>
                <w:szCs w:val="14"/>
                <w:color w:val="auto"/>
              </w:rPr>
            </w:pPr>
          </w:p>
        </w:tc>
        <w:tc>
          <w:tcPr>
            <w:tcW w:w="240" w:type="dxa"/>
            <w:vAlign w:val="bottom"/>
          </w:tcPr>
          <w:p>
            <w:pPr>
              <w:jc w:val="right"/>
              <w:ind w:right="131"/>
              <w:spacing w:after="0"/>
              <w:rPr>
                <w:sz w:val="20"/>
                <w:szCs w:val="20"/>
                <w:color w:val="auto"/>
              </w:rPr>
            </w:pPr>
            <w:r>
              <w:rPr>
                <w:rFonts w:ascii="Arial" w:cs="Arial" w:eastAsia="Arial" w:hAnsi="Arial"/>
                <w:sz w:val="10"/>
                <w:szCs w:val="10"/>
                <w:color w:val="auto"/>
                <w:w w:val="71"/>
              </w:rPr>
              <w:t>$</w:t>
            </w:r>
          </w:p>
        </w:tc>
        <w:tc>
          <w:tcPr>
            <w:tcW w:w="1260" w:type="dxa"/>
            <w:vAlign w:val="bottom"/>
            <w:gridSpan w:val="2"/>
          </w:tcPr>
          <w:p>
            <w:pPr>
              <w:jc w:val="right"/>
              <w:ind w:right="400"/>
              <w:spacing w:after="0"/>
              <w:rPr>
                <w:sz w:val="20"/>
                <w:szCs w:val="20"/>
                <w:color w:val="auto"/>
              </w:rPr>
            </w:pPr>
            <w:r>
              <w:rPr>
                <w:rFonts w:ascii="Arial" w:cs="Arial" w:eastAsia="Arial" w:hAnsi="Arial"/>
                <w:sz w:val="13"/>
                <w:szCs w:val="13"/>
                <w:color w:val="auto"/>
              </w:rPr>
              <w:t>44,838,688</w:t>
            </w:r>
          </w:p>
        </w:tc>
        <w:tc>
          <w:tcPr>
            <w:tcW w:w="240" w:type="dxa"/>
            <w:vAlign w:val="bottom"/>
          </w:tcPr>
          <w:p>
            <w:pPr>
              <w:jc w:val="right"/>
              <w:ind w:right="131"/>
              <w:spacing w:after="0"/>
              <w:rPr>
                <w:sz w:val="20"/>
                <w:szCs w:val="20"/>
                <w:color w:val="auto"/>
              </w:rPr>
            </w:pPr>
            <w:r>
              <w:rPr>
                <w:rFonts w:ascii="Arial" w:cs="Arial" w:eastAsia="Arial" w:hAnsi="Arial"/>
                <w:sz w:val="10"/>
                <w:szCs w:val="10"/>
                <w:color w:val="auto"/>
                <w:w w:val="71"/>
              </w:rPr>
              <w:t>$</w:t>
            </w:r>
          </w:p>
        </w:tc>
        <w:tc>
          <w:tcPr>
            <w:tcW w:w="940" w:type="dxa"/>
            <w:vAlign w:val="bottom"/>
            <w:gridSpan w:val="2"/>
          </w:tcPr>
          <w:p>
            <w:pPr>
              <w:jc w:val="right"/>
              <w:ind w:right="100"/>
              <w:spacing w:after="0"/>
              <w:rPr>
                <w:sz w:val="20"/>
                <w:szCs w:val="20"/>
                <w:color w:val="auto"/>
              </w:rPr>
            </w:pPr>
            <w:r>
              <w:rPr>
                <w:rFonts w:ascii="Arial" w:cs="Arial" w:eastAsia="Arial" w:hAnsi="Arial"/>
                <w:sz w:val="13"/>
                <w:szCs w:val="13"/>
                <w:color w:val="auto"/>
              </w:rPr>
              <w:t>47,627,282</w:t>
            </w:r>
          </w:p>
        </w:tc>
        <w:tc>
          <w:tcPr>
            <w:tcW w:w="0" w:type="dxa"/>
            <w:vAlign w:val="bottom"/>
          </w:tcPr>
          <w:p>
            <w:pPr>
              <w:spacing w:after="0"/>
              <w:rPr>
                <w:sz w:val="1"/>
                <w:szCs w:val="1"/>
                <w:color w:val="auto"/>
              </w:rPr>
            </w:pPr>
          </w:p>
        </w:tc>
      </w:tr>
      <w:tr>
        <w:trPr>
          <w:trHeight w:val="128"/>
        </w:trPr>
        <w:tc>
          <w:tcPr>
            <w:tcW w:w="730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7300" w:type="dxa"/>
            <w:vAlign w:val="bottom"/>
            <w:shd w:val="clear" w:color="auto" w:fill="CCEEFF"/>
          </w:tcPr>
          <w:p>
            <w:pPr>
              <w:ind w:left="3580"/>
              <w:spacing w:after="0"/>
              <w:rPr>
                <w:sz w:val="20"/>
                <w:szCs w:val="20"/>
                <w:color w:val="auto"/>
              </w:rPr>
            </w:pPr>
            <w:r>
              <w:rPr>
                <w:rFonts w:ascii="Arial" w:cs="Arial" w:eastAsia="Arial" w:hAnsi="Arial"/>
                <w:sz w:val="13"/>
                <w:szCs w:val="13"/>
                <w:b w:val="1"/>
                <w:bCs w:val="1"/>
                <w:color w:val="auto"/>
              </w:rPr>
              <w:t>LIABILITIES AND STOCKHOLDERS’ EQUITY</w:t>
            </w:r>
          </w:p>
        </w:tc>
        <w:tc>
          <w:tcPr>
            <w:tcW w:w="24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7300" w:type="dxa"/>
            <w:vAlign w:val="bottom"/>
          </w:tcPr>
          <w:p>
            <w:pPr>
              <w:spacing w:after="0"/>
              <w:rPr>
                <w:sz w:val="20"/>
                <w:szCs w:val="20"/>
                <w:color w:val="auto"/>
              </w:rPr>
            </w:pPr>
            <w:r>
              <w:rPr>
                <w:rFonts w:ascii="Arial" w:cs="Arial" w:eastAsia="Arial" w:hAnsi="Arial"/>
                <w:sz w:val="13"/>
                <w:szCs w:val="13"/>
                <w:color w:val="auto"/>
              </w:rPr>
              <w:t>Current liabilities:</w:t>
            </w: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73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Accounts payable</w:t>
            </w:r>
          </w:p>
        </w:tc>
        <w:tc>
          <w:tcPr>
            <w:tcW w:w="240" w:type="dxa"/>
            <w:vAlign w:val="bottom"/>
            <w:shd w:val="clear" w:color="auto" w:fill="CCEEFF"/>
          </w:tcPr>
          <w:p>
            <w:pPr>
              <w:jc w:val="right"/>
              <w:ind w:right="131"/>
              <w:spacing w:after="0"/>
              <w:rPr>
                <w:sz w:val="20"/>
                <w:szCs w:val="20"/>
                <w:color w:val="auto"/>
              </w:rPr>
            </w:pPr>
            <w:r>
              <w:rPr>
                <w:rFonts w:ascii="Arial" w:cs="Arial" w:eastAsia="Arial" w:hAnsi="Arial"/>
                <w:sz w:val="10"/>
                <w:szCs w:val="10"/>
                <w:color w:val="auto"/>
                <w:w w:val="71"/>
              </w:rPr>
              <w:t>$</w:t>
            </w: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637,122</w:t>
            </w:r>
          </w:p>
        </w:tc>
        <w:tc>
          <w:tcPr>
            <w:tcW w:w="240" w:type="dxa"/>
            <w:vAlign w:val="bottom"/>
            <w:shd w:val="clear" w:color="auto" w:fill="CCEEFF"/>
          </w:tcPr>
          <w:p>
            <w:pPr>
              <w:jc w:val="right"/>
              <w:ind w:right="131"/>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524,917</w:t>
            </w:r>
          </w:p>
        </w:tc>
        <w:tc>
          <w:tcPr>
            <w:tcW w:w="0" w:type="dxa"/>
            <w:vAlign w:val="bottom"/>
          </w:tcPr>
          <w:p>
            <w:pPr>
              <w:spacing w:after="0"/>
              <w:rPr>
                <w:sz w:val="1"/>
                <w:szCs w:val="1"/>
                <w:color w:val="auto"/>
              </w:rPr>
            </w:pPr>
          </w:p>
        </w:tc>
      </w:tr>
      <w:tr>
        <w:trPr>
          <w:trHeight w:val="157"/>
        </w:trPr>
        <w:tc>
          <w:tcPr>
            <w:tcW w:w="7300" w:type="dxa"/>
            <w:vAlign w:val="bottom"/>
          </w:tcPr>
          <w:p>
            <w:pPr>
              <w:ind w:left="140"/>
              <w:spacing w:after="0"/>
              <w:rPr>
                <w:sz w:val="20"/>
                <w:szCs w:val="20"/>
                <w:color w:val="auto"/>
              </w:rPr>
            </w:pPr>
            <w:r>
              <w:rPr>
                <w:rFonts w:ascii="Arial" w:cs="Arial" w:eastAsia="Arial" w:hAnsi="Arial"/>
                <w:sz w:val="13"/>
                <w:szCs w:val="13"/>
                <w:color w:val="auto"/>
              </w:rPr>
              <w:t>Accrued expenses and other</w:t>
            </w:r>
          </w:p>
        </w:tc>
        <w:tc>
          <w:tcPr>
            <w:tcW w:w="240" w:type="dxa"/>
            <w:vAlign w:val="bottom"/>
          </w:tcPr>
          <w:p>
            <w:pPr>
              <w:spacing w:after="0"/>
              <w:rPr>
                <w:sz w:val="13"/>
                <w:szCs w:val="13"/>
                <w:color w:val="auto"/>
              </w:rPr>
            </w:pPr>
          </w:p>
        </w:tc>
        <w:tc>
          <w:tcPr>
            <w:tcW w:w="1260" w:type="dxa"/>
            <w:vAlign w:val="bottom"/>
            <w:gridSpan w:val="2"/>
          </w:tcPr>
          <w:p>
            <w:pPr>
              <w:jc w:val="right"/>
              <w:ind w:right="400"/>
              <w:spacing w:after="0"/>
              <w:rPr>
                <w:sz w:val="20"/>
                <w:szCs w:val="20"/>
                <w:color w:val="auto"/>
              </w:rPr>
            </w:pPr>
            <w:r>
              <w:rPr>
                <w:rFonts w:ascii="Arial" w:cs="Arial" w:eastAsia="Arial" w:hAnsi="Arial"/>
                <w:sz w:val="13"/>
                <w:szCs w:val="13"/>
                <w:color w:val="auto"/>
              </w:rPr>
              <w:t>1,483,300</w:t>
            </w:r>
          </w:p>
        </w:tc>
        <w:tc>
          <w:tcPr>
            <w:tcW w:w="240" w:type="dxa"/>
            <w:vAlign w:val="bottom"/>
          </w:tcPr>
          <w:p>
            <w:pPr>
              <w:spacing w:after="0"/>
              <w:rPr>
                <w:sz w:val="13"/>
                <w:szCs w:val="13"/>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3"/>
                <w:szCs w:val="13"/>
                <w:color w:val="auto"/>
              </w:rPr>
              <w:t>1,547,370</w:t>
            </w:r>
          </w:p>
        </w:tc>
        <w:tc>
          <w:tcPr>
            <w:tcW w:w="0" w:type="dxa"/>
            <w:vAlign w:val="bottom"/>
          </w:tcPr>
          <w:p>
            <w:pPr>
              <w:spacing w:after="0"/>
              <w:rPr>
                <w:sz w:val="1"/>
                <w:szCs w:val="1"/>
                <w:color w:val="auto"/>
              </w:rPr>
            </w:pPr>
          </w:p>
        </w:tc>
      </w:tr>
      <w:tr>
        <w:trPr>
          <w:trHeight w:val="157"/>
        </w:trPr>
        <w:tc>
          <w:tcPr>
            <w:tcW w:w="73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Accrued wind-down expenses</w:t>
            </w:r>
          </w:p>
        </w:tc>
        <w:tc>
          <w:tcPr>
            <w:tcW w:w="24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1,118,796</w:t>
            </w:r>
          </w:p>
        </w:tc>
        <w:tc>
          <w:tcPr>
            <w:tcW w:w="2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1,013,460</w:t>
            </w:r>
          </w:p>
        </w:tc>
        <w:tc>
          <w:tcPr>
            <w:tcW w:w="0" w:type="dxa"/>
            <w:vAlign w:val="bottom"/>
          </w:tcPr>
          <w:p>
            <w:pPr>
              <w:spacing w:after="0"/>
              <w:rPr>
                <w:sz w:val="1"/>
                <w:szCs w:val="1"/>
                <w:color w:val="auto"/>
              </w:rPr>
            </w:pPr>
          </w:p>
        </w:tc>
      </w:tr>
      <w:tr>
        <w:trPr>
          <w:trHeight w:val="157"/>
        </w:trPr>
        <w:tc>
          <w:tcPr>
            <w:tcW w:w="7300" w:type="dxa"/>
            <w:vAlign w:val="bottom"/>
          </w:tcPr>
          <w:p>
            <w:pPr>
              <w:ind w:left="140"/>
              <w:spacing w:after="0"/>
              <w:rPr>
                <w:sz w:val="20"/>
                <w:szCs w:val="20"/>
                <w:color w:val="auto"/>
              </w:rPr>
            </w:pPr>
            <w:r>
              <w:rPr>
                <w:rFonts w:ascii="Arial" w:cs="Arial" w:eastAsia="Arial" w:hAnsi="Arial"/>
                <w:sz w:val="13"/>
                <w:szCs w:val="13"/>
                <w:color w:val="auto"/>
              </w:rPr>
              <w:t>Capital lease obligations, current portion</w:t>
            </w:r>
          </w:p>
        </w:tc>
        <w:tc>
          <w:tcPr>
            <w:tcW w:w="240" w:type="dxa"/>
            <w:vAlign w:val="bottom"/>
          </w:tcPr>
          <w:p>
            <w:pPr>
              <w:spacing w:after="0"/>
              <w:rPr>
                <w:sz w:val="13"/>
                <w:szCs w:val="13"/>
                <w:color w:val="auto"/>
              </w:rPr>
            </w:pPr>
          </w:p>
        </w:tc>
        <w:tc>
          <w:tcPr>
            <w:tcW w:w="1260" w:type="dxa"/>
            <w:vAlign w:val="bottom"/>
            <w:gridSpan w:val="2"/>
          </w:tcPr>
          <w:p>
            <w:pPr>
              <w:jc w:val="right"/>
              <w:ind w:right="400"/>
              <w:spacing w:after="0"/>
              <w:rPr>
                <w:sz w:val="20"/>
                <w:szCs w:val="20"/>
                <w:color w:val="auto"/>
              </w:rPr>
            </w:pPr>
            <w:r>
              <w:rPr>
                <w:rFonts w:ascii="Arial" w:cs="Arial" w:eastAsia="Arial" w:hAnsi="Arial"/>
                <w:sz w:val="13"/>
                <w:szCs w:val="13"/>
                <w:color w:val="auto"/>
              </w:rPr>
              <w:t>54,676</w:t>
            </w:r>
          </w:p>
        </w:tc>
        <w:tc>
          <w:tcPr>
            <w:tcW w:w="240" w:type="dxa"/>
            <w:vAlign w:val="bottom"/>
          </w:tcPr>
          <w:p>
            <w:pPr>
              <w:spacing w:after="0"/>
              <w:rPr>
                <w:sz w:val="13"/>
                <w:szCs w:val="13"/>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3"/>
                <w:szCs w:val="13"/>
                <w:color w:val="auto"/>
              </w:rPr>
              <w:t>52,843</w:t>
            </w:r>
          </w:p>
        </w:tc>
        <w:tc>
          <w:tcPr>
            <w:tcW w:w="0" w:type="dxa"/>
            <w:vAlign w:val="bottom"/>
          </w:tcPr>
          <w:p>
            <w:pPr>
              <w:spacing w:after="0"/>
              <w:rPr>
                <w:sz w:val="1"/>
                <w:szCs w:val="1"/>
                <w:color w:val="auto"/>
              </w:rPr>
            </w:pPr>
          </w:p>
        </w:tc>
      </w:tr>
      <w:tr>
        <w:trPr>
          <w:trHeight w:val="157"/>
        </w:trPr>
        <w:tc>
          <w:tcPr>
            <w:tcW w:w="73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Bonds payable, current portion</w:t>
            </w:r>
          </w:p>
        </w:tc>
        <w:tc>
          <w:tcPr>
            <w:tcW w:w="24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254,167</w:t>
            </w:r>
          </w:p>
        </w:tc>
        <w:tc>
          <w:tcPr>
            <w:tcW w:w="2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244,167</w:t>
            </w:r>
          </w:p>
        </w:tc>
        <w:tc>
          <w:tcPr>
            <w:tcW w:w="0" w:type="dxa"/>
            <w:vAlign w:val="bottom"/>
          </w:tcPr>
          <w:p>
            <w:pPr>
              <w:spacing w:after="0"/>
              <w:rPr>
                <w:sz w:val="1"/>
                <w:szCs w:val="1"/>
                <w:color w:val="auto"/>
              </w:rPr>
            </w:pPr>
          </w:p>
        </w:tc>
      </w:tr>
      <w:tr>
        <w:trPr>
          <w:trHeight w:val="20"/>
        </w:trPr>
        <w:tc>
          <w:tcPr>
            <w:tcW w:w="7300" w:type="dxa"/>
            <w:vAlign w:val="bottom"/>
            <w:vMerge w:val="restart"/>
          </w:tcPr>
          <w:p>
            <w:pPr>
              <w:spacing w:after="0"/>
              <w:rPr>
                <w:sz w:val="20"/>
                <w:szCs w:val="20"/>
                <w:color w:val="auto"/>
              </w:rPr>
            </w:pPr>
            <w:r>
              <w:rPr>
                <w:rFonts w:ascii="Arial" w:cs="Arial" w:eastAsia="Arial" w:hAnsi="Arial"/>
                <w:sz w:val="13"/>
                <w:szCs w:val="13"/>
                <w:color w:val="auto"/>
              </w:rPr>
              <w:t>Total current liabilities</w:t>
            </w: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30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1260" w:type="dxa"/>
            <w:vAlign w:val="bottom"/>
            <w:gridSpan w:val="2"/>
          </w:tcPr>
          <w:p>
            <w:pPr>
              <w:jc w:val="right"/>
              <w:ind w:right="400"/>
              <w:spacing w:after="0"/>
              <w:rPr>
                <w:sz w:val="20"/>
                <w:szCs w:val="20"/>
                <w:color w:val="auto"/>
              </w:rPr>
            </w:pPr>
            <w:r>
              <w:rPr>
                <w:rFonts w:ascii="Arial" w:cs="Arial" w:eastAsia="Arial" w:hAnsi="Arial"/>
                <w:sz w:val="13"/>
                <w:szCs w:val="13"/>
                <w:color w:val="auto"/>
              </w:rPr>
              <w:t>3,548,061</w:t>
            </w:r>
          </w:p>
        </w:tc>
        <w:tc>
          <w:tcPr>
            <w:tcW w:w="240" w:type="dxa"/>
            <w:vAlign w:val="bottom"/>
          </w:tcPr>
          <w:p>
            <w:pPr>
              <w:spacing w:after="0"/>
              <w:rPr>
                <w:sz w:val="13"/>
                <w:szCs w:val="13"/>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3"/>
                <w:szCs w:val="13"/>
                <w:color w:val="auto"/>
              </w:rPr>
              <w:t>3,382,757</w:t>
            </w:r>
          </w:p>
        </w:tc>
        <w:tc>
          <w:tcPr>
            <w:tcW w:w="0" w:type="dxa"/>
            <w:vAlign w:val="bottom"/>
          </w:tcPr>
          <w:p>
            <w:pPr>
              <w:spacing w:after="0"/>
              <w:rPr>
                <w:sz w:val="1"/>
                <w:szCs w:val="1"/>
                <w:color w:val="auto"/>
              </w:rPr>
            </w:pPr>
          </w:p>
        </w:tc>
      </w:tr>
      <w:tr>
        <w:trPr>
          <w:trHeight w:val="158"/>
        </w:trPr>
        <w:tc>
          <w:tcPr>
            <w:tcW w:w="7300" w:type="dxa"/>
            <w:vAlign w:val="bottom"/>
            <w:shd w:val="clear" w:color="auto" w:fill="CCEEFF"/>
          </w:tcPr>
          <w:p>
            <w:pPr>
              <w:spacing w:after="0"/>
              <w:rPr>
                <w:sz w:val="20"/>
                <w:szCs w:val="20"/>
                <w:color w:val="auto"/>
              </w:rPr>
            </w:pPr>
            <w:r>
              <w:rPr>
                <w:rFonts w:ascii="Arial" w:cs="Arial" w:eastAsia="Arial" w:hAnsi="Arial"/>
                <w:sz w:val="13"/>
                <w:szCs w:val="13"/>
                <w:color w:val="auto"/>
              </w:rPr>
              <w:t>Capital lease obligations, less current maturities</w:t>
            </w:r>
          </w:p>
        </w:tc>
        <w:tc>
          <w:tcPr>
            <w:tcW w:w="24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41,065</w:t>
            </w:r>
          </w:p>
        </w:tc>
        <w:tc>
          <w:tcPr>
            <w:tcW w:w="0" w:type="dxa"/>
            <w:vAlign w:val="bottom"/>
          </w:tcPr>
          <w:p>
            <w:pPr>
              <w:spacing w:after="0"/>
              <w:rPr>
                <w:sz w:val="1"/>
                <w:szCs w:val="1"/>
                <w:color w:val="auto"/>
              </w:rPr>
            </w:pPr>
          </w:p>
        </w:tc>
      </w:tr>
      <w:tr>
        <w:trPr>
          <w:trHeight w:val="157"/>
        </w:trPr>
        <w:tc>
          <w:tcPr>
            <w:tcW w:w="7300" w:type="dxa"/>
            <w:vAlign w:val="bottom"/>
          </w:tcPr>
          <w:p>
            <w:pPr>
              <w:spacing w:after="0"/>
              <w:rPr>
                <w:sz w:val="20"/>
                <w:szCs w:val="20"/>
                <w:color w:val="auto"/>
              </w:rPr>
            </w:pPr>
            <w:r>
              <w:rPr>
                <w:rFonts w:ascii="Arial" w:cs="Arial" w:eastAsia="Arial" w:hAnsi="Arial"/>
                <w:sz w:val="13"/>
                <w:szCs w:val="13"/>
                <w:color w:val="auto"/>
              </w:rPr>
              <w:t>Bonds payable, less current maturities</w:t>
            </w:r>
          </w:p>
        </w:tc>
        <w:tc>
          <w:tcPr>
            <w:tcW w:w="240" w:type="dxa"/>
            <w:vAlign w:val="bottom"/>
          </w:tcPr>
          <w:p>
            <w:pPr>
              <w:spacing w:after="0"/>
              <w:rPr>
                <w:sz w:val="13"/>
                <w:szCs w:val="13"/>
                <w:color w:val="auto"/>
              </w:rPr>
            </w:pPr>
          </w:p>
        </w:tc>
        <w:tc>
          <w:tcPr>
            <w:tcW w:w="1260" w:type="dxa"/>
            <w:vAlign w:val="bottom"/>
            <w:gridSpan w:val="2"/>
          </w:tcPr>
          <w:p>
            <w:pPr>
              <w:jc w:val="right"/>
              <w:ind w:right="400"/>
              <w:spacing w:after="0"/>
              <w:rPr>
                <w:sz w:val="20"/>
                <w:szCs w:val="20"/>
                <w:color w:val="auto"/>
              </w:rPr>
            </w:pPr>
            <w:r>
              <w:rPr>
                <w:rFonts w:ascii="Arial" w:cs="Arial" w:eastAsia="Arial" w:hAnsi="Arial"/>
                <w:sz w:val="13"/>
                <w:szCs w:val="13"/>
                <w:color w:val="auto"/>
              </w:rPr>
              <w:t>1,351,250</w:t>
            </w:r>
          </w:p>
        </w:tc>
        <w:tc>
          <w:tcPr>
            <w:tcW w:w="240" w:type="dxa"/>
            <w:vAlign w:val="bottom"/>
          </w:tcPr>
          <w:p>
            <w:pPr>
              <w:spacing w:after="0"/>
              <w:rPr>
                <w:sz w:val="13"/>
                <w:szCs w:val="13"/>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3"/>
                <w:szCs w:val="13"/>
                <w:color w:val="auto"/>
              </w:rPr>
              <w:t>1,605,417</w:t>
            </w:r>
          </w:p>
        </w:tc>
        <w:tc>
          <w:tcPr>
            <w:tcW w:w="0" w:type="dxa"/>
            <w:vAlign w:val="bottom"/>
          </w:tcPr>
          <w:p>
            <w:pPr>
              <w:spacing w:after="0"/>
              <w:rPr>
                <w:sz w:val="1"/>
                <w:szCs w:val="1"/>
                <w:color w:val="auto"/>
              </w:rPr>
            </w:pPr>
          </w:p>
        </w:tc>
      </w:tr>
      <w:tr>
        <w:trPr>
          <w:trHeight w:val="157"/>
        </w:trPr>
        <w:tc>
          <w:tcPr>
            <w:tcW w:w="7300" w:type="dxa"/>
            <w:vAlign w:val="bottom"/>
            <w:shd w:val="clear" w:color="auto" w:fill="CCEEFF"/>
          </w:tcPr>
          <w:p>
            <w:pPr>
              <w:spacing w:after="0"/>
              <w:rPr>
                <w:sz w:val="20"/>
                <w:szCs w:val="20"/>
                <w:color w:val="auto"/>
              </w:rPr>
            </w:pPr>
            <w:r>
              <w:rPr>
                <w:rFonts w:ascii="Arial" w:cs="Arial" w:eastAsia="Arial" w:hAnsi="Arial"/>
                <w:sz w:val="13"/>
                <w:szCs w:val="13"/>
                <w:color w:val="auto"/>
              </w:rPr>
              <w:t>Deposits and other long-term liabilities</w:t>
            </w:r>
          </w:p>
        </w:tc>
        <w:tc>
          <w:tcPr>
            <w:tcW w:w="24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522,866</w:t>
            </w:r>
          </w:p>
        </w:tc>
        <w:tc>
          <w:tcPr>
            <w:tcW w:w="2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610,126</w:t>
            </w:r>
          </w:p>
        </w:tc>
        <w:tc>
          <w:tcPr>
            <w:tcW w:w="0" w:type="dxa"/>
            <w:vAlign w:val="bottom"/>
          </w:tcPr>
          <w:p>
            <w:pPr>
              <w:spacing w:after="0"/>
              <w:rPr>
                <w:sz w:val="1"/>
                <w:szCs w:val="1"/>
                <w:color w:val="auto"/>
              </w:rPr>
            </w:pPr>
          </w:p>
        </w:tc>
      </w:tr>
      <w:tr>
        <w:trPr>
          <w:trHeight w:val="157"/>
        </w:trPr>
        <w:tc>
          <w:tcPr>
            <w:tcW w:w="7300" w:type="dxa"/>
            <w:vAlign w:val="bottom"/>
          </w:tcPr>
          <w:p>
            <w:pPr>
              <w:spacing w:after="0"/>
              <w:rPr>
                <w:sz w:val="20"/>
                <w:szCs w:val="20"/>
                <w:color w:val="auto"/>
              </w:rPr>
            </w:pPr>
            <w:r>
              <w:rPr>
                <w:rFonts w:ascii="Arial" w:cs="Arial" w:eastAsia="Arial" w:hAnsi="Arial"/>
                <w:sz w:val="13"/>
                <w:szCs w:val="13"/>
                <w:color w:val="auto"/>
              </w:rPr>
              <w:t>Accrued wind-down expenses non current</w:t>
            </w:r>
          </w:p>
        </w:tc>
        <w:tc>
          <w:tcPr>
            <w:tcW w:w="240" w:type="dxa"/>
            <w:vAlign w:val="bottom"/>
          </w:tcPr>
          <w:p>
            <w:pPr>
              <w:spacing w:after="0"/>
              <w:rPr>
                <w:sz w:val="13"/>
                <w:szCs w:val="13"/>
                <w:color w:val="auto"/>
              </w:rPr>
            </w:pPr>
          </w:p>
        </w:tc>
        <w:tc>
          <w:tcPr>
            <w:tcW w:w="1260" w:type="dxa"/>
            <w:vAlign w:val="bottom"/>
            <w:gridSpan w:val="2"/>
          </w:tcPr>
          <w:p>
            <w:pPr>
              <w:jc w:val="right"/>
              <w:ind w:right="400"/>
              <w:spacing w:after="0"/>
              <w:rPr>
                <w:sz w:val="20"/>
                <w:szCs w:val="20"/>
                <w:color w:val="auto"/>
              </w:rPr>
            </w:pPr>
            <w:r>
              <w:rPr>
                <w:rFonts w:ascii="Arial" w:cs="Arial" w:eastAsia="Arial" w:hAnsi="Arial"/>
                <w:sz w:val="13"/>
                <w:szCs w:val="13"/>
                <w:color w:val="auto"/>
              </w:rPr>
              <w:t>6,186,930</w:t>
            </w:r>
          </w:p>
        </w:tc>
        <w:tc>
          <w:tcPr>
            <w:tcW w:w="240" w:type="dxa"/>
            <w:vAlign w:val="bottom"/>
          </w:tcPr>
          <w:p>
            <w:pPr>
              <w:spacing w:after="0"/>
              <w:rPr>
                <w:sz w:val="13"/>
                <w:szCs w:val="13"/>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3"/>
                <w:szCs w:val="13"/>
                <w:color w:val="auto"/>
              </w:rPr>
              <w:t>4,514,569</w:t>
            </w:r>
          </w:p>
        </w:tc>
        <w:tc>
          <w:tcPr>
            <w:tcW w:w="0" w:type="dxa"/>
            <w:vAlign w:val="bottom"/>
          </w:tcPr>
          <w:p>
            <w:pPr>
              <w:spacing w:after="0"/>
              <w:rPr>
                <w:sz w:val="1"/>
                <w:szCs w:val="1"/>
                <w:color w:val="auto"/>
              </w:rPr>
            </w:pPr>
          </w:p>
        </w:tc>
      </w:tr>
      <w:tr>
        <w:trPr>
          <w:trHeight w:val="157"/>
        </w:trPr>
        <w:tc>
          <w:tcPr>
            <w:tcW w:w="7300" w:type="dxa"/>
            <w:vAlign w:val="bottom"/>
            <w:shd w:val="clear" w:color="auto" w:fill="CCEEFF"/>
          </w:tcPr>
          <w:p>
            <w:pPr>
              <w:spacing w:after="0"/>
              <w:rPr>
                <w:sz w:val="20"/>
                <w:szCs w:val="20"/>
                <w:color w:val="auto"/>
              </w:rPr>
            </w:pPr>
            <w:r>
              <w:rPr>
                <w:rFonts w:ascii="Arial" w:cs="Arial" w:eastAsia="Arial" w:hAnsi="Arial"/>
                <w:sz w:val="13"/>
                <w:szCs w:val="13"/>
                <w:color w:val="auto"/>
              </w:rPr>
              <w:t>Deferred rent</w:t>
            </w:r>
          </w:p>
        </w:tc>
        <w:tc>
          <w:tcPr>
            <w:tcW w:w="24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853,997</w:t>
            </w:r>
          </w:p>
        </w:tc>
        <w:tc>
          <w:tcPr>
            <w:tcW w:w="2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523,801</w:t>
            </w:r>
          </w:p>
        </w:tc>
        <w:tc>
          <w:tcPr>
            <w:tcW w:w="0" w:type="dxa"/>
            <w:vAlign w:val="bottom"/>
          </w:tcPr>
          <w:p>
            <w:pPr>
              <w:spacing w:after="0"/>
              <w:rPr>
                <w:sz w:val="1"/>
                <w:szCs w:val="1"/>
                <w:color w:val="auto"/>
              </w:rPr>
            </w:pPr>
          </w:p>
        </w:tc>
      </w:tr>
      <w:tr>
        <w:trPr>
          <w:trHeight w:val="20"/>
        </w:trPr>
        <w:tc>
          <w:tcPr>
            <w:tcW w:w="7300" w:type="dxa"/>
            <w:vAlign w:val="bottom"/>
            <w:vMerge w:val="restart"/>
          </w:tcPr>
          <w:p>
            <w:pPr>
              <w:spacing w:after="0"/>
              <w:rPr>
                <w:sz w:val="20"/>
                <w:szCs w:val="20"/>
                <w:color w:val="auto"/>
              </w:rPr>
            </w:pPr>
            <w:r>
              <w:rPr>
                <w:rFonts w:ascii="Arial" w:cs="Arial" w:eastAsia="Arial" w:hAnsi="Arial"/>
                <w:sz w:val="13"/>
                <w:szCs w:val="13"/>
                <w:color w:val="auto"/>
              </w:rPr>
              <w:t>Total liabilities</w:t>
            </w: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30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1260" w:type="dxa"/>
            <w:vAlign w:val="bottom"/>
            <w:gridSpan w:val="2"/>
          </w:tcPr>
          <w:p>
            <w:pPr>
              <w:jc w:val="right"/>
              <w:ind w:right="400"/>
              <w:spacing w:after="0"/>
              <w:rPr>
                <w:sz w:val="20"/>
                <w:szCs w:val="20"/>
                <w:color w:val="auto"/>
              </w:rPr>
            </w:pPr>
            <w:r>
              <w:rPr>
                <w:rFonts w:ascii="Arial" w:cs="Arial" w:eastAsia="Arial" w:hAnsi="Arial"/>
                <w:sz w:val="13"/>
                <w:szCs w:val="13"/>
                <w:color w:val="auto"/>
              </w:rPr>
              <w:t>12,463,104</w:t>
            </w:r>
          </w:p>
        </w:tc>
        <w:tc>
          <w:tcPr>
            <w:tcW w:w="240" w:type="dxa"/>
            <w:vAlign w:val="bottom"/>
          </w:tcPr>
          <w:p>
            <w:pPr>
              <w:spacing w:after="0"/>
              <w:rPr>
                <w:sz w:val="13"/>
                <w:szCs w:val="13"/>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3"/>
                <w:szCs w:val="13"/>
                <w:color w:val="auto"/>
              </w:rPr>
              <w:t>10,677,735</w:t>
            </w:r>
          </w:p>
        </w:tc>
        <w:tc>
          <w:tcPr>
            <w:tcW w:w="0" w:type="dxa"/>
            <w:vAlign w:val="bottom"/>
          </w:tcPr>
          <w:p>
            <w:pPr>
              <w:spacing w:after="0"/>
              <w:rPr>
                <w:sz w:val="1"/>
                <w:szCs w:val="1"/>
                <w:color w:val="auto"/>
              </w:rPr>
            </w:pPr>
          </w:p>
        </w:tc>
      </w:tr>
      <w:tr>
        <w:trPr>
          <w:trHeight w:val="158"/>
        </w:trPr>
        <w:tc>
          <w:tcPr>
            <w:tcW w:w="7300" w:type="dxa"/>
            <w:vAlign w:val="bottom"/>
            <w:shd w:val="clear" w:color="auto" w:fill="CCEEFF"/>
          </w:tcPr>
          <w:p>
            <w:pPr>
              <w:spacing w:after="0"/>
              <w:rPr>
                <w:sz w:val="20"/>
                <w:szCs w:val="20"/>
                <w:color w:val="auto"/>
              </w:rPr>
            </w:pPr>
            <w:r>
              <w:rPr>
                <w:rFonts w:ascii="Arial" w:cs="Arial" w:eastAsia="Arial" w:hAnsi="Arial"/>
                <w:sz w:val="13"/>
                <w:szCs w:val="13"/>
                <w:color w:val="auto"/>
              </w:rPr>
              <w:t>Commitments (Note 6)</w:t>
            </w:r>
          </w:p>
        </w:tc>
        <w:tc>
          <w:tcPr>
            <w:tcW w:w="24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7300" w:type="dxa"/>
            <w:vAlign w:val="bottom"/>
          </w:tcPr>
          <w:p>
            <w:pPr>
              <w:spacing w:after="0"/>
              <w:rPr>
                <w:sz w:val="20"/>
                <w:szCs w:val="20"/>
                <w:color w:val="auto"/>
              </w:rPr>
            </w:pPr>
            <w:r>
              <w:rPr>
                <w:rFonts w:ascii="Arial" w:cs="Arial" w:eastAsia="Arial" w:hAnsi="Arial"/>
                <w:sz w:val="13"/>
                <w:szCs w:val="13"/>
                <w:color w:val="auto"/>
              </w:rPr>
              <w:t>Stockholders’ equity:</w:t>
            </w: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7300" w:type="dxa"/>
            <w:vAlign w:val="bottom"/>
            <w:shd w:val="clear" w:color="auto" w:fill="CCEEFF"/>
          </w:tcPr>
          <w:p>
            <w:pPr>
              <w:spacing w:after="0" w:line="149" w:lineRule="exact"/>
              <w:rPr>
                <w:sz w:val="20"/>
                <w:szCs w:val="20"/>
                <w:color w:val="auto"/>
              </w:rPr>
            </w:pPr>
            <w:r>
              <w:rPr>
                <w:rFonts w:ascii="Arial" w:cs="Arial" w:eastAsia="Arial" w:hAnsi="Arial"/>
                <w:sz w:val="13"/>
                <w:szCs w:val="13"/>
                <w:color w:val="auto"/>
                <w:w w:val="99"/>
              </w:rPr>
              <w:t>Common stock, $.01 par value; 125,000,000 and 75,000,000 shares authorized; 65,396,022 and 62,129,407 shares issued and</w:t>
            </w:r>
          </w:p>
        </w:tc>
        <w:tc>
          <w:tcPr>
            <w:tcW w:w="2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73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outstanding at December 31, 2005 and 2004, respectively</w:t>
            </w:r>
          </w:p>
        </w:tc>
        <w:tc>
          <w:tcPr>
            <w:tcW w:w="24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653,960</w:t>
            </w:r>
          </w:p>
        </w:tc>
        <w:tc>
          <w:tcPr>
            <w:tcW w:w="24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621,294</w:t>
            </w:r>
          </w:p>
        </w:tc>
        <w:tc>
          <w:tcPr>
            <w:tcW w:w="0" w:type="dxa"/>
            <w:vAlign w:val="bottom"/>
          </w:tcPr>
          <w:p>
            <w:pPr>
              <w:spacing w:after="0"/>
              <w:rPr>
                <w:sz w:val="1"/>
                <w:szCs w:val="1"/>
                <w:color w:val="auto"/>
              </w:rPr>
            </w:pPr>
          </w:p>
        </w:tc>
      </w:tr>
      <w:tr>
        <w:trPr>
          <w:trHeight w:val="157"/>
        </w:trPr>
        <w:tc>
          <w:tcPr>
            <w:tcW w:w="7300" w:type="dxa"/>
            <w:vAlign w:val="bottom"/>
          </w:tcPr>
          <w:p>
            <w:pPr>
              <w:ind w:left="140"/>
              <w:spacing w:after="0"/>
              <w:rPr>
                <w:sz w:val="20"/>
                <w:szCs w:val="20"/>
                <w:color w:val="auto"/>
              </w:rPr>
            </w:pPr>
            <w:r>
              <w:rPr>
                <w:rFonts w:ascii="Arial" w:cs="Arial" w:eastAsia="Arial" w:hAnsi="Arial"/>
                <w:sz w:val="13"/>
                <w:szCs w:val="13"/>
                <w:color w:val="auto"/>
              </w:rPr>
              <w:t>Additional paid-in capital</w:t>
            </w:r>
          </w:p>
        </w:tc>
        <w:tc>
          <w:tcPr>
            <w:tcW w:w="240" w:type="dxa"/>
            <w:vAlign w:val="bottom"/>
          </w:tcPr>
          <w:p>
            <w:pPr>
              <w:spacing w:after="0"/>
              <w:rPr>
                <w:sz w:val="13"/>
                <w:szCs w:val="13"/>
                <w:color w:val="auto"/>
              </w:rPr>
            </w:pPr>
          </w:p>
        </w:tc>
        <w:tc>
          <w:tcPr>
            <w:tcW w:w="1260" w:type="dxa"/>
            <w:vAlign w:val="bottom"/>
            <w:gridSpan w:val="2"/>
          </w:tcPr>
          <w:p>
            <w:pPr>
              <w:jc w:val="right"/>
              <w:ind w:right="400"/>
              <w:spacing w:after="0"/>
              <w:rPr>
                <w:sz w:val="20"/>
                <w:szCs w:val="20"/>
                <w:color w:val="auto"/>
              </w:rPr>
            </w:pPr>
            <w:r>
              <w:rPr>
                <w:rFonts w:ascii="Arial" w:cs="Arial" w:eastAsia="Arial" w:hAnsi="Arial"/>
                <w:sz w:val="13"/>
                <w:szCs w:val="13"/>
                <w:color w:val="auto"/>
              </w:rPr>
              <w:t>217,919,336</w:t>
            </w:r>
          </w:p>
        </w:tc>
        <w:tc>
          <w:tcPr>
            <w:tcW w:w="240" w:type="dxa"/>
            <w:vAlign w:val="bottom"/>
          </w:tcPr>
          <w:p>
            <w:pPr>
              <w:spacing w:after="0"/>
              <w:rPr>
                <w:sz w:val="13"/>
                <w:szCs w:val="13"/>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3"/>
                <w:szCs w:val="13"/>
                <w:color w:val="auto"/>
              </w:rPr>
              <w:t>211,419,299</w:t>
            </w:r>
          </w:p>
        </w:tc>
        <w:tc>
          <w:tcPr>
            <w:tcW w:w="0" w:type="dxa"/>
            <w:vAlign w:val="bottom"/>
          </w:tcPr>
          <w:p>
            <w:pPr>
              <w:spacing w:after="0"/>
              <w:rPr>
                <w:sz w:val="1"/>
                <w:szCs w:val="1"/>
                <w:color w:val="auto"/>
              </w:rPr>
            </w:pPr>
          </w:p>
        </w:tc>
      </w:tr>
      <w:tr>
        <w:trPr>
          <w:trHeight w:val="157"/>
        </w:trPr>
        <w:tc>
          <w:tcPr>
            <w:tcW w:w="73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Accumulated deficit</w:t>
            </w:r>
          </w:p>
        </w:tc>
        <w:tc>
          <w:tcPr>
            <w:tcW w:w="24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(185,943,565)</w:t>
            </w:r>
          </w:p>
        </w:tc>
        <w:tc>
          <w:tcPr>
            <w:tcW w:w="2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(174,205,214)</w:t>
            </w:r>
          </w:p>
        </w:tc>
        <w:tc>
          <w:tcPr>
            <w:tcW w:w="0" w:type="dxa"/>
            <w:vAlign w:val="bottom"/>
          </w:tcPr>
          <w:p>
            <w:pPr>
              <w:spacing w:after="0"/>
              <w:rPr>
                <w:sz w:val="1"/>
                <w:szCs w:val="1"/>
                <w:color w:val="auto"/>
              </w:rPr>
            </w:pPr>
          </w:p>
        </w:tc>
      </w:tr>
      <w:tr>
        <w:trPr>
          <w:trHeight w:val="157"/>
        </w:trPr>
        <w:tc>
          <w:tcPr>
            <w:tcW w:w="7300" w:type="dxa"/>
            <w:vAlign w:val="bottom"/>
          </w:tcPr>
          <w:p>
            <w:pPr>
              <w:ind w:left="140"/>
              <w:spacing w:after="0"/>
              <w:rPr>
                <w:sz w:val="20"/>
                <w:szCs w:val="20"/>
                <w:color w:val="auto"/>
              </w:rPr>
            </w:pPr>
            <w:r>
              <w:rPr>
                <w:rFonts w:ascii="Arial" w:cs="Arial" w:eastAsia="Arial" w:hAnsi="Arial"/>
                <w:sz w:val="13"/>
                <w:szCs w:val="13"/>
                <w:color w:val="auto"/>
              </w:rPr>
              <w:t>Accumulated other comprehensive loss</w:t>
            </w:r>
          </w:p>
        </w:tc>
        <w:tc>
          <w:tcPr>
            <w:tcW w:w="240" w:type="dxa"/>
            <w:vAlign w:val="bottom"/>
          </w:tcPr>
          <w:p>
            <w:pPr>
              <w:spacing w:after="0"/>
              <w:rPr>
                <w:sz w:val="13"/>
                <w:szCs w:val="13"/>
                <w:color w:val="auto"/>
              </w:rPr>
            </w:pPr>
          </w:p>
        </w:tc>
        <w:tc>
          <w:tcPr>
            <w:tcW w:w="1260" w:type="dxa"/>
            <w:vAlign w:val="bottom"/>
            <w:gridSpan w:val="2"/>
          </w:tcPr>
          <w:p>
            <w:pPr>
              <w:jc w:val="right"/>
              <w:ind w:right="360"/>
              <w:spacing w:after="0"/>
              <w:rPr>
                <w:sz w:val="20"/>
                <w:szCs w:val="20"/>
                <w:color w:val="auto"/>
              </w:rPr>
            </w:pPr>
            <w:r>
              <w:rPr>
                <w:rFonts w:ascii="Arial" w:cs="Arial" w:eastAsia="Arial" w:hAnsi="Arial"/>
                <w:sz w:val="13"/>
                <w:szCs w:val="13"/>
                <w:color w:val="auto"/>
              </w:rPr>
              <w:t>(254,147)</w:t>
            </w:r>
          </w:p>
        </w:tc>
        <w:tc>
          <w:tcPr>
            <w:tcW w:w="240" w:type="dxa"/>
            <w:vAlign w:val="bottom"/>
          </w:tcPr>
          <w:p>
            <w:pPr>
              <w:spacing w:after="0"/>
              <w:rPr>
                <w:sz w:val="13"/>
                <w:szCs w:val="13"/>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73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Deferred compensation</w:t>
            </w:r>
          </w:p>
        </w:tc>
        <w:tc>
          <w:tcPr>
            <w:tcW w:w="24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(885,832)</w:t>
            </w:r>
          </w:p>
        </w:tc>
        <w:tc>
          <w:tcPr>
            <w:tcW w:w="0" w:type="dxa"/>
            <w:vAlign w:val="bottom"/>
          </w:tcPr>
          <w:p>
            <w:pPr>
              <w:spacing w:after="0"/>
              <w:rPr>
                <w:sz w:val="1"/>
                <w:szCs w:val="1"/>
                <w:color w:val="auto"/>
              </w:rPr>
            </w:pPr>
          </w:p>
        </w:tc>
      </w:tr>
      <w:tr>
        <w:trPr>
          <w:trHeight w:val="20"/>
        </w:trPr>
        <w:tc>
          <w:tcPr>
            <w:tcW w:w="7300" w:type="dxa"/>
            <w:vAlign w:val="bottom"/>
            <w:vMerge w:val="restart"/>
          </w:tcPr>
          <w:p>
            <w:pPr>
              <w:spacing w:after="0"/>
              <w:rPr>
                <w:sz w:val="20"/>
                <w:szCs w:val="20"/>
                <w:color w:val="auto"/>
              </w:rPr>
            </w:pPr>
            <w:r>
              <w:rPr>
                <w:rFonts w:ascii="Arial" w:cs="Arial" w:eastAsia="Arial" w:hAnsi="Arial"/>
                <w:sz w:val="13"/>
                <w:szCs w:val="13"/>
                <w:color w:val="auto"/>
              </w:rPr>
              <w:t>Total stockholders’ equity</w:t>
            </w: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30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1260" w:type="dxa"/>
            <w:vAlign w:val="bottom"/>
            <w:gridSpan w:val="2"/>
          </w:tcPr>
          <w:p>
            <w:pPr>
              <w:jc w:val="right"/>
              <w:ind w:right="400"/>
              <w:spacing w:after="0"/>
              <w:rPr>
                <w:sz w:val="20"/>
                <w:szCs w:val="20"/>
                <w:color w:val="auto"/>
              </w:rPr>
            </w:pPr>
            <w:r>
              <w:rPr>
                <w:rFonts w:ascii="Arial" w:cs="Arial" w:eastAsia="Arial" w:hAnsi="Arial"/>
                <w:sz w:val="13"/>
                <w:szCs w:val="13"/>
                <w:color w:val="auto"/>
              </w:rPr>
              <w:t>32,375,584</w:t>
            </w:r>
          </w:p>
        </w:tc>
        <w:tc>
          <w:tcPr>
            <w:tcW w:w="240" w:type="dxa"/>
            <w:vAlign w:val="bottom"/>
          </w:tcPr>
          <w:p>
            <w:pPr>
              <w:spacing w:after="0"/>
              <w:rPr>
                <w:sz w:val="13"/>
                <w:szCs w:val="13"/>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3"/>
                <w:szCs w:val="13"/>
                <w:color w:val="auto"/>
              </w:rPr>
              <w:t>36,949,547</w:t>
            </w:r>
          </w:p>
        </w:tc>
        <w:tc>
          <w:tcPr>
            <w:tcW w:w="0" w:type="dxa"/>
            <w:vAlign w:val="bottom"/>
          </w:tcPr>
          <w:p>
            <w:pPr>
              <w:spacing w:after="0"/>
              <w:rPr>
                <w:sz w:val="1"/>
                <w:szCs w:val="1"/>
                <w:color w:val="auto"/>
              </w:rPr>
            </w:pPr>
          </w:p>
        </w:tc>
      </w:tr>
      <w:tr>
        <w:trPr>
          <w:trHeight w:val="20"/>
        </w:trPr>
        <w:tc>
          <w:tcPr>
            <w:tcW w:w="73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7300" w:type="dxa"/>
            <w:vAlign w:val="bottom"/>
            <w:shd w:val="clear" w:color="auto" w:fill="CCEEFF"/>
          </w:tcPr>
          <w:p>
            <w:pPr>
              <w:spacing w:after="0"/>
              <w:rPr>
                <w:sz w:val="20"/>
                <w:szCs w:val="20"/>
                <w:color w:val="auto"/>
              </w:rPr>
            </w:pPr>
            <w:r>
              <w:rPr>
                <w:rFonts w:ascii="Arial" w:cs="Arial" w:eastAsia="Arial" w:hAnsi="Arial"/>
                <w:sz w:val="13"/>
                <w:szCs w:val="13"/>
                <w:color w:val="auto"/>
              </w:rPr>
              <w:t>Total liabilities and stockholders’ equity</w:t>
            </w:r>
          </w:p>
        </w:tc>
        <w:tc>
          <w:tcPr>
            <w:tcW w:w="240" w:type="dxa"/>
            <w:vAlign w:val="bottom"/>
            <w:shd w:val="clear" w:color="auto" w:fill="CCEEFF"/>
          </w:tcPr>
          <w:p>
            <w:pPr>
              <w:jc w:val="right"/>
              <w:ind w:right="131"/>
              <w:spacing w:after="0"/>
              <w:rPr>
                <w:sz w:val="20"/>
                <w:szCs w:val="20"/>
                <w:color w:val="auto"/>
              </w:rPr>
            </w:pPr>
            <w:r>
              <w:rPr>
                <w:rFonts w:ascii="Arial" w:cs="Arial" w:eastAsia="Arial" w:hAnsi="Arial"/>
                <w:sz w:val="10"/>
                <w:szCs w:val="10"/>
                <w:color w:val="auto"/>
                <w:w w:val="71"/>
              </w:rPr>
              <w:t>$</w:t>
            </w: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44,838,688</w:t>
            </w:r>
          </w:p>
        </w:tc>
        <w:tc>
          <w:tcPr>
            <w:tcW w:w="240" w:type="dxa"/>
            <w:vAlign w:val="bottom"/>
            <w:shd w:val="clear" w:color="auto" w:fill="CCEEFF"/>
          </w:tcPr>
          <w:p>
            <w:pPr>
              <w:jc w:val="right"/>
              <w:ind w:right="131"/>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47,627,282</w:t>
            </w:r>
          </w:p>
        </w:tc>
        <w:tc>
          <w:tcPr>
            <w:tcW w:w="0" w:type="dxa"/>
            <w:vAlign w:val="bottom"/>
          </w:tcPr>
          <w:p>
            <w:pPr>
              <w:spacing w:after="0"/>
              <w:rPr>
                <w:sz w:val="1"/>
                <w:szCs w:val="1"/>
                <w:color w:val="auto"/>
              </w:rPr>
            </w:pPr>
          </w:p>
        </w:tc>
      </w:tr>
      <w:tr>
        <w:trPr>
          <w:trHeight w:val="29"/>
        </w:trPr>
        <w:tc>
          <w:tcPr>
            <w:tcW w:w="73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50" w:lineRule="exact"/>
        <w:rPr>
          <w:sz w:val="20"/>
          <w:szCs w:val="20"/>
          <w:color w:val="auto"/>
        </w:rPr>
      </w:pPr>
    </w:p>
    <w:p>
      <w:pPr>
        <w:ind w:left="4060"/>
        <w:spacing w:after="0"/>
        <w:rPr>
          <w:sz w:val="20"/>
          <w:szCs w:val="20"/>
          <w:color w:val="auto"/>
        </w:rPr>
      </w:pPr>
      <w:r>
        <w:rPr>
          <w:rFonts w:ascii="Arial" w:cs="Arial" w:eastAsia="Arial" w:hAnsi="Arial"/>
          <w:sz w:val="13"/>
          <w:szCs w:val="13"/>
          <w:color w:val="auto"/>
        </w:rPr>
        <w:t>See accompanying notes to consolidated financial statements.</w:t>
      </w:r>
    </w:p>
    <w:p>
      <w:pPr>
        <w:spacing w:after="0" w:line="30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49" w:name="page50"/>
    <w:bookmarkEnd w:id="49"/>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StemCells, Inc.</w:t>
      </w:r>
    </w:p>
    <w:p>
      <w:pPr>
        <w:spacing w:after="0" w:line="96"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Consolidated Statements of Operations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680" w:type="dxa"/>
            <w:vAlign w:val="bottom"/>
          </w:tcPr>
          <w:p>
            <w:pPr>
              <w:spacing w:after="0"/>
              <w:rPr>
                <w:sz w:val="10"/>
                <w:szCs w:val="10"/>
                <w:color w:val="auto"/>
              </w:rPr>
            </w:pPr>
          </w:p>
        </w:tc>
        <w:tc>
          <w:tcPr>
            <w:tcW w:w="448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620" w:type="dxa"/>
            <w:vAlign w:val="bottom"/>
            <w:tcBorders>
              <w:bottom w:val="single" w:sz="8" w:color="auto"/>
            </w:tcBorders>
            <w:gridSpan w:val="4"/>
          </w:tcPr>
          <w:p>
            <w:pPr>
              <w:jc w:val="center"/>
              <w:ind w:right="180"/>
              <w:spacing w:after="0"/>
              <w:rPr>
                <w:sz w:val="20"/>
                <w:szCs w:val="20"/>
                <w:color w:val="auto"/>
              </w:rPr>
            </w:pPr>
            <w:r>
              <w:rPr>
                <w:rFonts w:ascii="Arial" w:cs="Arial" w:eastAsia="Arial" w:hAnsi="Arial"/>
                <w:sz w:val="10"/>
                <w:szCs w:val="10"/>
                <w:b w:val="1"/>
                <w:bCs w:val="1"/>
                <w:color w:val="auto"/>
                <w:w w:val="94"/>
              </w:rPr>
              <w:t>Year Ended December 31,</w:t>
            </w:r>
          </w:p>
        </w:tc>
        <w:tc>
          <w:tcPr>
            <w:tcW w:w="20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680" w:type="dxa"/>
            <w:vAlign w:val="bottom"/>
          </w:tcPr>
          <w:p>
            <w:pPr>
              <w:spacing w:after="0"/>
              <w:rPr>
                <w:sz w:val="8"/>
                <w:szCs w:val="8"/>
                <w:color w:val="auto"/>
              </w:rPr>
            </w:pPr>
          </w:p>
        </w:tc>
        <w:tc>
          <w:tcPr>
            <w:tcW w:w="4480" w:type="dxa"/>
            <w:vAlign w:val="bottom"/>
          </w:tcPr>
          <w:p>
            <w:pPr>
              <w:spacing w:after="0"/>
              <w:rPr>
                <w:sz w:val="8"/>
                <w:szCs w:val="8"/>
                <w:color w:val="auto"/>
              </w:rPr>
            </w:pPr>
          </w:p>
        </w:tc>
        <w:tc>
          <w:tcPr>
            <w:tcW w:w="162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jc w:val="right"/>
              <w:ind w:right="335"/>
              <w:spacing w:after="0" w:line="98" w:lineRule="exact"/>
              <w:rPr>
                <w:sz w:val="20"/>
                <w:szCs w:val="20"/>
                <w:color w:val="auto"/>
              </w:rPr>
            </w:pPr>
            <w:r>
              <w:rPr>
                <w:rFonts w:ascii="Arial" w:cs="Arial" w:eastAsia="Arial" w:hAnsi="Arial"/>
                <w:sz w:val="10"/>
                <w:szCs w:val="10"/>
                <w:b w:val="1"/>
                <w:bCs w:val="1"/>
                <w:color w:val="auto"/>
              </w:rPr>
              <w:t>2005</w:t>
            </w:r>
          </w:p>
        </w:tc>
        <w:tc>
          <w:tcPr>
            <w:tcW w:w="1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jc w:val="right"/>
              <w:ind w:right="335"/>
              <w:spacing w:after="0" w:line="98" w:lineRule="exact"/>
              <w:rPr>
                <w:sz w:val="20"/>
                <w:szCs w:val="20"/>
                <w:color w:val="auto"/>
              </w:rPr>
            </w:pPr>
            <w:r>
              <w:rPr>
                <w:rFonts w:ascii="Arial" w:cs="Arial" w:eastAsia="Arial" w:hAnsi="Arial"/>
                <w:sz w:val="10"/>
                <w:szCs w:val="10"/>
                <w:b w:val="1"/>
                <w:bCs w:val="1"/>
                <w:color w:val="auto"/>
              </w:rPr>
              <w:t>2004</w:t>
            </w:r>
          </w:p>
        </w:tc>
        <w:tc>
          <w:tcPr>
            <w:tcW w:w="40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jc w:val="right"/>
              <w:ind w:right="315"/>
              <w:spacing w:after="0" w:line="98" w:lineRule="exact"/>
              <w:rPr>
                <w:sz w:val="20"/>
                <w:szCs w:val="20"/>
                <w:color w:val="auto"/>
              </w:rPr>
            </w:pPr>
            <w:r>
              <w:rPr>
                <w:rFonts w:ascii="Arial" w:cs="Arial" w:eastAsia="Arial" w:hAnsi="Arial"/>
                <w:sz w:val="10"/>
                <w:szCs w:val="10"/>
                <w:b w:val="1"/>
                <w:bCs w:val="1"/>
                <w:color w:val="auto"/>
              </w:rPr>
              <w:t>2003</w:t>
            </w: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44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3"/>
                <w:szCs w:val="13"/>
                <w:color w:val="auto"/>
              </w:rPr>
              <w:t>Revenue from collaborative and licensing agreements</w:t>
            </w:r>
          </w:p>
        </w:tc>
        <w:tc>
          <w:tcPr>
            <w:tcW w:w="1840" w:type="dxa"/>
            <w:vAlign w:val="bottom"/>
            <w:gridSpan w:val="2"/>
            <w:shd w:val="clear" w:color="auto" w:fill="CCEEFF"/>
          </w:tcPr>
          <w:p>
            <w:pPr>
              <w:jc w:val="right"/>
              <w:ind w:right="111"/>
              <w:spacing w:after="0"/>
              <w:rPr>
                <w:sz w:val="20"/>
                <w:szCs w:val="20"/>
                <w:color w:val="auto"/>
              </w:rPr>
            </w:pPr>
            <w:r>
              <w:rPr>
                <w:rFonts w:ascii="Arial" w:cs="Arial" w:eastAsia="Arial" w:hAnsi="Arial"/>
                <w:sz w:val="13"/>
                <w:szCs w:val="13"/>
                <w:color w:val="auto"/>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19,526</w:t>
            </w: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22,206</w:t>
            </w:r>
          </w:p>
        </w:tc>
        <w:tc>
          <w:tcPr>
            <w:tcW w:w="200" w:type="dxa"/>
            <w:vAlign w:val="bottom"/>
            <w:shd w:val="clear" w:color="auto" w:fill="CCEEFF"/>
          </w:tcPr>
          <w:p>
            <w:pPr>
              <w:jc w:val="right"/>
              <w:ind w:right="91"/>
              <w:spacing w:after="0"/>
              <w:rPr>
                <w:sz w:val="20"/>
                <w:szCs w:val="20"/>
                <w:color w:val="auto"/>
              </w:rPr>
            </w:pPr>
            <w:r>
              <w:rPr>
                <w:rFonts w:ascii="Arial" w:cs="Arial" w:eastAsia="Arial" w:hAnsi="Arial"/>
                <w:sz w:val="10"/>
                <w:szCs w:val="10"/>
                <w:color w:val="auto"/>
                <w:w w:val="71"/>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18,307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480" w:type="dxa"/>
            <w:vAlign w:val="bottom"/>
          </w:tcPr>
          <w:p>
            <w:pPr>
              <w:spacing w:after="0"/>
              <w:rPr>
                <w:sz w:val="20"/>
                <w:szCs w:val="20"/>
                <w:color w:val="auto"/>
              </w:rPr>
            </w:pPr>
            <w:r>
              <w:rPr>
                <w:rFonts w:ascii="Arial" w:cs="Arial" w:eastAsia="Arial" w:hAnsi="Arial"/>
                <w:sz w:val="13"/>
                <w:szCs w:val="13"/>
                <w:color w:val="auto"/>
              </w:rPr>
              <w:t>Revenue from grants</w:t>
            </w:r>
          </w:p>
        </w:tc>
        <w:tc>
          <w:tcPr>
            <w:tcW w:w="1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186,388</w:t>
            </w: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3"/>
                <w:szCs w:val="13"/>
                <w:color w:val="auto"/>
              </w:rPr>
              <w:t>118,828</w:t>
            </w:r>
          </w:p>
        </w:tc>
        <w:tc>
          <w:tcPr>
            <w:tcW w:w="200" w:type="dxa"/>
            <w:vAlign w:val="bottom"/>
          </w:tcPr>
          <w:p>
            <w:pPr>
              <w:spacing w:after="0"/>
              <w:rPr>
                <w:sz w:val="13"/>
                <w:szCs w:val="13"/>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255,123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3"/>
                <w:szCs w:val="13"/>
                <w:color w:val="auto"/>
              </w:rPr>
              <w:t>Total Revenues</w:t>
            </w:r>
          </w:p>
        </w:tc>
        <w:tc>
          <w:tcPr>
            <w:tcW w:w="16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205,914</w:t>
            </w:r>
          </w:p>
        </w:tc>
        <w:tc>
          <w:tcPr>
            <w:tcW w:w="1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141,034</w:t>
            </w:r>
          </w:p>
        </w:tc>
        <w:tc>
          <w:tcPr>
            <w:tcW w:w="2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273,430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480" w:type="dxa"/>
            <w:vAlign w:val="bottom"/>
          </w:tcPr>
          <w:p>
            <w:pPr>
              <w:spacing w:after="0"/>
              <w:rPr>
                <w:sz w:val="20"/>
                <w:szCs w:val="20"/>
                <w:color w:val="auto"/>
              </w:rPr>
            </w:pPr>
            <w:r>
              <w:rPr>
                <w:rFonts w:ascii="Arial" w:cs="Arial" w:eastAsia="Arial" w:hAnsi="Arial"/>
                <w:sz w:val="13"/>
                <w:szCs w:val="13"/>
                <w:color w:val="auto"/>
              </w:rPr>
              <w:t>Operating Expenses</w:t>
            </w:r>
          </w:p>
        </w:tc>
        <w:tc>
          <w:tcPr>
            <w:tcW w:w="1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4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Research and development</w:t>
            </w:r>
          </w:p>
        </w:tc>
        <w:tc>
          <w:tcPr>
            <w:tcW w:w="16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8,929,282</w:t>
            </w:r>
          </w:p>
        </w:tc>
        <w:tc>
          <w:tcPr>
            <w:tcW w:w="2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8,760,431</w:t>
            </w:r>
          </w:p>
        </w:tc>
        <w:tc>
          <w:tcPr>
            <w:tcW w:w="2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6,143,676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480" w:type="dxa"/>
            <w:vAlign w:val="bottom"/>
          </w:tcPr>
          <w:p>
            <w:pPr>
              <w:ind w:left="140"/>
              <w:spacing w:after="0"/>
              <w:rPr>
                <w:sz w:val="20"/>
                <w:szCs w:val="20"/>
                <w:color w:val="auto"/>
              </w:rPr>
            </w:pPr>
            <w:r>
              <w:rPr>
                <w:rFonts w:ascii="Arial" w:cs="Arial" w:eastAsia="Arial" w:hAnsi="Arial"/>
                <w:sz w:val="13"/>
                <w:szCs w:val="13"/>
                <w:color w:val="auto"/>
              </w:rPr>
              <w:t>General and administrative</w:t>
            </w:r>
          </w:p>
        </w:tc>
        <w:tc>
          <w:tcPr>
            <w:tcW w:w="1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3"/>
                <w:szCs w:val="13"/>
                <w:color w:val="auto"/>
              </w:rPr>
              <w:t>4,837,297</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3"/>
                <w:szCs w:val="13"/>
                <w:color w:val="auto"/>
              </w:rPr>
              <w:t>3,953,564</w:t>
            </w:r>
          </w:p>
        </w:tc>
        <w:tc>
          <w:tcPr>
            <w:tcW w:w="200" w:type="dxa"/>
            <w:vAlign w:val="bottom"/>
          </w:tcPr>
          <w:p>
            <w:pPr>
              <w:spacing w:after="0"/>
              <w:rPr>
                <w:sz w:val="13"/>
                <w:szCs w:val="13"/>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3,390,652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4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Encapsulated Cell Therapy wind-down and corporate relocation</w:t>
            </w:r>
          </w:p>
        </w:tc>
        <w:tc>
          <w:tcPr>
            <w:tcW w:w="16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2,827,403</w:t>
            </w:r>
          </w:p>
        </w:tc>
        <w:tc>
          <w:tcPr>
            <w:tcW w:w="1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2,826,879</w:t>
            </w:r>
          </w:p>
        </w:tc>
        <w:tc>
          <w:tcPr>
            <w:tcW w:w="2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2,885,329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80" w:type="dxa"/>
            <w:vAlign w:val="bottom"/>
          </w:tcPr>
          <w:p>
            <w:pPr>
              <w:spacing w:after="0"/>
              <w:rPr>
                <w:sz w:val="13"/>
                <w:szCs w:val="13"/>
                <w:color w:val="auto"/>
              </w:rPr>
            </w:pPr>
          </w:p>
        </w:tc>
        <w:tc>
          <w:tcPr>
            <w:tcW w:w="448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16,593,982</w:t>
            </w: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3"/>
                <w:szCs w:val="13"/>
                <w:color w:val="auto"/>
              </w:rPr>
              <w:t>15,540,874</w:t>
            </w:r>
          </w:p>
        </w:tc>
        <w:tc>
          <w:tcPr>
            <w:tcW w:w="200" w:type="dxa"/>
            <w:vAlign w:val="bottom"/>
          </w:tcPr>
          <w:p>
            <w:pPr>
              <w:spacing w:after="0"/>
              <w:rPr>
                <w:sz w:val="13"/>
                <w:szCs w:val="13"/>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12,419,657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3"/>
                <w:szCs w:val="13"/>
                <w:color w:val="auto"/>
              </w:rPr>
              <w:t>Loss from operations</w:t>
            </w:r>
          </w:p>
        </w:tc>
        <w:tc>
          <w:tcPr>
            <w:tcW w:w="16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(16,388,068)</w:t>
            </w:r>
          </w:p>
        </w:tc>
        <w:tc>
          <w:tcPr>
            <w:tcW w:w="2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(15,399,840)</w:t>
            </w:r>
          </w:p>
        </w:tc>
        <w:tc>
          <w:tcPr>
            <w:tcW w:w="2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(12,146,227)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480" w:type="dxa"/>
            <w:vAlign w:val="bottom"/>
          </w:tcPr>
          <w:p>
            <w:pPr>
              <w:spacing w:after="0"/>
              <w:rPr>
                <w:sz w:val="20"/>
                <w:szCs w:val="20"/>
                <w:color w:val="auto"/>
              </w:rPr>
            </w:pPr>
            <w:r>
              <w:rPr>
                <w:rFonts w:ascii="Arial" w:cs="Arial" w:eastAsia="Arial" w:hAnsi="Arial"/>
                <w:sz w:val="13"/>
                <w:szCs w:val="13"/>
                <w:color w:val="auto"/>
              </w:rPr>
              <w:t>Other Income (expense):</w:t>
            </w:r>
          </w:p>
        </w:tc>
        <w:tc>
          <w:tcPr>
            <w:tcW w:w="1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4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License and settlement agreement, net</w:t>
            </w:r>
          </w:p>
        </w:tc>
        <w:tc>
          <w:tcPr>
            <w:tcW w:w="16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3,735,556</w:t>
            </w:r>
          </w:p>
        </w:tc>
        <w:tc>
          <w:tcPr>
            <w:tcW w:w="2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480" w:type="dxa"/>
            <w:vAlign w:val="bottom"/>
          </w:tcPr>
          <w:p>
            <w:pPr>
              <w:ind w:left="140"/>
              <w:spacing w:after="0"/>
              <w:rPr>
                <w:sz w:val="20"/>
                <w:szCs w:val="20"/>
                <w:color w:val="auto"/>
              </w:rPr>
            </w:pPr>
            <w:r>
              <w:rPr>
                <w:rFonts w:ascii="Arial" w:cs="Arial" w:eastAsia="Arial" w:hAnsi="Arial"/>
                <w:sz w:val="13"/>
                <w:szCs w:val="13"/>
                <w:color w:val="auto"/>
              </w:rPr>
              <w:t>Interest income</w:t>
            </w:r>
          </w:p>
        </w:tc>
        <w:tc>
          <w:tcPr>
            <w:tcW w:w="1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3"/>
                <w:szCs w:val="13"/>
                <w:color w:val="auto"/>
              </w:rPr>
              <w:t>1,122,963</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3"/>
                <w:szCs w:val="13"/>
                <w:color w:val="auto"/>
              </w:rPr>
              <w:t>322,227</w:t>
            </w:r>
          </w:p>
        </w:tc>
        <w:tc>
          <w:tcPr>
            <w:tcW w:w="200" w:type="dxa"/>
            <w:vAlign w:val="bottom"/>
          </w:tcPr>
          <w:p>
            <w:pPr>
              <w:spacing w:after="0"/>
              <w:rPr>
                <w:sz w:val="13"/>
                <w:szCs w:val="13"/>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38,826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4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Interest expense</w:t>
            </w:r>
          </w:p>
        </w:tc>
        <w:tc>
          <w:tcPr>
            <w:tcW w:w="16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(171,909)</w:t>
            </w:r>
          </w:p>
        </w:tc>
        <w:tc>
          <w:tcPr>
            <w:tcW w:w="2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(191,006)</w:t>
            </w:r>
          </w:p>
        </w:tc>
        <w:tc>
          <w:tcPr>
            <w:tcW w:w="2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(207,112)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480" w:type="dxa"/>
            <w:vAlign w:val="bottom"/>
          </w:tcPr>
          <w:p>
            <w:pPr>
              <w:ind w:left="140"/>
              <w:spacing w:after="0"/>
              <w:rPr>
                <w:sz w:val="20"/>
                <w:szCs w:val="20"/>
                <w:color w:val="auto"/>
              </w:rPr>
            </w:pPr>
            <w:r>
              <w:rPr>
                <w:rFonts w:ascii="Arial" w:cs="Arial" w:eastAsia="Arial" w:hAnsi="Arial"/>
                <w:sz w:val="13"/>
                <w:szCs w:val="13"/>
                <w:color w:val="auto"/>
              </w:rPr>
              <w:t>Other income (expense)</w:t>
            </w:r>
          </w:p>
        </w:tc>
        <w:tc>
          <w:tcPr>
            <w:tcW w:w="1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3"/>
                <w:szCs w:val="13"/>
                <w:color w:val="auto"/>
              </w:rPr>
              <w:t>(36,892)</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3"/>
                <w:szCs w:val="13"/>
                <w:color w:val="auto"/>
              </w:rPr>
              <w:t>(61,680)</w:t>
            </w:r>
          </w:p>
        </w:tc>
        <w:tc>
          <w:tcPr>
            <w:tcW w:w="200" w:type="dxa"/>
            <w:vAlign w:val="bottom"/>
          </w:tcPr>
          <w:p>
            <w:pPr>
              <w:spacing w:after="0"/>
              <w:rPr>
                <w:sz w:val="13"/>
                <w:szCs w:val="13"/>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23,761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4480" w:type="dxa"/>
            <w:vAlign w:val="bottom"/>
            <w:shd w:val="clear" w:color="auto" w:fill="CCEEFF"/>
          </w:tcPr>
          <w:p>
            <w:pPr>
              <w:spacing w:after="0"/>
              <w:rPr>
                <w:sz w:val="13"/>
                <w:szCs w:val="13"/>
                <w:color w:val="auto"/>
              </w:rPr>
            </w:pPr>
          </w:p>
        </w:tc>
        <w:tc>
          <w:tcPr>
            <w:tcW w:w="16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4,649,718</w:t>
            </w:r>
          </w:p>
        </w:tc>
        <w:tc>
          <w:tcPr>
            <w:tcW w:w="1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69,541</w:t>
            </w:r>
          </w:p>
        </w:tc>
        <w:tc>
          <w:tcPr>
            <w:tcW w:w="2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(144,525)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480" w:type="dxa"/>
            <w:vAlign w:val="bottom"/>
            <w:vMerge w:val="restart"/>
          </w:tcPr>
          <w:p>
            <w:pPr>
              <w:spacing w:after="0"/>
              <w:rPr>
                <w:sz w:val="20"/>
                <w:szCs w:val="20"/>
                <w:color w:val="auto"/>
              </w:rPr>
            </w:pPr>
            <w:r>
              <w:rPr>
                <w:rFonts w:ascii="Arial" w:cs="Arial" w:eastAsia="Arial" w:hAnsi="Arial"/>
                <w:sz w:val="13"/>
                <w:szCs w:val="13"/>
                <w:color w:val="auto"/>
              </w:rPr>
              <w:t>Loss before deemed dividend</w:t>
            </w:r>
          </w:p>
        </w:tc>
        <w:tc>
          <w:tcPr>
            <w:tcW w:w="16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80" w:type="dxa"/>
            <w:vAlign w:val="bottom"/>
          </w:tcPr>
          <w:p>
            <w:pPr>
              <w:spacing w:after="0"/>
              <w:rPr>
                <w:sz w:val="13"/>
                <w:szCs w:val="13"/>
                <w:color w:val="auto"/>
              </w:rPr>
            </w:pPr>
          </w:p>
        </w:tc>
        <w:tc>
          <w:tcPr>
            <w:tcW w:w="4480" w:type="dxa"/>
            <w:vAlign w:val="bottom"/>
            <w:vMerge w:val="continue"/>
          </w:tcPr>
          <w:p>
            <w:pPr>
              <w:spacing w:after="0"/>
              <w:rPr>
                <w:sz w:val="13"/>
                <w:szCs w:val="13"/>
                <w:color w:val="auto"/>
              </w:rPr>
            </w:pPr>
          </w:p>
        </w:tc>
        <w:tc>
          <w:tcPr>
            <w:tcW w:w="1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3"/>
                <w:szCs w:val="13"/>
                <w:color w:val="auto"/>
              </w:rPr>
              <w:t>(11,738,350)</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3"/>
                <w:szCs w:val="13"/>
                <w:color w:val="auto"/>
              </w:rPr>
              <w:t>(15,330,299)</w:t>
            </w:r>
          </w:p>
        </w:tc>
        <w:tc>
          <w:tcPr>
            <w:tcW w:w="200" w:type="dxa"/>
            <w:vAlign w:val="bottom"/>
          </w:tcPr>
          <w:p>
            <w:pPr>
              <w:spacing w:after="0"/>
              <w:rPr>
                <w:sz w:val="13"/>
                <w:szCs w:val="13"/>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3"/>
                <w:szCs w:val="13"/>
                <w:color w:val="auto"/>
              </w:rPr>
              <w:t>(12,290,752)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3"/>
                <w:szCs w:val="13"/>
                <w:color w:val="auto"/>
              </w:rPr>
              <w:t>Dividends to preferred stockholders</w:t>
            </w:r>
          </w:p>
        </w:tc>
        <w:tc>
          <w:tcPr>
            <w:tcW w:w="16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(68,497)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480" w:type="dxa"/>
            <w:vAlign w:val="bottom"/>
          </w:tcPr>
          <w:p>
            <w:pPr>
              <w:spacing w:after="0"/>
              <w:rPr>
                <w:sz w:val="20"/>
                <w:szCs w:val="20"/>
                <w:color w:val="auto"/>
              </w:rPr>
            </w:pPr>
            <w:r>
              <w:rPr>
                <w:rFonts w:ascii="Arial" w:cs="Arial" w:eastAsia="Arial" w:hAnsi="Arial"/>
                <w:sz w:val="13"/>
                <w:szCs w:val="13"/>
                <w:color w:val="auto"/>
              </w:rPr>
              <w:t>Deemed dividend to preferred stockholders</w:t>
            </w:r>
          </w:p>
        </w:tc>
        <w:tc>
          <w:tcPr>
            <w:tcW w:w="1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3"/>
                <w:szCs w:val="13"/>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3"/>
                <w:szCs w:val="13"/>
                <w:color w:val="auto"/>
              </w:rPr>
              <w:t>(2,065,911)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3"/>
                <w:szCs w:val="13"/>
                <w:color w:val="auto"/>
              </w:rPr>
              <w:t>Net loss applicable to common stockholders</w:t>
            </w:r>
          </w:p>
        </w:tc>
        <w:tc>
          <w:tcPr>
            <w:tcW w:w="1620" w:type="dxa"/>
            <w:vAlign w:val="bottom"/>
            <w:shd w:val="clear" w:color="auto" w:fill="CCEEFF"/>
          </w:tcPr>
          <w:p>
            <w:pPr>
              <w:spacing w:after="0"/>
              <w:rPr>
                <w:sz w:val="13"/>
                <w:szCs w:val="13"/>
                <w:color w:val="auto"/>
              </w:rPr>
            </w:pPr>
          </w:p>
        </w:tc>
        <w:tc>
          <w:tcPr>
            <w:tcW w:w="220" w:type="dxa"/>
            <w:vAlign w:val="bottom"/>
            <w:shd w:val="clear" w:color="auto" w:fill="CCEEFF"/>
          </w:tcPr>
          <w:p>
            <w:pPr>
              <w:jc w:val="right"/>
              <w:ind w:right="111"/>
              <w:spacing w:after="0"/>
              <w:rPr>
                <w:sz w:val="20"/>
                <w:szCs w:val="20"/>
                <w:color w:val="auto"/>
              </w:rPr>
            </w:pPr>
            <w:r>
              <w:rPr>
                <w:rFonts w:ascii="Arial" w:cs="Arial" w:eastAsia="Arial" w:hAnsi="Arial"/>
                <w:sz w:val="10"/>
                <w:szCs w:val="10"/>
                <w:color w:val="auto"/>
                <w:w w:val="71"/>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(11,738,350)</w:t>
            </w: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(15,330,299)</w:t>
            </w:r>
          </w:p>
        </w:tc>
        <w:tc>
          <w:tcPr>
            <w:tcW w:w="200" w:type="dxa"/>
            <w:vAlign w:val="bottom"/>
            <w:shd w:val="clear" w:color="auto" w:fill="CCEEFF"/>
          </w:tcPr>
          <w:p>
            <w:pPr>
              <w:jc w:val="right"/>
              <w:ind w:right="91"/>
              <w:spacing w:after="0"/>
              <w:rPr>
                <w:sz w:val="20"/>
                <w:szCs w:val="20"/>
                <w:color w:val="auto"/>
              </w:rPr>
            </w:pPr>
            <w:r>
              <w:rPr>
                <w:rFonts w:ascii="Arial" w:cs="Arial" w:eastAsia="Arial" w:hAnsi="Arial"/>
                <w:sz w:val="10"/>
                <w:szCs w:val="10"/>
                <w:color w:val="auto"/>
                <w:w w:val="71"/>
              </w:rPr>
              <w:t>$</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(14,425,160)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4480" w:type="dxa"/>
            <w:vAlign w:val="bottom"/>
            <w:vMerge w:val="restart"/>
          </w:tcPr>
          <w:p>
            <w:pPr>
              <w:spacing w:after="0"/>
              <w:rPr>
                <w:sz w:val="20"/>
                <w:szCs w:val="20"/>
                <w:color w:val="auto"/>
              </w:rPr>
            </w:pPr>
            <w:r>
              <w:rPr>
                <w:rFonts w:ascii="Arial" w:cs="Arial" w:eastAsia="Arial" w:hAnsi="Arial"/>
                <w:sz w:val="13"/>
                <w:szCs w:val="13"/>
                <w:color w:val="auto"/>
              </w:rPr>
              <w:t>Basic and diluted net loss per share applicable to common stockholders</w:t>
            </w:r>
          </w:p>
        </w:tc>
        <w:tc>
          <w:tcPr>
            <w:tcW w:w="16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4480" w:type="dxa"/>
            <w:vAlign w:val="bottom"/>
            <w:vMerge w:val="continue"/>
          </w:tcPr>
          <w:p>
            <w:pPr>
              <w:spacing w:after="0"/>
              <w:rPr>
                <w:sz w:val="14"/>
                <w:szCs w:val="14"/>
                <w:color w:val="auto"/>
              </w:rPr>
            </w:pPr>
          </w:p>
        </w:tc>
        <w:tc>
          <w:tcPr>
            <w:tcW w:w="1620" w:type="dxa"/>
            <w:vAlign w:val="bottom"/>
          </w:tcPr>
          <w:p>
            <w:pPr>
              <w:spacing w:after="0"/>
              <w:rPr>
                <w:sz w:val="14"/>
                <w:szCs w:val="14"/>
                <w:color w:val="auto"/>
              </w:rPr>
            </w:pPr>
          </w:p>
        </w:tc>
        <w:tc>
          <w:tcPr>
            <w:tcW w:w="220" w:type="dxa"/>
            <w:vAlign w:val="bottom"/>
          </w:tcPr>
          <w:p>
            <w:pPr>
              <w:jc w:val="right"/>
              <w:ind w:right="111"/>
              <w:spacing w:after="0"/>
              <w:rPr>
                <w:sz w:val="20"/>
                <w:szCs w:val="20"/>
                <w:color w:val="auto"/>
              </w:rPr>
            </w:pPr>
            <w:r>
              <w:rPr>
                <w:rFonts w:ascii="Arial" w:cs="Arial" w:eastAsia="Arial" w:hAnsi="Arial"/>
                <w:sz w:val="10"/>
                <w:szCs w:val="10"/>
                <w:color w:val="auto"/>
                <w:w w:val="71"/>
              </w:rPr>
              <w:t>$</w:t>
            </w:r>
          </w:p>
        </w:tc>
        <w:tc>
          <w:tcPr>
            <w:tcW w:w="960" w:type="dxa"/>
            <w:vAlign w:val="bottom"/>
            <w:gridSpan w:val="2"/>
          </w:tcPr>
          <w:p>
            <w:pPr>
              <w:jc w:val="right"/>
              <w:ind w:right="120"/>
              <w:spacing w:after="0"/>
              <w:rPr>
                <w:sz w:val="20"/>
                <w:szCs w:val="20"/>
                <w:color w:val="auto"/>
              </w:rPr>
            </w:pPr>
            <w:r>
              <w:rPr>
                <w:rFonts w:ascii="Arial" w:cs="Arial" w:eastAsia="Arial" w:hAnsi="Arial"/>
                <w:sz w:val="13"/>
                <w:szCs w:val="13"/>
                <w:color w:val="auto"/>
              </w:rPr>
              <w:t>(0.18)</w:t>
            </w:r>
          </w:p>
        </w:tc>
        <w:tc>
          <w:tcPr>
            <w:tcW w:w="4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180" w:type="dxa"/>
            <w:vAlign w:val="bottom"/>
            <w:gridSpan w:val="2"/>
          </w:tcPr>
          <w:p>
            <w:pPr>
              <w:jc w:val="right"/>
              <w:ind w:right="360"/>
              <w:spacing w:after="0"/>
              <w:rPr>
                <w:sz w:val="20"/>
                <w:szCs w:val="20"/>
                <w:color w:val="auto"/>
              </w:rPr>
            </w:pPr>
            <w:r>
              <w:rPr>
                <w:rFonts w:ascii="Arial" w:cs="Arial" w:eastAsia="Arial" w:hAnsi="Arial"/>
                <w:sz w:val="13"/>
                <w:szCs w:val="13"/>
                <w:color w:val="auto"/>
              </w:rPr>
              <w:t>(0.31)</w:t>
            </w:r>
          </w:p>
        </w:tc>
        <w:tc>
          <w:tcPr>
            <w:tcW w:w="200" w:type="dxa"/>
            <w:vAlign w:val="bottom"/>
          </w:tcPr>
          <w:p>
            <w:pPr>
              <w:jc w:val="right"/>
              <w:ind w:right="91"/>
              <w:spacing w:after="0"/>
              <w:rPr>
                <w:sz w:val="20"/>
                <w:szCs w:val="20"/>
                <w:color w:val="auto"/>
              </w:rPr>
            </w:pPr>
            <w:r>
              <w:rPr>
                <w:rFonts w:ascii="Arial" w:cs="Arial" w:eastAsia="Arial" w:hAnsi="Arial"/>
                <w:sz w:val="10"/>
                <w:szCs w:val="10"/>
                <w:color w:val="auto"/>
                <w:w w:val="71"/>
              </w:rPr>
              <w:t>$</w:t>
            </w:r>
          </w:p>
        </w:tc>
        <w:tc>
          <w:tcPr>
            <w:tcW w:w="880" w:type="dxa"/>
            <w:vAlign w:val="bottom"/>
            <w:gridSpan w:val="2"/>
          </w:tcPr>
          <w:p>
            <w:pPr>
              <w:jc w:val="right"/>
              <w:ind w:right="40"/>
              <w:spacing w:after="0"/>
              <w:rPr>
                <w:sz w:val="20"/>
                <w:szCs w:val="20"/>
                <w:color w:val="auto"/>
              </w:rPr>
            </w:pPr>
            <w:r>
              <w:rPr>
                <w:rFonts w:ascii="Arial" w:cs="Arial" w:eastAsia="Arial" w:hAnsi="Arial"/>
                <w:sz w:val="13"/>
                <w:szCs w:val="13"/>
                <w:color w:val="auto"/>
              </w:rPr>
              <w:t>(0.45)</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
        </w:trPr>
        <w:tc>
          <w:tcPr>
            <w:tcW w:w="680" w:type="dxa"/>
            <w:vAlign w:val="bottom"/>
          </w:tcPr>
          <w:p>
            <w:pPr>
              <w:spacing w:after="0"/>
              <w:rPr>
                <w:sz w:val="2"/>
                <w:szCs w:val="2"/>
                <w:color w:val="auto"/>
              </w:rPr>
            </w:pPr>
          </w:p>
        </w:tc>
        <w:tc>
          <w:tcPr>
            <w:tcW w:w="44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5"/>
        </w:trPr>
        <w:tc>
          <w:tcPr>
            <w:tcW w:w="680" w:type="dxa"/>
            <w:vAlign w:val="bottom"/>
          </w:tcPr>
          <w:p>
            <w:pPr>
              <w:spacing w:after="0"/>
              <w:rPr>
                <w:sz w:val="14"/>
                <w:szCs w:val="14"/>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3"/>
                <w:szCs w:val="13"/>
                <w:color w:val="auto"/>
                <w:w w:val="98"/>
              </w:rPr>
              <w:t>Weighted average shares used in basic and diluted loss per share calculations</w:t>
            </w:r>
          </w:p>
        </w:tc>
        <w:tc>
          <w:tcPr>
            <w:tcW w:w="16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63,643,176</w:t>
            </w:r>
          </w:p>
        </w:tc>
        <w:tc>
          <w:tcPr>
            <w:tcW w:w="1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49,606,277</w:t>
            </w:r>
          </w:p>
        </w:tc>
        <w:tc>
          <w:tcPr>
            <w:tcW w:w="20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32,080,233</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6100" w:type="dxa"/>
            <w:vAlign w:val="bottom"/>
            <w:gridSpan w:val="2"/>
          </w:tcPr>
          <w:p>
            <w:pPr>
              <w:spacing w:after="0"/>
              <w:rPr>
                <w:sz w:val="2"/>
                <w:szCs w:val="2"/>
                <w:color w:val="auto"/>
              </w:rPr>
            </w:pPr>
          </w:p>
        </w:tc>
        <w:tc>
          <w:tcPr>
            <w:tcW w:w="1020" w:type="dxa"/>
            <w:vAlign w:val="bottom"/>
            <w:gridSpan w:val="2"/>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5"/>
        </w:trPr>
        <w:tc>
          <w:tcPr>
            <w:tcW w:w="680" w:type="dxa"/>
            <w:vAlign w:val="bottom"/>
          </w:tcPr>
          <w:p>
            <w:pPr>
              <w:spacing w:after="0"/>
              <w:rPr>
                <w:sz w:val="18"/>
                <w:szCs w:val="18"/>
                <w:color w:val="auto"/>
              </w:rPr>
            </w:pPr>
          </w:p>
        </w:tc>
        <w:tc>
          <w:tcPr>
            <w:tcW w:w="7280" w:type="dxa"/>
            <w:vAlign w:val="bottom"/>
            <w:gridSpan w:val="5"/>
          </w:tcPr>
          <w:p>
            <w:pPr>
              <w:jc w:val="center"/>
              <w:ind w:left="2654"/>
              <w:spacing w:after="0"/>
              <w:rPr>
                <w:sz w:val="20"/>
                <w:szCs w:val="20"/>
                <w:color w:val="auto"/>
              </w:rPr>
            </w:pPr>
            <w:r>
              <w:rPr>
                <w:rFonts w:ascii="Arial" w:cs="Arial" w:eastAsia="Arial" w:hAnsi="Arial"/>
                <w:sz w:val="13"/>
                <w:szCs w:val="13"/>
                <w:color w:val="auto"/>
                <w:w w:val="90"/>
              </w:rPr>
              <w:t>See accompanying notes to consolidated financial statements.</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52"/>
        </w:trPr>
        <w:tc>
          <w:tcPr>
            <w:tcW w:w="68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1620" w:type="dxa"/>
            <w:vAlign w:val="bottom"/>
          </w:tcPr>
          <w:p>
            <w:pPr>
              <w:jc w:val="right"/>
              <w:ind w:right="974"/>
              <w:spacing w:after="0"/>
              <w:rPr>
                <w:sz w:val="20"/>
                <w:szCs w:val="20"/>
                <w:color w:val="auto"/>
              </w:rPr>
            </w:pPr>
            <w:r>
              <w:rPr>
                <w:rFonts w:ascii="Arial" w:cs="Arial" w:eastAsia="Arial" w:hAnsi="Arial"/>
                <w:sz w:val="13"/>
                <w:szCs w:val="13"/>
                <w:color w:val="auto"/>
              </w:rPr>
              <w:t>48</w:t>
            </w: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4480" w:type="dxa"/>
            <w:vAlign w:val="bottom"/>
            <w:tcBorders>
              <w:bottom w:val="single" w:sz="8" w:color="808080"/>
            </w:tcBorders>
          </w:tcPr>
          <w:p>
            <w:pPr>
              <w:spacing w:after="0"/>
              <w:rPr>
                <w:sz w:val="14"/>
                <w:szCs w:val="14"/>
                <w:color w:val="auto"/>
              </w:rPr>
            </w:pPr>
          </w:p>
        </w:tc>
        <w:tc>
          <w:tcPr>
            <w:tcW w:w="1620" w:type="dxa"/>
            <w:vAlign w:val="bottom"/>
            <w:tcBorders>
              <w:bottom w:val="single" w:sz="8" w:color="808080"/>
            </w:tcBorders>
          </w:tcPr>
          <w:p>
            <w:pPr>
              <w:spacing w:after="0"/>
              <w:rPr>
                <w:sz w:val="14"/>
                <w:szCs w:val="14"/>
                <w:color w:val="auto"/>
              </w:rPr>
            </w:pPr>
          </w:p>
        </w:tc>
        <w:tc>
          <w:tcPr>
            <w:tcW w:w="22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160" w:type="dxa"/>
            <w:vAlign w:val="bottom"/>
            <w:tcBorders>
              <w:bottom w:val="single" w:sz="8" w:color="808080"/>
            </w:tcBorders>
          </w:tcPr>
          <w:p>
            <w:pPr>
              <w:spacing w:after="0"/>
              <w:rPr>
                <w:sz w:val="14"/>
                <w:szCs w:val="14"/>
                <w:color w:val="auto"/>
              </w:rPr>
            </w:pPr>
          </w:p>
        </w:tc>
        <w:tc>
          <w:tcPr>
            <w:tcW w:w="220" w:type="dxa"/>
            <w:vAlign w:val="bottom"/>
            <w:tcBorders>
              <w:bottom w:val="single" w:sz="8" w:color="808080"/>
            </w:tcBorders>
          </w:tcPr>
          <w:p>
            <w:pPr>
              <w:spacing w:after="0"/>
              <w:rPr>
                <w:sz w:val="14"/>
                <w:szCs w:val="14"/>
                <w:color w:val="auto"/>
              </w:rPr>
            </w:pPr>
          </w:p>
        </w:tc>
        <w:tc>
          <w:tcPr>
            <w:tcW w:w="220" w:type="dxa"/>
            <w:vAlign w:val="bottom"/>
            <w:tcBorders>
              <w:bottom w:val="single" w:sz="8" w:color="808080"/>
            </w:tcBorders>
          </w:tcPr>
          <w:p>
            <w:pPr>
              <w:spacing w:after="0"/>
              <w:rPr>
                <w:sz w:val="14"/>
                <w:szCs w:val="14"/>
                <w:color w:val="auto"/>
              </w:rPr>
            </w:pPr>
          </w:p>
        </w:tc>
        <w:tc>
          <w:tcPr>
            <w:tcW w:w="78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200" w:type="dxa"/>
            <w:vAlign w:val="bottom"/>
            <w:tcBorders>
              <w:bottom w:val="single" w:sz="8" w:color="808080"/>
            </w:tcBorders>
          </w:tcPr>
          <w:p>
            <w:pPr>
              <w:spacing w:after="0"/>
              <w:rPr>
                <w:sz w:val="14"/>
                <w:szCs w:val="14"/>
                <w:color w:val="auto"/>
              </w:rPr>
            </w:pPr>
          </w:p>
        </w:tc>
        <w:tc>
          <w:tcPr>
            <w:tcW w:w="78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50" w:name="page51"/>
    <w:bookmarkEnd w:id="50"/>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79"/>
        <w:spacing w:after="0"/>
        <w:rPr>
          <w:sz w:val="20"/>
          <w:szCs w:val="20"/>
          <w:color w:val="auto"/>
        </w:rPr>
      </w:pPr>
      <w:r>
        <w:rPr>
          <w:rFonts w:ascii="Arial" w:cs="Arial" w:eastAsia="Arial" w:hAnsi="Arial"/>
          <w:sz w:val="13"/>
          <w:szCs w:val="13"/>
          <w:b w:val="1"/>
          <w:bCs w:val="1"/>
          <w:color w:val="auto"/>
        </w:rPr>
        <w:t>STEMCELLS, INC.</w:t>
      </w:r>
    </w:p>
    <w:p>
      <w:pPr>
        <w:spacing w:after="0" w:line="96" w:lineRule="exact"/>
        <w:rPr>
          <w:sz w:val="20"/>
          <w:szCs w:val="20"/>
          <w:color w:val="auto"/>
        </w:rPr>
      </w:pPr>
    </w:p>
    <w:p>
      <w:pPr>
        <w:jc w:val="center"/>
        <w:ind w:right="-79"/>
        <w:spacing w:after="0"/>
        <w:rPr>
          <w:sz w:val="20"/>
          <w:szCs w:val="20"/>
          <w:color w:val="auto"/>
        </w:rPr>
      </w:pPr>
      <w:r>
        <w:rPr>
          <w:rFonts w:ascii="Arial" w:cs="Arial" w:eastAsia="Arial" w:hAnsi="Arial"/>
          <w:sz w:val="13"/>
          <w:szCs w:val="13"/>
          <w:b w:val="1"/>
          <w:bCs w:val="1"/>
          <w:color w:val="auto"/>
        </w:rPr>
        <w:t>CONSOLIDATED STATEMENTS OF CHANGES IN REDEEMABLE CONVERTIBLE PREFERRED STOCK AND STOCKHOLDERS’ EQUITY</w:t>
      </w:r>
    </w:p>
    <w:p>
      <w:pPr>
        <w:sectPr>
          <w:pgSz w:w="11900" w:h="16838" w:orient="portrait"/>
          <w:cols w:equalWidth="0" w:num="1">
            <w:col w:w="11400"/>
          </w:cols>
          <w:pgMar w:left="220" w:top="343" w:right="279" w:bottom="1440" w:gutter="0" w:footer="0" w:header="0"/>
        </w:sectPr>
      </w:pP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103"/>
        </w:trPr>
        <w:tc>
          <w:tcPr>
            <w:tcW w:w="4420" w:type="dxa"/>
            <w:vAlign w:val="bottom"/>
          </w:tcPr>
          <w:p>
            <w:pPr>
              <w:spacing w:after="0"/>
              <w:rPr>
                <w:sz w:val="8"/>
                <w:szCs w:val="8"/>
                <w:color w:val="auto"/>
              </w:rPr>
            </w:pPr>
          </w:p>
        </w:tc>
        <w:tc>
          <w:tcPr>
            <w:tcW w:w="1240" w:type="dxa"/>
            <w:vAlign w:val="bottom"/>
            <w:gridSpan w:val="5"/>
          </w:tcPr>
          <w:p>
            <w:pPr>
              <w:jc w:val="right"/>
              <w:ind w:right="160"/>
              <w:spacing w:after="0"/>
              <w:rPr>
                <w:sz w:val="20"/>
                <w:szCs w:val="20"/>
                <w:color w:val="auto"/>
              </w:rPr>
            </w:pPr>
            <w:r>
              <w:rPr>
                <w:rFonts w:ascii="Arial" w:cs="Arial" w:eastAsia="Arial" w:hAnsi="Arial"/>
                <w:sz w:val="9"/>
                <w:szCs w:val="9"/>
                <w:b w:val="1"/>
                <w:bCs w:val="1"/>
                <w:color w:val="auto"/>
              </w:rPr>
              <w:t>Redeemable Convertible</w:t>
            </w:r>
          </w:p>
        </w:tc>
      </w:tr>
      <w:tr>
        <w:trPr>
          <w:trHeight w:val="111"/>
        </w:trPr>
        <w:tc>
          <w:tcPr>
            <w:tcW w:w="4420" w:type="dxa"/>
            <w:vAlign w:val="bottom"/>
          </w:tcPr>
          <w:p>
            <w:pPr>
              <w:spacing w:after="0"/>
              <w:rPr>
                <w:sz w:val="9"/>
                <w:szCs w:val="9"/>
                <w:color w:val="auto"/>
              </w:rPr>
            </w:pPr>
          </w:p>
        </w:tc>
        <w:tc>
          <w:tcPr>
            <w:tcW w:w="1240" w:type="dxa"/>
            <w:vAlign w:val="bottom"/>
            <w:gridSpan w:val="5"/>
          </w:tcPr>
          <w:p>
            <w:pPr>
              <w:jc w:val="right"/>
              <w:ind w:right="320"/>
              <w:spacing w:after="0"/>
              <w:rPr>
                <w:sz w:val="20"/>
                <w:szCs w:val="20"/>
                <w:color w:val="auto"/>
              </w:rPr>
            </w:pPr>
            <w:r>
              <w:rPr>
                <w:rFonts w:ascii="Arial" w:cs="Arial" w:eastAsia="Arial" w:hAnsi="Arial"/>
                <w:sz w:val="9"/>
                <w:szCs w:val="9"/>
                <w:b w:val="1"/>
                <w:bCs w:val="1"/>
                <w:color w:val="auto"/>
              </w:rPr>
              <w:t>Preferred Stock</w:t>
            </w:r>
          </w:p>
        </w:tc>
      </w:tr>
      <w:tr>
        <w:trPr>
          <w:trHeight w:val="88"/>
        </w:trPr>
        <w:tc>
          <w:tcPr>
            <w:tcW w:w="4420" w:type="dxa"/>
            <w:vAlign w:val="bottom"/>
          </w:tcPr>
          <w:p>
            <w:pPr>
              <w:spacing w:after="0"/>
              <w:rPr>
                <w:sz w:val="7"/>
                <w:szCs w:val="7"/>
                <w:color w:val="auto"/>
              </w:rPr>
            </w:pPr>
          </w:p>
        </w:tc>
        <w:tc>
          <w:tcPr>
            <w:tcW w:w="400" w:type="dxa"/>
            <w:vAlign w:val="bottom"/>
            <w:tcBorders>
              <w:top w:val="single" w:sz="8" w:color="auto"/>
              <w:bottom w:val="single" w:sz="8" w:color="auto"/>
            </w:tcBorders>
          </w:tcPr>
          <w:p>
            <w:pPr>
              <w:jc w:val="right"/>
              <w:ind w:right="8"/>
              <w:spacing w:after="0" w:line="88" w:lineRule="exact"/>
              <w:rPr>
                <w:sz w:val="20"/>
                <w:szCs w:val="20"/>
                <w:color w:val="auto"/>
              </w:rPr>
            </w:pPr>
            <w:r>
              <w:rPr>
                <w:rFonts w:ascii="Arial" w:cs="Arial" w:eastAsia="Arial" w:hAnsi="Arial"/>
                <w:sz w:val="9"/>
                <w:szCs w:val="9"/>
                <w:b w:val="1"/>
                <w:bCs w:val="1"/>
                <w:color w:val="auto"/>
              </w:rPr>
              <w:t>Shares</w:t>
            </w:r>
          </w:p>
        </w:tc>
        <w:tc>
          <w:tcPr>
            <w:tcW w:w="140" w:type="dxa"/>
            <w:vAlign w:val="bottom"/>
            <w:tcBorders>
              <w:top w:val="single" w:sz="8" w:color="auto"/>
            </w:tcBorders>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580" w:type="dxa"/>
            <w:vAlign w:val="bottom"/>
            <w:tcBorders>
              <w:top w:val="single" w:sz="8" w:color="auto"/>
              <w:bottom w:val="single" w:sz="8" w:color="auto"/>
            </w:tcBorders>
          </w:tcPr>
          <w:p>
            <w:pPr>
              <w:jc w:val="right"/>
              <w:ind w:right="88"/>
              <w:spacing w:after="0" w:line="88" w:lineRule="exact"/>
              <w:rPr>
                <w:sz w:val="20"/>
                <w:szCs w:val="20"/>
                <w:color w:val="auto"/>
              </w:rPr>
            </w:pPr>
            <w:r>
              <w:rPr>
                <w:rFonts w:ascii="Arial" w:cs="Arial" w:eastAsia="Arial" w:hAnsi="Arial"/>
                <w:sz w:val="9"/>
                <w:szCs w:val="9"/>
                <w:b w:val="1"/>
                <w:bCs w:val="1"/>
                <w:color w:val="auto"/>
              </w:rPr>
              <w:t>Amount</w:t>
            </w:r>
          </w:p>
        </w:tc>
        <w:tc>
          <w:tcPr>
            <w:tcW w:w="20" w:type="dxa"/>
            <w:vAlign w:val="bottom"/>
          </w:tcPr>
          <w:p>
            <w:pPr>
              <w:spacing w:after="0"/>
              <w:rPr>
                <w:sz w:val="7"/>
                <w:szCs w:val="7"/>
                <w:color w:val="auto"/>
              </w:rPr>
            </w:pPr>
          </w:p>
        </w:tc>
      </w:tr>
      <w:tr>
        <w:trPr>
          <w:trHeight w:val="124"/>
        </w:trPr>
        <w:tc>
          <w:tcPr>
            <w:tcW w:w="4420" w:type="dxa"/>
            <w:vAlign w:val="bottom"/>
          </w:tcPr>
          <w:p>
            <w:pPr>
              <w:spacing w:after="0"/>
              <w:rPr>
                <w:sz w:val="20"/>
                <w:szCs w:val="20"/>
                <w:color w:val="auto"/>
              </w:rPr>
            </w:pPr>
            <w:r>
              <w:rPr>
                <w:rFonts w:ascii="Arial" w:cs="Arial" w:eastAsia="Arial" w:hAnsi="Arial"/>
                <w:sz w:val="10"/>
                <w:szCs w:val="10"/>
                <w:color w:val="auto"/>
              </w:rPr>
              <w:t>Balances, December 31, 2002</w:t>
            </w:r>
          </w:p>
        </w:tc>
        <w:tc>
          <w:tcPr>
            <w:tcW w:w="400" w:type="dxa"/>
            <w:vAlign w:val="bottom"/>
          </w:tcPr>
          <w:p>
            <w:pPr>
              <w:jc w:val="right"/>
              <w:spacing w:after="0"/>
              <w:rPr>
                <w:sz w:val="20"/>
                <w:szCs w:val="20"/>
                <w:color w:val="auto"/>
              </w:rPr>
            </w:pPr>
            <w:r>
              <w:rPr>
                <w:rFonts w:ascii="Arial" w:cs="Arial" w:eastAsia="Arial" w:hAnsi="Arial"/>
                <w:sz w:val="10"/>
                <w:szCs w:val="10"/>
                <w:color w:val="auto"/>
              </w:rPr>
              <w:t>4,000</w:t>
            </w:r>
          </w:p>
        </w:tc>
        <w:tc>
          <w:tcPr>
            <w:tcW w:w="140" w:type="dxa"/>
            <w:vAlign w:val="bottom"/>
          </w:tcPr>
          <w:p>
            <w:pPr>
              <w:spacing w:after="0"/>
              <w:rPr>
                <w:sz w:val="10"/>
                <w:szCs w:val="10"/>
                <w:color w:val="auto"/>
              </w:rPr>
            </w:pPr>
          </w:p>
        </w:tc>
        <w:tc>
          <w:tcPr>
            <w:tcW w:w="700" w:type="dxa"/>
            <w:vAlign w:val="bottom"/>
            <w:gridSpan w:val="3"/>
          </w:tcPr>
          <w:p>
            <w:pPr>
              <w:jc w:val="right"/>
              <w:ind w:right="20"/>
              <w:spacing w:after="0"/>
              <w:rPr>
                <w:sz w:val="20"/>
                <w:szCs w:val="20"/>
                <w:color w:val="auto"/>
              </w:rPr>
            </w:pPr>
            <w:r>
              <w:rPr>
                <w:rFonts w:ascii="Arial" w:cs="Arial" w:eastAsia="Arial" w:hAnsi="Arial"/>
                <w:sz w:val="10"/>
                <w:szCs w:val="10"/>
                <w:color w:val="auto"/>
              </w:rPr>
              <w:t>$  2,659,686</w:t>
            </w:r>
          </w:p>
        </w:tc>
      </w:tr>
      <w:tr>
        <w:trPr>
          <w:trHeight w:val="108"/>
        </w:trPr>
        <w:tc>
          <w:tcPr>
            <w:tcW w:w="4420" w:type="dxa"/>
            <w:vAlign w:val="bottom"/>
          </w:tcPr>
          <w:p>
            <w:pPr>
              <w:spacing w:after="0" w:line="108" w:lineRule="exact"/>
              <w:rPr>
                <w:sz w:val="20"/>
                <w:szCs w:val="20"/>
                <w:color w:val="auto"/>
              </w:rPr>
            </w:pPr>
            <w:r>
              <w:rPr>
                <w:rFonts w:ascii="Arial" w:cs="Arial" w:eastAsia="Arial" w:hAnsi="Arial"/>
                <w:sz w:val="10"/>
                <w:szCs w:val="10"/>
                <w:color w:val="auto"/>
              </w:rPr>
              <w:t>Issuance of common stock related to equity financing net of issuance costs of $310,403</w:t>
            </w:r>
          </w:p>
        </w:tc>
        <w:tc>
          <w:tcPr>
            <w:tcW w:w="540" w:type="dxa"/>
            <w:vAlign w:val="bottom"/>
            <w:gridSpan w:val="2"/>
          </w:tcPr>
          <w:p>
            <w:pPr>
              <w:jc w:val="right"/>
              <w:ind w:right="140"/>
              <w:spacing w:after="0" w:line="108"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600" w:type="dxa"/>
            <w:vAlign w:val="bottom"/>
            <w:gridSpan w:val="2"/>
          </w:tcPr>
          <w:p>
            <w:pPr>
              <w:jc w:val="right"/>
              <w:ind w:right="20"/>
              <w:spacing w:after="0" w:line="108" w:lineRule="exact"/>
              <w:rPr>
                <w:sz w:val="20"/>
                <w:szCs w:val="20"/>
                <w:color w:val="auto"/>
              </w:rPr>
            </w:pPr>
            <w:r>
              <w:rPr>
                <w:rFonts w:ascii="Arial" w:cs="Arial" w:eastAsia="Arial" w:hAnsi="Arial"/>
                <w:sz w:val="10"/>
                <w:szCs w:val="10"/>
                <w:color w:val="auto"/>
              </w:rPr>
              <w:t>—</w:t>
            </w:r>
          </w:p>
        </w:tc>
      </w:tr>
      <w:tr>
        <w:trPr>
          <w:trHeight w:val="108"/>
        </w:trPr>
        <w:tc>
          <w:tcPr>
            <w:tcW w:w="4420" w:type="dxa"/>
            <w:vAlign w:val="bottom"/>
          </w:tcPr>
          <w:p>
            <w:pPr>
              <w:spacing w:after="0" w:line="108" w:lineRule="exact"/>
              <w:rPr>
                <w:sz w:val="20"/>
                <w:szCs w:val="20"/>
                <w:color w:val="auto"/>
              </w:rPr>
            </w:pPr>
            <w:r>
              <w:rPr>
                <w:rFonts w:ascii="Arial" w:cs="Arial" w:eastAsia="Arial" w:hAnsi="Arial"/>
                <w:sz w:val="10"/>
                <w:szCs w:val="10"/>
                <w:color w:val="auto"/>
              </w:rPr>
              <w:t>Dividends paid to 3% convertible preferred holders in stock</w:t>
            </w:r>
          </w:p>
        </w:tc>
        <w:tc>
          <w:tcPr>
            <w:tcW w:w="540" w:type="dxa"/>
            <w:vAlign w:val="bottom"/>
            <w:gridSpan w:val="2"/>
          </w:tcPr>
          <w:p>
            <w:pPr>
              <w:jc w:val="right"/>
              <w:ind w:right="140"/>
              <w:spacing w:after="0" w:line="108"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600" w:type="dxa"/>
            <w:vAlign w:val="bottom"/>
            <w:gridSpan w:val="2"/>
          </w:tcPr>
          <w:p>
            <w:pPr>
              <w:jc w:val="right"/>
              <w:ind w:right="20"/>
              <w:spacing w:after="0" w:line="108" w:lineRule="exact"/>
              <w:rPr>
                <w:sz w:val="20"/>
                <w:szCs w:val="20"/>
                <w:color w:val="auto"/>
              </w:rPr>
            </w:pPr>
            <w:r>
              <w:rPr>
                <w:rFonts w:ascii="Arial" w:cs="Arial" w:eastAsia="Arial" w:hAnsi="Arial"/>
                <w:sz w:val="10"/>
                <w:szCs w:val="10"/>
                <w:color w:val="auto"/>
              </w:rPr>
              <w:t>—</w:t>
            </w:r>
          </w:p>
        </w:tc>
      </w:tr>
      <w:tr>
        <w:trPr>
          <w:trHeight w:val="108"/>
        </w:trPr>
        <w:tc>
          <w:tcPr>
            <w:tcW w:w="4420" w:type="dxa"/>
            <w:vAlign w:val="bottom"/>
          </w:tcPr>
          <w:p>
            <w:pPr>
              <w:spacing w:after="0" w:line="108" w:lineRule="exact"/>
              <w:rPr>
                <w:sz w:val="20"/>
                <w:szCs w:val="20"/>
                <w:color w:val="auto"/>
              </w:rPr>
            </w:pPr>
            <w:r>
              <w:rPr>
                <w:rFonts w:ascii="Arial" w:cs="Arial" w:eastAsia="Arial" w:hAnsi="Arial"/>
                <w:sz w:val="10"/>
                <w:szCs w:val="10"/>
                <w:color w:val="auto"/>
              </w:rPr>
              <w:t>Accretion of redeemable convertible preferred stock and beneficial conversion feature</w:t>
            </w:r>
          </w:p>
        </w:tc>
        <w:tc>
          <w:tcPr>
            <w:tcW w:w="540" w:type="dxa"/>
            <w:vAlign w:val="bottom"/>
            <w:gridSpan w:val="2"/>
          </w:tcPr>
          <w:p>
            <w:pPr>
              <w:jc w:val="right"/>
              <w:ind w:right="140"/>
              <w:spacing w:after="0" w:line="108" w:lineRule="exact"/>
              <w:rPr>
                <w:sz w:val="20"/>
                <w:szCs w:val="20"/>
                <w:color w:val="auto"/>
              </w:rPr>
            </w:pPr>
            <w:r>
              <w:rPr>
                <w:rFonts w:ascii="Arial" w:cs="Arial" w:eastAsia="Arial" w:hAnsi="Arial"/>
                <w:sz w:val="10"/>
                <w:szCs w:val="10"/>
                <w:color w:val="auto"/>
              </w:rPr>
              <w:t>—</w:t>
            </w:r>
          </w:p>
        </w:tc>
        <w:tc>
          <w:tcPr>
            <w:tcW w:w="700" w:type="dxa"/>
            <w:vAlign w:val="bottom"/>
            <w:gridSpan w:val="3"/>
          </w:tcPr>
          <w:p>
            <w:pPr>
              <w:jc w:val="right"/>
              <w:ind w:right="20"/>
              <w:spacing w:after="0" w:line="108" w:lineRule="exact"/>
              <w:rPr>
                <w:sz w:val="20"/>
                <w:szCs w:val="20"/>
                <w:color w:val="auto"/>
              </w:rPr>
            </w:pPr>
            <w:r>
              <w:rPr>
                <w:rFonts w:ascii="Arial" w:cs="Arial" w:eastAsia="Arial" w:hAnsi="Arial"/>
                <w:sz w:val="10"/>
                <w:szCs w:val="10"/>
                <w:color w:val="auto"/>
              </w:rPr>
              <w:t>2,065,911</w:t>
            </w:r>
          </w:p>
        </w:tc>
      </w:tr>
      <w:tr>
        <w:trPr>
          <w:trHeight w:val="108"/>
        </w:trPr>
        <w:tc>
          <w:tcPr>
            <w:tcW w:w="4420" w:type="dxa"/>
            <w:vAlign w:val="bottom"/>
          </w:tcPr>
          <w:p>
            <w:pPr>
              <w:spacing w:after="0" w:line="108" w:lineRule="exact"/>
              <w:rPr>
                <w:sz w:val="20"/>
                <w:szCs w:val="20"/>
                <w:color w:val="auto"/>
              </w:rPr>
            </w:pPr>
            <w:r>
              <w:rPr>
                <w:rFonts w:ascii="Arial" w:cs="Arial" w:eastAsia="Arial" w:hAnsi="Arial"/>
                <w:sz w:val="10"/>
                <w:szCs w:val="10"/>
                <w:color w:val="auto"/>
              </w:rPr>
              <w:t>Conversion of redeemable convertible preferred shares to common stock</w:t>
            </w:r>
          </w:p>
        </w:tc>
        <w:tc>
          <w:tcPr>
            <w:tcW w:w="540" w:type="dxa"/>
            <w:vAlign w:val="bottom"/>
            <w:gridSpan w:val="2"/>
          </w:tcPr>
          <w:p>
            <w:pPr>
              <w:jc w:val="right"/>
              <w:ind w:right="120"/>
              <w:spacing w:after="0" w:line="108" w:lineRule="exact"/>
              <w:rPr>
                <w:sz w:val="20"/>
                <w:szCs w:val="20"/>
                <w:color w:val="auto"/>
              </w:rPr>
            </w:pPr>
            <w:r>
              <w:rPr>
                <w:rFonts w:ascii="Arial" w:cs="Arial" w:eastAsia="Arial" w:hAnsi="Arial"/>
                <w:sz w:val="10"/>
                <w:szCs w:val="10"/>
                <w:color w:val="auto"/>
              </w:rPr>
              <w:t>(4,000)</w:t>
            </w:r>
          </w:p>
        </w:tc>
        <w:tc>
          <w:tcPr>
            <w:tcW w:w="700" w:type="dxa"/>
            <w:vAlign w:val="bottom"/>
            <w:gridSpan w:val="3"/>
          </w:tcPr>
          <w:p>
            <w:pPr>
              <w:jc w:val="right"/>
              <w:spacing w:after="0" w:line="108" w:lineRule="exact"/>
              <w:rPr>
                <w:sz w:val="20"/>
                <w:szCs w:val="20"/>
                <w:color w:val="auto"/>
              </w:rPr>
            </w:pPr>
            <w:r>
              <w:rPr>
                <w:rFonts w:ascii="Arial" w:cs="Arial" w:eastAsia="Arial" w:hAnsi="Arial"/>
                <w:sz w:val="10"/>
                <w:szCs w:val="10"/>
                <w:color w:val="auto"/>
              </w:rPr>
              <w:t>(4,725,597)</w:t>
            </w:r>
          </w:p>
        </w:tc>
      </w:tr>
      <w:tr>
        <w:trPr>
          <w:trHeight w:val="108"/>
        </w:trPr>
        <w:tc>
          <w:tcPr>
            <w:tcW w:w="4420" w:type="dxa"/>
            <w:vAlign w:val="bottom"/>
          </w:tcPr>
          <w:p>
            <w:pPr>
              <w:spacing w:after="0" w:line="108" w:lineRule="exact"/>
              <w:rPr>
                <w:sz w:val="20"/>
                <w:szCs w:val="20"/>
                <w:color w:val="auto"/>
              </w:rPr>
            </w:pPr>
            <w:r>
              <w:rPr>
                <w:rFonts w:ascii="Arial" w:cs="Arial" w:eastAsia="Arial" w:hAnsi="Arial"/>
                <w:sz w:val="10"/>
                <w:szCs w:val="10"/>
                <w:color w:val="auto"/>
              </w:rPr>
              <w:t>Common stock issued for external services</w:t>
            </w:r>
          </w:p>
        </w:tc>
        <w:tc>
          <w:tcPr>
            <w:tcW w:w="540" w:type="dxa"/>
            <w:vAlign w:val="bottom"/>
            <w:gridSpan w:val="2"/>
          </w:tcPr>
          <w:p>
            <w:pPr>
              <w:jc w:val="right"/>
              <w:ind w:right="140"/>
              <w:spacing w:after="0" w:line="108"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600" w:type="dxa"/>
            <w:vAlign w:val="bottom"/>
            <w:gridSpan w:val="2"/>
          </w:tcPr>
          <w:p>
            <w:pPr>
              <w:jc w:val="right"/>
              <w:ind w:right="20"/>
              <w:spacing w:after="0" w:line="108" w:lineRule="exact"/>
              <w:rPr>
                <w:sz w:val="20"/>
                <w:szCs w:val="20"/>
                <w:color w:val="auto"/>
              </w:rPr>
            </w:pPr>
            <w:r>
              <w:rPr>
                <w:rFonts w:ascii="Arial" w:cs="Arial" w:eastAsia="Arial" w:hAnsi="Arial"/>
                <w:sz w:val="10"/>
                <w:szCs w:val="10"/>
                <w:color w:val="auto"/>
              </w:rPr>
              <w:t>—</w:t>
            </w:r>
          </w:p>
        </w:tc>
      </w:tr>
      <w:tr>
        <w:trPr>
          <w:trHeight w:val="108"/>
        </w:trPr>
        <w:tc>
          <w:tcPr>
            <w:tcW w:w="4420" w:type="dxa"/>
            <w:vAlign w:val="bottom"/>
          </w:tcPr>
          <w:p>
            <w:pPr>
              <w:spacing w:after="0" w:line="108" w:lineRule="exact"/>
              <w:rPr>
                <w:sz w:val="20"/>
                <w:szCs w:val="20"/>
                <w:color w:val="auto"/>
              </w:rPr>
            </w:pPr>
            <w:r>
              <w:rPr>
                <w:rFonts w:ascii="Arial" w:cs="Arial" w:eastAsia="Arial" w:hAnsi="Arial"/>
                <w:sz w:val="10"/>
                <w:szCs w:val="10"/>
                <w:color w:val="auto"/>
              </w:rPr>
              <w:t>Common stock issued pursuant to employee benefit plan</w:t>
            </w:r>
          </w:p>
        </w:tc>
        <w:tc>
          <w:tcPr>
            <w:tcW w:w="540" w:type="dxa"/>
            <w:vAlign w:val="bottom"/>
            <w:gridSpan w:val="2"/>
          </w:tcPr>
          <w:p>
            <w:pPr>
              <w:jc w:val="right"/>
              <w:ind w:right="140"/>
              <w:spacing w:after="0" w:line="108"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600" w:type="dxa"/>
            <w:vAlign w:val="bottom"/>
            <w:gridSpan w:val="2"/>
          </w:tcPr>
          <w:p>
            <w:pPr>
              <w:jc w:val="right"/>
              <w:ind w:right="20"/>
              <w:spacing w:after="0" w:line="108" w:lineRule="exact"/>
              <w:rPr>
                <w:sz w:val="20"/>
                <w:szCs w:val="20"/>
                <w:color w:val="auto"/>
              </w:rPr>
            </w:pPr>
            <w:r>
              <w:rPr>
                <w:rFonts w:ascii="Arial" w:cs="Arial" w:eastAsia="Arial" w:hAnsi="Arial"/>
                <w:sz w:val="10"/>
                <w:szCs w:val="10"/>
                <w:color w:val="auto"/>
              </w:rPr>
              <w:t>—</w:t>
            </w:r>
          </w:p>
        </w:tc>
      </w:tr>
      <w:tr>
        <w:trPr>
          <w:trHeight w:val="108"/>
        </w:trPr>
        <w:tc>
          <w:tcPr>
            <w:tcW w:w="4420" w:type="dxa"/>
            <w:vAlign w:val="bottom"/>
          </w:tcPr>
          <w:p>
            <w:pPr>
              <w:spacing w:after="0" w:line="108" w:lineRule="exact"/>
              <w:rPr>
                <w:sz w:val="20"/>
                <w:szCs w:val="20"/>
                <w:color w:val="auto"/>
              </w:rPr>
            </w:pPr>
            <w:r>
              <w:rPr>
                <w:rFonts w:ascii="Arial" w:cs="Arial" w:eastAsia="Arial" w:hAnsi="Arial"/>
                <w:sz w:val="10"/>
                <w:szCs w:val="10"/>
                <w:color w:val="auto"/>
              </w:rPr>
              <w:t>Exercise of warrants</w:t>
            </w:r>
          </w:p>
        </w:tc>
        <w:tc>
          <w:tcPr>
            <w:tcW w:w="540" w:type="dxa"/>
            <w:vAlign w:val="bottom"/>
            <w:gridSpan w:val="2"/>
          </w:tcPr>
          <w:p>
            <w:pPr>
              <w:jc w:val="right"/>
              <w:ind w:right="140"/>
              <w:spacing w:after="0" w:line="108"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600" w:type="dxa"/>
            <w:vAlign w:val="bottom"/>
            <w:gridSpan w:val="2"/>
          </w:tcPr>
          <w:p>
            <w:pPr>
              <w:jc w:val="right"/>
              <w:ind w:right="20"/>
              <w:spacing w:after="0" w:line="108" w:lineRule="exact"/>
              <w:rPr>
                <w:sz w:val="20"/>
                <w:szCs w:val="20"/>
                <w:color w:val="auto"/>
              </w:rPr>
            </w:pPr>
            <w:r>
              <w:rPr>
                <w:rFonts w:ascii="Arial" w:cs="Arial" w:eastAsia="Arial" w:hAnsi="Arial"/>
                <w:sz w:val="10"/>
                <w:szCs w:val="10"/>
                <w:color w:val="auto"/>
              </w:rPr>
              <w:t>—</w:t>
            </w:r>
          </w:p>
        </w:tc>
      </w:tr>
      <w:tr>
        <w:trPr>
          <w:trHeight w:val="108"/>
        </w:trPr>
        <w:tc>
          <w:tcPr>
            <w:tcW w:w="4420" w:type="dxa"/>
            <w:vAlign w:val="bottom"/>
          </w:tcPr>
          <w:p>
            <w:pPr>
              <w:spacing w:after="0" w:line="108" w:lineRule="exact"/>
              <w:rPr>
                <w:sz w:val="20"/>
                <w:szCs w:val="20"/>
                <w:color w:val="auto"/>
              </w:rPr>
            </w:pPr>
            <w:r>
              <w:rPr>
                <w:rFonts w:ascii="Arial" w:cs="Arial" w:eastAsia="Arial" w:hAnsi="Arial"/>
                <w:sz w:val="10"/>
                <w:szCs w:val="10"/>
                <w:color w:val="auto"/>
              </w:rPr>
              <w:t>Exercise of employee and consultant stock options</w:t>
            </w:r>
          </w:p>
        </w:tc>
        <w:tc>
          <w:tcPr>
            <w:tcW w:w="540" w:type="dxa"/>
            <w:vAlign w:val="bottom"/>
            <w:gridSpan w:val="2"/>
          </w:tcPr>
          <w:p>
            <w:pPr>
              <w:jc w:val="right"/>
              <w:ind w:right="140"/>
              <w:spacing w:after="0" w:line="108"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600" w:type="dxa"/>
            <w:vAlign w:val="bottom"/>
            <w:gridSpan w:val="2"/>
          </w:tcPr>
          <w:p>
            <w:pPr>
              <w:jc w:val="right"/>
              <w:ind w:right="20"/>
              <w:spacing w:after="0" w:line="108" w:lineRule="exact"/>
              <w:rPr>
                <w:sz w:val="20"/>
                <w:szCs w:val="20"/>
                <w:color w:val="auto"/>
              </w:rPr>
            </w:pPr>
            <w:r>
              <w:rPr>
                <w:rFonts w:ascii="Arial" w:cs="Arial" w:eastAsia="Arial" w:hAnsi="Arial"/>
                <w:sz w:val="10"/>
                <w:szCs w:val="10"/>
                <w:color w:val="auto"/>
              </w:rPr>
              <w:t>—</w:t>
            </w:r>
          </w:p>
        </w:tc>
      </w:tr>
      <w:tr>
        <w:trPr>
          <w:trHeight w:val="108"/>
        </w:trPr>
        <w:tc>
          <w:tcPr>
            <w:tcW w:w="4420" w:type="dxa"/>
            <w:vAlign w:val="bottom"/>
          </w:tcPr>
          <w:p>
            <w:pPr>
              <w:spacing w:after="0" w:line="108" w:lineRule="exact"/>
              <w:rPr>
                <w:sz w:val="20"/>
                <w:szCs w:val="20"/>
                <w:color w:val="auto"/>
              </w:rPr>
            </w:pPr>
            <w:r>
              <w:rPr>
                <w:rFonts w:ascii="Arial" w:cs="Arial" w:eastAsia="Arial" w:hAnsi="Arial"/>
                <w:sz w:val="10"/>
                <w:szCs w:val="10"/>
                <w:color w:val="auto"/>
              </w:rPr>
              <w:t>Compensation expense from grant of options</w:t>
            </w:r>
          </w:p>
        </w:tc>
        <w:tc>
          <w:tcPr>
            <w:tcW w:w="540" w:type="dxa"/>
            <w:vAlign w:val="bottom"/>
            <w:gridSpan w:val="2"/>
          </w:tcPr>
          <w:p>
            <w:pPr>
              <w:jc w:val="right"/>
              <w:ind w:right="140"/>
              <w:spacing w:after="0" w:line="108"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600" w:type="dxa"/>
            <w:vAlign w:val="bottom"/>
            <w:gridSpan w:val="2"/>
          </w:tcPr>
          <w:p>
            <w:pPr>
              <w:jc w:val="right"/>
              <w:ind w:right="20"/>
              <w:spacing w:after="0" w:line="108" w:lineRule="exact"/>
              <w:rPr>
                <w:sz w:val="20"/>
                <w:szCs w:val="20"/>
                <w:color w:val="auto"/>
              </w:rPr>
            </w:pPr>
            <w:r>
              <w:rPr>
                <w:rFonts w:ascii="Arial" w:cs="Arial" w:eastAsia="Arial" w:hAnsi="Arial"/>
                <w:sz w:val="10"/>
                <w:szCs w:val="10"/>
                <w:color w:val="auto"/>
              </w:rPr>
              <w:t>—</w:t>
            </w:r>
          </w:p>
        </w:tc>
      </w:tr>
      <w:tr>
        <w:trPr>
          <w:trHeight w:val="108"/>
        </w:trPr>
        <w:tc>
          <w:tcPr>
            <w:tcW w:w="4420" w:type="dxa"/>
            <w:vAlign w:val="bottom"/>
          </w:tcPr>
          <w:p>
            <w:pPr>
              <w:spacing w:after="0" w:line="108" w:lineRule="exact"/>
              <w:rPr>
                <w:sz w:val="20"/>
                <w:szCs w:val="20"/>
                <w:color w:val="auto"/>
              </w:rPr>
            </w:pPr>
            <w:r>
              <w:rPr>
                <w:rFonts w:ascii="Arial" w:cs="Arial" w:eastAsia="Arial" w:hAnsi="Arial"/>
                <w:sz w:val="10"/>
                <w:szCs w:val="10"/>
                <w:color w:val="auto"/>
              </w:rPr>
              <w:t>Deferred compensation</w:t>
            </w:r>
          </w:p>
        </w:tc>
        <w:tc>
          <w:tcPr>
            <w:tcW w:w="540" w:type="dxa"/>
            <w:vAlign w:val="bottom"/>
            <w:gridSpan w:val="2"/>
          </w:tcPr>
          <w:p>
            <w:pPr>
              <w:jc w:val="right"/>
              <w:ind w:right="140"/>
              <w:spacing w:after="0" w:line="108"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600" w:type="dxa"/>
            <w:vAlign w:val="bottom"/>
            <w:gridSpan w:val="2"/>
          </w:tcPr>
          <w:p>
            <w:pPr>
              <w:jc w:val="right"/>
              <w:ind w:right="20"/>
              <w:spacing w:after="0" w:line="108" w:lineRule="exact"/>
              <w:rPr>
                <w:sz w:val="20"/>
                <w:szCs w:val="20"/>
                <w:color w:val="auto"/>
              </w:rPr>
            </w:pPr>
            <w:r>
              <w:rPr>
                <w:rFonts w:ascii="Arial" w:cs="Arial" w:eastAsia="Arial" w:hAnsi="Arial"/>
                <w:sz w:val="10"/>
                <w:szCs w:val="10"/>
                <w:color w:val="auto"/>
              </w:rPr>
              <w:t>—</w:t>
            </w:r>
          </w:p>
        </w:tc>
      </w:tr>
      <w:tr>
        <w:trPr>
          <w:trHeight w:val="108"/>
        </w:trPr>
        <w:tc>
          <w:tcPr>
            <w:tcW w:w="4420" w:type="dxa"/>
            <w:vAlign w:val="bottom"/>
          </w:tcPr>
          <w:p>
            <w:pPr>
              <w:spacing w:after="0" w:line="108" w:lineRule="exact"/>
              <w:rPr>
                <w:sz w:val="20"/>
                <w:szCs w:val="20"/>
                <w:color w:val="auto"/>
              </w:rPr>
            </w:pPr>
            <w:r>
              <w:rPr>
                <w:rFonts w:ascii="Arial" w:cs="Arial" w:eastAsia="Arial" w:hAnsi="Arial"/>
                <w:sz w:val="10"/>
                <w:szCs w:val="10"/>
                <w:color w:val="auto"/>
              </w:rPr>
              <w:t>Amortization of deferred compensation</w:t>
            </w:r>
          </w:p>
        </w:tc>
        <w:tc>
          <w:tcPr>
            <w:tcW w:w="540" w:type="dxa"/>
            <w:vAlign w:val="bottom"/>
            <w:gridSpan w:val="2"/>
          </w:tcPr>
          <w:p>
            <w:pPr>
              <w:jc w:val="right"/>
              <w:ind w:right="140"/>
              <w:spacing w:after="0" w:line="108"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600" w:type="dxa"/>
            <w:vAlign w:val="bottom"/>
            <w:gridSpan w:val="2"/>
          </w:tcPr>
          <w:p>
            <w:pPr>
              <w:jc w:val="right"/>
              <w:ind w:right="20"/>
              <w:spacing w:after="0" w:line="108" w:lineRule="exact"/>
              <w:rPr>
                <w:sz w:val="20"/>
                <w:szCs w:val="20"/>
                <w:color w:val="auto"/>
              </w:rPr>
            </w:pPr>
            <w:r>
              <w:rPr>
                <w:rFonts w:ascii="Arial" w:cs="Arial" w:eastAsia="Arial" w:hAnsi="Arial"/>
                <w:sz w:val="10"/>
                <w:szCs w:val="10"/>
                <w:color w:val="auto"/>
              </w:rPr>
              <w:t>—</w:t>
            </w:r>
          </w:p>
        </w:tc>
      </w:tr>
      <w:tr>
        <w:trPr>
          <w:trHeight w:val="121"/>
        </w:trPr>
        <w:tc>
          <w:tcPr>
            <w:tcW w:w="4420" w:type="dxa"/>
            <w:vAlign w:val="bottom"/>
          </w:tcPr>
          <w:p>
            <w:pPr>
              <w:spacing w:after="0"/>
              <w:rPr>
                <w:sz w:val="20"/>
                <w:szCs w:val="20"/>
                <w:color w:val="auto"/>
              </w:rPr>
            </w:pPr>
            <w:r>
              <w:rPr>
                <w:rFonts w:ascii="Arial" w:cs="Arial" w:eastAsia="Arial" w:hAnsi="Arial"/>
                <w:sz w:val="10"/>
                <w:szCs w:val="10"/>
                <w:color w:val="auto"/>
              </w:rPr>
              <w:t>Net loss</w:t>
            </w:r>
          </w:p>
        </w:tc>
        <w:tc>
          <w:tcPr>
            <w:tcW w:w="54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0"/>
                <w:szCs w:val="10"/>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0"/>
                <w:szCs w:val="10"/>
                <w:color w:val="auto"/>
              </w:rPr>
              <w:t>—</w:t>
            </w:r>
          </w:p>
        </w:tc>
      </w:tr>
      <w:tr>
        <w:trPr>
          <w:trHeight w:val="108"/>
        </w:trPr>
        <w:tc>
          <w:tcPr>
            <w:tcW w:w="4420" w:type="dxa"/>
            <w:vAlign w:val="bottom"/>
          </w:tcPr>
          <w:p>
            <w:pPr>
              <w:spacing w:after="0" w:line="108" w:lineRule="exact"/>
              <w:rPr>
                <w:sz w:val="20"/>
                <w:szCs w:val="20"/>
                <w:color w:val="auto"/>
              </w:rPr>
            </w:pPr>
            <w:r>
              <w:rPr>
                <w:rFonts w:ascii="Arial" w:cs="Arial" w:eastAsia="Arial" w:hAnsi="Arial"/>
                <w:sz w:val="10"/>
                <w:szCs w:val="10"/>
                <w:color w:val="auto"/>
              </w:rPr>
              <w:t>Balances, December 31, 2003</w:t>
            </w:r>
          </w:p>
        </w:tc>
        <w:tc>
          <w:tcPr>
            <w:tcW w:w="40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w:t>
            </w: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w:t>
            </w:r>
          </w:p>
        </w:tc>
        <w:tc>
          <w:tcPr>
            <w:tcW w:w="20" w:type="dxa"/>
            <w:vAlign w:val="bottom"/>
          </w:tcPr>
          <w:p>
            <w:pPr>
              <w:spacing w:after="0"/>
              <w:rPr>
                <w:sz w:val="9"/>
                <w:szCs w:val="9"/>
                <w:color w:val="auto"/>
              </w:rPr>
            </w:pPr>
          </w:p>
        </w:tc>
      </w:tr>
      <w:tr>
        <w:trPr>
          <w:trHeight w:val="95"/>
        </w:trPr>
        <w:tc>
          <w:tcPr>
            <w:tcW w:w="4420" w:type="dxa"/>
            <w:vAlign w:val="bottom"/>
          </w:tcPr>
          <w:p>
            <w:pPr>
              <w:spacing w:after="0" w:line="95" w:lineRule="exact"/>
              <w:rPr>
                <w:sz w:val="20"/>
                <w:szCs w:val="20"/>
                <w:color w:val="auto"/>
              </w:rPr>
            </w:pPr>
            <w:r>
              <w:rPr>
                <w:rFonts w:ascii="Arial" w:cs="Arial" w:eastAsia="Arial" w:hAnsi="Arial"/>
                <w:sz w:val="10"/>
                <w:szCs w:val="10"/>
                <w:color w:val="auto"/>
              </w:rPr>
              <w:t>Issuance of common stock related to equity financing net of issuance cost of $2,863,021</w:t>
            </w:r>
          </w:p>
        </w:tc>
        <w:tc>
          <w:tcPr>
            <w:tcW w:w="400" w:type="dxa"/>
            <w:vAlign w:val="bottom"/>
          </w:tcPr>
          <w:p>
            <w:pPr>
              <w:jc w:val="right"/>
              <w:spacing w:after="0" w:line="95" w:lineRule="exact"/>
              <w:rPr>
                <w:sz w:val="20"/>
                <w:szCs w:val="20"/>
                <w:color w:val="auto"/>
              </w:rPr>
            </w:pPr>
            <w:r>
              <w:rPr>
                <w:rFonts w:ascii="Arial" w:cs="Arial" w:eastAsia="Arial" w:hAnsi="Arial"/>
                <w:sz w:val="10"/>
                <w:szCs w:val="10"/>
                <w:color w:val="auto"/>
              </w:rPr>
              <w:t>—</w:t>
            </w: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jc w:val="right"/>
              <w:spacing w:after="0" w:line="95" w:lineRule="exact"/>
              <w:rPr>
                <w:sz w:val="20"/>
                <w:szCs w:val="20"/>
                <w:color w:val="auto"/>
              </w:rPr>
            </w:pPr>
            <w:r>
              <w:rPr>
                <w:rFonts w:ascii="Arial" w:cs="Arial" w:eastAsia="Arial" w:hAnsi="Arial"/>
                <w:sz w:val="10"/>
                <w:szCs w:val="10"/>
                <w:color w:val="auto"/>
              </w:rPr>
              <w:t>—</w:t>
            </w:r>
          </w:p>
        </w:tc>
        <w:tc>
          <w:tcPr>
            <w:tcW w:w="20" w:type="dxa"/>
            <w:vAlign w:val="bottom"/>
          </w:tcPr>
          <w:p>
            <w:pPr>
              <w:spacing w:after="0"/>
              <w:rPr>
                <w:sz w:val="8"/>
                <w:szCs w:val="8"/>
                <w:color w:val="auto"/>
              </w:rPr>
            </w:pPr>
          </w:p>
        </w:tc>
      </w:tr>
      <w:tr>
        <w:trPr>
          <w:trHeight w:val="108"/>
        </w:trPr>
        <w:tc>
          <w:tcPr>
            <w:tcW w:w="4420" w:type="dxa"/>
            <w:vAlign w:val="bottom"/>
          </w:tcPr>
          <w:p>
            <w:pPr>
              <w:spacing w:after="0" w:line="108" w:lineRule="exact"/>
              <w:rPr>
                <w:sz w:val="20"/>
                <w:szCs w:val="20"/>
                <w:color w:val="auto"/>
              </w:rPr>
            </w:pPr>
            <w:r>
              <w:rPr>
                <w:rFonts w:ascii="Arial" w:cs="Arial" w:eastAsia="Arial" w:hAnsi="Arial"/>
                <w:sz w:val="10"/>
                <w:szCs w:val="10"/>
                <w:color w:val="auto"/>
              </w:rPr>
              <w:t>Common stock issued for licensing agreements</w:t>
            </w:r>
          </w:p>
        </w:tc>
        <w:tc>
          <w:tcPr>
            <w:tcW w:w="540" w:type="dxa"/>
            <w:vAlign w:val="bottom"/>
            <w:gridSpan w:val="2"/>
          </w:tcPr>
          <w:p>
            <w:pPr>
              <w:jc w:val="right"/>
              <w:ind w:right="140"/>
              <w:spacing w:after="0" w:line="108"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600" w:type="dxa"/>
            <w:vAlign w:val="bottom"/>
            <w:gridSpan w:val="2"/>
          </w:tcPr>
          <w:p>
            <w:pPr>
              <w:jc w:val="right"/>
              <w:ind w:right="20"/>
              <w:spacing w:after="0" w:line="108" w:lineRule="exact"/>
              <w:rPr>
                <w:sz w:val="20"/>
                <w:szCs w:val="20"/>
                <w:color w:val="auto"/>
              </w:rPr>
            </w:pPr>
            <w:r>
              <w:rPr>
                <w:rFonts w:ascii="Arial" w:cs="Arial" w:eastAsia="Arial" w:hAnsi="Arial"/>
                <w:sz w:val="10"/>
                <w:szCs w:val="10"/>
                <w:color w:val="auto"/>
              </w:rPr>
              <w:t>—</w:t>
            </w:r>
          </w:p>
        </w:tc>
      </w:tr>
      <w:tr>
        <w:trPr>
          <w:trHeight w:val="108"/>
        </w:trPr>
        <w:tc>
          <w:tcPr>
            <w:tcW w:w="4420" w:type="dxa"/>
            <w:vAlign w:val="bottom"/>
          </w:tcPr>
          <w:p>
            <w:pPr>
              <w:spacing w:after="0" w:line="108" w:lineRule="exact"/>
              <w:rPr>
                <w:sz w:val="20"/>
                <w:szCs w:val="20"/>
                <w:color w:val="auto"/>
              </w:rPr>
            </w:pPr>
            <w:r>
              <w:rPr>
                <w:rFonts w:ascii="Arial" w:cs="Arial" w:eastAsia="Arial" w:hAnsi="Arial"/>
                <w:sz w:val="10"/>
                <w:szCs w:val="10"/>
                <w:color w:val="auto"/>
              </w:rPr>
              <w:t>Common stock issued for external services</w:t>
            </w:r>
          </w:p>
        </w:tc>
        <w:tc>
          <w:tcPr>
            <w:tcW w:w="540" w:type="dxa"/>
            <w:vAlign w:val="bottom"/>
            <w:gridSpan w:val="2"/>
          </w:tcPr>
          <w:p>
            <w:pPr>
              <w:jc w:val="right"/>
              <w:ind w:right="140"/>
              <w:spacing w:after="0" w:line="108"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600" w:type="dxa"/>
            <w:vAlign w:val="bottom"/>
            <w:gridSpan w:val="2"/>
          </w:tcPr>
          <w:p>
            <w:pPr>
              <w:jc w:val="right"/>
              <w:ind w:right="20"/>
              <w:spacing w:after="0" w:line="108" w:lineRule="exact"/>
              <w:rPr>
                <w:sz w:val="20"/>
                <w:szCs w:val="20"/>
                <w:color w:val="auto"/>
              </w:rPr>
            </w:pPr>
            <w:r>
              <w:rPr>
                <w:rFonts w:ascii="Arial" w:cs="Arial" w:eastAsia="Arial" w:hAnsi="Arial"/>
                <w:sz w:val="10"/>
                <w:szCs w:val="10"/>
                <w:color w:val="auto"/>
              </w:rPr>
              <w:t>—</w:t>
            </w:r>
          </w:p>
        </w:tc>
      </w:tr>
      <w:tr>
        <w:trPr>
          <w:trHeight w:val="108"/>
        </w:trPr>
        <w:tc>
          <w:tcPr>
            <w:tcW w:w="4420" w:type="dxa"/>
            <w:vAlign w:val="bottom"/>
          </w:tcPr>
          <w:p>
            <w:pPr>
              <w:spacing w:after="0" w:line="108" w:lineRule="exact"/>
              <w:rPr>
                <w:sz w:val="20"/>
                <w:szCs w:val="20"/>
                <w:color w:val="auto"/>
              </w:rPr>
            </w:pPr>
            <w:r>
              <w:rPr>
                <w:rFonts w:ascii="Arial" w:cs="Arial" w:eastAsia="Arial" w:hAnsi="Arial"/>
                <w:sz w:val="10"/>
                <w:szCs w:val="10"/>
                <w:color w:val="auto"/>
              </w:rPr>
              <w:t>Common stock issued pursuant to employee benefit plan</w:t>
            </w:r>
          </w:p>
        </w:tc>
        <w:tc>
          <w:tcPr>
            <w:tcW w:w="540" w:type="dxa"/>
            <w:vAlign w:val="bottom"/>
            <w:gridSpan w:val="2"/>
          </w:tcPr>
          <w:p>
            <w:pPr>
              <w:jc w:val="right"/>
              <w:ind w:right="140"/>
              <w:spacing w:after="0" w:line="108"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600" w:type="dxa"/>
            <w:vAlign w:val="bottom"/>
            <w:gridSpan w:val="2"/>
          </w:tcPr>
          <w:p>
            <w:pPr>
              <w:jc w:val="right"/>
              <w:ind w:right="20"/>
              <w:spacing w:after="0" w:line="108" w:lineRule="exact"/>
              <w:rPr>
                <w:sz w:val="20"/>
                <w:szCs w:val="20"/>
                <w:color w:val="auto"/>
              </w:rPr>
            </w:pPr>
            <w:r>
              <w:rPr>
                <w:rFonts w:ascii="Arial" w:cs="Arial" w:eastAsia="Arial" w:hAnsi="Arial"/>
                <w:sz w:val="10"/>
                <w:szCs w:val="10"/>
                <w:color w:val="auto"/>
              </w:rPr>
              <w:t>—</w:t>
            </w:r>
          </w:p>
        </w:tc>
      </w:tr>
      <w:tr>
        <w:trPr>
          <w:trHeight w:val="108"/>
        </w:trPr>
        <w:tc>
          <w:tcPr>
            <w:tcW w:w="4420" w:type="dxa"/>
            <w:vAlign w:val="bottom"/>
          </w:tcPr>
          <w:p>
            <w:pPr>
              <w:spacing w:after="0" w:line="108" w:lineRule="exact"/>
              <w:rPr>
                <w:sz w:val="20"/>
                <w:szCs w:val="20"/>
                <w:color w:val="auto"/>
              </w:rPr>
            </w:pPr>
            <w:r>
              <w:rPr>
                <w:rFonts w:ascii="Arial" w:cs="Arial" w:eastAsia="Arial" w:hAnsi="Arial"/>
                <w:sz w:val="10"/>
                <w:szCs w:val="10"/>
                <w:color w:val="auto"/>
              </w:rPr>
              <w:t>Exercise of employee and consultant stock options</w:t>
            </w:r>
          </w:p>
        </w:tc>
        <w:tc>
          <w:tcPr>
            <w:tcW w:w="540" w:type="dxa"/>
            <w:vAlign w:val="bottom"/>
            <w:gridSpan w:val="2"/>
          </w:tcPr>
          <w:p>
            <w:pPr>
              <w:jc w:val="right"/>
              <w:ind w:right="140"/>
              <w:spacing w:after="0" w:line="108"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600" w:type="dxa"/>
            <w:vAlign w:val="bottom"/>
            <w:gridSpan w:val="2"/>
          </w:tcPr>
          <w:p>
            <w:pPr>
              <w:jc w:val="right"/>
              <w:ind w:right="20"/>
              <w:spacing w:after="0" w:line="108" w:lineRule="exact"/>
              <w:rPr>
                <w:sz w:val="20"/>
                <w:szCs w:val="20"/>
                <w:color w:val="auto"/>
              </w:rPr>
            </w:pPr>
            <w:r>
              <w:rPr>
                <w:rFonts w:ascii="Arial" w:cs="Arial" w:eastAsia="Arial" w:hAnsi="Arial"/>
                <w:sz w:val="10"/>
                <w:szCs w:val="10"/>
                <w:color w:val="auto"/>
              </w:rPr>
              <w:t>—</w:t>
            </w:r>
          </w:p>
        </w:tc>
      </w:tr>
      <w:tr>
        <w:trPr>
          <w:trHeight w:val="108"/>
        </w:trPr>
        <w:tc>
          <w:tcPr>
            <w:tcW w:w="4420" w:type="dxa"/>
            <w:vAlign w:val="bottom"/>
          </w:tcPr>
          <w:p>
            <w:pPr>
              <w:spacing w:after="0" w:line="108" w:lineRule="exact"/>
              <w:rPr>
                <w:sz w:val="20"/>
                <w:szCs w:val="20"/>
                <w:color w:val="auto"/>
              </w:rPr>
            </w:pPr>
            <w:r>
              <w:rPr>
                <w:rFonts w:ascii="Arial" w:cs="Arial" w:eastAsia="Arial" w:hAnsi="Arial"/>
                <w:sz w:val="10"/>
                <w:szCs w:val="10"/>
                <w:color w:val="auto"/>
              </w:rPr>
              <w:t>Exercise of warrants</w:t>
            </w:r>
          </w:p>
        </w:tc>
        <w:tc>
          <w:tcPr>
            <w:tcW w:w="540" w:type="dxa"/>
            <w:vAlign w:val="bottom"/>
            <w:gridSpan w:val="2"/>
          </w:tcPr>
          <w:p>
            <w:pPr>
              <w:jc w:val="right"/>
              <w:ind w:right="140"/>
              <w:spacing w:after="0" w:line="108"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600" w:type="dxa"/>
            <w:vAlign w:val="bottom"/>
            <w:gridSpan w:val="2"/>
          </w:tcPr>
          <w:p>
            <w:pPr>
              <w:jc w:val="right"/>
              <w:ind w:right="20"/>
              <w:spacing w:after="0" w:line="108" w:lineRule="exact"/>
              <w:rPr>
                <w:sz w:val="20"/>
                <w:szCs w:val="20"/>
                <w:color w:val="auto"/>
              </w:rPr>
            </w:pPr>
            <w:r>
              <w:rPr>
                <w:rFonts w:ascii="Arial" w:cs="Arial" w:eastAsia="Arial" w:hAnsi="Arial"/>
                <w:sz w:val="10"/>
                <w:szCs w:val="10"/>
                <w:color w:val="auto"/>
              </w:rPr>
              <w:t>—</w:t>
            </w:r>
          </w:p>
        </w:tc>
      </w:tr>
      <w:tr>
        <w:trPr>
          <w:trHeight w:val="108"/>
        </w:trPr>
        <w:tc>
          <w:tcPr>
            <w:tcW w:w="4420" w:type="dxa"/>
            <w:vAlign w:val="bottom"/>
          </w:tcPr>
          <w:p>
            <w:pPr>
              <w:spacing w:after="0" w:line="108" w:lineRule="exact"/>
              <w:rPr>
                <w:sz w:val="20"/>
                <w:szCs w:val="20"/>
                <w:color w:val="auto"/>
              </w:rPr>
            </w:pPr>
            <w:r>
              <w:rPr>
                <w:rFonts w:ascii="Arial" w:cs="Arial" w:eastAsia="Arial" w:hAnsi="Arial"/>
                <w:sz w:val="10"/>
                <w:szCs w:val="10"/>
                <w:color w:val="auto"/>
              </w:rPr>
              <w:t>Compensation expense from grant of options</w:t>
            </w:r>
          </w:p>
        </w:tc>
        <w:tc>
          <w:tcPr>
            <w:tcW w:w="540" w:type="dxa"/>
            <w:vAlign w:val="bottom"/>
            <w:gridSpan w:val="2"/>
          </w:tcPr>
          <w:p>
            <w:pPr>
              <w:jc w:val="right"/>
              <w:ind w:right="140"/>
              <w:spacing w:after="0" w:line="108"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600" w:type="dxa"/>
            <w:vAlign w:val="bottom"/>
            <w:gridSpan w:val="2"/>
          </w:tcPr>
          <w:p>
            <w:pPr>
              <w:jc w:val="right"/>
              <w:ind w:right="20"/>
              <w:spacing w:after="0" w:line="108" w:lineRule="exact"/>
              <w:rPr>
                <w:sz w:val="20"/>
                <w:szCs w:val="20"/>
                <w:color w:val="auto"/>
              </w:rPr>
            </w:pPr>
            <w:r>
              <w:rPr>
                <w:rFonts w:ascii="Arial" w:cs="Arial" w:eastAsia="Arial" w:hAnsi="Arial"/>
                <w:sz w:val="10"/>
                <w:szCs w:val="10"/>
                <w:color w:val="auto"/>
              </w:rPr>
              <w:t>—</w:t>
            </w:r>
          </w:p>
        </w:tc>
      </w:tr>
      <w:tr>
        <w:trPr>
          <w:trHeight w:val="108"/>
        </w:trPr>
        <w:tc>
          <w:tcPr>
            <w:tcW w:w="4420" w:type="dxa"/>
            <w:vAlign w:val="bottom"/>
          </w:tcPr>
          <w:p>
            <w:pPr>
              <w:spacing w:after="0" w:line="108" w:lineRule="exact"/>
              <w:rPr>
                <w:sz w:val="20"/>
                <w:szCs w:val="20"/>
                <w:color w:val="auto"/>
              </w:rPr>
            </w:pPr>
            <w:r>
              <w:rPr>
                <w:rFonts w:ascii="Arial" w:cs="Arial" w:eastAsia="Arial" w:hAnsi="Arial"/>
                <w:sz w:val="10"/>
                <w:szCs w:val="10"/>
                <w:color w:val="auto"/>
              </w:rPr>
              <w:t>Deferred compensation</w:t>
            </w:r>
          </w:p>
        </w:tc>
        <w:tc>
          <w:tcPr>
            <w:tcW w:w="540" w:type="dxa"/>
            <w:vAlign w:val="bottom"/>
            <w:gridSpan w:val="2"/>
          </w:tcPr>
          <w:p>
            <w:pPr>
              <w:jc w:val="right"/>
              <w:ind w:right="140"/>
              <w:spacing w:after="0" w:line="108"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600" w:type="dxa"/>
            <w:vAlign w:val="bottom"/>
            <w:gridSpan w:val="2"/>
          </w:tcPr>
          <w:p>
            <w:pPr>
              <w:jc w:val="right"/>
              <w:ind w:right="20"/>
              <w:spacing w:after="0" w:line="108" w:lineRule="exact"/>
              <w:rPr>
                <w:sz w:val="20"/>
                <w:szCs w:val="20"/>
                <w:color w:val="auto"/>
              </w:rPr>
            </w:pPr>
            <w:r>
              <w:rPr>
                <w:rFonts w:ascii="Arial" w:cs="Arial" w:eastAsia="Arial" w:hAnsi="Arial"/>
                <w:sz w:val="10"/>
                <w:szCs w:val="10"/>
                <w:color w:val="auto"/>
              </w:rPr>
              <w:t>—</w:t>
            </w:r>
          </w:p>
        </w:tc>
      </w:tr>
      <w:tr>
        <w:trPr>
          <w:trHeight w:val="108"/>
        </w:trPr>
        <w:tc>
          <w:tcPr>
            <w:tcW w:w="4420" w:type="dxa"/>
            <w:vAlign w:val="bottom"/>
          </w:tcPr>
          <w:p>
            <w:pPr>
              <w:spacing w:after="0" w:line="108" w:lineRule="exact"/>
              <w:rPr>
                <w:sz w:val="20"/>
                <w:szCs w:val="20"/>
                <w:color w:val="auto"/>
              </w:rPr>
            </w:pPr>
            <w:r>
              <w:rPr>
                <w:rFonts w:ascii="Arial" w:cs="Arial" w:eastAsia="Arial" w:hAnsi="Arial"/>
                <w:sz w:val="10"/>
                <w:szCs w:val="10"/>
                <w:color w:val="auto"/>
              </w:rPr>
              <w:t>Amortization of deferred compensation</w:t>
            </w:r>
          </w:p>
        </w:tc>
        <w:tc>
          <w:tcPr>
            <w:tcW w:w="540" w:type="dxa"/>
            <w:vAlign w:val="bottom"/>
            <w:gridSpan w:val="2"/>
          </w:tcPr>
          <w:p>
            <w:pPr>
              <w:jc w:val="right"/>
              <w:ind w:right="140"/>
              <w:spacing w:after="0" w:line="108"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600" w:type="dxa"/>
            <w:vAlign w:val="bottom"/>
            <w:gridSpan w:val="2"/>
          </w:tcPr>
          <w:p>
            <w:pPr>
              <w:jc w:val="right"/>
              <w:ind w:right="20"/>
              <w:spacing w:after="0" w:line="108" w:lineRule="exact"/>
              <w:rPr>
                <w:sz w:val="20"/>
                <w:szCs w:val="20"/>
                <w:color w:val="auto"/>
              </w:rPr>
            </w:pPr>
            <w:r>
              <w:rPr>
                <w:rFonts w:ascii="Arial" w:cs="Arial" w:eastAsia="Arial" w:hAnsi="Arial"/>
                <w:sz w:val="10"/>
                <w:szCs w:val="10"/>
                <w:color w:val="auto"/>
              </w:rPr>
              <w:t>—</w:t>
            </w:r>
          </w:p>
        </w:tc>
      </w:tr>
      <w:tr>
        <w:trPr>
          <w:trHeight w:val="121"/>
        </w:trPr>
        <w:tc>
          <w:tcPr>
            <w:tcW w:w="4420" w:type="dxa"/>
            <w:vAlign w:val="bottom"/>
          </w:tcPr>
          <w:p>
            <w:pPr>
              <w:spacing w:after="0"/>
              <w:rPr>
                <w:sz w:val="20"/>
                <w:szCs w:val="20"/>
                <w:color w:val="auto"/>
              </w:rPr>
            </w:pPr>
            <w:r>
              <w:rPr>
                <w:rFonts w:ascii="Arial" w:cs="Arial" w:eastAsia="Arial" w:hAnsi="Arial"/>
                <w:sz w:val="10"/>
                <w:szCs w:val="10"/>
                <w:color w:val="auto"/>
              </w:rPr>
              <w:t>Net loss</w:t>
            </w:r>
          </w:p>
        </w:tc>
        <w:tc>
          <w:tcPr>
            <w:tcW w:w="54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0"/>
                <w:szCs w:val="10"/>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0"/>
                <w:szCs w:val="10"/>
                <w:color w:val="auto"/>
              </w:rPr>
              <w:t>—</w:t>
            </w:r>
          </w:p>
        </w:tc>
      </w:tr>
      <w:tr>
        <w:trPr>
          <w:trHeight w:val="108"/>
        </w:trPr>
        <w:tc>
          <w:tcPr>
            <w:tcW w:w="4420" w:type="dxa"/>
            <w:vAlign w:val="bottom"/>
          </w:tcPr>
          <w:p>
            <w:pPr>
              <w:spacing w:after="0" w:line="108" w:lineRule="exact"/>
              <w:rPr>
                <w:sz w:val="20"/>
                <w:szCs w:val="20"/>
                <w:color w:val="auto"/>
              </w:rPr>
            </w:pPr>
            <w:r>
              <w:rPr>
                <w:rFonts w:ascii="Arial" w:cs="Arial" w:eastAsia="Arial" w:hAnsi="Arial"/>
                <w:sz w:val="10"/>
                <w:szCs w:val="10"/>
                <w:color w:val="auto"/>
              </w:rPr>
              <w:t>Balances, December 31, 2004</w:t>
            </w:r>
          </w:p>
        </w:tc>
        <w:tc>
          <w:tcPr>
            <w:tcW w:w="40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w:t>
            </w: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w:t>
            </w:r>
          </w:p>
        </w:tc>
        <w:tc>
          <w:tcPr>
            <w:tcW w:w="20" w:type="dxa"/>
            <w:vAlign w:val="bottom"/>
          </w:tcPr>
          <w:p>
            <w:pPr>
              <w:spacing w:after="0"/>
              <w:rPr>
                <w:sz w:val="9"/>
                <w:szCs w:val="9"/>
                <w:color w:val="auto"/>
              </w:rPr>
            </w:pPr>
          </w:p>
        </w:tc>
      </w:tr>
      <w:tr>
        <w:trPr>
          <w:trHeight w:val="95"/>
        </w:trPr>
        <w:tc>
          <w:tcPr>
            <w:tcW w:w="4420" w:type="dxa"/>
            <w:vAlign w:val="bottom"/>
          </w:tcPr>
          <w:p>
            <w:pPr>
              <w:spacing w:after="0" w:line="95" w:lineRule="exact"/>
              <w:rPr>
                <w:sz w:val="20"/>
                <w:szCs w:val="20"/>
                <w:color w:val="auto"/>
              </w:rPr>
            </w:pPr>
            <w:r>
              <w:rPr>
                <w:rFonts w:ascii="Arial" w:cs="Arial" w:eastAsia="Arial" w:hAnsi="Arial"/>
                <w:sz w:val="10"/>
                <w:szCs w:val="10"/>
                <w:color w:val="auto"/>
              </w:rPr>
              <w:t>Expenses related to equity financing</w:t>
            </w:r>
          </w:p>
        </w:tc>
        <w:tc>
          <w:tcPr>
            <w:tcW w:w="400" w:type="dxa"/>
            <w:vAlign w:val="bottom"/>
          </w:tcPr>
          <w:p>
            <w:pPr>
              <w:jc w:val="right"/>
              <w:spacing w:after="0" w:line="95" w:lineRule="exact"/>
              <w:rPr>
                <w:sz w:val="20"/>
                <w:szCs w:val="20"/>
                <w:color w:val="auto"/>
              </w:rPr>
            </w:pPr>
            <w:r>
              <w:rPr>
                <w:rFonts w:ascii="Arial" w:cs="Arial" w:eastAsia="Arial" w:hAnsi="Arial"/>
                <w:sz w:val="10"/>
                <w:szCs w:val="10"/>
                <w:color w:val="auto"/>
              </w:rPr>
              <w:t>—</w:t>
            </w: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jc w:val="right"/>
              <w:spacing w:after="0" w:line="95" w:lineRule="exact"/>
              <w:rPr>
                <w:sz w:val="20"/>
                <w:szCs w:val="20"/>
                <w:color w:val="auto"/>
              </w:rPr>
            </w:pPr>
            <w:r>
              <w:rPr>
                <w:rFonts w:ascii="Arial" w:cs="Arial" w:eastAsia="Arial" w:hAnsi="Arial"/>
                <w:sz w:val="10"/>
                <w:szCs w:val="10"/>
                <w:color w:val="auto"/>
              </w:rPr>
              <w:t>—</w:t>
            </w:r>
          </w:p>
        </w:tc>
        <w:tc>
          <w:tcPr>
            <w:tcW w:w="20" w:type="dxa"/>
            <w:vAlign w:val="bottom"/>
          </w:tcPr>
          <w:p>
            <w:pPr>
              <w:spacing w:after="0"/>
              <w:rPr>
                <w:sz w:val="8"/>
                <w:szCs w:val="8"/>
                <w:color w:val="auto"/>
              </w:rPr>
            </w:pPr>
          </w:p>
        </w:tc>
      </w:tr>
      <w:tr>
        <w:trPr>
          <w:trHeight w:val="108"/>
        </w:trPr>
        <w:tc>
          <w:tcPr>
            <w:tcW w:w="4420" w:type="dxa"/>
            <w:vAlign w:val="bottom"/>
          </w:tcPr>
          <w:p>
            <w:pPr>
              <w:spacing w:after="0" w:line="108" w:lineRule="exact"/>
              <w:rPr>
                <w:sz w:val="20"/>
                <w:szCs w:val="20"/>
                <w:color w:val="auto"/>
              </w:rPr>
            </w:pPr>
            <w:r>
              <w:rPr>
                <w:rFonts w:ascii="Arial" w:cs="Arial" w:eastAsia="Arial" w:hAnsi="Arial"/>
                <w:sz w:val="10"/>
                <w:szCs w:val="10"/>
                <w:color w:val="auto"/>
              </w:rPr>
              <w:t>Common stock issued for external services</w:t>
            </w:r>
          </w:p>
        </w:tc>
        <w:tc>
          <w:tcPr>
            <w:tcW w:w="540" w:type="dxa"/>
            <w:vAlign w:val="bottom"/>
            <w:gridSpan w:val="2"/>
          </w:tcPr>
          <w:p>
            <w:pPr>
              <w:jc w:val="right"/>
              <w:ind w:right="140"/>
              <w:spacing w:after="0" w:line="108"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600" w:type="dxa"/>
            <w:vAlign w:val="bottom"/>
            <w:gridSpan w:val="2"/>
          </w:tcPr>
          <w:p>
            <w:pPr>
              <w:jc w:val="right"/>
              <w:ind w:right="20"/>
              <w:spacing w:after="0" w:line="108" w:lineRule="exact"/>
              <w:rPr>
                <w:sz w:val="20"/>
                <w:szCs w:val="20"/>
                <w:color w:val="auto"/>
              </w:rPr>
            </w:pPr>
            <w:r>
              <w:rPr>
                <w:rFonts w:ascii="Arial" w:cs="Arial" w:eastAsia="Arial" w:hAnsi="Arial"/>
                <w:sz w:val="10"/>
                <w:szCs w:val="10"/>
                <w:color w:val="auto"/>
              </w:rPr>
              <w:t>—</w:t>
            </w:r>
          </w:p>
        </w:tc>
      </w:tr>
      <w:tr>
        <w:trPr>
          <w:trHeight w:val="108"/>
        </w:trPr>
        <w:tc>
          <w:tcPr>
            <w:tcW w:w="4420" w:type="dxa"/>
            <w:vAlign w:val="bottom"/>
          </w:tcPr>
          <w:p>
            <w:pPr>
              <w:spacing w:after="0" w:line="108" w:lineRule="exact"/>
              <w:rPr>
                <w:sz w:val="20"/>
                <w:szCs w:val="20"/>
                <w:color w:val="auto"/>
              </w:rPr>
            </w:pPr>
            <w:r>
              <w:rPr>
                <w:rFonts w:ascii="Arial" w:cs="Arial" w:eastAsia="Arial" w:hAnsi="Arial"/>
                <w:sz w:val="10"/>
                <w:szCs w:val="10"/>
                <w:color w:val="auto"/>
              </w:rPr>
              <w:t>Common stock issued pursuant to employee benefit plan</w:t>
            </w:r>
          </w:p>
        </w:tc>
        <w:tc>
          <w:tcPr>
            <w:tcW w:w="540" w:type="dxa"/>
            <w:vAlign w:val="bottom"/>
            <w:gridSpan w:val="2"/>
          </w:tcPr>
          <w:p>
            <w:pPr>
              <w:jc w:val="right"/>
              <w:ind w:right="140"/>
              <w:spacing w:after="0" w:line="108"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600" w:type="dxa"/>
            <w:vAlign w:val="bottom"/>
            <w:gridSpan w:val="2"/>
          </w:tcPr>
          <w:p>
            <w:pPr>
              <w:jc w:val="right"/>
              <w:ind w:right="20"/>
              <w:spacing w:after="0" w:line="108" w:lineRule="exact"/>
              <w:rPr>
                <w:sz w:val="20"/>
                <w:szCs w:val="20"/>
                <w:color w:val="auto"/>
              </w:rPr>
            </w:pPr>
            <w:r>
              <w:rPr>
                <w:rFonts w:ascii="Arial" w:cs="Arial" w:eastAsia="Arial" w:hAnsi="Arial"/>
                <w:sz w:val="10"/>
                <w:szCs w:val="10"/>
                <w:color w:val="auto"/>
              </w:rPr>
              <w:t>—</w:t>
            </w:r>
          </w:p>
        </w:tc>
      </w:tr>
      <w:tr>
        <w:trPr>
          <w:trHeight w:val="108"/>
        </w:trPr>
        <w:tc>
          <w:tcPr>
            <w:tcW w:w="4420" w:type="dxa"/>
            <w:vAlign w:val="bottom"/>
          </w:tcPr>
          <w:p>
            <w:pPr>
              <w:spacing w:after="0" w:line="108" w:lineRule="exact"/>
              <w:rPr>
                <w:sz w:val="20"/>
                <w:szCs w:val="20"/>
                <w:color w:val="auto"/>
              </w:rPr>
            </w:pPr>
            <w:r>
              <w:rPr>
                <w:rFonts w:ascii="Arial" w:cs="Arial" w:eastAsia="Arial" w:hAnsi="Arial"/>
                <w:sz w:val="10"/>
                <w:szCs w:val="10"/>
                <w:color w:val="auto"/>
              </w:rPr>
              <w:t>Compensation expense from grant of options and stock (fair value)</w:t>
            </w:r>
          </w:p>
        </w:tc>
        <w:tc>
          <w:tcPr>
            <w:tcW w:w="540" w:type="dxa"/>
            <w:vAlign w:val="bottom"/>
            <w:gridSpan w:val="2"/>
          </w:tcPr>
          <w:p>
            <w:pPr>
              <w:jc w:val="right"/>
              <w:ind w:right="140"/>
              <w:spacing w:after="0" w:line="108"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600" w:type="dxa"/>
            <w:vAlign w:val="bottom"/>
            <w:gridSpan w:val="2"/>
          </w:tcPr>
          <w:p>
            <w:pPr>
              <w:jc w:val="right"/>
              <w:ind w:right="20"/>
              <w:spacing w:after="0" w:line="108" w:lineRule="exact"/>
              <w:rPr>
                <w:sz w:val="20"/>
                <w:szCs w:val="20"/>
                <w:color w:val="auto"/>
              </w:rPr>
            </w:pPr>
            <w:r>
              <w:rPr>
                <w:rFonts w:ascii="Arial" w:cs="Arial" w:eastAsia="Arial" w:hAnsi="Arial"/>
                <w:sz w:val="10"/>
                <w:szCs w:val="10"/>
                <w:color w:val="auto"/>
              </w:rPr>
              <w:t>—</w:t>
            </w:r>
          </w:p>
        </w:tc>
      </w:tr>
      <w:tr>
        <w:trPr>
          <w:trHeight w:val="108"/>
        </w:trPr>
        <w:tc>
          <w:tcPr>
            <w:tcW w:w="4420" w:type="dxa"/>
            <w:vAlign w:val="bottom"/>
          </w:tcPr>
          <w:p>
            <w:pPr>
              <w:spacing w:after="0" w:line="108" w:lineRule="exact"/>
              <w:rPr>
                <w:sz w:val="20"/>
                <w:szCs w:val="20"/>
                <w:color w:val="auto"/>
              </w:rPr>
            </w:pPr>
            <w:r>
              <w:rPr>
                <w:rFonts w:ascii="Arial" w:cs="Arial" w:eastAsia="Arial" w:hAnsi="Arial"/>
                <w:sz w:val="10"/>
                <w:szCs w:val="10"/>
                <w:color w:val="auto"/>
              </w:rPr>
              <w:t>Exercise of employee and consultant stock options</w:t>
            </w:r>
          </w:p>
        </w:tc>
        <w:tc>
          <w:tcPr>
            <w:tcW w:w="540" w:type="dxa"/>
            <w:vAlign w:val="bottom"/>
            <w:gridSpan w:val="2"/>
          </w:tcPr>
          <w:p>
            <w:pPr>
              <w:jc w:val="right"/>
              <w:ind w:right="140"/>
              <w:spacing w:after="0" w:line="108"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600" w:type="dxa"/>
            <w:vAlign w:val="bottom"/>
            <w:gridSpan w:val="2"/>
          </w:tcPr>
          <w:p>
            <w:pPr>
              <w:jc w:val="right"/>
              <w:ind w:right="20"/>
              <w:spacing w:after="0" w:line="108" w:lineRule="exact"/>
              <w:rPr>
                <w:sz w:val="20"/>
                <w:szCs w:val="20"/>
                <w:color w:val="auto"/>
              </w:rPr>
            </w:pPr>
            <w:r>
              <w:rPr>
                <w:rFonts w:ascii="Arial" w:cs="Arial" w:eastAsia="Arial" w:hAnsi="Arial"/>
                <w:sz w:val="10"/>
                <w:szCs w:val="10"/>
                <w:color w:val="auto"/>
              </w:rPr>
              <w:t>—</w:t>
            </w:r>
          </w:p>
        </w:tc>
      </w:tr>
      <w:tr>
        <w:trPr>
          <w:trHeight w:val="108"/>
        </w:trPr>
        <w:tc>
          <w:tcPr>
            <w:tcW w:w="4420" w:type="dxa"/>
            <w:vAlign w:val="bottom"/>
          </w:tcPr>
          <w:p>
            <w:pPr>
              <w:spacing w:after="0" w:line="108" w:lineRule="exact"/>
              <w:rPr>
                <w:sz w:val="20"/>
                <w:szCs w:val="20"/>
                <w:color w:val="auto"/>
              </w:rPr>
            </w:pPr>
            <w:r>
              <w:rPr>
                <w:rFonts w:ascii="Arial" w:cs="Arial" w:eastAsia="Arial" w:hAnsi="Arial"/>
                <w:sz w:val="10"/>
                <w:szCs w:val="10"/>
                <w:color w:val="auto"/>
              </w:rPr>
              <w:t>Exercise of warrants</w:t>
            </w:r>
          </w:p>
        </w:tc>
        <w:tc>
          <w:tcPr>
            <w:tcW w:w="540" w:type="dxa"/>
            <w:vAlign w:val="bottom"/>
            <w:gridSpan w:val="2"/>
          </w:tcPr>
          <w:p>
            <w:pPr>
              <w:jc w:val="right"/>
              <w:ind w:right="140"/>
              <w:spacing w:after="0" w:line="108"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600" w:type="dxa"/>
            <w:vAlign w:val="bottom"/>
            <w:gridSpan w:val="2"/>
          </w:tcPr>
          <w:p>
            <w:pPr>
              <w:jc w:val="right"/>
              <w:ind w:right="20"/>
              <w:spacing w:after="0" w:line="108" w:lineRule="exact"/>
              <w:rPr>
                <w:sz w:val="20"/>
                <w:szCs w:val="20"/>
                <w:color w:val="auto"/>
              </w:rPr>
            </w:pPr>
            <w:r>
              <w:rPr>
                <w:rFonts w:ascii="Arial" w:cs="Arial" w:eastAsia="Arial" w:hAnsi="Arial"/>
                <w:sz w:val="10"/>
                <w:szCs w:val="10"/>
                <w:color w:val="auto"/>
              </w:rPr>
              <w:t>—</w:t>
            </w:r>
          </w:p>
        </w:tc>
      </w:tr>
      <w:tr>
        <w:trPr>
          <w:trHeight w:val="108"/>
        </w:trPr>
        <w:tc>
          <w:tcPr>
            <w:tcW w:w="4420" w:type="dxa"/>
            <w:vAlign w:val="bottom"/>
          </w:tcPr>
          <w:p>
            <w:pPr>
              <w:spacing w:after="0" w:line="108" w:lineRule="exact"/>
              <w:rPr>
                <w:sz w:val="20"/>
                <w:szCs w:val="20"/>
                <w:color w:val="auto"/>
              </w:rPr>
            </w:pPr>
            <w:r>
              <w:rPr>
                <w:rFonts w:ascii="Arial" w:cs="Arial" w:eastAsia="Arial" w:hAnsi="Arial"/>
                <w:sz w:val="10"/>
                <w:szCs w:val="10"/>
                <w:color w:val="auto"/>
              </w:rPr>
              <w:t>Deferred compensation</w:t>
            </w:r>
          </w:p>
        </w:tc>
        <w:tc>
          <w:tcPr>
            <w:tcW w:w="540" w:type="dxa"/>
            <w:vAlign w:val="bottom"/>
            <w:gridSpan w:val="2"/>
          </w:tcPr>
          <w:p>
            <w:pPr>
              <w:jc w:val="right"/>
              <w:ind w:right="140"/>
              <w:spacing w:after="0" w:line="108"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600" w:type="dxa"/>
            <w:vAlign w:val="bottom"/>
            <w:gridSpan w:val="2"/>
          </w:tcPr>
          <w:p>
            <w:pPr>
              <w:jc w:val="right"/>
              <w:ind w:right="20"/>
              <w:spacing w:after="0" w:line="108" w:lineRule="exact"/>
              <w:rPr>
                <w:sz w:val="20"/>
                <w:szCs w:val="20"/>
                <w:color w:val="auto"/>
              </w:rPr>
            </w:pPr>
            <w:r>
              <w:rPr>
                <w:rFonts w:ascii="Arial" w:cs="Arial" w:eastAsia="Arial" w:hAnsi="Arial"/>
                <w:sz w:val="10"/>
                <w:szCs w:val="10"/>
                <w:color w:val="auto"/>
              </w:rPr>
              <w:t>—</w:t>
            </w:r>
          </w:p>
        </w:tc>
      </w:tr>
      <w:tr>
        <w:trPr>
          <w:trHeight w:val="108"/>
        </w:trPr>
        <w:tc>
          <w:tcPr>
            <w:tcW w:w="4420" w:type="dxa"/>
            <w:vAlign w:val="bottom"/>
          </w:tcPr>
          <w:p>
            <w:pPr>
              <w:spacing w:after="0" w:line="108" w:lineRule="exact"/>
              <w:rPr>
                <w:sz w:val="20"/>
                <w:szCs w:val="20"/>
                <w:color w:val="auto"/>
              </w:rPr>
            </w:pPr>
            <w:r>
              <w:rPr>
                <w:rFonts w:ascii="Arial" w:cs="Arial" w:eastAsia="Arial" w:hAnsi="Arial"/>
                <w:sz w:val="10"/>
                <w:szCs w:val="10"/>
                <w:color w:val="auto"/>
              </w:rPr>
              <w:t>Amortization of deferred compensation</w:t>
            </w:r>
          </w:p>
        </w:tc>
        <w:tc>
          <w:tcPr>
            <w:tcW w:w="540" w:type="dxa"/>
            <w:vAlign w:val="bottom"/>
            <w:gridSpan w:val="2"/>
          </w:tcPr>
          <w:p>
            <w:pPr>
              <w:jc w:val="right"/>
              <w:ind w:right="140"/>
              <w:spacing w:after="0" w:line="108"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600" w:type="dxa"/>
            <w:vAlign w:val="bottom"/>
            <w:gridSpan w:val="2"/>
          </w:tcPr>
          <w:p>
            <w:pPr>
              <w:jc w:val="right"/>
              <w:ind w:right="20"/>
              <w:spacing w:after="0" w:line="108" w:lineRule="exact"/>
              <w:rPr>
                <w:sz w:val="20"/>
                <w:szCs w:val="20"/>
                <w:color w:val="auto"/>
              </w:rPr>
            </w:pPr>
            <w:r>
              <w:rPr>
                <w:rFonts w:ascii="Arial" w:cs="Arial" w:eastAsia="Arial" w:hAnsi="Arial"/>
                <w:sz w:val="10"/>
                <w:szCs w:val="10"/>
                <w:color w:val="auto"/>
              </w:rPr>
              <w:t>—</w:t>
            </w:r>
          </w:p>
        </w:tc>
      </w:tr>
      <w:tr>
        <w:trPr>
          <w:trHeight w:val="108"/>
        </w:trPr>
        <w:tc>
          <w:tcPr>
            <w:tcW w:w="4420" w:type="dxa"/>
            <w:vAlign w:val="bottom"/>
          </w:tcPr>
          <w:p>
            <w:pPr>
              <w:spacing w:after="0" w:line="108" w:lineRule="exact"/>
              <w:rPr>
                <w:sz w:val="20"/>
                <w:szCs w:val="20"/>
                <w:color w:val="auto"/>
              </w:rPr>
            </w:pPr>
            <w:r>
              <w:rPr>
                <w:rFonts w:ascii="Arial" w:cs="Arial" w:eastAsia="Arial" w:hAnsi="Arial"/>
                <w:sz w:val="10"/>
                <w:szCs w:val="10"/>
                <w:color w:val="auto"/>
              </w:rPr>
              <w:t>Unrealized loss on marketable securities</w:t>
            </w:r>
          </w:p>
        </w:tc>
        <w:tc>
          <w:tcPr>
            <w:tcW w:w="540" w:type="dxa"/>
            <w:vAlign w:val="bottom"/>
            <w:gridSpan w:val="2"/>
          </w:tcPr>
          <w:p>
            <w:pPr>
              <w:jc w:val="right"/>
              <w:ind w:right="140"/>
              <w:spacing w:after="0" w:line="108"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600" w:type="dxa"/>
            <w:vAlign w:val="bottom"/>
            <w:gridSpan w:val="2"/>
          </w:tcPr>
          <w:p>
            <w:pPr>
              <w:jc w:val="right"/>
              <w:ind w:right="20"/>
              <w:spacing w:after="0" w:line="108" w:lineRule="exact"/>
              <w:rPr>
                <w:sz w:val="20"/>
                <w:szCs w:val="20"/>
                <w:color w:val="auto"/>
              </w:rPr>
            </w:pPr>
            <w:r>
              <w:rPr>
                <w:rFonts w:ascii="Arial" w:cs="Arial" w:eastAsia="Arial" w:hAnsi="Arial"/>
                <w:sz w:val="10"/>
                <w:szCs w:val="10"/>
                <w:color w:val="auto"/>
              </w:rPr>
              <w:t>—</w:t>
            </w:r>
          </w:p>
        </w:tc>
      </w:tr>
      <w:tr>
        <w:trPr>
          <w:trHeight w:val="108"/>
        </w:trPr>
        <w:tc>
          <w:tcPr>
            <w:tcW w:w="4420" w:type="dxa"/>
            <w:vAlign w:val="bottom"/>
          </w:tcPr>
          <w:p>
            <w:pPr>
              <w:spacing w:after="0" w:line="108" w:lineRule="exact"/>
              <w:rPr>
                <w:sz w:val="20"/>
                <w:szCs w:val="20"/>
                <w:color w:val="auto"/>
              </w:rPr>
            </w:pPr>
            <w:r>
              <w:rPr>
                <w:rFonts w:ascii="Arial" w:cs="Arial" w:eastAsia="Arial" w:hAnsi="Arial"/>
                <w:sz w:val="10"/>
                <w:szCs w:val="10"/>
                <w:color w:val="auto"/>
              </w:rPr>
              <w:t>Net loss</w:t>
            </w:r>
          </w:p>
        </w:tc>
        <w:tc>
          <w:tcPr>
            <w:tcW w:w="540" w:type="dxa"/>
            <w:vAlign w:val="bottom"/>
            <w:gridSpan w:val="2"/>
          </w:tcPr>
          <w:p>
            <w:pPr>
              <w:jc w:val="right"/>
              <w:ind w:right="140"/>
              <w:spacing w:after="0" w:line="108"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600" w:type="dxa"/>
            <w:vAlign w:val="bottom"/>
            <w:gridSpan w:val="2"/>
          </w:tcPr>
          <w:p>
            <w:pPr>
              <w:jc w:val="right"/>
              <w:ind w:right="20"/>
              <w:spacing w:after="0" w:line="108" w:lineRule="exact"/>
              <w:rPr>
                <w:sz w:val="20"/>
                <w:szCs w:val="20"/>
                <w:color w:val="auto"/>
              </w:rPr>
            </w:pPr>
            <w:r>
              <w:rPr>
                <w:rFonts w:ascii="Arial" w:cs="Arial" w:eastAsia="Arial" w:hAnsi="Arial"/>
                <w:sz w:val="10"/>
                <w:szCs w:val="10"/>
                <w:color w:val="auto"/>
              </w:rPr>
              <w:t>—</w:t>
            </w:r>
          </w:p>
        </w:tc>
      </w:tr>
      <w:tr>
        <w:trPr>
          <w:trHeight w:val="121"/>
        </w:trPr>
        <w:tc>
          <w:tcPr>
            <w:tcW w:w="4420" w:type="dxa"/>
            <w:vAlign w:val="bottom"/>
          </w:tcPr>
          <w:p>
            <w:pPr>
              <w:spacing w:after="0"/>
              <w:rPr>
                <w:sz w:val="20"/>
                <w:szCs w:val="20"/>
                <w:color w:val="auto"/>
              </w:rPr>
            </w:pPr>
            <w:r>
              <w:rPr>
                <w:rFonts w:ascii="Arial" w:cs="Arial" w:eastAsia="Arial" w:hAnsi="Arial"/>
                <w:sz w:val="10"/>
                <w:szCs w:val="10"/>
                <w:color w:val="auto"/>
              </w:rPr>
              <w:t>Comprehensive loss</w:t>
            </w:r>
          </w:p>
        </w:tc>
        <w:tc>
          <w:tcPr>
            <w:tcW w:w="54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0"/>
                <w:szCs w:val="10"/>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0"/>
                <w:szCs w:val="10"/>
                <w:color w:val="auto"/>
              </w:rPr>
              <w:t>—</w:t>
            </w:r>
          </w:p>
        </w:tc>
      </w:tr>
      <w:tr>
        <w:trPr>
          <w:trHeight w:val="108"/>
        </w:trPr>
        <w:tc>
          <w:tcPr>
            <w:tcW w:w="4420" w:type="dxa"/>
            <w:vAlign w:val="bottom"/>
          </w:tcPr>
          <w:p>
            <w:pPr>
              <w:spacing w:after="0" w:line="108" w:lineRule="exact"/>
              <w:rPr>
                <w:sz w:val="20"/>
                <w:szCs w:val="20"/>
                <w:color w:val="auto"/>
              </w:rPr>
            </w:pPr>
            <w:r>
              <w:rPr>
                <w:rFonts w:ascii="Arial" w:cs="Arial" w:eastAsia="Arial" w:hAnsi="Arial"/>
                <w:sz w:val="10"/>
                <w:szCs w:val="10"/>
                <w:color w:val="auto"/>
              </w:rPr>
              <w:t>Balances, December 31, 2005</w:t>
            </w:r>
          </w:p>
        </w:tc>
        <w:tc>
          <w:tcPr>
            <w:tcW w:w="40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w:t>
            </w: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w:t>
            </w:r>
          </w:p>
        </w:tc>
        <w:tc>
          <w:tcPr>
            <w:tcW w:w="20" w:type="dxa"/>
            <w:vAlign w:val="bottom"/>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-2608580</wp:posOffset>
            </wp:positionV>
            <wp:extent cx="7284085" cy="6858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4085" cy="6858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-2470785</wp:posOffset>
            </wp:positionV>
            <wp:extent cx="7284085" cy="6858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4085" cy="6858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-2333625</wp:posOffset>
            </wp:positionV>
            <wp:extent cx="7284085" cy="6858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4085" cy="6858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-2196465</wp:posOffset>
            </wp:positionV>
            <wp:extent cx="7284085" cy="6858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4085" cy="6858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-2059305</wp:posOffset>
            </wp:positionV>
            <wp:extent cx="7284085" cy="6858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4085" cy="6858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-1921510</wp:posOffset>
            </wp:positionV>
            <wp:extent cx="7284085" cy="6858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4085" cy="6858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-1784350</wp:posOffset>
            </wp:positionV>
            <wp:extent cx="7284085" cy="6858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4085" cy="6858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-1622425</wp:posOffset>
            </wp:positionV>
            <wp:extent cx="7284085" cy="6858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4085" cy="6858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-1484630</wp:posOffset>
            </wp:positionV>
            <wp:extent cx="7284085" cy="6858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4085" cy="6858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-1347470</wp:posOffset>
            </wp:positionV>
            <wp:extent cx="7284085" cy="6858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4085" cy="6858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-1210310</wp:posOffset>
            </wp:positionV>
            <wp:extent cx="7284085" cy="6858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4085" cy="6858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-1073150</wp:posOffset>
            </wp:positionV>
            <wp:extent cx="7284085" cy="6858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4085" cy="6858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-923290</wp:posOffset>
            </wp:positionV>
            <wp:extent cx="7284085" cy="6858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4085" cy="6858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-773430</wp:posOffset>
            </wp:positionV>
            <wp:extent cx="7284085" cy="6858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4085" cy="6858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-636270</wp:posOffset>
            </wp:positionV>
            <wp:extent cx="7284085" cy="6858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4085" cy="6858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-498475</wp:posOffset>
            </wp:positionV>
            <wp:extent cx="7284085" cy="6858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4085" cy="6858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-361315</wp:posOffset>
            </wp:positionV>
            <wp:extent cx="7284085" cy="6858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4085" cy="6858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-224155</wp:posOffset>
            </wp:positionV>
            <wp:extent cx="7284085" cy="6858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4085" cy="6858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-74295</wp:posOffset>
            </wp:positionV>
            <wp:extent cx="7284085" cy="6858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4085" cy="6858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5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03"/>
        </w:trPr>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tcPr>
          <w:p>
            <w:pPr>
              <w:jc w:val="center"/>
              <w:ind w:right="180"/>
              <w:spacing w:after="0"/>
              <w:rPr>
                <w:sz w:val="20"/>
                <w:szCs w:val="20"/>
                <w:color w:val="auto"/>
              </w:rPr>
            </w:pPr>
            <w:r>
              <w:rPr>
                <w:rFonts w:ascii="Arial" w:cs="Arial" w:eastAsia="Arial" w:hAnsi="Arial"/>
                <w:sz w:val="9"/>
                <w:szCs w:val="9"/>
                <w:b w:val="1"/>
                <w:bCs w:val="1"/>
                <w:color w:val="auto"/>
                <w:w w:val="91"/>
              </w:rPr>
              <w:t>Accumulated</w:t>
            </w: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1480" w:type="dxa"/>
            <w:vAlign w:val="bottom"/>
            <w:gridSpan w:val="5"/>
            <w:vMerge w:val="restart"/>
          </w:tcPr>
          <w:p>
            <w:pPr>
              <w:ind w:left="320"/>
              <w:spacing w:after="0"/>
              <w:rPr>
                <w:sz w:val="20"/>
                <w:szCs w:val="20"/>
                <w:color w:val="auto"/>
              </w:rPr>
            </w:pPr>
            <w:r>
              <w:rPr>
                <w:rFonts w:ascii="Arial" w:cs="Arial" w:eastAsia="Arial" w:hAnsi="Arial"/>
                <w:sz w:val="9"/>
                <w:szCs w:val="9"/>
                <w:b w:val="1"/>
                <w:bCs w:val="1"/>
                <w:color w:val="auto"/>
              </w:rPr>
              <w:t>Common Stock</w:t>
            </w:r>
          </w:p>
        </w:tc>
        <w:tc>
          <w:tcPr>
            <w:tcW w:w="80" w:type="dxa"/>
            <w:vAlign w:val="bottom"/>
          </w:tcPr>
          <w:p>
            <w:pPr>
              <w:spacing w:after="0"/>
              <w:rPr>
                <w:sz w:val="9"/>
                <w:szCs w:val="9"/>
                <w:color w:val="auto"/>
              </w:rPr>
            </w:pPr>
          </w:p>
        </w:tc>
        <w:tc>
          <w:tcPr>
            <w:tcW w:w="760" w:type="dxa"/>
            <w:vAlign w:val="bottom"/>
            <w:gridSpan w:val="2"/>
          </w:tcPr>
          <w:p>
            <w:pPr>
              <w:jc w:val="right"/>
              <w:ind w:right="320"/>
              <w:spacing w:after="0"/>
              <w:rPr>
                <w:sz w:val="20"/>
                <w:szCs w:val="20"/>
                <w:color w:val="auto"/>
              </w:rPr>
            </w:pPr>
            <w:r>
              <w:rPr>
                <w:rFonts w:ascii="Arial" w:cs="Arial" w:eastAsia="Arial" w:hAnsi="Arial"/>
                <w:sz w:val="9"/>
                <w:szCs w:val="9"/>
                <w:b w:val="1"/>
                <w:bCs w:val="1"/>
                <w:color w:val="auto"/>
                <w:w w:val="95"/>
              </w:rPr>
              <w:t>Additional</w:t>
            </w: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gridSpan w:val="2"/>
          </w:tcPr>
          <w:p>
            <w:pPr>
              <w:jc w:val="center"/>
              <w:ind w:right="180"/>
              <w:spacing w:after="0"/>
              <w:rPr>
                <w:sz w:val="20"/>
                <w:szCs w:val="20"/>
                <w:color w:val="auto"/>
              </w:rPr>
            </w:pPr>
            <w:r>
              <w:rPr>
                <w:rFonts w:ascii="Arial" w:cs="Arial" w:eastAsia="Arial" w:hAnsi="Arial"/>
                <w:sz w:val="9"/>
                <w:szCs w:val="9"/>
                <w:b w:val="1"/>
                <w:bCs w:val="1"/>
                <w:color w:val="auto"/>
                <w:w w:val="99"/>
              </w:rPr>
              <w:t>Other</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gridSpan w:val="2"/>
          </w:tcPr>
          <w:p>
            <w:pPr>
              <w:jc w:val="center"/>
              <w:ind w:right="100"/>
              <w:spacing w:after="0"/>
              <w:rPr>
                <w:sz w:val="20"/>
                <w:szCs w:val="20"/>
                <w:color w:val="auto"/>
              </w:rPr>
            </w:pPr>
            <w:r>
              <w:rPr>
                <w:rFonts w:ascii="Arial" w:cs="Arial" w:eastAsia="Arial" w:hAnsi="Arial"/>
                <w:sz w:val="9"/>
                <w:szCs w:val="9"/>
                <w:b w:val="1"/>
                <w:bCs w:val="1"/>
                <w:color w:val="auto"/>
                <w:w w:val="92"/>
              </w:rPr>
              <w:t>Total</w:t>
            </w:r>
          </w:p>
        </w:tc>
        <w:tc>
          <w:tcPr>
            <w:tcW w:w="0" w:type="dxa"/>
            <w:vAlign w:val="bottom"/>
          </w:tcPr>
          <w:p>
            <w:pPr>
              <w:spacing w:after="0"/>
              <w:rPr>
                <w:sz w:val="1"/>
                <w:szCs w:val="1"/>
                <w:color w:val="auto"/>
              </w:rPr>
            </w:pPr>
          </w:p>
        </w:tc>
      </w:tr>
      <w:tr>
        <w:trPr>
          <w:trHeight w:val="102"/>
        </w:trPr>
        <w:tc>
          <w:tcPr>
            <w:tcW w:w="1480" w:type="dxa"/>
            <w:vAlign w:val="bottom"/>
            <w:gridSpan w:val="5"/>
            <w:vMerge w:val="continue"/>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gridSpan w:val="2"/>
          </w:tcPr>
          <w:p>
            <w:pPr>
              <w:jc w:val="right"/>
              <w:ind w:right="380"/>
              <w:spacing w:after="0" w:line="102" w:lineRule="exact"/>
              <w:rPr>
                <w:sz w:val="20"/>
                <w:szCs w:val="20"/>
                <w:color w:val="auto"/>
              </w:rPr>
            </w:pPr>
            <w:r>
              <w:rPr>
                <w:rFonts w:ascii="Arial" w:cs="Arial" w:eastAsia="Arial" w:hAnsi="Arial"/>
                <w:sz w:val="9"/>
                <w:szCs w:val="9"/>
                <w:b w:val="1"/>
                <w:bCs w:val="1"/>
                <w:color w:val="auto"/>
              </w:rPr>
              <w:t>Paid-in</w:t>
            </w:r>
          </w:p>
        </w:tc>
        <w:tc>
          <w:tcPr>
            <w:tcW w:w="80" w:type="dxa"/>
            <w:vAlign w:val="bottom"/>
          </w:tcPr>
          <w:p>
            <w:pPr>
              <w:spacing w:after="0"/>
              <w:rPr>
                <w:sz w:val="8"/>
                <w:szCs w:val="8"/>
                <w:color w:val="auto"/>
              </w:rPr>
            </w:pPr>
          </w:p>
        </w:tc>
        <w:tc>
          <w:tcPr>
            <w:tcW w:w="820" w:type="dxa"/>
            <w:vAlign w:val="bottom"/>
            <w:gridSpan w:val="2"/>
          </w:tcPr>
          <w:p>
            <w:pPr>
              <w:jc w:val="right"/>
              <w:ind w:right="258"/>
              <w:spacing w:after="0" w:line="102" w:lineRule="exact"/>
              <w:rPr>
                <w:sz w:val="20"/>
                <w:szCs w:val="20"/>
                <w:color w:val="auto"/>
              </w:rPr>
            </w:pPr>
            <w:r>
              <w:rPr>
                <w:rFonts w:ascii="Arial" w:cs="Arial" w:eastAsia="Arial" w:hAnsi="Arial"/>
                <w:sz w:val="9"/>
                <w:szCs w:val="9"/>
                <w:b w:val="1"/>
                <w:bCs w:val="1"/>
                <w:color w:val="auto"/>
                <w:w w:val="88"/>
              </w:rPr>
              <w:t>Accumulated</w:t>
            </w:r>
          </w:p>
        </w:tc>
        <w:tc>
          <w:tcPr>
            <w:tcW w:w="800" w:type="dxa"/>
            <w:vAlign w:val="bottom"/>
            <w:gridSpan w:val="3"/>
          </w:tcPr>
          <w:p>
            <w:pPr>
              <w:jc w:val="center"/>
              <w:ind w:right="120"/>
              <w:spacing w:after="0" w:line="102" w:lineRule="exact"/>
              <w:rPr>
                <w:sz w:val="20"/>
                <w:szCs w:val="20"/>
                <w:color w:val="auto"/>
              </w:rPr>
            </w:pPr>
            <w:r>
              <w:rPr>
                <w:rFonts w:ascii="Arial" w:cs="Arial" w:eastAsia="Arial" w:hAnsi="Arial"/>
                <w:sz w:val="9"/>
                <w:szCs w:val="9"/>
                <w:b w:val="1"/>
                <w:bCs w:val="1"/>
                <w:color w:val="auto"/>
                <w:w w:val="88"/>
              </w:rPr>
              <w:t>Comprehensive</w:t>
            </w: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gridSpan w:val="2"/>
          </w:tcPr>
          <w:p>
            <w:pPr>
              <w:jc w:val="right"/>
              <w:ind w:right="198"/>
              <w:spacing w:after="0" w:line="102" w:lineRule="exact"/>
              <w:rPr>
                <w:sz w:val="20"/>
                <w:szCs w:val="20"/>
                <w:color w:val="auto"/>
              </w:rPr>
            </w:pPr>
            <w:r>
              <w:rPr>
                <w:rFonts w:ascii="Arial" w:cs="Arial" w:eastAsia="Arial" w:hAnsi="Arial"/>
                <w:sz w:val="9"/>
                <w:szCs w:val="9"/>
                <w:b w:val="1"/>
                <w:bCs w:val="1"/>
                <w:color w:val="auto"/>
                <w:w w:val="97"/>
              </w:rPr>
              <w:t>Deferred</w:t>
            </w:r>
          </w:p>
        </w:tc>
        <w:tc>
          <w:tcPr>
            <w:tcW w:w="80" w:type="dxa"/>
            <w:vAlign w:val="bottom"/>
          </w:tcPr>
          <w:p>
            <w:pPr>
              <w:spacing w:after="0"/>
              <w:rPr>
                <w:sz w:val="8"/>
                <w:szCs w:val="8"/>
                <w:color w:val="auto"/>
              </w:rPr>
            </w:pPr>
          </w:p>
        </w:tc>
        <w:tc>
          <w:tcPr>
            <w:tcW w:w="660" w:type="dxa"/>
            <w:vAlign w:val="bottom"/>
            <w:gridSpan w:val="3"/>
          </w:tcPr>
          <w:p>
            <w:pPr>
              <w:jc w:val="center"/>
              <w:ind w:right="40"/>
              <w:spacing w:after="0" w:line="102" w:lineRule="exact"/>
              <w:rPr>
                <w:sz w:val="20"/>
                <w:szCs w:val="20"/>
                <w:color w:val="auto"/>
              </w:rPr>
            </w:pPr>
            <w:r>
              <w:rPr>
                <w:rFonts w:ascii="Arial" w:cs="Arial" w:eastAsia="Arial" w:hAnsi="Arial"/>
                <w:sz w:val="9"/>
                <w:szCs w:val="9"/>
                <w:b w:val="1"/>
                <w:bCs w:val="1"/>
                <w:color w:val="auto"/>
                <w:w w:val="90"/>
              </w:rPr>
              <w:t>Stockholders’</w:t>
            </w:r>
          </w:p>
        </w:tc>
        <w:tc>
          <w:tcPr>
            <w:tcW w:w="0" w:type="dxa"/>
            <w:vAlign w:val="bottom"/>
          </w:tcPr>
          <w:p>
            <w:pPr>
              <w:spacing w:after="0"/>
              <w:rPr>
                <w:sz w:val="1"/>
                <w:szCs w:val="1"/>
                <w:color w:val="auto"/>
              </w:rPr>
            </w:pPr>
          </w:p>
        </w:tc>
      </w:tr>
      <w:tr>
        <w:trPr>
          <w:trHeight w:val="88"/>
        </w:trPr>
        <w:tc>
          <w:tcPr>
            <w:tcW w:w="580" w:type="dxa"/>
            <w:vAlign w:val="bottom"/>
            <w:tcBorders>
              <w:top w:val="single" w:sz="8" w:color="auto"/>
            </w:tcBorders>
          </w:tcPr>
          <w:p>
            <w:pPr>
              <w:jc w:val="right"/>
              <w:ind w:right="108"/>
              <w:spacing w:after="0" w:line="88" w:lineRule="exact"/>
              <w:rPr>
                <w:sz w:val="20"/>
                <w:szCs w:val="20"/>
                <w:color w:val="auto"/>
              </w:rPr>
            </w:pPr>
            <w:r>
              <w:rPr>
                <w:rFonts w:ascii="Arial" w:cs="Arial" w:eastAsia="Arial" w:hAnsi="Arial"/>
                <w:sz w:val="9"/>
                <w:szCs w:val="9"/>
                <w:b w:val="1"/>
                <w:bCs w:val="1"/>
                <w:color w:val="auto"/>
              </w:rPr>
              <w:t>Shares</w:t>
            </w:r>
          </w:p>
        </w:tc>
        <w:tc>
          <w:tcPr>
            <w:tcW w:w="220" w:type="dxa"/>
            <w:vAlign w:val="bottom"/>
            <w:tcBorders>
              <w:top w:val="single" w:sz="8" w:color="auto"/>
            </w:tcBorders>
          </w:tcPr>
          <w:p>
            <w:pPr>
              <w:spacing w:after="0"/>
              <w:rPr>
                <w:sz w:val="7"/>
                <w:szCs w:val="7"/>
                <w:color w:val="auto"/>
              </w:rPr>
            </w:pPr>
          </w:p>
        </w:tc>
        <w:tc>
          <w:tcPr>
            <w:tcW w:w="60" w:type="dxa"/>
            <w:vAlign w:val="bottom"/>
            <w:tcBorders>
              <w:top w:val="single" w:sz="8" w:color="auto"/>
            </w:tcBorders>
          </w:tcPr>
          <w:p>
            <w:pPr>
              <w:spacing w:after="0"/>
              <w:rPr>
                <w:sz w:val="7"/>
                <w:szCs w:val="7"/>
                <w:color w:val="auto"/>
              </w:rPr>
            </w:pPr>
          </w:p>
        </w:tc>
        <w:tc>
          <w:tcPr>
            <w:tcW w:w="400" w:type="dxa"/>
            <w:vAlign w:val="bottom"/>
            <w:tcBorders>
              <w:top w:val="single" w:sz="8" w:color="auto"/>
            </w:tcBorders>
          </w:tcPr>
          <w:p>
            <w:pPr>
              <w:jc w:val="right"/>
              <w:ind w:right="28"/>
              <w:spacing w:after="0" w:line="88" w:lineRule="exact"/>
              <w:rPr>
                <w:sz w:val="20"/>
                <w:szCs w:val="20"/>
                <w:color w:val="auto"/>
              </w:rPr>
            </w:pPr>
            <w:r>
              <w:rPr>
                <w:rFonts w:ascii="Arial" w:cs="Arial" w:eastAsia="Arial" w:hAnsi="Arial"/>
                <w:sz w:val="9"/>
                <w:szCs w:val="9"/>
                <w:b w:val="1"/>
                <w:bCs w:val="1"/>
                <w:color w:val="auto"/>
                <w:w w:val="88"/>
              </w:rPr>
              <w:t>Amount</w:t>
            </w: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560" w:type="dxa"/>
            <w:vAlign w:val="bottom"/>
          </w:tcPr>
          <w:p>
            <w:pPr>
              <w:jc w:val="right"/>
              <w:ind w:right="128"/>
              <w:spacing w:after="0" w:line="88" w:lineRule="exact"/>
              <w:rPr>
                <w:sz w:val="20"/>
                <w:szCs w:val="20"/>
                <w:color w:val="auto"/>
              </w:rPr>
            </w:pPr>
            <w:r>
              <w:rPr>
                <w:rFonts w:ascii="Arial" w:cs="Arial" w:eastAsia="Arial" w:hAnsi="Arial"/>
                <w:sz w:val="9"/>
                <w:szCs w:val="9"/>
                <w:b w:val="1"/>
                <w:bCs w:val="1"/>
                <w:color w:val="auto"/>
              </w:rPr>
              <w:t>Capital</w:t>
            </w: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jc w:val="right"/>
              <w:ind w:right="148"/>
              <w:spacing w:after="0" w:line="88" w:lineRule="exact"/>
              <w:rPr>
                <w:sz w:val="20"/>
                <w:szCs w:val="20"/>
                <w:color w:val="auto"/>
              </w:rPr>
            </w:pPr>
            <w:r>
              <w:rPr>
                <w:rFonts w:ascii="Arial" w:cs="Arial" w:eastAsia="Arial" w:hAnsi="Arial"/>
                <w:sz w:val="9"/>
                <w:szCs w:val="9"/>
                <w:b w:val="1"/>
                <w:bCs w:val="1"/>
                <w:color w:val="auto"/>
              </w:rPr>
              <w:t>Deficit</w:t>
            </w:r>
          </w:p>
        </w:tc>
        <w:tc>
          <w:tcPr>
            <w:tcW w:w="220" w:type="dxa"/>
            <w:vAlign w:val="bottom"/>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tcPr>
          <w:p>
            <w:pPr>
              <w:jc w:val="center"/>
              <w:ind w:right="8"/>
              <w:spacing w:after="0" w:line="88" w:lineRule="exact"/>
              <w:rPr>
                <w:sz w:val="20"/>
                <w:szCs w:val="20"/>
                <w:color w:val="auto"/>
              </w:rPr>
            </w:pPr>
            <w:r>
              <w:rPr>
                <w:rFonts w:ascii="Arial" w:cs="Arial" w:eastAsia="Arial" w:hAnsi="Arial"/>
                <w:sz w:val="9"/>
                <w:szCs w:val="9"/>
                <w:b w:val="1"/>
                <w:bCs w:val="1"/>
                <w:color w:val="auto"/>
                <w:w w:val="91"/>
              </w:rPr>
              <w:t>Income (Loss)</w:t>
            </w: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00" w:type="dxa"/>
            <w:vAlign w:val="bottom"/>
            <w:gridSpan w:val="3"/>
          </w:tcPr>
          <w:p>
            <w:pPr>
              <w:spacing w:after="0" w:line="88" w:lineRule="exact"/>
              <w:rPr>
                <w:sz w:val="20"/>
                <w:szCs w:val="20"/>
                <w:color w:val="auto"/>
              </w:rPr>
            </w:pPr>
            <w:r>
              <w:rPr>
                <w:rFonts w:ascii="Arial" w:cs="Arial" w:eastAsia="Arial" w:hAnsi="Arial"/>
                <w:sz w:val="9"/>
                <w:szCs w:val="9"/>
                <w:b w:val="1"/>
                <w:bCs w:val="1"/>
                <w:color w:val="auto"/>
              </w:rPr>
              <w:t>Compensation</w:t>
            </w: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gridSpan w:val="2"/>
          </w:tcPr>
          <w:p>
            <w:pPr>
              <w:jc w:val="center"/>
              <w:ind w:right="120"/>
              <w:spacing w:after="0" w:line="88" w:lineRule="exact"/>
              <w:rPr>
                <w:sz w:val="20"/>
                <w:szCs w:val="20"/>
                <w:color w:val="auto"/>
              </w:rPr>
            </w:pPr>
            <w:r>
              <w:rPr>
                <w:rFonts w:ascii="Arial" w:cs="Arial" w:eastAsia="Arial" w:hAnsi="Arial"/>
                <w:sz w:val="9"/>
                <w:szCs w:val="9"/>
                <w:b w:val="1"/>
                <w:bCs w:val="1"/>
                <w:color w:val="auto"/>
                <w:w w:val="94"/>
              </w:rPr>
              <w:t>Equity</w:t>
            </w:r>
          </w:p>
        </w:tc>
        <w:tc>
          <w:tcPr>
            <w:tcW w:w="0" w:type="dxa"/>
            <w:vAlign w:val="bottom"/>
          </w:tcPr>
          <w:p>
            <w:pPr>
              <w:spacing w:after="0"/>
              <w:rPr>
                <w:sz w:val="1"/>
                <w:szCs w:val="1"/>
                <w:color w:val="auto"/>
              </w:rPr>
            </w:pPr>
          </w:p>
        </w:tc>
      </w:tr>
      <w:tr>
        <w:trPr>
          <w:trHeight w:val="20"/>
        </w:trPr>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580" w:type="dxa"/>
            <w:vAlign w:val="bottom"/>
          </w:tcPr>
          <w:p>
            <w:pPr>
              <w:jc w:val="right"/>
              <w:spacing w:after="0"/>
              <w:rPr>
                <w:sz w:val="20"/>
                <w:szCs w:val="20"/>
                <w:color w:val="auto"/>
              </w:rPr>
            </w:pPr>
            <w:r>
              <w:rPr>
                <w:rFonts w:ascii="Arial" w:cs="Arial" w:eastAsia="Arial" w:hAnsi="Arial"/>
                <w:sz w:val="10"/>
                <w:szCs w:val="10"/>
                <w:color w:val="auto"/>
              </w:rPr>
              <w:t>26,860,078</w:t>
            </w:r>
          </w:p>
        </w:tc>
        <w:tc>
          <w:tcPr>
            <w:tcW w:w="220" w:type="dxa"/>
            <w:vAlign w:val="bottom"/>
          </w:tcPr>
          <w:p>
            <w:pPr>
              <w:spacing w:after="0"/>
              <w:rPr>
                <w:sz w:val="10"/>
                <w:szCs w:val="10"/>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tcPr>
          <w:p>
            <w:pPr>
              <w:jc w:val="right"/>
              <w:spacing w:after="0"/>
              <w:rPr>
                <w:sz w:val="20"/>
                <w:szCs w:val="20"/>
                <w:color w:val="auto"/>
              </w:rPr>
            </w:pPr>
            <w:r>
              <w:rPr>
                <w:rFonts w:ascii="Arial" w:cs="Arial" w:eastAsia="Arial" w:hAnsi="Arial"/>
                <w:sz w:val="10"/>
                <w:szCs w:val="10"/>
                <w:color w:val="auto"/>
              </w:rPr>
              <w:t>268,601</w:t>
            </w:r>
          </w:p>
        </w:tc>
        <w:tc>
          <w:tcPr>
            <w:tcW w:w="220" w:type="dxa"/>
            <w:vAlign w:val="bottom"/>
          </w:tcPr>
          <w:p>
            <w:pPr>
              <w:spacing w:after="0"/>
              <w:rPr>
                <w:sz w:val="10"/>
                <w:szCs w:val="10"/>
                <w:color w:val="auto"/>
              </w:rPr>
            </w:pPr>
          </w:p>
        </w:tc>
        <w:tc>
          <w:tcPr>
            <w:tcW w:w="80" w:type="dxa"/>
            <w:vAlign w:val="bottom"/>
          </w:tcPr>
          <w:p>
            <w:pPr>
              <w:jc w:val="right"/>
              <w:ind w:right="14"/>
              <w:spacing w:after="0"/>
              <w:rPr>
                <w:sz w:val="20"/>
                <w:szCs w:val="20"/>
                <w:color w:val="auto"/>
              </w:rPr>
            </w:pPr>
            <w:r>
              <w:rPr>
                <w:rFonts w:ascii="Arial" w:cs="Arial" w:eastAsia="Arial" w:hAnsi="Arial"/>
                <w:sz w:val="5"/>
                <w:szCs w:val="5"/>
                <w:color w:val="auto"/>
                <w:w w:val="70"/>
              </w:rPr>
              <w:t>$</w:t>
            </w:r>
          </w:p>
        </w:tc>
        <w:tc>
          <w:tcPr>
            <w:tcW w:w="560" w:type="dxa"/>
            <w:vAlign w:val="bottom"/>
          </w:tcPr>
          <w:p>
            <w:pPr>
              <w:jc w:val="right"/>
              <w:spacing w:after="0"/>
              <w:rPr>
                <w:sz w:val="20"/>
                <w:szCs w:val="20"/>
                <w:color w:val="auto"/>
              </w:rPr>
            </w:pPr>
            <w:r>
              <w:rPr>
                <w:rFonts w:ascii="Arial" w:cs="Arial" w:eastAsia="Arial" w:hAnsi="Arial"/>
                <w:sz w:val="10"/>
                <w:szCs w:val="10"/>
                <w:color w:val="auto"/>
                <w:w w:val="97"/>
              </w:rPr>
              <w:t>149,238,207</w:t>
            </w:r>
          </w:p>
        </w:tc>
        <w:tc>
          <w:tcPr>
            <w:tcW w:w="200" w:type="dxa"/>
            <w:vAlign w:val="bottom"/>
          </w:tcPr>
          <w:p>
            <w:pPr>
              <w:spacing w:after="0"/>
              <w:rPr>
                <w:sz w:val="10"/>
                <w:szCs w:val="10"/>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gridSpan w:val="2"/>
          </w:tcPr>
          <w:p>
            <w:pPr>
              <w:jc w:val="right"/>
              <w:ind w:right="138"/>
              <w:spacing w:after="0"/>
              <w:rPr>
                <w:sz w:val="20"/>
                <w:szCs w:val="20"/>
                <w:color w:val="auto"/>
              </w:rPr>
            </w:pPr>
            <w:r>
              <w:rPr>
                <w:rFonts w:ascii="Arial" w:cs="Arial" w:eastAsia="Arial" w:hAnsi="Arial"/>
                <w:sz w:val="10"/>
                <w:szCs w:val="10"/>
                <w:color w:val="auto"/>
                <w:w w:val="99"/>
              </w:rPr>
              <w:t>(146,515,666)</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180" w:type="dxa"/>
            <w:vAlign w:val="bottom"/>
            <w:gridSpan w:val="2"/>
          </w:tcPr>
          <w:p>
            <w:pPr>
              <w:ind w:left="100"/>
              <w:spacing w:after="0"/>
              <w:rPr>
                <w:sz w:val="20"/>
                <w:szCs w:val="20"/>
                <w:color w:val="auto"/>
              </w:rPr>
            </w:pPr>
            <w:r>
              <w:rPr>
                <w:rFonts w:ascii="Arial" w:cs="Arial" w:eastAsia="Arial" w:hAnsi="Arial"/>
                <w:sz w:val="10"/>
                <w:szCs w:val="10"/>
                <w:color w:val="auto"/>
              </w:rPr>
              <w:t>$</w:t>
            </w:r>
          </w:p>
        </w:tc>
        <w:tc>
          <w:tcPr>
            <w:tcW w:w="620" w:type="dxa"/>
            <w:vAlign w:val="bottom"/>
            <w:gridSpan w:val="2"/>
          </w:tcPr>
          <w:p>
            <w:pPr>
              <w:jc w:val="right"/>
              <w:ind w:right="58"/>
              <w:spacing w:after="0"/>
              <w:rPr>
                <w:sz w:val="20"/>
                <w:szCs w:val="20"/>
                <w:color w:val="auto"/>
              </w:rPr>
            </w:pPr>
            <w:r>
              <w:rPr>
                <w:rFonts w:ascii="Arial" w:cs="Arial" w:eastAsia="Arial" w:hAnsi="Arial"/>
                <w:sz w:val="10"/>
                <w:szCs w:val="10"/>
                <w:color w:val="auto"/>
                <w:w w:val="97"/>
              </w:rPr>
              <w:t>(1,057,773)</w:t>
            </w:r>
          </w:p>
        </w:tc>
        <w:tc>
          <w:tcPr>
            <w:tcW w:w="160" w:type="dxa"/>
            <w:vAlign w:val="bottom"/>
            <w:gridSpan w:val="2"/>
          </w:tcPr>
          <w:p>
            <w:pPr>
              <w:jc w:val="right"/>
              <w:spacing w:after="0"/>
              <w:rPr>
                <w:sz w:val="20"/>
                <w:szCs w:val="20"/>
                <w:color w:val="auto"/>
              </w:rPr>
            </w:pPr>
            <w:r>
              <w:rPr>
                <w:rFonts w:ascii="Arial" w:cs="Arial" w:eastAsia="Arial" w:hAnsi="Arial"/>
                <w:sz w:val="10"/>
                <w:szCs w:val="10"/>
                <w:color w:val="auto"/>
              </w:rPr>
              <w:t>$</w:t>
            </w:r>
          </w:p>
        </w:tc>
        <w:tc>
          <w:tcPr>
            <w:tcW w:w="540" w:type="dxa"/>
            <w:vAlign w:val="bottom"/>
          </w:tcPr>
          <w:p>
            <w:pPr>
              <w:jc w:val="right"/>
              <w:spacing w:after="0"/>
              <w:rPr>
                <w:sz w:val="20"/>
                <w:szCs w:val="20"/>
                <w:color w:val="auto"/>
              </w:rPr>
            </w:pPr>
            <w:r>
              <w:rPr>
                <w:rFonts w:ascii="Arial" w:cs="Arial" w:eastAsia="Arial" w:hAnsi="Arial"/>
                <w:sz w:val="10"/>
                <w:szCs w:val="10"/>
                <w:color w:val="auto"/>
              </w:rPr>
              <w:t>1,933,369</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580" w:type="dxa"/>
            <w:vAlign w:val="bottom"/>
          </w:tcPr>
          <w:p>
            <w:pPr>
              <w:jc w:val="right"/>
              <w:spacing w:after="0" w:line="108" w:lineRule="exact"/>
              <w:rPr>
                <w:sz w:val="20"/>
                <w:szCs w:val="20"/>
                <w:color w:val="auto"/>
              </w:rPr>
            </w:pPr>
            <w:r>
              <w:rPr>
                <w:rFonts w:ascii="Arial" w:cs="Arial" w:eastAsia="Arial" w:hAnsi="Arial"/>
                <w:sz w:val="10"/>
                <w:szCs w:val="10"/>
                <w:color w:val="auto"/>
              </w:rPr>
              <w:t>9,303,988</w:t>
            </w: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gridSpan w:val="2"/>
          </w:tcPr>
          <w:p>
            <w:pPr>
              <w:jc w:val="right"/>
              <w:ind w:right="220"/>
              <w:spacing w:after="0" w:line="108" w:lineRule="exact"/>
              <w:rPr>
                <w:sz w:val="20"/>
                <w:szCs w:val="20"/>
                <w:color w:val="auto"/>
              </w:rPr>
            </w:pPr>
            <w:r>
              <w:rPr>
                <w:rFonts w:ascii="Arial" w:cs="Arial" w:eastAsia="Arial" w:hAnsi="Arial"/>
                <w:sz w:val="10"/>
                <w:szCs w:val="10"/>
                <w:color w:val="auto"/>
              </w:rPr>
              <w:t>93,040</w:t>
            </w:r>
          </w:p>
        </w:tc>
        <w:tc>
          <w:tcPr>
            <w:tcW w:w="80" w:type="dxa"/>
            <w:vAlign w:val="bottom"/>
          </w:tcPr>
          <w:p>
            <w:pPr>
              <w:spacing w:after="0"/>
              <w:rPr>
                <w:sz w:val="9"/>
                <w:szCs w:val="9"/>
                <w:color w:val="auto"/>
              </w:rPr>
            </w:pPr>
          </w:p>
        </w:tc>
        <w:tc>
          <w:tcPr>
            <w:tcW w:w="76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16,037,307</w:t>
            </w:r>
          </w:p>
        </w:tc>
        <w:tc>
          <w:tcPr>
            <w:tcW w:w="80" w:type="dxa"/>
            <w:vAlign w:val="bottom"/>
          </w:tcPr>
          <w:p>
            <w:pPr>
              <w:spacing w:after="0"/>
              <w:rPr>
                <w:sz w:val="9"/>
                <w:szCs w:val="9"/>
                <w:color w:val="auto"/>
              </w:rPr>
            </w:pPr>
          </w:p>
        </w:tc>
        <w:tc>
          <w:tcPr>
            <w:tcW w:w="820" w:type="dxa"/>
            <w:vAlign w:val="bottom"/>
            <w:gridSpan w:val="2"/>
          </w:tcPr>
          <w:p>
            <w:pPr>
              <w:jc w:val="right"/>
              <w:ind w:right="178"/>
              <w:spacing w:after="0" w:line="108" w:lineRule="exact"/>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740" w:type="dxa"/>
            <w:vAlign w:val="bottom"/>
            <w:gridSpan w:val="2"/>
          </w:tcPr>
          <w:p>
            <w:pPr>
              <w:jc w:val="right"/>
              <w:ind w:right="120"/>
              <w:spacing w:after="0" w:line="108"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gridSpan w:val="2"/>
          </w:tcPr>
          <w:p>
            <w:pPr>
              <w:jc w:val="right"/>
              <w:ind w:right="98"/>
              <w:spacing w:after="0" w:line="108" w:lineRule="exact"/>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jc w:val="right"/>
              <w:spacing w:after="0" w:line="108" w:lineRule="exact"/>
              <w:rPr>
                <w:sz w:val="20"/>
                <w:szCs w:val="20"/>
                <w:color w:val="auto"/>
              </w:rPr>
            </w:pPr>
            <w:r>
              <w:rPr>
                <w:rFonts w:ascii="Arial" w:cs="Arial" w:eastAsia="Arial" w:hAnsi="Arial"/>
                <w:sz w:val="10"/>
                <w:szCs w:val="10"/>
                <w:color w:val="auto"/>
              </w:rPr>
              <w:t>16,130,347</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580" w:type="dxa"/>
            <w:vAlign w:val="bottom"/>
          </w:tcPr>
          <w:p>
            <w:pPr>
              <w:jc w:val="right"/>
              <w:spacing w:after="0" w:line="108" w:lineRule="exact"/>
              <w:rPr>
                <w:sz w:val="20"/>
                <w:szCs w:val="20"/>
                <w:color w:val="auto"/>
              </w:rPr>
            </w:pPr>
            <w:r>
              <w:rPr>
                <w:rFonts w:ascii="Arial" w:cs="Arial" w:eastAsia="Arial" w:hAnsi="Arial"/>
                <w:sz w:val="10"/>
                <w:szCs w:val="10"/>
                <w:color w:val="auto"/>
              </w:rPr>
              <w:t>49,809</w:t>
            </w: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gridSpan w:val="2"/>
          </w:tcPr>
          <w:p>
            <w:pPr>
              <w:jc w:val="right"/>
              <w:ind w:right="220"/>
              <w:spacing w:after="0" w:line="108" w:lineRule="exact"/>
              <w:rPr>
                <w:sz w:val="20"/>
                <w:szCs w:val="20"/>
                <w:color w:val="auto"/>
              </w:rPr>
            </w:pPr>
            <w:r>
              <w:rPr>
                <w:rFonts w:ascii="Arial" w:cs="Arial" w:eastAsia="Arial" w:hAnsi="Arial"/>
                <w:sz w:val="10"/>
                <w:szCs w:val="10"/>
                <w:color w:val="auto"/>
              </w:rPr>
              <w:t>498</w:t>
            </w:r>
          </w:p>
        </w:tc>
        <w:tc>
          <w:tcPr>
            <w:tcW w:w="80" w:type="dxa"/>
            <w:vAlign w:val="bottom"/>
          </w:tcPr>
          <w:p>
            <w:pPr>
              <w:spacing w:after="0"/>
              <w:rPr>
                <w:sz w:val="9"/>
                <w:szCs w:val="9"/>
                <w:color w:val="auto"/>
              </w:rPr>
            </w:pPr>
          </w:p>
        </w:tc>
        <w:tc>
          <w:tcPr>
            <w:tcW w:w="76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68,000</w:t>
            </w:r>
          </w:p>
        </w:tc>
        <w:tc>
          <w:tcPr>
            <w:tcW w:w="80" w:type="dxa"/>
            <w:vAlign w:val="bottom"/>
          </w:tcPr>
          <w:p>
            <w:pPr>
              <w:spacing w:after="0"/>
              <w:rPr>
                <w:sz w:val="9"/>
                <w:szCs w:val="9"/>
                <w:color w:val="auto"/>
              </w:rPr>
            </w:pPr>
          </w:p>
        </w:tc>
        <w:tc>
          <w:tcPr>
            <w:tcW w:w="820" w:type="dxa"/>
            <w:vAlign w:val="bottom"/>
            <w:gridSpan w:val="2"/>
          </w:tcPr>
          <w:p>
            <w:pPr>
              <w:jc w:val="right"/>
              <w:ind w:right="138"/>
              <w:spacing w:after="0" w:line="108" w:lineRule="exact"/>
              <w:rPr>
                <w:sz w:val="20"/>
                <w:szCs w:val="20"/>
                <w:color w:val="auto"/>
              </w:rPr>
            </w:pPr>
            <w:r>
              <w:rPr>
                <w:rFonts w:ascii="Arial" w:cs="Arial" w:eastAsia="Arial" w:hAnsi="Arial"/>
                <w:sz w:val="10"/>
                <w:szCs w:val="10"/>
                <w:color w:val="auto"/>
              </w:rPr>
              <w:t>(68,498)</w:t>
            </w:r>
          </w:p>
        </w:tc>
        <w:tc>
          <w:tcPr>
            <w:tcW w:w="60" w:type="dxa"/>
            <w:vAlign w:val="bottom"/>
          </w:tcPr>
          <w:p>
            <w:pPr>
              <w:spacing w:after="0"/>
              <w:rPr>
                <w:sz w:val="9"/>
                <w:szCs w:val="9"/>
                <w:color w:val="auto"/>
              </w:rPr>
            </w:pPr>
          </w:p>
        </w:tc>
        <w:tc>
          <w:tcPr>
            <w:tcW w:w="740" w:type="dxa"/>
            <w:vAlign w:val="bottom"/>
            <w:gridSpan w:val="2"/>
          </w:tcPr>
          <w:p>
            <w:pPr>
              <w:jc w:val="right"/>
              <w:ind w:right="120"/>
              <w:spacing w:after="0" w:line="108"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gridSpan w:val="2"/>
          </w:tcPr>
          <w:p>
            <w:pPr>
              <w:jc w:val="right"/>
              <w:ind w:right="98"/>
              <w:spacing w:after="0" w:line="108" w:lineRule="exact"/>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gridSpan w:val="2"/>
          </w:tcPr>
          <w:p>
            <w:pPr>
              <w:jc w:val="right"/>
              <w:ind w:right="40"/>
              <w:spacing w:after="0" w:line="108" w:lineRule="exact"/>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08"/>
        </w:trPr>
        <w:tc>
          <w:tcPr>
            <w:tcW w:w="580" w:type="dxa"/>
            <w:vAlign w:val="bottom"/>
          </w:tcPr>
          <w:p>
            <w:pPr>
              <w:jc w:val="right"/>
              <w:spacing w:after="0" w:line="108" w:lineRule="exact"/>
              <w:rPr>
                <w:sz w:val="20"/>
                <w:szCs w:val="20"/>
                <w:color w:val="auto"/>
              </w:rPr>
            </w:pPr>
            <w:r>
              <w:rPr>
                <w:rFonts w:ascii="Arial" w:cs="Arial" w:eastAsia="Arial" w:hAnsi="Arial"/>
                <w:sz w:val="10"/>
                <w:szCs w:val="10"/>
                <w:color w:val="auto"/>
              </w:rPr>
              <w:t>—</w:t>
            </w: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gridSpan w:val="2"/>
          </w:tcPr>
          <w:p>
            <w:pPr>
              <w:jc w:val="right"/>
              <w:ind w:right="220"/>
              <w:spacing w:after="0" w:line="108" w:lineRule="exact"/>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76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(2,065,911)</w:t>
            </w:r>
          </w:p>
        </w:tc>
        <w:tc>
          <w:tcPr>
            <w:tcW w:w="80" w:type="dxa"/>
            <w:vAlign w:val="bottom"/>
          </w:tcPr>
          <w:p>
            <w:pPr>
              <w:spacing w:after="0"/>
              <w:rPr>
                <w:sz w:val="9"/>
                <w:szCs w:val="9"/>
                <w:color w:val="auto"/>
              </w:rPr>
            </w:pPr>
          </w:p>
        </w:tc>
        <w:tc>
          <w:tcPr>
            <w:tcW w:w="820" w:type="dxa"/>
            <w:vAlign w:val="bottom"/>
            <w:gridSpan w:val="2"/>
          </w:tcPr>
          <w:p>
            <w:pPr>
              <w:jc w:val="right"/>
              <w:ind w:right="178"/>
              <w:spacing w:after="0" w:line="108" w:lineRule="exact"/>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740" w:type="dxa"/>
            <w:vAlign w:val="bottom"/>
            <w:gridSpan w:val="2"/>
          </w:tcPr>
          <w:p>
            <w:pPr>
              <w:jc w:val="right"/>
              <w:ind w:right="120"/>
              <w:spacing w:after="0" w:line="108"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gridSpan w:val="2"/>
          </w:tcPr>
          <w:p>
            <w:pPr>
              <w:jc w:val="right"/>
              <w:ind w:right="98"/>
              <w:spacing w:after="0" w:line="108" w:lineRule="exact"/>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gridSpan w:val="2"/>
          </w:tcPr>
          <w:p>
            <w:pPr>
              <w:jc w:val="right"/>
              <w:spacing w:after="0" w:line="108" w:lineRule="exact"/>
              <w:rPr>
                <w:sz w:val="20"/>
                <w:szCs w:val="20"/>
                <w:color w:val="auto"/>
              </w:rPr>
            </w:pPr>
            <w:r>
              <w:rPr>
                <w:rFonts w:ascii="Arial" w:cs="Arial" w:eastAsia="Arial" w:hAnsi="Arial"/>
                <w:sz w:val="10"/>
                <w:szCs w:val="10"/>
                <w:color w:val="auto"/>
              </w:rPr>
              <w:t>(2,065,911)</w:t>
            </w:r>
          </w:p>
        </w:tc>
        <w:tc>
          <w:tcPr>
            <w:tcW w:w="0" w:type="dxa"/>
            <w:vAlign w:val="bottom"/>
          </w:tcPr>
          <w:p>
            <w:pPr>
              <w:spacing w:after="0"/>
              <w:rPr>
                <w:sz w:val="1"/>
                <w:szCs w:val="1"/>
                <w:color w:val="auto"/>
              </w:rPr>
            </w:pPr>
          </w:p>
        </w:tc>
      </w:tr>
      <w:tr>
        <w:trPr>
          <w:trHeight w:val="108"/>
        </w:trPr>
        <w:tc>
          <w:tcPr>
            <w:tcW w:w="580" w:type="dxa"/>
            <w:vAlign w:val="bottom"/>
          </w:tcPr>
          <w:p>
            <w:pPr>
              <w:jc w:val="right"/>
              <w:spacing w:after="0" w:line="108" w:lineRule="exact"/>
              <w:rPr>
                <w:sz w:val="20"/>
                <w:szCs w:val="20"/>
                <w:color w:val="auto"/>
              </w:rPr>
            </w:pPr>
            <w:r>
              <w:rPr>
                <w:rFonts w:ascii="Arial" w:cs="Arial" w:eastAsia="Arial" w:hAnsi="Arial"/>
                <w:sz w:val="10"/>
                <w:szCs w:val="10"/>
                <w:color w:val="auto"/>
              </w:rPr>
              <w:t>3,500,000</w:t>
            </w: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gridSpan w:val="2"/>
          </w:tcPr>
          <w:p>
            <w:pPr>
              <w:jc w:val="right"/>
              <w:ind w:right="220"/>
              <w:spacing w:after="0" w:line="108" w:lineRule="exact"/>
              <w:rPr>
                <w:sz w:val="20"/>
                <w:szCs w:val="20"/>
                <w:color w:val="auto"/>
              </w:rPr>
            </w:pPr>
            <w:r>
              <w:rPr>
                <w:rFonts w:ascii="Arial" w:cs="Arial" w:eastAsia="Arial" w:hAnsi="Arial"/>
                <w:sz w:val="10"/>
                <w:szCs w:val="10"/>
                <w:color w:val="auto"/>
              </w:rPr>
              <w:t>35,000</w:t>
            </w:r>
          </w:p>
        </w:tc>
        <w:tc>
          <w:tcPr>
            <w:tcW w:w="80" w:type="dxa"/>
            <w:vAlign w:val="bottom"/>
          </w:tcPr>
          <w:p>
            <w:pPr>
              <w:spacing w:after="0"/>
              <w:rPr>
                <w:sz w:val="9"/>
                <w:szCs w:val="9"/>
                <w:color w:val="auto"/>
              </w:rPr>
            </w:pPr>
          </w:p>
        </w:tc>
        <w:tc>
          <w:tcPr>
            <w:tcW w:w="76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4,690,597</w:t>
            </w:r>
          </w:p>
        </w:tc>
        <w:tc>
          <w:tcPr>
            <w:tcW w:w="80" w:type="dxa"/>
            <w:vAlign w:val="bottom"/>
          </w:tcPr>
          <w:p>
            <w:pPr>
              <w:spacing w:after="0"/>
              <w:rPr>
                <w:sz w:val="9"/>
                <w:szCs w:val="9"/>
                <w:color w:val="auto"/>
              </w:rPr>
            </w:pPr>
          </w:p>
        </w:tc>
        <w:tc>
          <w:tcPr>
            <w:tcW w:w="820" w:type="dxa"/>
            <w:vAlign w:val="bottom"/>
            <w:gridSpan w:val="2"/>
          </w:tcPr>
          <w:p>
            <w:pPr>
              <w:jc w:val="right"/>
              <w:ind w:right="178"/>
              <w:spacing w:after="0" w:line="108" w:lineRule="exact"/>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740" w:type="dxa"/>
            <w:vAlign w:val="bottom"/>
            <w:gridSpan w:val="2"/>
          </w:tcPr>
          <w:p>
            <w:pPr>
              <w:jc w:val="right"/>
              <w:ind w:right="120"/>
              <w:spacing w:after="0" w:line="108"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gridSpan w:val="2"/>
          </w:tcPr>
          <w:p>
            <w:pPr>
              <w:jc w:val="right"/>
              <w:ind w:right="98"/>
              <w:spacing w:after="0" w:line="108" w:lineRule="exact"/>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jc w:val="right"/>
              <w:spacing w:after="0" w:line="108" w:lineRule="exact"/>
              <w:rPr>
                <w:sz w:val="20"/>
                <w:szCs w:val="20"/>
                <w:color w:val="auto"/>
              </w:rPr>
            </w:pPr>
            <w:r>
              <w:rPr>
                <w:rFonts w:ascii="Arial" w:cs="Arial" w:eastAsia="Arial" w:hAnsi="Arial"/>
                <w:sz w:val="10"/>
                <w:szCs w:val="10"/>
                <w:color w:val="auto"/>
              </w:rPr>
              <w:t>4,725,597</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580" w:type="dxa"/>
            <w:vAlign w:val="bottom"/>
          </w:tcPr>
          <w:p>
            <w:pPr>
              <w:jc w:val="right"/>
              <w:spacing w:after="0" w:line="108" w:lineRule="exact"/>
              <w:rPr>
                <w:sz w:val="20"/>
                <w:szCs w:val="20"/>
                <w:color w:val="auto"/>
              </w:rPr>
            </w:pPr>
            <w:r>
              <w:rPr>
                <w:rFonts w:ascii="Arial" w:cs="Arial" w:eastAsia="Arial" w:hAnsi="Arial"/>
                <w:sz w:val="10"/>
                <w:szCs w:val="10"/>
                <w:color w:val="auto"/>
              </w:rPr>
              <w:t>98,180</w:t>
            </w: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gridSpan w:val="2"/>
          </w:tcPr>
          <w:p>
            <w:pPr>
              <w:jc w:val="right"/>
              <w:ind w:right="220"/>
              <w:spacing w:after="0" w:line="108" w:lineRule="exact"/>
              <w:rPr>
                <w:sz w:val="20"/>
                <w:szCs w:val="20"/>
                <w:color w:val="auto"/>
              </w:rPr>
            </w:pPr>
            <w:r>
              <w:rPr>
                <w:rFonts w:ascii="Arial" w:cs="Arial" w:eastAsia="Arial" w:hAnsi="Arial"/>
                <w:sz w:val="10"/>
                <w:szCs w:val="10"/>
                <w:color w:val="auto"/>
              </w:rPr>
              <w:t>982</w:t>
            </w:r>
          </w:p>
        </w:tc>
        <w:tc>
          <w:tcPr>
            <w:tcW w:w="80" w:type="dxa"/>
            <w:vAlign w:val="bottom"/>
          </w:tcPr>
          <w:p>
            <w:pPr>
              <w:spacing w:after="0"/>
              <w:rPr>
                <w:sz w:val="9"/>
                <w:szCs w:val="9"/>
                <w:color w:val="auto"/>
              </w:rPr>
            </w:pPr>
          </w:p>
        </w:tc>
        <w:tc>
          <w:tcPr>
            <w:tcW w:w="76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296,821</w:t>
            </w:r>
          </w:p>
        </w:tc>
        <w:tc>
          <w:tcPr>
            <w:tcW w:w="80" w:type="dxa"/>
            <w:vAlign w:val="bottom"/>
          </w:tcPr>
          <w:p>
            <w:pPr>
              <w:spacing w:after="0"/>
              <w:rPr>
                <w:sz w:val="9"/>
                <w:szCs w:val="9"/>
                <w:color w:val="auto"/>
              </w:rPr>
            </w:pPr>
          </w:p>
        </w:tc>
        <w:tc>
          <w:tcPr>
            <w:tcW w:w="820" w:type="dxa"/>
            <w:vAlign w:val="bottom"/>
            <w:gridSpan w:val="2"/>
          </w:tcPr>
          <w:p>
            <w:pPr>
              <w:jc w:val="right"/>
              <w:ind w:right="178"/>
              <w:spacing w:after="0" w:line="108" w:lineRule="exact"/>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740" w:type="dxa"/>
            <w:vAlign w:val="bottom"/>
            <w:gridSpan w:val="2"/>
          </w:tcPr>
          <w:p>
            <w:pPr>
              <w:jc w:val="right"/>
              <w:ind w:right="120"/>
              <w:spacing w:after="0" w:line="108"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gridSpan w:val="2"/>
          </w:tcPr>
          <w:p>
            <w:pPr>
              <w:jc w:val="right"/>
              <w:ind w:right="98"/>
              <w:spacing w:after="0" w:line="108" w:lineRule="exact"/>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gridSpan w:val="2"/>
          </w:tcPr>
          <w:p>
            <w:pPr>
              <w:jc w:val="right"/>
              <w:ind w:right="40"/>
              <w:spacing w:after="0" w:line="108" w:lineRule="exact"/>
              <w:rPr>
                <w:sz w:val="20"/>
                <w:szCs w:val="20"/>
                <w:color w:val="auto"/>
              </w:rPr>
            </w:pPr>
            <w:r>
              <w:rPr>
                <w:rFonts w:ascii="Arial" w:cs="Arial" w:eastAsia="Arial" w:hAnsi="Arial"/>
                <w:sz w:val="10"/>
                <w:szCs w:val="10"/>
                <w:color w:val="auto"/>
              </w:rPr>
              <w:t>297,803</w:t>
            </w:r>
          </w:p>
        </w:tc>
        <w:tc>
          <w:tcPr>
            <w:tcW w:w="0" w:type="dxa"/>
            <w:vAlign w:val="bottom"/>
          </w:tcPr>
          <w:p>
            <w:pPr>
              <w:spacing w:after="0"/>
              <w:rPr>
                <w:sz w:val="1"/>
                <w:szCs w:val="1"/>
                <w:color w:val="auto"/>
              </w:rPr>
            </w:pPr>
          </w:p>
        </w:tc>
      </w:tr>
      <w:tr>
        <w:trPr>
          <w:trHeight w:val="108"/>
        </w:trPr>
        <w:tc>
          <w:tcPr>
            <w:tcW w:w="580" w:type="dxa"/>
            <w:vAlign w:val="bottom"/>
          </w:tcPr>
          <w:p>
            <w:pPr>
              <w:jc w:val="right"/>
              <w:spacing w:after="0" w:line="108" w:lineRule="exact"/>
              <w:rPr>
                <w:sz w:val="20"/>
                <w:szCs w:val="20"/>
                <w:color w:val="auto"/>
              </w:rPr>
            </w:pPr>
            <w:r>
              <w:rPr>
                <w:rFonts w:ascii="Arial" w:cs="Arial" w:eastAsia="Arial" w:hAnsi="Arial"/>
                <w:sz w:val="10"/>
                <w:szCs w:val="10"/>
                <w:color w:val="auto"/>
              </w:rPr>
              <w:t>49,425</w:t>
            </w: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gridSpan w:val="2"/>
          </w:tcPr>
          <w:p>
            <w:pPr>
              <w:jc w:val="right"/>
              <w:ind w:right="220"/>
              <w:spacing w:after="0" w:line="108" w:lineRule="exact"/>
              <w:rPr>
                <w:sz w:val="20"/>
                <w:szCs w:val="20"/>
                <w:color w:val="auto"/>
              </w:rPr>
            </w:pPr>
            <w:r>
              <w:rPr>
                <w:rFonts w:ascii="Arial" w:cs="Arial" w:eastAsia="Arial" w:hAnsi="Arial"/>
                <w:sz w:val="10"/>
                <w:szCs w:val="10"/>
                <w:color w:val="auto"/>
              </w:rPr>
              <w:t>494</w:t>
            </w:r>
          </w:p>
        </w:tc>
        <w:tc>
          <w:tcPr>
            <w:tcW w:w="80" w:type="dxa"/>
            <w:vAlign w:val="bottom"/>
          </w:tcPr>
          <w:p>
            <w:pPr>
              <w:spacing w:after="0"/>
              <w:rPr>
                <w:sz w:val="9"/>
                <w:szCs w:val="9"/>
                <w:color w:val="auto"/>
              </w:rPr>
            </w:pPr>
          </w:p>
        </w:tc>
        <w:tc>
          <w:tcPr>
            <w:tcW w:w="76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61,769</w:t>
            </w:r>
          </w:p>
        </w:tc>
        <w:tc>
          <w:tcPr>
            <w:tcW w:w="80" w:type="dxa"/>
            <w:vAlign w:val="bottom"/>
          </w:tcPr>
          <w:p>
            <w:pPr>
              <w:spacing w:after="0"/>
              <w:rPr>
                <w:sz w:val="9"/>
                <w:szCs w:val="9"/>
                <w:color w:val="auto"/>
              </w:rPr>
            </w:pPr>
          </w:p>
        </w:tc>
        <w:tc>
          <w:tcPr>
            <w:tcW w:w="820" w:type="dxa"/>
            <w:vAlign w:val="bottom"/>
            <w:gridSpan w:val="2"/>
          </w:tcPr>
          <w:p>
            <w:pPr>
              <w:jc w:val="right"/>
              <w:ind w:right="178"/>
              <w:spacing w:after="0" w:line="108" w:lineRule="exact"/>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740" w:type="dxa"/>
            <w:vAlign w:val="bottom"/>
            <w:gridSpan w:val="2"/>
          </w:tcPr>
          <w:p>
            <w:pPr>
              <w:jc w:val="right"/>
              <w:ind w:right="120"/>
              <w:spacing w:after="0" w:line="108"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gridSpan w:val="2"/>
          </w:tcPr>
          <w:p>
            <w:pPr>
              <w:jc w:val="right"/>
              <w:ind w:right="98"/>
              <w:spacing w:after="0" w:line="108" w:lineRule="exact"/>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gridSpan w:val="2"/>
          </w:tcPr>
          <w:p>
            <w:pPr>
              <w:jc w:val="right"/>
              <w:ind w:right="40"/>
              <w:spacing w:after="0" w:line="108" w:lineRule="exact"/>
              <w:rPr>
                <w:sz w:val="20"/>
                <w:szCs w:val="20"/>
                <w:color w:val="auto"/>
              </w:rPr>
            </w:pPr>
            <w:r>
              <w:rPr>
                <w:rFonts w:ascii="Arial" w:cs="Arial" w:eastAsia="Arial" w:hAnsi="Arial"/>
                <w:sz w:val="10"/>
                <w:szCs w:val="10"/>
                <w:color w:val="auto"/>
              </w:rPr>
              <w:t>62,263</w:t>
            </w:r>
          </w:p>
        </w:tc>
        <w:tc>
          <w:tcPr>
            <w:tcW w:w="0" w:type="dxa"/>
            <w:vAlign w:val="bottom"/>
          </w:tcPr>
          <w:p>
            <w:pPr>
              <w:spacing w:after="0"/>
              <w:rPr>
                <w:sz w:val="1"/>
                <w:szCs w:val="1"/>
                <w:color w:val="auto"/>
              </w:rPr>
            </w:pPr>
          </w:p>
        </w:tc>
      </w:tr>
      <w:tr>
        <w:trPr>
          <w:trHeight w:val="108"/>
        </w:trPr>
        <w:tc>
          <w:tcPr>
            <w:tcW w:w="580" w:type="dxa"/>
            <w:vAlign w:val="bottom"/>
          </w:tcPr>
          <w:p>
            <w:pPr>
              <w:jc w:val="right"/>
              <w:spacing w:after="0" w:line="108" w:lineRule="exact"/>
              <w:rPr>
                <w:sz w:val="20"/>
                <w:szCs w:val="20"/>
                <w:color w:val="auto"/>
              </w:rPr>
            </w:pPr>
            <w:r>
              <w:rPr>
                <w:rFonts w:ascii="Arial" w:cs="Arial" w:eastAsia="Arial" w:hAnsi="Arial"/>
                <w:sz w:val="10"/>
                <w:szCs w:val="10"/>
                <w:color w:val="auto"/>
              </w:rPr>
              <w:t>1,098,000</w:t>
            </w: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gridSpan w:val="2"/>
          </w:tcPr>
          <w:p>
            <w:pPr>
              <w:jc w:val="right"/>
              <w:ind w:right="220"/>
              <w:spacing w:after="0" w:line="108" w:lineRule="exact"/>
              <w:rPr>
                <w:sz w:val="20"/>
                <w:szCs w:val="20"/>
                <w:color w:val="auto"/>
              </w:rPr>
            </w:pPr>
            <w:r>
              <w:rPr>
                <w:rFonts w:ascii="Arial" w:cs="Arial" w:eastAsia="Arial" w:hAnsi="Arial"/>
                <w:sz w:val="10"/>
                <w:szCs w:val="10"/>
                <w:color w:val="auto"/>
              </w:rPr>
              <w:t>10,980</w:t>
            </w:r>
          </w:p>
        </w:tc>
        <w:tc>
          <w:tcPr>
            <w:tcW w:w="80" w:type="dxa"/>
            <w:vAlign w:val="bottom"/>
          </w:tcPr>
          <w:p>
            <w:pPr>
              <w:spacing w:after="0"/>
              <w:rPr>
                <w:sz w:val="9"/>
                <w:szCs w:val="9"/>
                <w:color w:val="auto"/>
              </w:rPr>
            </w:pPr>
          </w:p>
        </w:tc>
        <w:tc>
          <w:tcPr>
            <w:tcW w:w="76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1,636,020</w:t>
            </w:r>
          </w:p>
        </w:tc>
        <w:tc>
          <w:tcPr>
            <w:tcW w:w="80" w:type="dxa"/>
            <w:vAlign w:val="bottom"/>
          </w:tcPr>
          <w:p>
            <w:pPr>
              <w:spacing w:after="0"/>
              <w:rPr>
                <w:sz w:val="9"/>
                <w:szCs w:val="9"/>
                <w:color w:val="auto"/>
              </w:rPr>
            </w:pPr>
          </w:p>
        </w:tc>
        <w:tc>
          <w:tcPr>
            <w:tcW w:w="820" w:type="dxa"/>
            <w:vAlign w:val="bottom"/>
            <w:gridSpan w:val="2"/>
          </w:tcPr>
          <w:p>
            <w:pPr>
              <w:jc w:val="right"/>
              <w:ind w:right="178"/>
              <w:spacing w:after="0" w:line="108" w:lineRule="exact"/>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740" w:type="dxa"/>
            <w:vAlign w:val="bottom"/>
            <w:gridSpan w:val="2"/>
          </w:tcPr>
          <w:p>
            <w:pPr>
              <w:jc w:val="right"/>
              <w:ind w:right="120"/>
              <w:spacing w:after="0" w:line="108"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gridSpan w:val="2"/>
          </w:tcPr>
          <w:p>
            <w:pPr>
              <w:jc w:val="right"/>
              <w:ind w:right="98"/>
              <w:spacing w:after="0" w:line="108" w:lineRule="exact"/>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jc w:val="right"/>
              <w:spacing w:after="0" w:line="108" w:lineRule="exact"/>
              <w:rPr>
                <w:sz w:val="20"/>
                <w:szCs w:val="20"/>
                <w:color w:val="auto"/>
              </w:rPr>
            </w:pPr>
            <w:r>
              <w:rPr>
                <w:rFonts w:ascii="Arial" w:cs="Arial" w:eastAsia="Arial" w:hAnsi="Arial"/>
                <w:sz w:val="10"/>
                <w:szCs w:val="10"/>
                <w:color w:val="auto"/>
              </w:rPr>
              <w:t>1,647,000</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580" w:type="dxa"/>
            <w:vAlign w:val="bottom"/>
          </w:tcPr>
          <w:p>
            <w:pPr>
              <w:jc w:val="right"/>
              <w:spacing w:after="0" w:line="108" w:lineRule="exact"/>
              <w:rPr>
                <w:sz w:val="20"/>
                <w:szCs w:val="20"/>
                <w:color w:val="auto"/>
              </w:rPr>
            </w:pPr>
            <w:r>
              <w:rPr>
                <w:rFonts w:ascii="Arial" w:cs="Arial" w:eastAsia="Arial" w:hAnsi="Arial"/>
                <w:sz w:val="10"/>
                <w:szCs w:val="10"/>
                <w:color w:val="auto"/>
              </w:rPr>
              <w:t>39,378</w:t>
            </w: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gridSpan w:val="2"/>
          </w:tcPr>
          <w:p>
            <w:pPr>
              <w:jc w:val="right"/>
              <w:ind w:right="220"/>
              <w:spacing w:after="0" w:line="108" w:lineRule="exact"/>
              <w:rPr>
                <w:sz w:val="20"/>
                <w:szCs w:val="20"/>
                <w:color w:val="auto"/>
              </w:rPr>
            </w:pPr>
            <w:r>
              <w:rPr>
                <w:rFonts w:ascii="Arial" w:cs="Arial" w:eastAsia="Arial" w:hAnsi="Arial"/>
                <w:sz w:val="10"/>
                <w:szCs w:val="10"/>
                <w:color w:val="auto"/>
              </w:rPr>
              <w:t>394</w:t>
            </w:r>
          </w:p>
        </w:tc>
        <w:tc>
          <w:tcPr>
            <w:tcW w:w="80" w:type="dxa"/>
            <w:vAlign w:val="bottom"/>
          </w:tcPr>
          <w:p>
            <w:pPr>
              <w:spacing w:after="0"/>
              <w:rPr>
                <w:sz w:val="9"/>
                <w:szCs w:val="9"/>
                <w:color w:val="auto"/>
              </w:rPr>
            </w:pPr>
          </w:p>
        </w:tc>
        <w:tc>
          <w:tcPr>
            <w:tcW w:w="76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29,692</w:t>
            </w:r>
          </w:p>
        </w:tc>
        <w:tc>
          <w:tcPr>
            <w:tcW w:w="80" w:type="dxa"/>
            <w:vAlign w:val="bottom"/>
          </w:tcPr>
          <w:p>
            <w:pPr>
              <w:spacing w:after="0"/>
              <w:rPr>
                <w:sz w:val="9"/>
                <w:szCs w:val="9"/>
                <w:color w:val="auto"/>
              </w:rPr>
            </w:pPr>
          </w:p>
        </w:tc>
        <w:tc>
          <w:tcPr>
            <w:tcW w:w="820" w:type="dxa"/>
            <w:vAlign w:val="bottom"/>
            <w:gridSpan w:val="2"/>
          </w:tcPr>
          <w:p>
            <w:pPr>
              <w:jc w:val="right"/>
              <w:ind w:right="178"/>
              <w:spacing w:after="0" w:line="108" w:lineRule="exact"/>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740" w:type="dxa"/>
            <w:vAlign w:val="bottom"/>
            <w:gridSpan w:val="2"/>
          </w:tcPr>
          <w:p>
            <w:pPr>
              <w:jc w:val="right"/>
              <w:ind w:right="120"/>
              <w:spacing w:after="0" w:line="108"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gridSpan w:val="2"/>
          </w:tcPr>
          <w:p>
            <w:pPr>
              <w:jc w:val="right"/>
              <w:ind w:right="98"/>
              <w:spacing w:after="0" w:line="108" w:lineRule="exact"/>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gridSpan w:val="2"/>
          </w:tcPr>
          <w:p>
            <w:pPr>
              <w:jc w:val="right"/>
              <w:ind w:right="40"/>
              <w:spacing w:after="0" w:line="108" w:lineRule="exact"/>
              <w:rPr>
                <w:sz w:val="20"/>
                <w:szCs w:val="20"/>
                <w:color w:val="auto"/>
              </w:rPr>
            </w:pPr>
            <w:r>
              <w:rPr>
                <w:rFonts w:ascii="Arial" w:cs="Arial" w:eastAsia="Arial" w:hAnsi="Arial"/>
                <w:sz w:val="10"/>
                <w:szCs w:val="10"/>
                <w:color w:val="auto"/>
              </w:rPr>
              <w:t>30,086</w:t>
            </w:r>
          </w:p>
        </w:tc>
        <w:tc>
          <w:tcPr>
            <w:tcW w:w="0" w:type="dxa"/>
            <w:vAlign w:val="bottom"/>
          </w:tcPr>
          <w:p>
            <w:pPr>
              <w:spacing w:after="0"/>
              <w:rPr>
                <w:sz w:val="1"/>
                <w:szCs w:val="1"/>
                <w:color w:val="auto"/>
              </w:rPr>
            </w:pPr>
          </w:p>
        </w:tc>
      </w:tr>
      <w:tr>
        <w:trPr>
          <w:trHeight w:val="108"/>
        </w:trPr>
        <w:tc>
          <w:tcPr>
            <w:tcW w:w="580" w:type="dxa"/>
            <w:vAlign w:val="bottom"/>
          </w:tcPr>
          <w:p>
            <w:pPr>
              <w:jc w:val="right"/>
              <w:spacing w:after="0" w:line="108" w:lineRule="exact"/>
              <w:rPr>
                <w:sz w:val="20"/>
                <w:szCs w:val="20"/>
                <w:color w:val="auto"/>
              </w:rPr>
            </w:pPr>
            <w:r>
              <w:rPr>
                <w:rFonts w:ascii="Arial" w:cs="Arial" w:eastAsia="Arial" w:hAnsi="Arial"/>
                <w:sz w:val="10"/>
                <w:szCs w:val="10"/>
                <w:color w:val="auto"/>
              </w:rPr>
              <w:t>—</w:t>
            </w: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gridSpan w:val="2"/>
          </w:tcPr>
          <w:p>
            <w:pPr>
              <w:jc w:val="right"/>
              <w:ind w:right="220"/>
              <w:spacing w:after="0" w:line="108" w:lineRule="exact"/>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76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242,548</w:t>
            </w:r>
          </w:p>
        </w:tc>
        <w:tc>
          <w:tcPr>
            <w:tcW w:w="80" w:type="dxa"/>
            <w:vAlign w:val="bottom"/>
          </w:tcPr>
          <w:p>
            <w:pPr>
              <w:spacing w:after="0"/>
              <w:rPr>
                <w:sz w:val="9"/>
                <w:szCs w:val="9"/>
                <w:color w:val="auto"/>
              </w:rPr>
            </w:pPr>
          </w:p>
        </w:tc>
        <w:tc>
          <w:tcPr>
            <w:tcW w:w="820" w:type="dxa"/>
            <w:vAlign w:val="bottom"/>
            <w:gridSpan w:val="2"/>
          </w:tcPr>
          <w:p>
            <w:pPr>
              <w:jc w:val="right"/>
              <w:ind w:right="178"/>
              <w:spacing w:after="0" w:line="108" w:lineRule="exact"/>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740" w:type="dxa"/>
            <w:vAlign w:val="bottom"/>
            <w:gridSpan w:val="2"/>
          </w:tcPr>
          <w:p>
            <w:pPr>
              <w:jc w:val="right"/>
              <w:ind w:right="120"/>
              <w:spacing w:after="0" w:line="108"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gridSpan w:val="2"/>
          </w:tcPr>
          <w:p>
            <w:pPr>
              <w:jc w:val="right"/>
              <w:ind w:right="98"/>
              <w:spacing w:after="0" w:line="108" w:lineRule="exact"/>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gridSpan w:val="2"/>
          </w:tcPr>
          <w:p>
            <w:pPr>
              <w:jc w:val="right"/>
              <w:ind w:right="40"/>
              <w:spacing w:after="0" w:line="108" w:lineRule="exact"/>
              <w:rPr>
                <w:sz w:val="20"/>
                <w:szCs w:val="20"/>
                <w:color w:val="auto"/>
              </w:rPr>
            </w:pPr>
            <w:r>
              <w:rPr>
                <w:rFonts w:ascii="Arial" w:cs="Arial" w:eastAsia="Arial" w:hAnsi="Arial"/>
                <w:sz w:val="10"/>
                <w:szCs w:val="10"/>
                <w:color w:val="auto"/>
              </w:rPr>
              <w:t>242,548</w:t>
            </w:r>
          </w:p>
        </w:tc>
        <w:tc>
          <w:tcPr>
            <w:tcW w:w="0" w:type="dxa"/>
            <w:vAlign w:val="bottom"/>
          </w:tcPr>
          <w:p>
            <w:pPr>
              <w:spacing w:after="0"/>
              <w:rPr>
                <w:sz w:val="1"/>
                <w:szCs w:val="1"/>
                <w:color w:val="auto"/>
              </w:rPr>
            </w:pPr>
          </w:p>
        </w:tc>
      </w:tr>
      <w:tr>
        <w:trPr>
          <w:trHeight w:val="108"/>
        </w:trPr>
        <w:tc>
          <w:tcPr>
            <w:tcW w:w="580" w:type="dxa"/>
            <w:vAlign w:val="bottom"/>
          </w:tcPr>
          <w:p>
            <w:pPr>
              <w:jc w:val="right"/>
              <w:spacing w:after="0" w:line="108" w:lineRule="exact"/>
              <w:rPr>
                <w:sz w:val="20"/>
                <w:szCs w:val="20"/>
                <w:color w:val="auto"/>
              </w:rPr>
            </w:pPr>
            <w:r>
              <w:rPr>
                <w:rFonts w:ascii="Arial" w:cs="Arial" w:eastAsia="Arial" w:hAnsi="Arial"/>
                <w:sz w:val="10"/>
                <w:szCs w:val="10"/>
                <w:color w:val="auto"/>
              </w:rPr>
              <w:t>—</w:t>
            </w: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gridSpan w:val="2"/>
          </w:tcPr>
          <w:p>
            <w:pPr>
              <w:jc w:val="right"/>
              <w:ind w:right="220"/>
              <w:spacing w:after="0" w:line="108" w:lineRule="exact"/>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76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171,343</w:t>
            </w:r>
          </w:p>
        </w:tc>
        <w:tc>
          <w:tcPr>
            <w:tcW w:w="80" w:type="dxa"/>
            <w:vAlign w:val="bottom"/>
          </w:tcPr>
          <w:p>
            <w:pPr>
              <w:spacing w:after="0"/>
              <w:rPr>
                <w:sz w:val="9"/>
                <w:szCs w:val="9"/>
                <w:color w:val="auto"/>
              </w:rPr>
            </w:pPr>
          </w:p>
        </w:tc>
        <w:tc>
          <w:tcPr>
            <w:tcW w:w="820" w:type="dxa"/>
            <w:vAlign w:val="bottom"/>
            <w:gridSpan w:val="2"/>
          </w:tcPr>
          <w:p>
            <w:pPr>
              <w:jc w:val="right"/>
              <w:ind w:right="178"/>
              <w:spacing w:after="0" w:line="108" w:lineRule="exact"/>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740" w:type="dxa"/>
            <w:vAlign w:val="bottom"/>
            <w:gridSpan w:val="2"/>
          </w:tcPr>
          <w:p>
            <w:pPr>
              <w:jc w:val="right"/>
              <w:ind w:right="120"/>
              <w:spacing w:after="0" w:line="108"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gridSpan w:val="2"/>
          </w:tcPr>
          <w:p>
            <w:pPr>
              <w:jc w:val="right"/>
              <w:ind w:right="58"/>
              <w:spacing w:after="0" w:line="108" w:lineRule="exact"/>
              <w:rPr>
                <w:sz w:val="20"/>
                <w:szCs w:val="20"/>
                <w:color w:val="auto"/>
              </w:rPr>
            </w:pPr>
            <w:r>
              <w:rPr>
                <w:rFonts w:ascii="Arial" w:cs="Arial" w:eastAsia="Arial" w:hAnsi="Arial"/>
                <w:sz w:val="10"/>
                <w:szCs w:val="10"/>
                <w:color w:val="auto"/>
              </w:rPr>
              <w:t>(171,343)</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gridSpan w:val="2"/>
          </w:tcPr>
          <w:p>
            <w:pPr>
              <w:jc w:val="right"/>
              <w:ind w:right="40"/>
              <w:spacing w:after="0" w:line="108" w:lineRule="exact"/>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08"/>
        </w:trPr>
        <w:tc>
          <w:tcPr>
            <w:tcW w:w="580" w:type="dxa"/>
            <w:vAlign w:val="bottom"/>
          </w:tcPr>
          <w:p>
            <w:pPr>
              <w:jc w:val="right"/>
              <w:spacing w:after="0" w:line="108" w:lineRule="exact"/>
              <w:rPr>
                <w:sz w:val="20"/>
                <w:szCs w:val="20"/>
                <w:color w:val="auto"/>
              </w:rPr>
            </w:pPr>
            <w:r>
              <w:rPr>
                <w:rFonts w:ascii="Arial" w:cs="Arial" w:eastAsia="Arial" w:hAnsi="Arial"/>
                <w:sz w:val="10"/>
                <w:szCs w:val="10"/>
                <w:color w:val="auto"/>
              </w:rPr>
              <w:t>—</w:t>
            </w: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gridSpan w:val="2"/>
          </w:tcPr>
          <w:p>
            <w:pPr>
              <w:jc w:val="right"/>
              <w:ind w:right="220"/>
              <w:spacing w:after="0" w:line="108" w:lineRule="exact"/>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76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820" w:type="dxa"/>
            <w:vAlign w:val="bottom"/>
            <w:gridSpan w:val="2"/>
          </w:tcPr>
          <w:p>
            <w:pPr>
              <w:jc w:val="right"/>
              <w:ind w:right="178"/>
              <w:spacing w:after="0" w:line="108" w:lineRule="exact"/>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740" w:type="dxa"/>
            <w:vAlign w:val="bottom"/>
            <w:gridSpan w:val="2"/>
          </w:tcPr>
          <w:p>
            <w:pPr>
              <w:jc w:val="right"/>
              <w:ind w:right="120"/>
              <w:spacing w:after="0" w:line="108"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gridSpan w:val="2"/>
          </w:tcPr>
          <w:p>
            <w:pPr>
              <w:jc w:val="right"/>
              <w:ind w:right="98"/>
              <w:spacing w:after="0" w:line="108" w:lineRule="exact"/>
              <w:rPr>
                <w:sz w:val="20"/>
                <w:szCs w:val="20"/>
                <w:color w:val="auto"/>
              </w:rPr>
            </w:pPr>
            <w:r>
              <w:rPr>
                <w:rFonts w:ascii="Arial" w:cs="Arial" w:eastAsia="Arial" w:hAnsi="Arial"/>
                <w:sz w:val="10"/>
                <w:szCs w:val="10"/>
                <w:color w:val="auto"/>
              </w:rPr>
              <w:t>251,208</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gridSpan w:val="2"/>
          </w:tcPr>
          <w:p>
            <w:pPr>
              <w:jc w:val="right"/>
              <w:ind w:right="40"/>
              <w:spacing w:after="0" w:line="108" w:lineRule="exact"/>
              <w:rPr>
                <w:sz w:val="20"/>
                <w:szCs w:val="20"/>
                <w:color w:val="auto"/>
              </w:rPr>
            </w:pPr>
            <w:r>
              <w:rPr>
                <w:rFonts w:ascii="Arial" w:cs="Arial" w:eastAsia="Arial" w:hAnsi="Arial"/>
                <w:sz w:val="10"/>
                <w:szCs w:val="10"/>
                <w:color w:val="auto"/>
              </w:rPr>
              <w:t>251,208</w:t>
            </w:r>
          </w:p>
        </w:tc>
        <w:tc>
          <w:tcPr>
            <w:tcW w:w="0" w:type="dxa"/>
            <w:vAlign w:val="bottom"/>
          </w:tcPr>
          <w:p>
            <w:pPr>
              <w:spacing w:after="0"/>
              <w:rPr>
                <w:sz w:val="1"/>
                <w:szCs w:val="1"/>
                <w:color w:val="auto"/>
              </w:rPr>
            </w:pPr>
          </w:p>
        </w:tc>
      </w:tr>
      <w:tr>
        <w:trPr>
          <w:trHeight w:val="121"/>
        </w:trPr>
        <w:tc>
          <w:tcPr>
            <w:tcW w:w="580" w:type="dxa"/>
            <w:vAlign w:val="bottom"/>
          </w:tcPr>
          <w:p>
            <w:pPr>
              <w:jc w:val="right"/>
              <w:spacing w:after="0"/>
              <w:rPr>
                <w:sz w:val="20"/>
                <w:szCs w:val="20"/>
                <w:color w:val="auto"/>
              </w:rPr>
            </w:pPr>
            <w:r>
              <w:rPr>
                <w:rFonts w:ascii="Arial" w:cs="Arial" w:eastAsia="Arial" w:hAnsi="Arial"/>
                <w:sz w:val="10"/>
                <w:szCs w:val="10"/>
                <w:color w:val="auto"/>
              </w:rPr>
              <w:t>—</w:t>
            </w: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0"/>
                <w:szCs w:val="10"/>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0"/>
                <w:szCs w:val="10"/>
                <w:color w:val="auto"/>
              </w:rPr>
            </w:pPr>
          </w:p>
        </w:tc>
        <w:tc>
          <w:tcPr>
            <w:tcW w:w="820" w:type="dxa"/>
            <w:vAlign w:val="bottom"/>
            <w:gridSpan w:val="2"/>
          </w:tcPr>
          <w:p>
            <w:pPr>
              <w:jc w:val="right"/>
              <w:ind w:right="138"/>
              <w:spacing w:after="0"/>
              <w:rPr>
                <w:sz w:val="20"/>
                <w:szCs w:val="20"/>
                <w:color w:val="auto"/>
              </w:rPr>
            </w:pPr>
            <w:r>
              <w:rPr>
                <w:rFonts w:ascii="Arial" w:cs="Arial" w:eastAsia="Arial" w:hAnsi="Arial"/>
                <w:sz w:val="10"/>
                <w:szCs w:val="10"/>
                <w:color w:val="auto"/>
              </w:rPr>
              <w:t>(12,290,752)</w:t>
            </w:r>
          </w:p>
        </w:tc>
        <w:tc>
          <w:tcPr>
            <w:tcW w:w="60" w:type="dxa"/>
            <w:vAlign w:val="bottom"/>
          </w:tcPr>
          <w:p>
            <w:pPr>
              <w:spacing w:after="0"/>
              <w:rPr>
                <w:sz w:val="10"/>
                <w:szCs w:val="10"/>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gridSpan w:val="2"/>
          </w:tcPr>
          <w:p>
            <w:pPr>
              <w:jc w:val="right"/>
              <w:ind w:right="98"/>
              <w:spacing w:after="0"/>
              <w:rPr>
                <w:sz w:val="20"/>
                <w:szCs w:val="20"/>
                <w:color w:val="auto"/>
              </w:rPr>
            </w:pPr>
            <w:r>
              <w:rPr>
                <w:rFonts w:ascii="Arial" w:cs="Arial" w:eastAsia="Arial" w:hAnsi="Arial"/>
                <w:sz w:val="10"/>
                <w:szCs w:val="10"/>
                <w:color w:val="auto"/>
              </w:rPr>
              <w:t>—</w:t>
            </w:r>
          </w:p>
        </w:tc>
        <w:tc>
          <w:tcPr>
            <w:tcW w:w="160" w:type="dxa"/>
            <w:vAlign w:val="bottom"/>
            <w:gridSpan w:val="2"/>
          </w:tcPr>
          <w:p>
            <w:pPr>
              <w:jc w:val="right"/>
              <w:spacing w:after="0"/>
              <w:rPr>
                <w:sz w:val="20"/>
                <w:szCs w:val="20"/>
                <w:color w:val="auto"/>
              </w:rPr>
            </w:pPr>
            <w:r>
              <w:rPr>
                <w:rFonts w:ascii="Arial" w:cs="Arial" w:eastAsia="Arial" w:hAnsi="Arial"/>
                <w:sz w:val="10"/>
                <w:szCs w:val="10"/>
                <w:color w:val="auto"/>
              </w:rPr>
              <w:t>$</w:t>
            </w:r>
          </w:p>
        </w:tc>
        <w:tc>
          <w:tcPr>
            <w:tcW w:w="580" w:type="dxa"/>
            <w:vAlign w:val="bottom"/>
            <w:gridSpan w:val="2"/>
          </w:tcPr>
          <w:p>
            <w:pPr>
              <w:jc w:val="right"/>
              <w:spacing w:after="0"/>
              <w:rPr>
                <w:sz w:val="20"/>
                <w:szCs w:val="20"/>
                <w:color w:val="auto"/>
              </w:rPr>
            </w:pPr>
            <w:r>
              <w:rPr>
                <w:rFonts w:ascii="Arial" w:cs="Arial" w:eastAsia="Arial" w:hAnsi="Arial"/>
                <w:sz w:val="10"/>
                <w:szCs w:val="10"/>
                <w:color w:val="auto"/>
                <w:w w:val="98"/>
              </w:rPr>
              <w:t>(12,290,752)</w:t>
            </w:r>
          </w:p>
        </w:tc>
        <w:tc>
          <w:tcPr>
            <w:tcW w:w="0" w:type="dxa"/>
            <w:vAlign w:val="bottom"/>
          </w:tcPr>
          <w:p>
            <w:pPr>
              <w:spacing w:after="0"/>
              <w:rPr>
                <w:sz w:val="1"/>
                <w:szCs w:val="1"/>
                <w:color w:val="auto"/>
              </w:rPr>
            </w:pPr>
          </w:p>
        </w:tc>
      </w:tr>
      <w:tr>
        <w:trPr>
          <w:trHeight w:val="108"/>
        </w:trPr>
        <w:tc>
          <w:tcPr>
            <w:tcW w:w="58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40,998,858</w:t>
            </w:r>
          </w:p>
        </w:tc>
        <w:tc>
          <w:tcPr>
            <w:tcW w:w="220" w:type="dxa"/>
            <w:vAlign w:val="bottom"/>
          </w:tcPr>
          <w:p>
            <w:pPr>
              <w:spacing w:after="0"/>
              <w:rPr>
                <w:sz w:val="9"/>
                <w:szCs w:val="9"/>
                <w:color w:val="auto"/>
              </w:rPr>
            </w:pPr>
          </w:p>
        </w:tc>
        <w:tc>
          <w:tcPr>
            <w:tcW w:w="6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w w:val="71"/>
              </w:rPr>
              <w:t>$</w:t>
            </w:r>
          </w:p>
        </w:tc>
        <w:tc>
          <w:tcPr>
            <w:tcW w:w="40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409,989</w:t>
            </w:r>
          </w:p>
        </w:tc>
        <w:tc>
          <w:tcPr>
            <w:tcW w:w="220" w:type="dxa"/>
            <w:vAlign w:val="bottom"/>
          </w:tcPr>
          <w:p>
            <w:pPr>
              <w:spacing w:after="0"/>
              <w:rPr>
                <w:sz w:val="9"/>
                <w:szCs w:val="9"/>
                <w:color w:val="auto"/>
              </w:rPr>
            </w:pPr>
          </w:p>
        </w:tc>
        <w:tc>
          <w:tcPr>
            <w:tcW w:w="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5"/>
                <w:szCs w:val="5"/>
                <w:color w:val="auto"/>
                <w:w w:val="70"/>
              </w:rPr>
              <w:t>$</w:t>
            </w:r>
          </w:p>
        </w:tc>
        <w:tc>
          <w:tcPr>
            <w:tcW w:w="56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w w:val="97"/>
              </w:rPr>
              <w:t>170,406,393</w:t>
            </w:r>
          </w:p>
        </w:tc>
        <w:tc>
          <w:tcPr>
            <w:tcW w:w="200" w:type="dxa"/>
            <w:vAlign w:val="bottom"/>
          </w:tcPr>
          <w:p>
            <w:pPr>
              <w:spacing w:after="0"/>
              <w:rPr>
                <w:sz w:val="9"/>
                <w:szCs w:val="9"/>
                <w:color w:val="auto"/>
              </w:rPr>
            </w:pPr>
          </w:p>
        </w:tc>
        <w:tc>
          <w:tcPr>
            <w:tcW w:w="8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w w:val="98"/>
              </w:rPr>
              <w:t>(158,874,916</w:t>
            </w:r>
          </w:p>
        </w:tc>
        <w:tc>
          <w:tcPr>
            <w:tcW w:w="220" w:type="dxa"/>
            <w:vAlign w:val="bottom"/>
          </w:tcPr>
          <w:p>
            <w:pPr>
              <w:jc w:val="right"/>
              <w:ind w:right="138"/>
              <w:spacing w:after="0"/>
              <w:rPr>
                <w:sz w:val="20"/>
                <w:szCs w:val="20"/>
                <w:color w:val="auto"/>
              </w:rPr>
            </w:pPr>
            <w:r>
              <w:rPr>
                <w:rFonts w:ascii="Arial" w:cs="Arial" w:eastAsia="Arial" w:hAnsi="Arial"/>
                <w:sz w:val="8"/>
                <w:szCs w:val="8"/>
                <w:color w:val="auto"/>
                <w:w w:val="73"/>
              </w:rPr>
              <w:t>)</w:t>
            </w:r>
          </w:p>
        </w:tc>
        <w:tc>
          <w:tcPr>
            <w:tcW w:w="6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w:t>
            </w: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Borders>
              <w:top w:val="single" w:sz="8" w:color="auto"/>
              <w:bottom w:val="single" w:sz="8" w:color="auto"/>
            </w:tcBorders>
          </w:tcPr>
          <w:p>
            <w:pPr>
              <w:spacing w:after="0" w:line="108" w:lineRule="exact"/>
              <w:rPr>
                <w:sz w:val="20"/>
                <w:szCs w:val="20"/>
                <w:color w:val="auto"/>
              </w:rPr>
            </w:pPr>
            <w:r>
              <w:rPr>
                <w:rFonts w:ascii="Arial" w:cs="Arial" w:eastAsia="Arial" w:hAnsi="Arial"/>
                <w:sz w:val="10"/>
                <w:szCs w:val="10"/>
                <w:color w:val="auto"/>
              </w:rPr>
              <w:t>$</w:t>
            </w:r>
          </w:p>
        </w:tc>
        <w:tc>
          <w:tcPr>
            <w:tcW w:w="48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(977,908</w:t>
            </w:r>
          </w:p>
        </w:tc>
        <w:tc>
          <w:tcPr>
            <w:tcW w:w="140" w:type="dxa"/>
            <w:vAlign w:val="bottom"/>
          </w:tcPr>
          <w:p>
            <w:pPr>
              <w:jc w:val="right"/>
              <w:ind w:right="58"/>
              <w:spacing w:after="0"/>
              <w:rPr>
                <w:sz w:val="20"/>
                <w:szCs w:val="20"/>
                <w:color w:val="auto"/>
              </w:rPr>
            </w:pPr>
            <w:r>
              <w:rPr>
                <w:rFonts w:ascii="Arial" w:cs="Arial" w:eastAsia="Arial" w:hAnsi="Arial"/>
                <w:sz w:val="8"/>
                <w:szCs w:val="8"/>
                <w:color w:val="auto"/>
                <w:w w:val="73"/>
              </w:rPr>
              <w:t>)</w:t>
            </w:r>
          </w:p>
        </w:tc>
        <w:tc>
          <w:tcPr>
            <w:tcW w:w="80" w:type="dxa"/>
            <w:vAlign w:val="bottom"/>
          </w:tcPr>
          <w:p>
            <w:pPr>
              <w:spacing w:after="0"/>
              <w:rPr>
                <w:sz w:val="9"/>
                <w:szCs w:val="9"/>
                <w:color w:val="auto"/>
              </w:rPr>
            </w:pPr>
          </w:p>
        </w:tc>
        <w:tc>
          <w:tcPr>
            <w:tcW w:w="8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10,963,558</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5"/>
        </w:trPr>
        <w:tc>
          <w:tcPr>
            <w:tcW w:w="580" w:type="dxa"/>
            <w:vAlign w:val="bottom"/>
          </w:tcPr>
          <w:p>
            <w:pPr>
              <w:jc w:val="right"/>
              <w:spacing w:after="0" w:line="95" w:lineRule="exact"/>
              <w:rPr>
                <w:sz w:val="20"/>
                <w:szCs w:val="20"/>
                <w:color w:val="auto"/>
              </w:rPr>
            </w:pPr>
            <w:r>
              <w:rPr>
                <w:rFonts w:ascii="Arial" w:cs="Arial" w:eastAsia="Arial" w:hAnsi="Arial"/>
                <w:sz w:val="10"/>
                <w:szCs w:val="10"/>
                <w:color w:val="auto"/>
              </w:rPr>
              <w:t>20,660,000</w:t>
            </w: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tcPr>
          <w:p>
            <w:pPr>
              <w:jc w:val="right"/>
              <w:spacing w:after="0" w:line="95" w:lineRule="exact"/>
              <w:rPr>
                <w:sz w:val="20"/>
                <w:szCs w:val="20"/>
                <w:color w:val="auto"/>
              </w:rPr>
            </w:pPr>
            <w:r>
              <w:rPr>
                <w:rFonts w:ascii="Arial" w:cs="Arial" w:eastAsia="Arial" w:hAnsi="Arial"/>
                <w:sz w:val="10"/>
                <w:szCs w:val="10"/>
                <w:color w:val="auto"/>
              </w:rPr>
              <w:t>206,600</w:t>
            </w: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jc w:val="right"/>
              <w:spacing w:after="0" w:line="95" w:lineRule="exact"/>
              <w:rPr>
                <w:sz w:val="20"/>
                <w:szCs w:val="20"/>
                <w:color w:val="auto"/>
              </w:rPr>
            </w:pPr>
            <w:r>
              <w:rPr>
                <w:rFonts w:ascii="Arial" w:cs="Arial" w:eastAsia="Arial" w:hAnsi="Arial"/>
                <w:sz w:val="10"/>
                <w:szCs w:val="10"/>
                <w:color w:val="auto"/>
              </w:rPr>
              <w:t>39,433,578</w:t>
            </w: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jc w:val="right"/>
              <w:spacing w:after="0" w:line="95" w:lineRule="exact"/>
              <w:rPr>
                <w:sz w:val="20"/>
                <w:szCs w:val="20"/>
                <w:color w:val="auto"/>
              </w:rPr>
            </w:pPr>
            <w:r>
              <w:rPr>
                <w:rFonts w:ascii="Arial" w:cs="Arial" w:eastAsia="Arial" w:hAnsi="Arial"/>
                <w:sz w:val="10"/>
                <w:szCs w:val="10"/>
                <w:color w:val="auto"/>
              </w:rPr>
              <w:t>—</w:t>
            </w: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tcPr>
          <w:p>
            <w:pPr>
              <w:jc w:val="right"/>
              <w:spacing w:after="0" w:line="95" w:lineRule="exact"/>
              <w:rPr>
                <w:sz w:val="20"/>
                <w:szCs w:val="20"/>
                <w:color w:val="auto"/>
              </w:rPr>
            </w:pPr>
            <w:r>
              <w:rPr>
                <w:rFonts w:ascii="Arial" w:cs="Arial" w:eastAsia="Arial" w:hAnsi="Arial"/>
                <w:sz w:val="10"/>
                <w:szCs w:val="10"/>
                <w:color w:val="auto"/>
              </w:rPr>
              <w:t>—</w:t>
            </w: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jc w:val="right"/>
              <w:spacing w:after="0" w:line="95" w:lineRule="exact"/>
              <w:rPr>
                <w:sz w:val="20"/>
                <w:szCs w:val="20"/>
                <w:color w:val="auto"/>
              </w:rPr>
            </w:pPr>
            <w:r>
              <w:rPr>
                <w:rFonts w:ascii="Arial" w:cs="Arial" w:eastAsia="Arial" w:hAnsi="Arial"/>
                <w:sz w:val="10"/>
                <w:szCs w:val="10"/>
                <w:color w:val="auto"/>
              </w:rPr>
              <w:t>—</w:t>
            </w: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jc w:val="right"/>
              <w:spacing w:after="0" w:line="95" w:lineRule="exact"/>
              <w:rPr>
                <w:sz w:val="20"/>
                <w:szCs w:val="20"/>
                <w:color w:val="auto"/>
              </w:rPr>
            </w:pPr>
            <w:r>
              <w:rPr>
                <w:rFonts w:ascii="Arial" w:cs="Arial" w:eastAsia="Arial" w:hAnsi="Arial"/>
                <w:sz w:val="10"/>
                <w:szCs w:val="10"/>
                <w:color w:val="auto"/>
              </w:rPr>
              <w:t>39,640,178</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580" w:type="dxa"/>
            <w:vAlign w:val="bottom"/>
          </w:tcPr>
          <w:p>
            <w:pPr>
              <w:jc w:val="right"/>
              <w:spacing w:after="0" w:line="108" w:lineRule="exact"/>
              <w:rPr>
                <w:sz w:val="20"/>
                <w:szCs w:val="20"/>
                <w:color w:val="auto"/>
              </w:rPr>
            </w:pPr>
            <w:r>
              <w:rPr>
                <w:rFonts w:ascii="Arial" w:cs="Arial" w:eastAsia="Arial" w:hAnsi="Arial"/>
                <w:sz w:val="10"/>
                <w:szCs w:val="10"/>
                <w:color w:val="auto"/>
              </w:rPr>
              <w:t>11,351</w:t>
            </w: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gridSpan w:val="2"/>
          </w:tcPr>
          <w:p>
            <w:pPr>
              <w:jc w:val="right"/>
              <w:ind w:right="220"/>
              <w:spacing w:after="0" w:line="108" w:lineRule="exact"/>
              <w:rPr>
                <w:sz w:val="20"/>
                <w:szCs w:val="20"/>
                <w:color w:val="auto"/>
              </w:rPr>
            </w:pPr>
            <w:r>
              <w:rPr>
                <w:rFonts w:ascii="Arial" w:cs="Arial" w:eastAsia="Arial" w:hAnsi="Arial"/>
                <w:sz w:val="10"/>
                <w:szCs w:val="10"/>
                <w:color w:val="auto"/>
              </w:rPr>
              <w:t>114</w:t>
            </w:r>
          </w:p>
        </w:tc>
        <w:tc>
          <w:tcPr>
            <w:tcW w:w="80" w:type="dxa"/>
            <w:vAlign w:val="bottom"/>
          </w:tcPr>
          <w:p>
            <w:pPr>
              <w:spacing w:after="0"/>
              <w:rPr>
                <w:sz w:val="9"/>
                <w:szCs w:val="9"/>
                <w:color w:val="auto"/>
              </w:rPr>
            </w:pPr>
          </w:p>
        </w:tc>
        <w:tc>
          <w:tcPr>
            <w:tcW w:w="76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17,719</w:t>
            </w:r>
          </w:p>
        </w:tc>
        <w:tc>
          <w:tcPr>
            <w:tcW w:w="80" w:type="dxa"/>
            <w:vAlign w:val="bottom"/>
          </w:tcPr>
          <w:p>
            <w:pPr>
              <w:spacing w:after="0"/>
              <w:rPr>
                <w:sz w:val="9"/>
                <w:szCs w:val="9"/>
                <w:color w:val="auto"/>
              </w:rPr>
            </w:pPr>
          </w:p>
        </w:tc>
        <w:tc>
          <w:tcPr>
            <w:tcW w:w="820" w:type="dxa"/>
            <w:vAlign w:val="bottom"/>
            <w:gridSpan w:val="2"/>
          </w:tcPr>
          <w:p>
            <w:pPr>
              <w:jc w:val="right"/>
              <w:ind w:right="178"/>
              <w:spacing w:after="0" w:line="108" w:lineRule="exact"/>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740" w:type="dxa"/>
            <w:vAlign w:val="bottom"/>
            <w:gridSpan w:val="2"/>
          </w:tcPr>
          <w:p>
            <w:pPr>
              <w:jc w:val="right"/>
              <w:ind w:right="120"/>
              <w:spacing w:after="0" w:line="108"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gridSpan w:val="2"/>
          </w:tcPr>
          <w:p>
            <w:pPr>
              <w:jc w:val="right"/>
              <w:ind w:right="98"/>
              <w:spacing w:after="0" w:line="108" w:lineRule="exact"/>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gridSpan w:val="2"/>
          </w:tcPr>
          <w:p>
            <w:pPr>
              <w:jc w:val="right"/>
              <w:ind w:right="40"/>
              <w:spacing w:after="0" w:line="108" w:lineRule="exact"/>
              <w:rPr>
                <w:sz w:val="20"/>
                <w:szCs w:val="20"/>
                <w:color w:val="auto"/>
              </w:rPr>
            </w:pPr>
            <w:r>
              <w:rPr>
                <w:rFonts w:ascii="Arial" w:cs="Arial" w:eastAsia="Arial" w:hAnsi="Arial"/>
                <w:sz w:val="10"/>
                <w:szCs w:val="10"/>
                <w:color w:val="auto"/>
              </w:rPr>
              <w:t>17,833</w:t>
            </w:r>
          </w:p>
        </w:tc>
        <w:tc>
          <w:tcPr>
            <w:tcW w:w="0" w:type="dxa"/>
            <w:vAlign w:val="bottom"/>
          </w:tcPr>
          <w:p>
            <w:pPr>
              <w:spacing w:after="0"/>
              <w:rPr>
                <w:sz w:val="1"/>
                <w:szCs w:val="1"/>
                <w:color w:val="auto"/>
              </w:rPr>
            </w:pPr>
          </w:p>
        </w:tc>
      </w:tr>
      <w:tr>
        <w:trPr>
          <w:trHeight w:val="108"/>
        </w:trPr>
        <w:tc>
          <w:tcPr>
            <w:tcW w:w="580" w:type="dxa"/>
            <w:vAlign w:val="bottom"/>
          </w:tcPr>
          <w:p>
            <w:pPr>
              <w:jc w:val="right"/>
              <w:spacing w:after="0" w:line="108" w:lineRule="exact"/>
              <w:rPr>
                <w:sz w:val="20"/>
                <w:szCs w:val="20"/>
                <w:color w:val="auto"/>
              </w:rPr>
            </w:pPr>
            <w:r>
              <w:rPr>
                <w:rFonts w:ascii="Arial" w:cs="Arial" w:eastAsia="Arial" w:hAnsi="Arial"/>
                <w:sz w:val="10"/>
                <w:szCs w:val="10"/>
                <w:color w:val="auto"/>
              </w:rPr>
              <w:t>41,050</w:t>
            </w: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gridSpan w:val="2"/>
          </w:tcPr>
          <w:p>
            <w:pPr>
              <w:jc w:val="right"/>
              <w:ind w:right="220"/>
              <w:spacing w:after="0" w:line="108" w:lineRule="exact"/>
              <w:rPr>
                <w:sz w:val="20"/>
                <w:szCs w:val="20"/>
                <w:color w:val="auto"/>
              </w:rPr>
            </w:pPr>
            <w:r>
              <w:rPr>
                <w:rFonts w:ascii="Arial" w:cs="Arial" w:eastAsia="Arial" w:hAnsi="Arial"/>
                <w:sz w:val="10"/>
                <w:szCs w:val="10"/>
                <w:color w:val="auto"/>
              </w:rPr>
              <w:t>410</w:t>
            </w:r>
          </w:p>
        </w:tc>
        <w:tc>
          <w:tcPr>
            <w:tcW w:w="80" w:type="dxa"/>
            <w:vAlign w:val="bottom"/>
          </w:tcPr>
          <w:p>
            <w:pPr>
              <w:spacing w:after="0"/>
              <w:rPr>
                <w:sz w:val="9"/>
                <w:szCs w:val="9"/>
                <w:color w:val="auto"/>
              </w:rPr>
            </w:pPr>
          </w:p>
        </w:tc>
        <w:tc>
          <w:tcPr>
            <w:tcW w:w="76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72,640</w:t>
            </w:r>
          </w:p>
        </w:tc>
        <w:tc>
          <w:tcPr>
            <w:tcW w:w="80" w:type="dxa"/>
            <w:vAlign w:val="bottom"/>
          </w:tcPr>
          <w:p>
            <w:pPr>
              <w:spacing w:after="0"/>
              <w:rPr>
                <w:sz w:val="9"/>
                <w:szCs w:val="9"/>
                <w:color w:val="auto"/>
              </w:rPr>
            </w:pPr>
          </w:p>
        </w:tc>
        <w:tc>
          <w:tcPr>
            <w:tcW w:w="820" w:type="dxa"/>
            <w:vAlign w:val="bottom"/>
            <w:gridSpan w:val="2"/>
          </w:tcPr>
          <w:p>
            <w:pPr>
              <w:jc w:val="right"/>
              <w:ind w:right="178"/>
              <w:spacing w:after="0" w:line="108" w:lineRule="exact"/>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740" w:type="dxa"/>
            <w:vAlign w:val="bottom"/>
            <w:gridSpan w:val="2"/>
          </w:tcPr>
          <w:p>
            <w:pPr>
              <w:jc w:val="right"/>
              <w:ind w:right="120"/>
              <w:spacing w:after="0" w:line="108"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gridSpan w:val="2"/>
          </w:tcPr>
          <w:p>
            <w:pPr>
              <w:jc w:val="right"/>
              <w:ind w:right="98"/>
              <w:spacing w:after="0" w:line="108" w:lineRule="exact"/>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gridSpan w:val="2"/>
          </w:tcPr>
          <w:p>
            <w:pPr>
              <w:jc w:val="right"/>
              <w:ind w:right="40"/>
              <w:spacing w:after="0" w:line="108" w:lineRule="exact"/>
              <w:rPr>
                <w:sz w:val="20"/>
                <w:szCs w:val="20"/>
                <w:color w:val="auto"/>
              </w:rPr>
            </w:pPr>
            <w:r>
              <w:rPr>
                <w:rFonts w:ascii="Arial" w:cs="Arial" w:eastAsia="Arial" w:hAnsi="Arial"/>
                <w:sz w:val="10"/>
                <w:szCs w:val="10"/>
                <w:color w:val="auto"/>
              </w:rPr>
              <w:t>73,050</w:t>
            </w:r>
          </w:p>
        </w:tc>
        <w:tc>
          <w:tcPr>
            <w:tcW w:w="0" w:type="dxa"/>
            <w:vAlign w:val="bottom"/>
          </w:tcPr>
          <w:p>
            <w:pPr>
              <w:spacing w:after="0"/>
              <w:rPr>
                <w:sz w:val="1"/>
                <w:szCs w:val="1"/>
                <w:color w:val="auto"/>
              </w:rPr>
            </w:pPr>
          </w:p>
        </w:tc>
      </w:tr>
      <w:tr>
        <w:trPr>
          <w:trHeight w:val="108"/>
        </w:trPr>
        <w:tc>
          <w:tcPr>
            <w:tcW w:w="580" w:type="dxa"/>
            <w:vAlign w:val="bottom"/>
          </w:tcPr>
          <w:p>
            <w:pPr>
              <w:jc w:val="right"/>
              <w:spacing w:after="0" w:line="108" w:lineRule="exact"/>
              <w:rPr>
                <w:sz w:val="20"/>
                <w:szCs w:val="20"/>
                <w:color w:val="auto"/>
              </w:rPr>
            </w:pPr>
            <w:r>
              <w:rPr>
                <w:rFonts w:ascii="Arial" w:cs="Arial" w:eastAsia="Arial" w:hAnsi="Arial"/>
                <w:sz w:val="10"/>
                <w:szCs w:val="10"/>
                <w:color w:val="auto"/>
              </w:rPr>
              <w:t>48,707</w:t>
            </w: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gridSpan w:val="2"/>
          </w:tcPr>
          <w:p>
            <w:pPr>
              <w:jc w:val="right"/>
              <w:ind w:right="220"/>
              <w:spacing w:after="0" w:line="108" w:lineRule="exact"/>
              <w:rPr>
                <w:sz w:val="20"/>
                <w:szCs w:val="20"/>
                <w:color w:val="auto"/>
              </w:rPr>
            </w:pPr>
            <w:r>
              <w:rPr>
                <w:rFonts w:ascii="Arial" w:cs="Arial" w:eastAsia="Arial" w:hAnsi="Arial"/>
                <w:sz w:val="10"/>
                <w:szCs w:val="10"/>
                <w:color w:val="auto"/>
              </w:rPr>
              <w:t>487</w:t>
            </w:r>
          </w:p>
        </w:tc>
        <w:tc>
          <w:tcPr>
            <w:tcW w:w="80" w:type="dxa"/>
            <w:vAlign w:val="bottom"/>
          </w:tcPr>
          <w:p>
            <w:pPr>
              <w:spacing w:after="0"/>
              <w:rPr>
                <w:sz w:val="9"/>
                <w:szCs w:val="9"/>
                <w:color w:val="auto"/>
              </w:rPr>
            </w:pPr>
          </w:p>
        </w:tc>
        <w:tc>
          <w:tcPr>
            <w:tcW w:w="76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93,526</w:t>
            </w:r>
          </w:p>
        </w:tc>
        <w:tc>
          <w:tcPr>
            <w:tcW w:w="80" w:type="dxa"/>
            <w:vAlign w:val="bottom"/>
          </w:tcPr>
          <w:p>
            <w:pPr>
              <w:spacing w:after="0"/>
              <w:rPr>
                <w:sz w:val="9"/>
                <w:szCs w:val="9"/>
                <w:color w:val="auto"/>
              </w:rPr>
            </w:pPr>
          </w:p>
        </w:tc>
        <w:tc>
          <w:tcPr>
            <w:tcW w:w="820" w:type="dxa"/>
            <w:vAlign w:val="bottom"/>
            <w:gridSpan w:val="2"/>
          </w:tcPr>
          <w:p>
            <w:pPr>
              <w:jc w:val="right"/>
              <w:ind w:right="178"/>
              <w:spacing w:after="0" w:line="108" w:lineRule="exact"/>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740" w:type="dxa"/>
            <w:vAlign w:val="bottom"/>
            <w:gridSpan w:val="2"/>
          </w:tcPr>
          <w:p>
            <w:pPr>
              <w:jc w:val="right"/>
              <w:ind w:right="120"/>
              <w:spacing w:after="0" w:line="108"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gridSpan w:val="2"/>
          </w:tcPr>
          <w:p>
            <w:pPr>
              <w:jc w:val="right"/>
              <w:ind w:right="98"/>
              <w:spacing w:after="0" w:line="108" w:lineRule="exact"/>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gridSpan w:val="2"/>
          </w:tcPr>
          <w:p>
            <w:pPr>
              <w:jc w:val="right"/>
              <w:ind w:right="40"/>
              <w:spacing w:after="0" w:line="108" w:lineRule="exact"/>
              <w:rPr>
                <w:sz w:val="20"/>
                <w:szCs w:val="20"/>
                <w:color w:val="auto"/>
              </w:rPr>
            </w:pPr>
            <w:r>
              <w:rPr>
                <w:rFonts w:ascii="Arial" w:cs="Arial" w:eastAsia="Arial" w:hAnsi="Arial"/>
                <w:sz w:val="10"/>
                <w:szCs w:val="10"/>
                <w:color w:val="auto"/>
              </w:rPr>
              <w:t>94,013</w:t>
            </w:r>
          </w:p>
        </w:tc>
        <w:tc>
          <w:tcPr>
            <w:tcW w:w="0" w:type="dxa"/>
            <w:vAlign w:val="bottom"/>
          </w:tcPr>
          <w:p>
            <w:pPr>
              <w:spacing w:after="0"/>
              <w:rPr>
                <w:sz w:val="1"/>
                <w:szCs w:val="1"/>
                <w:color w:val="auto"/>
              </w:rPr>
            </w:pPr>
          </w:p>
        </w:tc>
      </w:tr>
      <w:tr>
        <w:trPr>
          <w:trHeight w:val="108"/>
        </w:trPr>
        <w:tc>
          <w:tcPr>
            <w:tcW w:w="580" w:type="dxa"/>
            <w:vAlign w:val="bottom"/>
          </w:tcPr>
          <w:p>
            <w:pPr>
              <w:jc w:val="right"/>
              <w:spacing w:after="0" w:line="108" w:lineRule="exact"/>
              <w:rPr>
                <w:sz w:val="20"/>
                <w:szCs w:val="20"/>
                <w:color w:val="auto"/>
              </w:rPr>
            </w:pPr>
            <w:r>
              <w:rPr>
                <w:rFonts w:ascii="Arial" w:cs="Arial" w:eastAsia="Arial" w:hAnsi="Arial"/>
                <w:sz w:val="10"/>
                <w:szCs w:val="10"/>
                <w:color w:val="auto"/>
              </w:rPr>
              <w:t>62,916</w:t>
            </w: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gridSpan w:val="2"/>
          </w:tcPr>
          <w:p>
            <w:pPr>
              <w:jc w:val="right"/>
              <w:ind w:right="220"/>
              <w:spacing w:after="0" w:line="108" w:lineRule="exact"/>
              <w:rPr>
                <w:sz w:val="20"/>
                <w:szCs w:val="20"/>
                <w:color w:val="auto"/>
              </w:rPr>
            </w:pPr>
            <w:r>
              <w:rPr>
                <w:rFonts w:ascii="Arial" w:cs="Arial" w:eastAsia="Arial" w:hAnsi="Arial"/>
                <w:sz w:val="10"/>
                <w:szCs w:val="10"/>
                <w:color w:val="auto"/>
              </w:rPr>
              <w:t>629</w:t>
            </w:r>
          </w:p>
        </w:tc>
        <w:tc>
          <w:tcPr>
            <w:tcW w:w="80" w:type="dxa"/>
            <w:vAlign w:val="bottom"/>
          </w:tcPr>
          <w:p>
            <w:pPr>
              <w:spacing w:after="0"/>
              <w:rPr>
                <w:sz w:val="9"/>
                <w:szCs w:val="9"/>
                <w:color w:val="auto"/>
              </w:rPr>
            </w:pPr>
          </w:p>
        </w:tc>
        <w:tc>
          <w:tcPr>
            <w:tcW w:w="76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44,750</w:t>
            </w:r>
          </w:p>
        </w:tc>
        <w:tc>
          <w:tcPr>
            <w:tcW w:w="80" w:type="dxa"/>
            <w:vAlign w:val="bottom"/>
          </w:tcPr>
          <w:p>
            <w:pPr>
              <w:spacing w:after="0"/>
              <w:rPr>
                <w:sz w:val="9"/>
                <w:szCs w:val="9"/>
                <w:color w:val="auto"/>
              </w:rPr>
            </w:pPr>
          </w:p>
        </w:tc>
        <w:tc>
          <w:tcPr>
            <w:tcW w:w="820" w:type="dxa"/>
            <w:vAlign w:val="bottom"/>
            <w:gridSpan w:val="2"/>
          </w:tcPr>
          <w:p>
            <w:pPr>
              <w:jc w:val="right"/>
              <w:ind w:right="178"/>
              <w:spacing w:after="0" w:line="108" w:lineRule="exact"/>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740" w:type="dxa"/>
            <w:vAlign w:val="bottom"/>
            <w:gridSpan w:val="2"/>
          </w:tcPr>
          <w:p>
            <w:pPr>
              <w:jc w:val="right"/>
              <w:ind w:right="120"/>
              <w:spacing w:after="0" w:line="108"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gridSpan w:val="2"/>
          </w:tcPr>
          <w:p>
            <w:pPr>
              <w:jc w:val="right"/>
              <w:ind w:right="98"/>
              <w:spacing w:after="0" w:line="108" w:lineRule="exact"/>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gridSpan w:val="2"/>
          </w:tcPr>
          <w:p>
            <w:pPr>
              <w:jc w:val="right"/>
              <w:ind w:right="40"/>
              <w:spacing w:after="0" w:line="108" w:lineRule="exact"/>
              <w:rPr>
                <w:sz w:val="20"/>
                <w:szCs w:val="20"/>
                <w:color w:val="auto"/>
              </w:rPr>
            </w:pPr>
            <w:r>
              <w:rPr>
                <w:rFonts w:ascii="Arial" w:cs="Arial" w:eastAsia="Arial" w:hAnsi="Arial"/>
                <w:sz w:val="10"/>
                <w:szCs w:val="10"/>
                <w:color w:val="auto"/>
              </w:rPr>
              <w:t>45,379</w:t>
            </w:r>
          </w:p>
        </w:tc>
        <w:tc>
          <w:tcPr>
            <w:tcW w:w="0" w:type="dxa"/>
            <w:vAlign w:val="bottom"/>
          </w:tcPr>
          <w:p>
            <w:pPr>
              <w:spacing w:after="0"/>
              <w:rPr>
                <w:sz w:val="1"/>
                <w:szCs w:val="1"/>
                <w:color w:val="auto"/>
              </w:rPr>
            </w:pPr>
          </w:p>
        </w:tc>
      </w:tr>
      <w:tr>
        <w:trPr>
          <w:trHeight w:val="108"/>
        </w:trPr>
        <w:tc>
          <w:tcPr>
            <w:tcW w:w="580" w:type="dxa"/>
            <w:vAlign w:val="bottom"/>
          </w:tcPr>
          <w:p>
            <w:pPr>
              <w:jc w:val="right"/>
              <w:spacing w:after="0" w:line="108" w:lineRule="exact"/>
              <w:rPr>
                <w:sz w:val="20"/>
                <w:szCs w:val="20"/>
                <w:color w:val="auto"/>
              </w:rPr>
            </w:pPr>
            <w:r>
              <w:rPr>
                <w:rFonts w:ascii="Arial" w:cs="Arial" w:eastAsia="Arial" w:hAnsi="Arial"/>
                <w:sz w:val="10"/>
                <w:szCs w:val="10"/>
                <w:color w:val="auto"/>
              </w:rPr>
              <w:t>306,525</w:t>
            </w: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gridSpan w:val="2"/>
          </w:tcPr>
          <w:p>
            <w:pPr>
              <w:jc w:val="right"/>
              <w:ind w:right="220"/>
              <w:spacing w:after="0" w:line="108" w:lineRule="exact"/>
              <w:rPr>
                <w:sz w:val="20"/>
                <w:szCs w:val="20"/>
                <w:color w:val="auto"/>
              </w:rPr>
            </w:pPr>
            <w:r>
              <w:rPr>
                <w:rFonts w:ascii="Arial" w:cs="Arial" w:eastAsia="Arial" w:hAnsi="Arial"/>
                <w:sz w:val="10"/>
                <w:szCs w:val="10"/>
                <w:color w:val="auto"/>
              </w:rPr>
              <w:t>3,065</w:t>
            </w:r>
          </w:p>
        </w:tc>
        <w:tc>
          <w:tcPr>
            <w:tcW w:w="80" w:type="dxa"/>
            <w:vAlign w:val="bottom"/>
          </w:tcPr>
          <w:p>
            <w:pPr>
              <w:spacing w:after="0"/>
              <w:rPr>
                <w:sz w:val="9"/>
                <w:szCs w:val="9"/>
                <w:color w:val="auto"/>
              </w:rPr>
            </w:pPr>
          </w:p>
        </w:tc>
        <w:tc>
          <w:tcPr>
            <w:tcW w:w="76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579,333</w:t>
            </w:r>
          </w:p>
        </w:tc>
        <w:tc>
          <w:tcPr>
            <w:tcW w:w="80" w:type="dxa"/>
            <w:vAlign w:val="bottom"/>
          </w:tcPr>
          <w:p>
            <w:pPr>
              <w:spacing w:after="0"/>
              <w:rPr>
                <w:sz w:val="9"/>
                <w:szCs w:val="9"/>
                <w:color w:val="auto"/>
              </w:rPr>
            </w:pPr>
          </w:p>
        </w:tc>
        <w:tc>
          <w:tcPr>
            <w:tcW w:w="820" w:type="dxa"/>
            <w:vAlign w:val="bottom"/>
            <w:gridSpan w:val="2"/>
          </w:tcPr>
          <w:p>
            <w:pPr>
              <w:jc w:val="right"/>
              <w:ind w:right="178"/>
              <w:spacing w:after="0" w:line="108" w:lineRule="exact"/>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740" w:type="dxa"/>
            <w:vAlign w:val="bottom"/>
            <w:gridSpan w:val="2"/>
          </w:tcPr>
          <w:p>
            <w:pPr>
              <w:jc w:val="right"/>
              <w:ind w:right="120"/>
              <w:spacing w:after="0" w:line="108"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gridSpan w:val="2"/>
          </w:tcPr>
          <w:p>
            <w:pPr>
              <w:jc w:val="right"/>
              <w:ind w:right="98"/>
              <w:spacing w:after="0" w:line="108" w:lineRule="exact"/>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gridSpan w:val="2"/>
          </w:tcPr>
          <w:p>
            <w:pPr>
              <w:jc w:val="right"/>
              <w:ind w:right="40"/>
              <w:spacing w:after="0" w:line="108" w:lineRule="exact"/>
              <w:rPr>
                <w:sz w:val="20"/>
                <w:szCs w:val="20"/>
                <w:color w:val="auto"/>
              </w:rPr>
            </w:pPr>
            <w:r>
              <w:rPr>
                <w:rFonts w:ascii="Arial" w:cs="Arial" w:eastAsia="Arial" w:hAnsi="Arial"/>
                <w:sz w:val="10"/>
                <w:szCs w:val="10"/>
                <w:color w:val="auto"/>
              </w:rPr>
              <w:t>582,398</w:t>
            </w:r>
          </w:p>
        </w:tc>
        <w:tc>
          <w:tcPr>
            <w:tcW w:w="0" w:type="dxa"/>
            <w:vAlign w:val="bottom"/>
          </w:tcPr>
          <w:p>
            <w:pPr>
              <w:spacing w:after="0"/>
              <w:rPr>
                <w:sz w:val="1"/>
                <w:szCs w:val="1"/>
                <w:color w:val="auto"/>
              </w:rPr>
            </w:pPr>
          </w:p>
        </w:tc>
      </w:tr>
      <w:tr>
        <w:trPr>
          <w:trHeight w:val="108"/>
        </w:trPr>
        <w:tc>
          <w:tcPr>
            <w:tcW w:w="580" w:type="dxa"/>
            <w:vAlign w:val="bottom"/>
          </w:tcPr>
          <w:p>
            <w:pPr>
              <w:jc w:val="right"/>
              <w:spacing w:after="0" w:line="108" w:lineRule="exact"/>
              <w:rPr>
                <w:sz w:val="20"/>
                <w:szCs w:val="20"/>
                <w:color w:val="auto"/>
              </w:rPr>
            </w:pPr>
            <w:r>
              <w:rPr>
                <w:rFonts w:ascii="Arial" w:cs="Arial" w:eastAsia="Arial" w:hAnsi="Arial"/>
                <w:sz w:val="10"/>
                <w:szCs w:val="10"/>
                <w:color w:val="auto"/>
              </w:rPr>
              <w:t>—</w:t>
            </w: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gridSpan w:val="2"/>
          </w:tcPr>
          <w:p>
            <w:pPr>
              <w:jc w:val="right"/>
              <w:ind w:right="220"/>
              <w:spacing w:after="0" w:line="108" w:lineRule="exact"/>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76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33,868</w:t>
            </w:r>
          </w:p>
        </w:tc>
        <w:tc>
          <w:tcPr>
            <w:tcW w:w="80" w:type="dxa"/>
            <w:vAlign w:val="bottom"/>
          </w:tcPr>
          <w:p>
            <w:pPr>
              <w:spacing w:after="0"/>
              <w:rPr>
                <w:sz w:val="9"/>
                <w:szCs w:val="9"/>
                <w:color w:val="auto"/>
              </w:rPr>
            </w:pPr>
          </w:p>
        </w:tc>
        <w:tc>
          <w:tcPr>
            <w:tcW w:w="820" w:type="dxa"/>
            <w:vAlign w:val="bottom"/>
            <w:gridSpan w:val="2"/>
          </w:tcPr>
          <w:p>
            <w:pPr>
              <w:jc w:val="right"/>
              <w:ind w:right="178"/>
              <w:spacing w:after="0" w:line="108" w:lineRule="exact"/>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740" w:type="dxa"/>
            <w:vAlign w:val="bottom"/>
            <w:gridSpan w:val="2"/>
          </w:tcPr>
          <w:p>
            <w:pPr>
              <w:jc w:val="right"/>
              <w:ind w:right="120"/>
              <w:spacing w:after="0" w:line="108"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gridSpan w:val="2"/>
          </w:tcPr>
          <w:p>
            <w:pPr>
              <w:jc w:val="right"/>
              <w:ind w:right="98"/>
              <w:spacing w:after="0" w:line="108" w:lineRule="exact"/>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gridSpan w:val="2"/>
          </w:tcPr>
          <w:p>
            <w:pPr>
              <w:jc w:val="right"/>
              <w:ind w:right="40"/>
              <w:spacing w:after="0" w:line="108" w:lineRule="exact"/>
              <w:rPr>
                <w:sz w:val="20"/>
                <w:szCs w:val="20"/>
                <w:color w:val="auto"/>
              </w:rPr>
            </w:pPr>
            <w:r>
              <w:rPr>
                <w:rFonts w:ascii="Arial" w:cs="Arial" w:eastAsia="Arial" w:hAnsi="Arial"/>
                <w:sz w:val="10"/>
                <w:szCs w:val="10"/>
                <w:color w:val="auto"/>
              </w:rPr>
              <w:t>33,868</w:t>
            </w:r>
          </w:p>
        </w:tc>
        <w:tc>
          <w:tcPr>
            <w:tcW w:w="0" w:type="dxa"/>
            <w:vAlign w:val="bottom"/>
          </w:tcPr>
          <w:p>
            <w:pPr>
              <w:spacing w:after="0"/>
              <w:rPr>
                <w:sz w:val="1"/>
                <w:szCs w:val="1"/>
                <w:color w:val="auto"/>
              </w:rPr>
            </w:pPr>
          </w:p>
        </w:tc>
      </w:tr>
      <w:tr>
        <w:trPr>
          <w:trHeight w:val="108"/>
        </w:trPr>
        <w:tc>
          <w:tcPr>
            <w:tcW w:w="580" w:type="dxa"/>
            <w:vAlign w:val="bottom"/>
          </w:tcPr>
          <w:p>
            <w:pPr>
              <w:jc w:val="right"/>
              <w:spacing w:after="0" w:line="108" w:lineRule="exact"/>
              <w:rPr>
                <w:sz w:val="20"/>
                <w:szCs w:val="20"/>
                <w:color w:val="auto"/>
              </w:rPr>
            </w:pPr>
            <w:r>
              <w:rPr>
                <w:rFonts w:ascii="Arial" w:cs="Arial" w:eastAsia="Arial" w:hAnsi="Arial"/>
                <w:sz w:val="10"/>
                <w:szCs w:val="10"/>
                <w:color w:val="auto"/>
              </w:rPr>
              <w:t>—</w:t>
            </w: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gridSpan w:val="2"/>
          </w:tcPr>
          <w:p>
            <w:pPr>
              <w:jc w:val="right"/>
              <w:ind w:right="220"/>
              <w:spacing w:after="0" w:line="108" w:lineRule="exact"/>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76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737,493</w:t>
            </w:r>
          </w:p>
        </w:tc>
        <w:tc>
          <w:tcPr>
            <w:tcW w:w="80" w:type="dxa"/>
            <w:vAlign w:val="bottom"/>
          </w:tcPr>
          <w:p>
            <w:pPr>
              <w:spacing w:after="0"/>
              <w:rPr>
                <w:sz w:val="9"/>
                <w:szCs w:val="9"/>
                <w:color w:val="auto"/>
              </w:rPr>
            </w:pPr>
          </w:p>
        </w:tc>
        <w:tc>
          <w:tcPr>
            <w:tcW w:w="820" w:type="dxa"/>
            <w:vAlign w:val="bottom"/>
            <w:gridSpan w:val="2"/>
          </w:tcPr>
          <w:p>
            <w:pPr>
              <w:jc w:val="right"/>
              <w:ind w:right="178"/>
              <w:spacing w:after="0" w:line="108" w:lineRule="exact"/>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740" w:type="dxa"/>
            <w:vAlign w:val="bottom"/>
            <w:gridSpan w:val="2"/>
          </w:tcPr>
          <w:p>
            <w:pPr>
              <w:jc w:val="right"/>
              <w:ind w:right="120"/>
              <w:spacing w:after="0" w:line="108"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gridSpan w:val="2"/>
          </w:tcPr>
          <w:p>
            <w:pPr>
              <w:jc w:val="right"/>
              <w:ind w:right="58"/>
              <w:spacing w:after="0" w:line="108" w:lineRule="exact"/>
              <w:rPr>
                <w:sz w:val="20"/>
                <w:szCs w:val="20"/>
                <w:color w:val="auto"/>
              </w:rPr>
            </w:pPr>
            <w:r>
              <w:rPr>
                <w:rFonts w:ascii="Arial" w:cs="Arial" w:eastAsia="Arial" w:hAnsi="Arial"/>
                <w:sz w:val="10"/>
                <w:szCs w:val="10"/>
                <w:color w:val="auto"/>
              </w:rPr>
              <w:t>(737,493)</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gridSpan w:val="2"/>
          </w:tcPr>
          <w:p>
            <w:pPr>
              <w:jc w:val="right"/>
              <w:ind w:right="40"/>
              <w:spacing w:after="0" w:line="108" w:lineRule="exact"/>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08"/>
        </w:trPr>
        <w:tc>
          <w:tcPr>
            <w:tcW w:w="580" w:type="dxa"/>
            <w:vAlign w:val="bottom"/>
          </w:tcPr>
          <w:p>
            <w:pPr>
              <w:jc w:val="right"/>
              <w:spacing w:after="0" w:line="108" w:lineRule="exact"/>
              <w:rPr>
                <w:sz w:val="20"/>
                <w:szCs w:val="20"/>
                <w:color w:val="auto"/>
              </w:rPr>
            </w:pPr>
            <w:r>
              <w:rPr>
                <w:rFonts w:ascii="Arial" w:cs="Arial" w:eastAsia="Arial" w:hAnsi="Arial"/>
                <w:sz w:val="10"/>
                <w:szCs w:val="10"/>
                <w:color w:val="auto"/>
              </w:rPr>
              <w:t>—</w:t>
            </w: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gridSpan w:val="2"/>
          </w:tcPr>
          <w:p>
            <w:pPr>
              <w:jc w:val="right"/>
              <w:ind w:right="220"/>
              <w:spacing w:after="0" w:line="108" w:lineRule="exact"/>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76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820" w:type="dxa"/>
            <w:vAlign w:val="bottom"/>
            <w:gridSpan w:val="2"/>
          </w:tcPr>
          <w:p>
            <w:pPr>
              <w:jc w:val="right"/>
              <w:ind w:right="178"/>
              <w:spacing w:after="0" w:line="108" w:lineRule="exact"/>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740" w:type="dxa"/>
            <w:vAlign w:val="bottom"/>
            <w:gridSpan w:val="2"/>
          </w:tcPr>
          <w:p>
            <w:pPr>
              <w:jc w:val="right"/>
              <w:ind w:right="120"/>
              <w:spacing w:after="0" w:line="108"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gridSpan w:val="2"/>
          </w:tcPr>
          <w:p>
            <w:pPr>
              <w:jc w:val="right"/>
              <w:ind w:right="98"/>
              <w:spacing w:after="0" w:line="108" w:lineRule="exact"/>
              <w:rPr>
                <w:sz w:val="20"/>
                <w:szCs w:val="20"/>
                <w:color w:val="auto"/>
              </w:rPr>
            </w:pPr>
            <w:r>
              <w:rPr>
                <w:rFonts w:ascii="Arial" w:cs="Arial" w:eastAsia="Arial" w:hAnsi="Arial"/>
                <w:sz w:val="10"/>
                <w:szCs w:val="10"/>
                <w:color w:val="auto"/>
              </w:rPr>
              <w:t>829,569</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gridSpan w:val="2"/>
          </w:tcPr>
          <w:p>
            <w:pPr>
              <w:jc w:val="right"/>
              <w:ind w:right="40"/>
              <w:spacing w:after="0" w:line="108" w:lineRule="exact"/>
              <w:rPr>
                <w:sz w:val="20"/>
                <w:szCs w:val="20"/>
                <w:color w:val="auto"/>
              </w:rPr>
            </w:pPr>
            <w:r>
              <w:rPr>
                <w:rFonts w:ascii="Arial" w:cs="Arial" w:eastAsia="Arial" w:hAnsi="Arial"/>
                <w:sz w:val="10"/>
                <w:szCs w:val="10"/>
                <w:color w:val="auto"/>
              </w:rPr>
              <w:t>829,569</w:t>
            </w:r>
          </w:p>
        </w:tc>
        <w:tc>
          <w:tcPr>
            <w:tcW w:w="0" w:type="dxa"/>
            <w:vAlign w:val="bottom"/>
          </w:tcPr>
          <w:p>
            <w:pPr>
              <w:spacing w:after="0"/>
              <w:rPr>
                <w:sz w:val="1"/>
                <w:szCs w:val="1"/>
                <w:color w:val="auto"/>
              </w:rPr>
            </w:pPr>
          </w:p>
        </w:tc>
      </w:tr>
      <w:tr>
        <w:trPr>
          <w:trHeight w:val="121"/>
        </w:trPr>
        <w:tc>
          <w:tcPr>
            <w:tcW w:w="580" w:type="dxa"/>
            <w:vAlign w:val="bottom"/>
          </w:tcPr>
          <w:p>
            <w:pPr>
              <w:jc w:val="right"/>
              <w:spacing w:after="0"/>
              <w:rPr>
                <w:sz w:val="20"/>
                <w:szCs w:val="20"/>
                <w:color w:val="auto"/>
              </w:rPr>
            </w:pPr>
            <w:r>
              <w:rPr>
                <w:rFonts w:ascii="Arial" w:cs="Arial" w:eastAsia="Arial" w:hAnsi="Arial"/>
                <w:sz w:val="10"/>
                <w:szCs w:val="10"/>
                <w:color w:val="auto"/>
              </w:rPr>
              <w:t>—</w:t>
            </w: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0"/>
                <w:szCs w:val="10"/>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0"/>
                <w:szCs w:val="10"/>
                <w:color w:val="auto"/>
              </w:rPr>
            </w:pPr>
          </w:p>
        </w:tc>
        <w:tc>
          <w:tcPr>
            <w:tcW w:w="820" w:type="dxa"/>
            <w:vAlign w:val="bottom"/>
            <w:gridSpan w:val="2"/>
          </w:tcPr>
          <w:p>
            <w:pPr>
              <w:jc w:val="right"/>
              <w:ind w:right="138"/>
              <w:spacing w:after="0"/>
              <w:rPr>
                <w:sz w:val="20"/>
                <w:szCs w:val="20"/>
                <w:color w:val="auto"/>
              </w:rPr>
            </w:pPr>
            <w:r>
              <w:rPr>
                <w:rFonts w:ascii="Arial" w:cs="Arial" w:eastAsia="Arial" w:hAnsi="Arial"/>
                <w:sz w:val="10"/>
                <w:szCs w:val="10"/>
                <w:color w:val="auto"/>
              </w:rPr>
              <w:t>(15,330,299)</w:t>
            </w:r>
          </w:p>
        </w:tc>
        <w:tc>
          <w:tcPr>
            <w:tcW w:w="60" w:type="dxa"/>
            <w:vAlign w:val="bottom"/>
          </w:tcPr>
          <w:p>
            <w:pPr>
              <w:spacing w:after="0"/>
              <w:rPr>
                <w:sz w:val="10"/>
                <w:szCs w:val="10"/>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gridSpan w:val="2"/>
          </w:tcPr>
          <w:p>
            <w:pPr>
              <w:jc w:val="right"/>
              <w:ind w:right="98"/>
              <w:spacing w:after="0"/>
              <w:rPr>
                <w:sz w:val="20"/>
                <w:szCs w:val="20"/>
                <w:color w:val="auto"/>
              </w:rPr>
            </w:pPr>
            <w:r>
              <w:rPr>
                <w:rFonts w:ascii="Arial" w:cs="Arial" w:eastAsia="Arial" w:hAnsi="Arial"/>
                <w:sz w:val="10"/>
                <w:szCs w:val="10"/>
                <w:color w:val="auto"/>
              </w:rPr>
              <w:t>—</w:t>
            </w:r>
          </w:p>
        </w:tc>
        <w:tc>
          <w:tcPr>
            <w:tcW w:w="160" w:type="dxa"/>
            <w:vAlign w:val="bottom"/>
            <w:gridSpan w:val="2"/>
          </w:tcPr>
          <w:p>
            <w:pPr>
              <w:jc w:val="right"/>
              <w:spacing w:after="0"/>
              <w:rPr>
                <w:sz w:val="20"/>
                <w:szCs w:val="20"/>
                <w:color w:val="auto"/>
              </w:rPr>
            </w:pPr>
            <w:r>
              <w:rPr>
                <w:rFonts w:ascii="Arial" w:cs="Arial" w:eastAsia="Arial" w:hAnsi="Arial"/>
                <w:sz w:val="10"/>
                <w:szCs w:val="10"/>
                <w:color w:val="auto"/>
              </w:rPr>
              <w:t>$</w:t>
            </w:r>
          </w:p>
        </w:tc>
        <w:tc>
          <w:tcPr>
            <w:tcW w:w="580" w:type="dxa"/>
            <w:vAlign w:val="bottom"/>
            <w:gridSpan w:val="2"/>
          </w:tcPr>
          <w:p>
            <w:pPr>
              <w:jc w:val="right"/>
              <w:spacing w:after="0"/>
              <w:rPr>
                <w:sz w:val="20"/>
                <w:szCs w:val="20"/>
                <w:color w:val="auto"/>
              </w:rPr>
            </w:pPr>
            <w:r>
              <w:rPr>
                <w:rFonts w:ascii="Arial" w:cs="Arial" w:eastAsia="Arial" w:hAnsi="Arial"/>
                <w:sz w:val="10"/>
                <w:szCs w:val="10"/>
                <w:color w:val="auto"/>
                <w:w w:val="98"/>
              </w:rPr>
              <w:t>(15,330,299)</w:t>
            </w:r>
          </w:p>
        </w:tc>
        <w:tc>
          <w:tcPr>
            <w:tcW w:w="0" w:type="dxa"/>
            <w:vAlign w:val="bottom"/>
          </w:tcPr>
          <w:p>
            <w:pPr>
              <w:spacing w:after="0"/>
              <w:rPr>
                <w:sz w:val="1"/>
                <w:szCs w:val="1"/>
                <w:color w:val="auto"/>
              </w:rPr>
            </w:pPr>
          </w:p>
        </w:tc>
      </w:tr>
      <w:tr>
        <w:trPr>
          <w:trHeight w:val="108"/>
        </w:trPr>
        <w:tc>
          <w:tcPr>
            <w:tcW w:w="58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62,129,407</w:t>
            </w:r>
          </w:p>
        </w:tc>
        <w:tc>
          <w:tcPr>
            <w:tcW w:w="220" w:type="dxa"/>
            <w:vAlign w:val="bottom"/>
          </w:tcPr>
          <w:p>
            <w:pPr>
              <w:spacing w:after="0"/>
              <w:rPr>
                <w:sz w:val="9"/>
                <w:szCs w:val="9"/>
                <w:color w:val="auto"/>
              </w:rPr>
            </w:pPr>
          </w:p>
        </w:tc>
        <w:tc>
          <w:tcPr>
            <w:tcW w:w="6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w w:val="71"/>
              </w:rPr>
              <w:t>$</w:t>
            </w:r>
          </w:p>
        </w:tc>
        <w:tc>
          <w:tcPr>
            <w:tcW w:w="40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621,294</w:t>
            </w:r>
          </w:p>
        </w:tc>
        <w:tc>
          <w:tcPr>
            <w:tcW w:w="220" w:type="dxa"/>
            <w:vAlign w:val="bottom"/>
          </w:tcPr>
          <w:p>
            <w:pPr>
              <w:spacing w:after="0"/>
              <w:rPr>
                <w:sz w:val="9"/>
                <w:szCs w:val="9"/>
                <w:color w:val="auto"/>
              </w:rPr>
            </w:pPr>
          </w:p>
        </w:tc>
        <w:tc>
          <w:tcPr>
            <w:tcW w:w="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5"/>
                <w:szCs w:val="5"/>
                <w:color w:val="auto"/>
                <w:w w:val="70"/>
              </w:rPr>
              <w:t>$</w:t>
            </w:r>
          </w:p>
        </w:tc>
        <w:tc>
          <w:tcPr>
            <w:tcW w:w="56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w w:val="97"/>
              </w:rPr>
              <w:t>211,419,300</w:t>
            </w:r>
          </w:p>
        </w:tc>
        <w:tc>
          <w:tcPr>
            <w:tcW w:w="200" w:type="dxa"/>
            <w:vAlign w:val="bottom"/>
          </w:tcPr>
          <w:p>
            <w:pPr>
              <w:spacing w:after="0"/>
              <w:rPr>
                <w:sz w:val="9"/>
                <w:szCs w:val="9"/>
                <w:color w:val="auto"/>
              </w:rPr>
            </w:pPr>
          </w:p>
        </w:tc>
        <w:tc>
          <w:tcPr>
            <w:tcW w:w="8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w w:val="98"/>
              </w:rPr>
              <w:t>(174,205,215</w:t>
            </w:r>
          </w:p>
        </w:tc>
        <w:tc>
          <w:tcPr>
            <w:tcW w:w="220" w:type="dxa"/>
            <w:vAlign w:val="bottom"/>
          </w:tcPr>
          <w:p>
            <w:pPr>
              <w:jc w:val="right"/>
              <w:ind w:right="138"/>
              <w:spacing w:after="0"/>
              <w:rPr>
                <w:sz w:val="20"/>
                <w:szCs w:val="20"/>
                <w:color w:val="auto"/>
              </w:rPr>
            </w:pPr>
            <w:r>
              <w:rPr>
                <w:rFonts w:ascii="Arial" w:cs="Arial" w:eastAsia="Arial" w:hAnsi="Arial"/>
                <w:sz w:val="8"/>
                <w:szCs w:val="8"/>
                <w:color w:val="auto"/>
                <w:w w:val="73"/>
              </w:rPr>
              <w:t>)</w:t>
            </w:r>
          </w:p>
        </w:tc>
        <w:tc>
          <w:tcPr>
            <w:tcW w:w="6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w:t>
            </w: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Borders>
              <w:top w:val="single" w:sz="8" w:color="auto"/>
              <w:bottom w:val="single" w:sz="8" w:color="auto"/>
            </w:tcBorders>
          </w:tcPr>
          <w:p>
            <w:pPr>
              <w:spacing w:after="0" w:line="108" w:lineRule="exact"/>
              <w:rPr>
                <w:sz w:val="20"/>
                <w:szCs w:val="20"/>
                <w:color w:val="auto"/>
              </w:rPr>
            </w:pPr>
            <w:r>
              <w:rPr>
                <w:rFonts w:ascii="Arial" w:cs="Arial" w:eastAsia="Arial" w:hAnsi="Arial"/>
                <w:sz w:val="10"/>
                <w:szCs w:val="10"/>
                <w:color w:val="auto"/>
              </w:rPr>
              <w:t>$</w:t>
            </w:r>
          </w:p>
        </w:tc>
        <w:tc>
          <w:tcPr>
            <w:tcW w:w="48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(885,832</w:t>
            </w:r>
          </w:p>
        </w:tc>
        <w:tc>
          <w:tcPr>
            <w:tcW w:w="140" w:type="dxa"/>
            <w:vAlign w:val="bottom"/>
          </w:tcPr>
          <w:p>
            <w:pPr>
              <w:jc w:val="right"/>
              <w:ind w:right="58"/>
              <w:spacing w:after="0"/>
              <w:rPr>
                <w:sz w:val="20"/>
                <w:szCs w:val="20"/>
                <w:color w:val="auto"/>
              </w:rPr>
            </w:pPr>
            <w:r>
              <w:rPr>
                <w:rFonts w:ascii="Arial" w:cs="Arial" w:eastAsia="Arial" w:hAnsi="Arial"/>
                <w:sz w:val="8"/>
                <w:szCs w:val="8"/>
                <w:color w:val="auto"/>
                <w:w w:val="73"/>
              </w:rPr>
              <w:t>)</w:t>
            </w:r>
          </w:p>
        </w:tc>
        <w:tc>
          <w:tcPr>
            <w:tcW w:w="80" w:type="dxa"/>
            <w:vAlign w:val="bottom"/>
          </w:tcPr>
          <w:p>
            <w:pPr>
              <w:spacing w:after="0"/>
              <w:rPr>
                <w:sz w:val="9"/>
                <w:szCs w:val="9"/>
                <w:color w:val="auto"/>
              </w:rPr>
            </w:pPr>
          </w:p>
        </w:tc>
        <w:tc>
          <w:tcPr>
            <w:tcW w:w="8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36,949,547</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5"/>
        </w:trPr>
        <w:tc>
          <w:tcPr>
            <w:tcW w:w="580" w:type="dxa"/>
            <w:vAlign w:val="bottom"/>
          </w:tcPr>
          <w:p>
            <w:pPr>
              <w:jc w:val="right"/>
              <w:spacing w:after="0" w:line="95" w:lineRule="exact"/>
              <w:rPr>
                <w:sz w:val="20"/>
                <w:szCs w:val="20"/>
                <w:color w:val="auto"/>
              </w:rPr>
            </w:pPr>
            <w:r>
              <w:rPr>
                <w:rFonts w:ascii="Arial" w:cs="Arial" w:eastAsia="Arial" w:hAnsi="Arial"/>
                <w:sz w:val="10"/>
                <w:szCs w:val="10"/>
                <w:color w:val="auto"/>
              </w:rPr>
              <w:t>—</w:t>
            </w: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tcPr>
          <w:p>
            <w:pPr>
              <w:jc w:val="right"/>
              <w:spacing w:after="0" w:line="95" w:lineRule="exact"/>
              <w:rPr>
                <w:sz w:val="20"/>
                <w:szCs w:val="20"/>
                <w:color w:val="auto"/>
              </w:rPr>
            </w:pPr>
            <w:r>
              <w:rPr>
                <w:rFonts w:ascii="Arial" w:cs="Arial" w:eastAsia="Arial" w:hAnsi="Arial"/>
                <w:sz w:val="10"/>
                <w:szCs w:val="10"/>
                <w:color w:val="auto"/>
              </w:rPr>
              <w:t>—</w:t>
            </w: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jc w:val="right"/>
              <w:spacing w:after="0" w:line="95" w:lineRule="exact"/>
              <w:rPr>
                <w:sz w:val="20"/>
                <w:szCs w:val="20"/>
                <w:color w:val="auto"/>
              </w:rPr>
            </w:pPr>
            <w:r>
              <w:rPr>
                <w:rFonts w:ascii="Arial" w:cs="Arial" w:eastAsia="Arial" w:hAnsi="Arial"/>
                <w:sz w:val="10"/>
                <w:szCs w:val="10"/>
                <w:color w:val="auto"/>
              </w:rPr>
              <w:t>(193,946)</w:t>
            </w: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jc w:val="right"/>
              <w:spacing w:after="0" w:line="95" w:lineRule="exact"/>
              <w:rPr>
                <w:sz w:val="20"/>
                <w:szCs w:val="20"/>
                <w:color w:val="auto"/>
              </w:rPr>
            </w:pPr>
            <w:r>
              <w:rPr>
                <w:rFonts w:ascii="Arial" w:cs="Arial" w:eastAsia="Arial" w:hAnsi="Arial"/>
                <w:sz w:val="10"/>
                <w:szCs w:val="10"/>
                <w:color w:val="auto"/>
              </w:rPr>
              <w:t>—</w:t>
            </w: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tcPr>
          <w:p>
            <w:pPr>
              <w:jc w:val="right"/>
              <w:spacing w:after="0" w:line="95" w:lineRule="exact"/>
              <w:rPr>
                <w:sz w:val="20"/>
                <w:szCs w:val="20"/>
                <w:color w:val="auto"/>
              </w:rPr>
            </w:pPr>
            <w:r>
              <w:rPr>
                <w:rFonts w:ascii="Arial" w:cs="Arial" w:eastAsia="Arial" w:hAnsi="Arial"/>
                <w:sz w:val="10"/>
                <w:szCs w:val="10"/>
                <w:color w:val="auto"/>
              </w:rPr>
              <w:t>—</w:t>
            </w: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jc w:val="right"/>
              <w:spacing w:after="0" w:line="95" w:lineRule="exact"/>
              <w:rPr>
                <w:sz w:val="20"/>
                <w:szCs w:val="20"/>
                <w:color w:val="auto"/>
              </w:rPr>
            </w:pPr>
            <w:r>
              <w:rPr>
                <w:rFonts w:ascii="Arial" w:cs="Arial" w:eastAsia="Arial" w:hAnsi="Arial"/>
                <w:sz w:val="10"/>
                <w:szCs w:val="10"/>
                <w:color w:val="auto"/>
              </w:rPr>
              <w:t>—</w:t>
            </w: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jc w:val="right"/>
              <w:spacing w:after="0" w:line="95" w:lineRule="exact"/>
              <w:rPr>
                <w:sz w:val="20"/>
                <w:szCs w:val="20"/>
                <w:color w:val="auto"/>
              </w:rPr>
            </w:pPr>
            <w:r>
              <w:rPr>
                <w:rFonts w:ascii="Arial" w:cs="Arial" w:eastAsia="Arial" w:hAnsi="Arial"/>
                <w:sz w:val="10"/>
                <w:szCs w:val="10"/>
                <w:color w:val="auto"/>
              </w:rPr>
              <w:t>(193,946)</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580" w:type="dxa"/>
            <w:vAlign w:val="bottom"/>
          </w:tcPr>
          <w:p>
            <w:pPr>
              <w:jc w:val="right"/>
              <w:spacing w:after="0" w:line="108" w:lineRule="exact"/>
              <w:rPr>
                <w:sz w:val="20"/>
                <w:szCs w:val="20"/>
                <w:color w:val="auto"/>
              </w:rPr>
            </w:pPr>
            <w:r>
              <w:rPr>
                <w:rFonts w:ascii="Arial" w:cs="Arial" w:eastAsia="Arial" w:hAnsi="Arial"/>
                <w:sz w:val="10"/>
                <w:szCs w:val="10"/>
                <w:color w:val="auto"/>
              </w:rPr>
              <w:t>2,022</w:t>
            </w: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gridSpan w:val="2"/>
          </w:tcPr>
          <w:p>
            <w:pPr>
              <w:jc w:val="right"/>
              <w:ind w:right="220"/>
              <w:spacing w:after="0" w:line="108" w:lineRule="exact"/>
              <w:rPr>
                <w:sz w:val="20"/>
                <w:szCs w:val="20"/>
                <w:color w:val="auto"/>
              </w:rPr>
            </w:pPr>
            <w:r>
              <w:rPr>
                <w:rFonts w:ascii="Arial" w:cs="Arial" w:eastAsia="Arial" w:hAnsi="Arial"/>
                <w:sz w:val="10"/>
                <w:szCs w:val="10"/>
                <w:color w:val="auto"/>
              </w:rPr>
              <w:t>20</w:t>
            </w:r>
          </w:p>
        </w:tc>
        <w:tc>
          <w:tcPr>
            <w:tcW w:w="80" w:type="dxa"/>
            <w:vAlign w:val="bottom"/>
          </w:tcPr>
          <w:p>
            <w:pPr>
              <w:spacing w:after="0"/>
              <w:rPr>
                <w:sz w:val="9"/>
                <w:szCs w:val="9"/>
                <w:color w:val="auto"/>
              </w:rPr>
            </w:pPr>
          </w:p>
        </w:tc>
        <w:tc>
          <w:tcPr>
            <w:tcW w:w="76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8,310</w:t>
            </w:r>
          </w:p>
        </w:tc>
        <w:tc>
          <w:tcPr>
            <w:tcW w:w="80" w:type="dxa"/>
            <w:vAlign w:val="bottom"/>
          </w:tcPr>
          <w:p>
            <w:pPr>
              <w:spacing w:after="0"/>
              <w:rPr>
                <w:sz w:val="9"/>
                <w:szCs w:val="9"/>
                <w:color w:val="auto"/>
              </w:rPr>
            </w:pPr>
          </w:p>
        </w:tc>
        <w:tc>
          <w:tcPr>
            <w:tcW w:w="820" w:type="dxa"/>
            <w:vAlign w:val="bottom"/>
            <w:gridSpan w:val="2"/>
          </w:tcPr>
          <w:p>
            <w:pPr>
              <w:jc w:val="right"/>
              <w:ind w:right="178"/>
              <w:spacing w:after="0" w:line="108" w:lineRule="exact"/>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740" w:type="dxa"/>
            <w:vAlign w:val="bottom"/>
            <w:gridSpan w:val="2"/>
          </w:tcPr>
          <w:p>
            <w:pPr>
              <w:jc w:val="right"/>
              <w:ind w:right="120"/>
              <w:spacing w:after="0" w:line="108"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gridSpan w:val="2"/>
          </w:tcPr>
          <w:p>
            <w:pPr>
              <w:jc w:val="right"/>
              <w:ind w:right="98"/>
              <w:spacing w:after="0" w:line="108" w:lineRule="exact"/>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gridSpan w:val="2"/>
          </w:tcPr>
          <w:p>
            <w:pPr>
              <w:jc w:val="right"/>
              <w:ind w:right="40"/>
              <w:spacing w:after="0" w:line="108" w:lineRule="exact"/>
              <w:rPr>
                <w:sz w:val="20"/>
                <w:szCs w:val="20"/>
                <w:color w:val="auto"/>
              </w:rPr>
            </w:pPr>
            <w:r>
              <w:rPr>
                <w:rFonts w:ascii="Arial" w:cs="Arial" w:eastAsia="Arial" w:hAnsi="Arial"/>
                <w:sz w:val="10"/>
                <w:szCs w:val="10"/>
                <w:color w:val="auto"/>
              </w:rPr>
              <w:t>8,330</w:t>
            </w:r>
          </w:p>
        </w:tc>
        <w:tc>
          <w:tcPr>
            <w:tcW w:w="0" w:type="dxa"/>
            <w:vAlign w:val="bottom"/>
          </w:tcPr>
          <w:p>
            <w:pPr>
              <w:spacing w:after="0"/>
              <w:rPr>
                <w:sz w:val="1"/>
                <w:szCs w:val="1"/>
                <w:color w:val="auto"/>
              </w:rPr>
            </w:pPr>
          </w:p>
        </w:tc>
      </w:tr>
      <w:tr>
        <w:trPr>
          <w:trHeight w:val="108"/>
        </w:trPr>
        <w:tc>
          <w:tcPr>
            <w:tcW w:w="580" w:type="dxa"/>
            <w:vAlign w:val="bottom"/>
          </w:tcPr>
          <w:p>
            <w:pPr>
              <w:jc w:val="right"/>
              <w:spacing w:after="0" w:line="108" w:lineRule="exact"/>
              <w:rPr>
                <w:sz w:val="20"/>
                <w:szCs w:val="20"/>
                <w:color w:val="auto"/>
              </w:rPr>
            </w:pPr>
            <w:r>
              <w:rPr>
                <w:rFonts w:ascii="Arial" w:cs="Arial" w:eastAsia="Arial" w:hAnsi="Arial"/>
                <w:sz w:val="10"/>
                <w:szCs w:val="10"/>
                <w:color w:val="auto"/>
              </w:rPr>
              <w:t>28,459</w:t>
            </w: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gridSpan w:val="2"/>
          </w:tcPr>
          <w:p>
            <w:pPr>
              <w:jc w:val="right"/>
              <w:ind w:right="220"/>
              <w:spacing w:after="0" w:line="108" w:lineRule="exact"/>
              <w:rPr>
                <w:sz w:val="20"/>
                <w:szCs w:val="20"/>
                <w:color w:val="auto"/>
              </w:rPr>
            </w:pPr>
            <w:r>
              <w:rPr>
                <w:rFonts w:ascii="Arial" w:cs="Arial" w:eastAsia="Arial" w:hAnsi="Arial"/>
                <w:sz w:val="10"/>
                <w:szCs w:val="10"/>
                <w:color w:val="auto"/>
              </w:rPr>
              <w:t>285</w:t>
            </w:r>
          </w:p>
        </w:tc>
        <w:tc>
          <w:tcPr>
            <w:tcW w:w="80" w:type="dxa"/>
            <w:vAlign w:val="bottom"/>
          </w:tcPr>
          <w:p>
            <w:pPr>
              <w:spacing w:after="0"/>
              <w:rPr>
                <w:sz w:val="9"/>
                <w:szCs w:val="9"/>
                <w:color w:val="auto"/>
              </w:rPr>
            </w:pPr>
          </w:p>
        </w:tc>
        <w:tc>
          <w:tcPr>
            <w:tcW w:w="76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110,772</w:t>
            </w:r>
          </w:p>
        </w:tc>
        <w:tc>
          <w:tcPr>
            <w:tcW w:w="80" w:type="dxa"/>
            <w:vAlign w:val="bottom"/>
          </w:tcPr>
          <w:p>
            <w:pPr>
              <w:spacing w:after="0"/>
              <w:rPr>
                <w:sz w:val="9"/>
                <w:szCs w:val="9"/>
                <w:color w:val="auto"/>
              </w:rPr>
            </w:pPr>
          </w:p>
        </w:tc>
        <w:tc>
          <w:tcPr>
            <w:tcW w:w="820" w:type="dxa"/>
            <w:vAlign w:val="bottom"/>
            <w:gridSpan w:val="2"/>
          </w:tcPr>
          <w:p>
            <w:pPr>
              <w:jc w:val="right"/>
              <w:ind w:right="178"/>
              <w:spacing w:after="0" w:line="108" w:lineRule="exact"/>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740" w:type="dxa"/>
            <w:vAlign w:val="bottom"/>
            <w:gridSpan w:val="2"/>
          </w:tcPr>
          <w:p>
            <w:pPr>
              <w:jc w:val="right"/>
              <w:ind w:right="120"/>
              <w:spacing w:after="0" w:line="108"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gridSpan w:val="2"/>
          </w:tcPr>
          <w:p>
            <w:pPr>
              <w:jc w:val="right"/>
              <w:ind w:right="98"/>
              <w:spacing w:after="0" w:line="108" w:lineRule="exact"/>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gridSpan w:val="2"/>
          </w:tcPr>
          <w:p>
            <w:pPr>
              <w:jc w:val="right"/>
              <w:ind w:right="40"/>
              <w:spacing w:after="0" w:line="108" w:lineRule="exact"/>
              <w:rPr>
                <w:sz w:val="20"/>
                <w:szCs w:val="20"/>
                <w:color w:val="auto"/>
              </w:rPr>
            </w:pPr>
            <w:r>
              <w:rPr>
                <w:rFonts w:ascii="Arial" w:cs="Arial" w:eastAsia="Arial" w:hAnsi="Arial"/>
                <w:sz w:val="10"/>
                <w:szCs w:val="10"/>
                <w:color w:val="auto"/>
              </w:rPr>
              <w:t>111,057</w:t>
            </w:r>
          </w:p>
        </w:tc>
        <w:tc>
          <w:tcPr>
            <w:tcW w:w="0" w:type="dxa"/>
            <w:vAlign w:val="bottom"/>
          </w:tcPr>
          <w:p>
            <w:pPr>
              <w:spacing w:after="0"/>
              <w:rPr>
                <w:sz w:val="1"/>
                <w:szCs w:val="1"/>
                <w:color w:val="auto"/>
              </w:rPr>
            </w:pPr>
          </w:p>
        </w:tc>
      </w:tr>
      <w:tr>
        <w:trPr>
          <w:trHeight w:val="108"/>
        </w:trPr>
        <w:tc>
          <w:tcPr>
            <w:tcW w:w="580" w:type="dxa"/>
            <w:vAlign w:val="bottom"/>
          </w:tcPr>
          <w:p>
            <w:pPr>
              <w:jc w:val="right"/>
              <w:spacing w:after="0" w:line="108" w:lineRule="exact"/>
              <w:rPr>
                <w:sz w:val="20"/>
                <w:szCs w:val="20"/>
                <w:color w:val="auto"/>
              </w:rPr>
            </w:pPr>
            <w:r>
              <w:rPr>
                <w:rFonts w:ascii="Arial" w:cs="Arial" w:eastAsia="Arial" w:hAnsi="Arial"/>
                <w:sz w:val="10"/>
                <w:szCs w:val="10"/>
                <w:color w:val="auto"/>
              </w:rPr>
              <w:t>—</w:t>
            </w: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gridSpan w:val="2"/>
          </w:tcPr>
          <w:p>
            <w:pPr>
              <w:jc w:val="right"/>
              <w:ind w:right="220"/>
              <w:spacing w:after="0" w:line="108" w:lineRule="exact"/>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76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461,675</w:t>
            </w:r>
          </w:p>
        </w:tc>
        <w:tc>
          <w:tcPr>
            <w:tcW w:w="80" w:type="dxa"/>
            <w:vAlign w:val="bottom"/>
          </w:tcPr>
          <w:p>
            <w:pPr>
              <w:spacing w:after="0"/>
              <w:rPr>
                <w:sz w:val="9"/>
                <w:szCs w:val="9"/>
                <w:color w:val="auto"/>
              </w:rPr>
            </w:pPr>
          </w:p>
        </w:tc>
        <w:tc>
          <w:tcPr>
            <w:tcW w:w="820" w:type="dxa"/>
            <w:vAlign w:val="bottom"/>
            <w:gridSpan w:val="2"/>
          </w:tcPr>
          <w:p>
            <w:pPr>
              <w:jc w:val="right"/>
              <w:ind w:right="178"/>
              <w:spacing w:after="0" w:line="108" w:lineRule="exact"/>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740" w:type="dxa"/>
            <w:vAlign w:val="bottom"/>
            <w:gridSpan w:val="2"/>
          </w:tcPr>
          <w:p>
            <w:pPr>
              <w:jc w:val="right"/>
              <w:ind w:right="120"/>
              <w:spacing w:after="0" w:line="108"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gridSpan w:val="2"/>
          </w:tcPr>
          <w:p>
            <w:pPr>
              <w:jc w:val="right"/>
              <w:ind w:right="98"/>
              <w:spacing w:after="0" w:line="108" w:lineRule="exact"/>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gridSpan w:val="2"/>
          </w:tcPr>
          <w:p>
            <w:pPr>
              <w:jc w:val="right"/>
              <w:ind w:right="40"/>
              <w:spacing w:after="0" w:line="108" w:lineRule="exact"/>
              <w:rPr>
                <w:sz w:val="20"/>
                <w:szCs w:val="20"/>
                <w:color w:val="auto"/>
              </w:rPr>
            </w:pPr>
            <w:r>
              <w:rPr>
                <w:rFonts w:ascii="Arial" w:cs="Arial" w:eastAsia="Arial" w:hAnsi="Arial"/>
                <w:sz w:val="10"/>
                <w:szCs w:val="10"/>
                <w:color w:val="auto"/>
              </w:rPr>
              <w:t>461,675</w:t>
            </w:r>
          </w:p>
        </w:tc>
        <w:tc>
          <w:tcPr>
            <w:tcW w:w="0" w:type="dxa"/>
            <w:vAlign w:val="bottom"/>
          </w:tcPr>
          <w:p>
            <w:pPr>
              <w:spacing w:after="0"/>
              <w:rPr>
                <w:sz w:val="1"/>
                <w:szCs w:val="1"/>
                <w:color w:val="auto"/>
              </w:rPr>
            </w:pPr>
          </w:p>
        </w:tc>
      </w:tr>
      <w:tr>
        <w:trPr>
          <w:trHeight w:val="108"/>
        </w:trPr>
        <w:tc>
          <w:tcPr>
            <w:tcW w:w="580" w:type="dxa"/>
            <w:vAlign w:val="bottom"/>
          </w:tcPr>
          <w:p>
            <w:pPr>
              <w:jc w:val="right"/>
              <w:spacing w:after="0" w:line="108" w:lineRule="exact"/>
              <w:rPr>
                <w:sz w:val="20"/>
                <w:szCs w:val="20"/>
                <w:color w:val="auto"/>
              </w:rPr>
            </w:pPr>
            <w:r>
              <w:rPr>
                <w:rFonts w:ascii="Arial" w:cs="Arial" w:eastAsia="Arial" w:hAnsi="Arial"/>
                <w:sz w:val="10"/>
                <w:szCs w:val="10"/>
                <w:color w:val="auto"/>
              </w:rPr>
              <w:t>393,509</w:t>
            </w: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gridSpan w:val="2"/>
          </w:tcPr>
          <w:p>
            <w:pPr>
              <w:jc w:val="right"/>
              <w:ind w:right="220"/>
              <w:spacing w:after="0" w:line="108" w:lineRule="exact"/>
              <w:rPr>
                <w:sz w:val="20"/>
                <w:szCs w:val="20"/>
                <w:color w:val="auto"/>
              </w:rPr>
            </w:pPr>
            <w:r>
              <w:rPr>
                <w:rFonts w:ascii="Arial" w:cs="Arial" w:eastAsia="Arial" w:hAnsi="Arial"/>
                <w:sz w:val="10"/>
                <w:szCs w:val="10"/>
                <w:color w:val="auto"/>
              </w:rPr>
              <w:t>3,935</w:t>
            </w:r>
          </w:p>
        </w:tc>
        <w:tc>
          <w:tcPr>
            <w:tcW w:w="80" w:type="dxa"/>
            <w:vAlign w:val="bottom"/>
          </w:tcPr>
          <w:p>
            <w:pPr>
              <w:spacing w:after="0"/>
              <w:rPr>
                <w:sz w:val="9"/>
                <w:szCs w:val="9"/>
                <w:color w:val="auto"/>
              </w:rPr>
            </w:pPr>
          </w:p>
        </w:tc>
        <w:tc>
          <w:tcPr>
            <w:tcW w:w="76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733,753</w:t>
            </w:r>
          </w:p>
        </w:tc>
        <w:tc>
          <w:tcPr>
            <w:tcW w:w="80" w:type="dxa"/>
            <w:vAlign w:val="bottom"/>
          </w:tcPr>
          <w:p>
            <w:pPr>
              <w:spacing w:after="0"/>
              <w:rPr>
                <w:sz w:val="9"/>
                <w:szCs w:val="9"/>
                <w:color w:val="auto"/>
              </w:rPr>
            </w:pPr>
          </w:p>
        </w:tc>
        <w:tc>
          <w:tcPr>
            <w:tcW w:w="820" w:type="dxa"/>
            <w:vAlign w:val="bottom"/>
            <w:gridSpan w:val="2"/>
          </w:tcPr>
          <w:p>
            <w:pPr>
              <w:jc w:val="right"/>
              <w:ind w:right="178"/>
              <w:spacing w:after="0" w:line="108" w:lineRule="exact"/>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740" w:type="dxa"/>
            <w:vAlign w:val="bottom"/>
            <w:gridSpan w:val="2"/>
          </w:tcPr>
          <w:p>
            <w:pPr>
              <w:jc w:val="right"/>
              <w:ind w:right="120"/>
              <w:spacing w:after="0" w:line="108"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gridSpan w:val="2"/>
          </w:tcPr>
          <w:p>
            <w:pPr>
              <w:jc w:val="right"/>
              <w:ind w:right="98"/>
              <w:spacing w:after="0" w:line="108" w:lineRule="exact"/>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gridSpan w:val="2"/>
          </w:tcPr>
          <w:p>
            <w:pPr>
              <w:jc w:val="right"/>
              <w:ind w:right="40"/>
              <w:spacing w:after="0" w:line="108" w:lineRule="exact"/>
              <w:rPr>
                <w:sz w:val="20"/>
                <w:szCs w:val="20"/>
                <w:color w:val="auto"/>
              </w:rPr>
            </w:pPr>
            <w:r>
              <w:rPr>
                <w:rFonts w:ascii="Arial" w:cs="Arial" w:eastAsia="Arial" w:hAnsi="Arial"/>
                <w:sz w:val="10"/>
                <w:szCs w:val="10"/>
                <w:color w:val="auto"/>
              </w:rPr>
              <w:t>737,688</w:t>
            </w:r>
          </w:p>
        </w:tc>
        <w:tc>
          <w:tcPr>
            <w:tcW w:w="0" w:type="dxa"/>
            <w:vAlign w:val="bottom"/>
          </w:tcPr>
          <w:p>
            <w:pPr>
              <w:spacing w:after="0"/>
              <w:rPr>
                <w:sz w:val="1"/>
                <w:szCs w:val="1"/>
                <w:color w:val="auto"/>
              </w:rPr>
            </w:pPr>
          </w:p>
        </w:tc>
      </w:tr>
      <w:tr>
        <w:trPr>
          <w:trHeight w:val="108"/>
        </w:trPr>
        <w:tc>
          <w:tcPr>
            <w:tcW w:w="580" w:type="dxa"/>
            <w:vAlign w:val="bottom"/>
          </w:tcPr>
          <w:p>
            <w:pPr>
              <w:jc w:val="right"/>
              <w:spacing w:after="0" w:line="108" w:lineRule="exact"/>
              <w:rPr>
                <w:sz w:val="20"/>
                <w:szCs w:val="20"/>
                <w:color w:val="auto"/>
              </w:rPr>
            </w:pPr>
            <w:r>
              <w:rPr>
                <w:rFonts w:ascii="Arial" w:cs="Arial" w:eastAsia="Arial" w:hAnsi="Arial"/>
                <w:sz w:val="10"/>
                <w:szCs w:val="10"/>
                <w:color w:val="auto"/>
              </w:rPr>
              <w:t>2,842,625</w:t>
            </w: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gridSpan w:val="2"/>
          </w:tcPr>
          <w:p>
            <w:pPr>
              <w:jc w:val="right"/>
              <w:ind w:right="220"/>
              <w:spacing w:after="0" w:line="108" w:lineRule="exact"/>
              <w:rPr>
                <w:sz w:val="20"/>
                <w:szCs w:val="20"/>
                <w:color w:val="auto"/>
              </w:rPr>
            </w:pPr>
            <w:r>
              <w:rPr>
                <w:rFonts w:ascii="Arial" w:cs="Arial" w:eastAsia="Arial" w:hAnsi="Arial"/>
                <w:sz w:val="10"/>
                <w:szCs w:val="10"/>
                <w:color w:val="auto"/>
              </w:rPr>
              <w:t>28,426</w:t>
            </w:r>
          </w:p>
        </w:tc>
        <w:tc>
          <w:tcPr>
            <w:tcW w:w="80" w:type="dxa"/>
            <w:vAlign w:val="bottom"/>
          </w:tcPr>
          <w:p>
            <w:pPr>
              <w:spacing w:after="0"/>
              <w:rPr>
                <w:sz w:val="9"/>
                <w:szCs w:val="9"/>
                <w:color w:val="auto"/>
              </w:rPr>
            </w:pPr>
          </w:p>
        </w:tc>
        <w:tc>
          <w:tcPr>
            <w:tcW w:w="76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5,910,680</w:t>
            </w:r>
          </w:p>
        </w:tc>
        <w:tc>
          <w:tcPr>
            <w:tcW w:w="80" w:type="dxa"/>
            <w:vAlign w:val="bottom"/>
          </w:tcPr>
          <w:p>
            <w:pPr>
              <w:spacing w:after="0"/>
              <w:rPr>
                <w:sz w:val="9"/>
                <w:szCs w:val="9"/>
                <w:color w:val="auto"/>
              </w:rPr>
            </w:pPr>
          </w:p>
        </w:tc>
        <w:tc>
          <w:tcPr>
            <w:tcW w:w="820" w:type="dxa"/>
            <w:vAlign w:val="bottom"/>
            <w:gridSpan w:val="2"/>
          </w:tcPr>
          <w:p>
            <w:pPr>
              <w:jc w:val="right"/>
              <w:ind w:right="178"/>
              <w:spacing w:after="0" w:line="108" w:lineRule="exact"/>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740" w:type="dxa"/>
            <w:vAlign w:val="bottom"/>
            <w:gridSpan w:val="2"/>
          </w:tcPr>
          <w:p>
            <w:pPr>
              <w:jc w:val="right"/>
              <w:ind w:right="120"/>
              <w:spacing w:after="0" w:line="108"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gridSpan w:val="2"/>
          </w:tcPr>
          <w:p>
            <w:pPr>
              <w:jc w:val="right"/>
              <w:ind w:right="98"/>
              <w:spacing w:after="0" w:line="108" w:lineRule="exact"/>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jc w:val="right"/>
              <w:spacing w:after="0" w:line="108" w:lineRule="exact"/>
              <w:rPr>
                <w:sz w:val="20"/>
                <w:szCs w:val="20"/>
                <w:color w:val="auto"/>
              </w:rPr>
            </w:pPr>
            <w:r>
              <w:rPr>
                <w:rFonts w:ascii="Arial" w:cs="Arial" w:eastAsia="Arial" w:hAnsi="Arial"/>
                <w:sz w:val="10"/>
                <w:szCs w:val="10"/>
                <w:color w:val="auto"/>
              </w:rPr>
              <w:t>5,939,106</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580" w:type="dxa"/>
            <w:vAlign w:val="bottom"/>
          </w:tcPr>
          <w:p>
            <w:pPr>
              <w:jc w:val="right"/>
              <w:spacing w:after="0" w:line="108" w:lineRule="exact"/>
              <w:rPr>
                <w:sz w:val="20"/>
                <w:szCs w:val="20"/>
                <w:color w:val="auto"/>
              </w:rPr>
            </w:pPr>
            <w:r>
              <w:rPr>
                <w:rFonts w:ascii="Arial" w:cs="Arial" w:eastAsia="Arial" w:hAnsi="Arial"/>
                <w:sz w:val="10"/>
                <w:szCs w:val="10"/>
                <w:color w:val="auto"/>
              </w:rPr>
              <w:t>—</w:t>
            </w: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gridSpan w:val="2"/>
          </w:tcPr>
          <w:p>
            <w:pPr>
              <w:jc w:val="right"/>
              <w:ind w:right="220"/>
              <w:spacing w:after="0" w:line="108" w:lineRule="exact"/>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76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(531,208)</w:t>
            </w:r>
          </w:p>
        </w:tc>
        <w:tc>
          <w:tcPr>
            <w:tcW w:w="80" w:type="dxa"/>
            <w:vAlign w:val="bottom"/>
          </w:tcPr>
          <w:p>
            <w:pPr>
              <w:spacing w:after="0"/>
              <w:rPr>
                <w:sz w:val="9"/>
                <w:szCs w:val="9"/>
                <w:color w:val="auto"/>
              </w:rPr>
            </w:pPr>
          </w:p>
        </w:tc>
        <w:tc>
          <w:tcPr>
            <w:tcW w:w="820" w:type="dxa"/>
            <w:vAlign w:val="bottom"/>
            <w:gridSpan w:val="2"/>
          </w:tcPr>
          <w:p>
            <w:pPr>
              <w:jc w:val="right"/>
              <w:ind w:right="178"/>
              <w:spacing w:after="0" w:line="108" w:lineRule="exact"/>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740" w:type="dxa"/>
            <w:vAlign w:val="bottom"/>
            <w:gridSpan w:val="2"/>
          </w:tcPr>
          <w:p>
            <w:pPr>
              <w:jc w:val="right"/>
              <w:ind w:right="120"/>
              <w:spacing w:after="0" w:line="108"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gridSpan w:val="2"/>
          </w:tcPr>
          <w:p>
            <w:pPr>
              <w:jc w:val="right"/>
              <w:ind w:right="98"/>
              <w:spacing w:after="0" w:line="108" w:lineRule="exact"/>
              <w:rPr>
                <w:sz w:val="20"/>
                <w:szCs w:val="20"/>
                <w:color w:val="auto"/>
              </w:rPr>
            </w:pPr>
            <w:r>
              <w:rPr>
                <w:rFonts w:ascii="Arial" w:cs="Arial" w:eastAsia="Arial" w:hAnsi="Arial"/>
                <w:sz w:val="10"/>
                <w:szCs w:val="10"/>
                <w:color w:val="auto"/>
              </w:rPr>
              <w:t>531,208</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gridSpan w:val="2"/>
          </w:tcPr>
          <w:p>
            <w:pPr>
              <w:jc w:val="right"/>
              <w:ind w:right="40"/>
              <w:spacing w:after="0" w:line="108" w:lineRule="exact"/>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08"/>
        </w:trPr>
        <w:tc>
          <w:tcPr>
            <w:tcW w:w="580" w:type="dxa"/>
            <w:vAlign w:val="bottom"/>
          </w:tcPr>
          <w:p>
            <w:pPr>
              <w:jc w:val="right"/>
              <w:spacing w:after="0" w:line="108" w:lineRule="exact"/>
              <w:rPr>
                <w:sz w:val="20"/>
                <w:szCs w:val="20"/>
                <w:color w:val="auto"/>
              </w:rPr>
            </w:pPr>
            <w:r>
              <w:rPr>
                <w:rFonts w:ascii="Arial" w:cs="Arial" w:eastAsia="Arial" w:hAnsi="Arial"/>
                <w:sz w:val="10"/>
                <w:szCs w:val="10"/>
                <w:color w:val="auto"/>
              </w:rPr>
              <w:t>—</w:t>
            </w: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gridSpan w:val="2"/>
          </w:tcPr>
          <w:p>
            <w:pPr>
              <w:jc w:val="right"/>
              <w:ind w:right="220"/>
              <w:spacing w:after="0" w:line="108" w:lineRule="exact"/>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76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820" w:type="dxa"/>
            <w:vAlign w:val="bottom"/>
            <w:gridSpan w:val="2"/>
          </w:tcPr>
          <w:p>
            <w:pPr>
              <w:jc w:val="right"/>
              <w:ind w:right="178"/>
              <w:spacing w:after="0" w:line="108" w:lineRule="exact"/>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740" w:type="dxa"/>
            <w:vAlign w:val="bottom"/>
            <w:gridSpan w:val="2"/>
          </w:tcPr>
          <w:p>
            <w:pPr>
              <w:jc w:val="right"/>
              <w:ind w:right="120"/>
              <w:spacing w:after="0" w:line="108"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gridSpan w:val="2"/>
          </w:tcPr>
          <w:p>
            <w:pPr>
              <w:jc w:val="right"/>
              <w:ind w:right="98"/>
              <w:spacing w:after="0" w:line="108" w:lineRule="exact"/>
              <w:rPr>
                <w:sz w:val="20"/>
                <w:szCs w:val="20"/>
                <w:color w:val="auto"/>
              </w:rPr>
            </w:pPr>
            <w:r>
              <w:rPr>
                <w:rFonts w:ascii="Arial" w:cs="Arial" w:eastAsia="Arial" w:hAnsi="Arial"/>
                <w:sz w:val="10"/>
                <w:szCs w:val="10"/>
                <w:color w:val="auto"/>
              </w:rPr>
              <w:t>354,624</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gridSpan w:val="2"/>
          </w:tcPr>
          <w:p>
            <w:pPr>
              <w:jc w:val="right"/>
              <w:ind w:right="40"/>
              <w:spacing w:after="0" w:line="108" w:lineRule="exact"/>
              <w:rPr>
                <w:sz w:val="20"/>
                <w:szCs w:val="20"/>
                <w:color w:val="auto"/>
              </w:rPr>
            </w:pPr>
            <w:r>
              <w:rPr>
                <w:rFonts w:ascii="Arial" w:cs="Arial" w:eastAsia="Arial" w:hAnsi="Arial"/>
                <w:sz w:val="10"/>
                <w:szCs w:val="10"/>
                <w:color w:val="auto"/>
              </w:rPr>
              <w:t>354,624</w:t>
            </w:r>
          </w:p>
        </w:tc>
        <w:tc>
          <w:tcPr>
            <w:tcW w:w="0" w:type="dxa"/>
            <w:vAlign w:val="bottom"/>
          </w:tcPr>
          <w:p>
            <w:pPr>
              <w:spacing w:after="0"/>
              <w:rPr>
                <w:sz w:val="1"/>
                <w:szCs w:val="1"/>
                <w:color w:val="auto"/>
              </w:rPr>
            </w:pPr>
          </w:p>
        </w:tc>
      </w:tr>
      <w:tr>
        <w:trPr>
          <w:trHeight w:val="108"/>
        </w:trPr>
        <w:tc>
          <w:tcPr>
            <w:tcW w:w="580" w:type="dxa"/>
            <w:vAlign w:val="bottom"/>
          </w:tcPr>
          <w:p>
            <w:pPr>
              <w:jc w:val="right"/>
              <w:spacing w:after="0" w:line="108" w:lineRule="exact"/>
              <w:rPr>
                <w:sz w:val="20"/>
                <w:szCs w:val="20"/>
                <w:color w:val="auto"/>
              </w:rPr>
            </w:pPr>
            <w:r>
              <w:rPr>
                <w:rFonts w:ascii="Arial" w:cs="Arial" w:eastAsia="Arial" w:hAnsi="Arial"/>
                <w:sz w:val="10"/>
                <w:szCs w:val="10"/>
                <w:color w:val="auto"/>
              </w:rPr>
              <w:t>—</w:t>
            </w: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gridSpan w:val="2"/>
          </w:tcPr>
          <w:p>
            <w:pPr>
              <w:jc w:val="right"/>
              <w:ind w:right="220"/>
              <w:spacing w:after="0" w:line="108" w:lineRule="exact"/>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76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820" w:type="dxa"/>
            <w:vAlign w:val="bottom"/>
            <w:gridSpan w:val="2"/>
          </w:tcPr>
          <w:p>
            <w:pPr>
              <w:jc w:val="right"/>
              <w:ind w:right="178"/>
              <w:spacing w:after="0" w:line="108" w:lineRule="exact"/>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740" w:type="dxa"/>
            <w:vAlign w:val="bottom"/>
            <w:gridSpan w:val="2"/>
          </w:tcPr>
          <w:p>
            <w:pPr>
              <w:jc w:val="right"/>
              <w:ind w:right="80"/>
              <w:spacing w:after="0" w:line="108" w:lineRule="exact"/>
              <w:rPr>
                <w:sz w:val="20"/>
                <w:szCs w:val="20"/>
                <w:color w:val="auto"/>
              </w:rPr>
            </w:pPr>
            <w:r>
              <w:rPr>
                <w:rFonts w:ascii="Arial" w:cs="Arial" w:eastAsia="Arial" w:hAnsi="Arial"/>
                <w:sz w:val="10"/>
                <w:szCs w:val="10"/>
                <w:color w:val="auto"/>
              </w:rPr>
              <w:t>(254,147)</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gridSpan w:val="2"/>
          </w:tcPr>
          <w:p>
            <w:pPr>
              <w:jc w:val="right"/>
              <w:ind w:right="98"/>
              <w:spacing w:after="0" w:line="108" w:lineRule="exact"/>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gridSpan w:val="2"/>
          </w:tcPr>
          <w:p>
            <w:pPr>
              <w:jc w:val="right"/>
              <w:spacing w:after="0" w:line="108" w:lineRule="exact"/>
              <w:rPr>
                <w:sz w:val="20"/>
                <w:szCs w:val="20"/>
                <w:color w:val="auto"/>
              </w:rPr>
            </w:pPr>
            <w:r>
              <w:rPr>
                <w:rFonts w:ascii="Arial" w:cs="Arial" w:eastAsia="Arial" w:hAnsi="Arial"/>
                <w:sz w:val="10"/>
                <w:szCs w:val="10"/>
                <w:color w:val="auto"/>
              </w:rPr>
              <w:t>(254,147)</w:t>
            </w:r>
          </w:p>
        </w:tc>
        <w:tc>
          <w:tcPr>
            <w:tcW w:w="0" w:type="dxa"/>
            <w:vAlign w:val="bottom"/>
          </w:tcPr>
          <w:p>
            <w:pPr>
              <w:spacing w:after="0"/>
              <w:rPr>
                <w:sz w:val="1"/>
                <w:szCs w:val="1"/>
                <w:color w:val="auto"/>
              </w:rPr>
            </w:pPr>
          </w:p>
        </w:tc>
      </w:tr>
      <w:tr>
        <w:trPr>
          <w:trHeight w:val="108"/>
        </w:trPr>
        <w:tc>
          <w:tcPr>
            <w:tcW w:w="580" w:type="dxa"/>
            <w:vAlign w:val="bottom"/>
          </w:tcPr>
          <w:p>
            <w:pPr>
              <w:jc w:val="right"/>
              <w:spacing w:after="0" w:line="108" w:lineRule="exact"/>
              <w:rPr>
                <w:sz w:val="20"/>
                <w:szCs w:val="20"/>
                <w:color w:val="auto"/>
              </w:rPr>
            </w:pPr>
            <w:r>
              <w:rPr>
                <w:rFonts w:ascii="Arial" w:cs="Arial" w:eastAsia="Arial" w:hAnsi="Arial"/>
                <w:sz w:val="10"/>
                <w:szCs w:val="10"/>
                <w:color w:val="auto"/>
              </w:rPr>
              <w:t>—</w:t>
            </w: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gridSpan w:val="2"/>
          </w:tcPr>
          <w:p>
            <w:pPr>
              <w:jc w:val="right"/>
              <w:ind w:right="220"/>
              <w:spacing w:after="0" w:line="108" w:lineRule="exact"/>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76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820" w:type="dxa"/>
            <w:vAlign w:val="bottom"/>
            <w:gridSpan w:val="2"/>
          </w:tcPr>
          <w:p>
            <w:pPr>
              <w:jc w:val="right"/>
              <w:ind w:right="138"/>
              <w:spacing w:after="0" w:line="108" w:lineRule="exact"/>
              <w:rPr>
                <w:sz w:val="20"/>
                <w:szCs w:val="20"/>
                <w:color w:val="auto"/>
              </w:rPr>
            </w:pPr>
            <w:r>
              <w:rPr>
                <w:rFonts w:ascii="Arial" w:cs="Arial" w:eastAsia="Arial" w:hAnsi="Arial"/>
                <w:sz w:val="10"/>
                <w:szCs w:val="10"/>
                <w:color w:val="auto"/>
              </w:rPr>
              <w:t>(11,738,350)</w:t>
            </w:r>
          </w:p>
        </w:tc>
        <w:tc>
          <w:tcPr>
            <w:tcW w:w="60" w:type="dxa"/>
            <w:vAlign w:val="bottom"/>
          </w:tcPr>
          <w:p>
            <w:pPr>
              <w:spacing w:after="0"/>
              <w:rPr>
                <w:sz w:val="9"/>
                <w:szCs w:val="9"/>
                <w:color w:val="auto"/>
              </w:rPr>
            </w:pPr>
          </w:p>
        </w:tc>
        <w:tc>
          <w:tcPr>
            <w:tcW w:w="740" w:type="dxa"/>
            <w:vAlign w:val="bottom"/>
            <w:gridSpan w:val="2"/>
          </w:tcPr>
          <w:p>
            <w:pPr>
              <w:jc w:val="right"/>
              <w:ind w:right="120"/>
              <w:spacing w:after="0" w:line="108"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gridSpan w:val="2"/>
          </w:tcPr>
          <w:p>
            <w:pPr>
              <w:jc w:val="right"/>
              <w:ind w:right="98"/>
              <w:spacing w:after="0" w:line="108" w:lineRule="exact"/>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gridSpan w:val="2"/>
          </w:tcPr>
          <w:p>
            <w:pPr>
              <w:jc w:val="right"/>
              <w:spacing w:after="0" w:line="108" w:lineRule="exact"/>
              <w:rPr>
                <w:sz w:val="20"/>
                <w:szCs w:val="20"/>
                <w:color w:val="auto"/>
              </w:rPr>
            </w:pPr>
            <w:r>
              <w:rPr>
                <w:rFonts w:ascii="Arial" w:cs="Arial" w:eastAsia="Arial" w:hAnsi="Arial"/>
                <w:sz w:val="10"/>
                <w:szCs w:val="10"/>
                <w:color w:val="auto"/>
                <w:w w:val="98"/>
              </w:rPr>
              <w:t>(11,738,350)</w:t>
            </w:r>
          </w:p>
        </w:tc>
        <w:tc>
          <w:tcPr>
            <w:tcW w:w="0" w:type="dxa"/>
            <w:vAlign w:val="bottom"/>
          </w:tcPr>
          <w:p>
            <w:pPr>
              <w:spacing w:after="0"/>
              <w:rPr>
                <w:sz w:val="1"/>
                <w:szCs w:val="1"/>
                <w:color w:val="auto"/>
              </w:rPr>
            </w:pPr>
          </w:p>
        </w:tc>
      </w:tr>
      <w:tr>
        <w:trPr>
          <w:trHeight w:val="121"/>
        </w:trPr>
        <w:tc>
          <w:tcPr>
            <w:tcW w:w="580" w:type="dxa"/>
            <w:vAlign w:val="bottom"/>
          </w:tcPr>
          <w:p>
            <w:pPr>
              <w:jc w:val="right"/>
              <w:spacing w:after="0"/>
              <w:rPr>
                <w:sz w:val="20"/>
                <w:szCs w:val="20"/>
                <w:color w:val="auto"/>
              </w:rPr>
            </w:pPr>
            <w:r>
              <w:rPr>
                <w:rFonts w:ascii="Arial" w:cs="Arial" w:eastAsia="Arial" w:hAnsi="Arial"/>
                <w:sz w:val="10"/>
                <w:szCs w:val="10"/>
                <w:color w:val="auto"/>
              </w:rPr>
              <w:t>—</w:t>
            </w: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0"/>
                <w:szCs w:val="10"/>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0"/>
                <w:szCs w:val="10"/>
                <w:color w:val="auto"/>
              </w:rPr>
            </w:pPr>
          </w:p>
        </w:tc>
        <w:tc>
          <w:tcPr>
            <w:tcW w:w="820" w:type="dxa"/>
            <w:vAlign w:val="bottom"/>
            <w:gridSpan w:val="2"/>
          </w:tcPr>
          <w:p>
            <w:pPr>
              <w:jc w:val="right"/>
              <w:ind w:right="178"/>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0"/>
                <w:szCs w:val="10"/>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gridSpan w:val="2"/>
          </w:tcPr>
          <w:p>
            <w:pPr>
              <w:jc w:val="right"/>
              <w:ind w:right="98"/>
              <w:spacing w:after="0"/>
              <w:rPr>
                <w:sz w:val="20"/>
                <w:szCs w:val="20"/>
                <w:color w:val="auto"/>
              </w:rPr>
            </w:pPr>
            <w:r>
              <w:rPr>
                <w:rFonts w:ascii="Arial" w:cs="Arial" w:eastAsia="Arial" w:hAnsi="Arial"/>
                <w:sz w:val="10"/>
                <w:szCs w:val="10"/>
                <w:color w:val="auto"/>
              </w:rPr>
              <w:t>—</w:t>
            </w:r>
          </w:p>
        </w:tc>
        <w:tc>
          <w:tcPr>
            <w:tcW w:w="160" w:type="dxa"/>
            <w:vAlign w:val="bottom"/>
            <w:gridSpan w:val="2"/>
          </w:tcPr>
          <w:p>
            <w:pPr>
              <w:jc w:val="right"/>
              <w:spacing w:after="0"/>
              <w:rPr>
                <w:sz w:val="20"/>
                <w:szCs w:val="20"/>
                <w:color w:val="auto"/>
              </w:rPr>
            </w:pPr>
            <w:r>
              <w:rPr>
                <w:rFonts w:ascii="Arial" w:cs="Arial" w:eastAsia="Arial" w:hAnsi="Arial"/>
                <w:sz w:val="10"/>
                <w:szCs w:val="10"/>
                <w:color w:val="auto"/>
              </w:rPr>
              <w:t>$</w:t>
            </w:r>
          </w:p>
        </w:tc>
        <w:tc>
          <w:tcPr>
            <w:tcW w:w="580" w:type="dxa"/>
            <w:vAlign w:val="bottom"/>
            <w:gridSpan w:val="2"/>
          </w:tcPr>
          <w:p>
            <w:pPr>
              <w:jc w:val="right"/>
              <w:ind w:right="40"/>
              <w:spacing w:after="0"/>
              <w:rPr>
                <w:sz w:val="20"/>
                <w:szCs w:val="20"/>
                <w:color w:val="auto"/>
              </w:rPr>
            </w:pPr>
            <w:r>
              <w:rPr>
                <w:rFonts w:ascii="Arial" w:cs="Arial" w:eastAsia="Arial" w:hAnsi="Arial"/>
                <w:sz w:val="10"/>
                <w:szCs w:val="10"/>
                <w:color w:val="auto"/>
              </w:rPr>
              <w:t>11,992,497</w:t>
            </w:r>
          </w:p>
        </w:tc>
        <w:tc>
          <w:tcPr>
            <w:tcW w:w="0" w:type="dxa"/>
            <w:vAlign w:val="bottom"/>
          </w:tcPr>
          <w:p>
            <w:pPr>
              <w:spacing w:after="0"/>
              <w:rPr>
                <w:sz w:val="1"/>
                <w:szCs w:val="1"/>
                <w:color w:val="auto"/>
              </w:rPr>
            </w:pPr>
          </w:p>
        </w:tc>
      </w:tr>
      <w:tr>
        <w:trPr>
          <w:trHeight w:val="108"/>
        </w:trPr>
        <w:tc>
          <w:tcPr>
            <w:tcW w:w="58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65,396,022</w:t>
            </w:r>
          </w:p>
        </w:tc>
        <w:tc>
          <w:tcPr>
            <w:tcW w:w="220" w:type="dxa"/>
            <w:vAlign w:val="bottom"/>
          </w:tcPr>
          <w:p>
            <w:pPr>
              <w:spacing w:after="0"/>
              <w:rPr>
                <w:sz w:val="9"/>
                <w:szCs w:val="9"/>
                <w:color w:val="auto"/>
              </w:rPr>
            </w:pPr>
          </w:p>
        </w:tc>
        <w:tc>
          <w:tcPr>
            <w:tcW w:w="6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w w:val="71"/>
              </w:rPr>
              <w:t>$</w:t>
            </w:r>
          </w:p>
        </w:tc>
        <w:tc>
          <w:tcPr>
            <w:tcW w:w="40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653,960</w:t>
            </w:r>
          </w:p>
        </w:tc>
        <w:tc>
          <w:tcPr>
            <w:tcW w:w="220" w:type="dxa"/>
            <w:vAlign w:val="bottom"/>
          </w:tcPr>
          <w:p>
            <w:pPr>
              <w:spacing w:after="0"/>
              <w:rPr>
                <w:sz w:val="9"/>
                <w:szCs w:val="9"/>
                <w:color w:val="auto"/>
              </w:rPr>
            </w:pPr>
          </w:p>
        </w:tc>
        <w:tc>
          <w:tcPr>
            <w:tcW w:w="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5"/>
                <w:szCs w:val="5"/>
                <w:color w:val="auto"/>
                <w:w w:val="70"/>
              </w:rPr>
              <w:t>$</w:t>
            </w:r>
          </w:p>
        </w:tc>
        <w:tc>
          <w:tcPr>
            <w:tcW w:w="56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w w:val="97"/>
              </w:rPr>
              <w:t>217,919,336</w:t>
            </w:r>
          </w:p>
        </w:tc>
        <w:tc>
          <w:tcPr>
            <w:tcW w:w="200" w:type="dxa"/>
            <w:vAlign w:val="bottom"/>
          </w:tcPr>
          <w:p>
            <w:pPr>
              <w:spacing w:after="0"/>
              <w:rPr>
                <w:sz w:val="9"/>
                <w:szCs w:val="9"/>
                <w:color w:val="auto"/>
              </w:rPr>
            </w:pPr>
          </w:p>
        </w:tc>
        <w:tc>
          <w:tcPr>
            <w:tcW w:w="8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w w:val="98"/>
              </w:rPr>
              <w:t>(185,943,565</w:t>
            </w:r>
          </w:p>
        </w:tc>
        <w:tc>
          <w:tcPr>
            <w:tcW w:w="220" w:type="dxa"/>
            <w:vAlign w:val="bottom"/>
          </w:tcPr>
          <w:p>
            <w:pPr>
              <w:jc w:val="right"/>
              <w:ind w:right="138"/>
              <w:spacing w:after="0"/>
              <w:rPr>
                <w:sz w:val="20"/>
                <w:szCs w:val="20"/>
                <w:color w:val="auto"/>
              </w:rPr>
            </w:pPr>
            <w:r>
              <w:rPr>
                <w:rFonts w:ascii="Arial" w:cs="Arial" w:eastAsia="Arial" w:hAnsi="Arial"/>
                <w:sz w:val="8"/>
                <w:szCs w:val="8"/>
                <w:color w:val="auto"/>
                <w:w w:val="73"/>
              </w:rPr>
              <w:t>)</w:t>
            </w:r>
          </w:p>
        </w:tc>
        <w:tc>
          <w:tcPr>
            <w:tcW w:w="6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(254,147)</w:t>
            </w: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Borders>
              <w:top w:val="single" w:sz="8" w:color="auto"/>
              <w:bottom w:val="single" w:sz="8" w:color="auto"/>
            </w:tcBorders>
          </w:tcPr>
          <w:p>
            <w:pPr>
              <w:spacing w:after="0"/>
              <w:rPr>
                <w:sz w:val="9"/>
                <w:szCs w:val="9"/>
                <w:color w:val="auto"/>
              </w:rPr>
            </w:pPr>
          </w:p>
        </w:tc>
        <w:tc>
          <w:tcPr>
            <w:tcW w:w="48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w:t>
            </w: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32,375,584</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50" w:lineRule="exact"/>
        <w:rPr>
          <w:sz w:val="20"/>
          <w:szCs w:val="20"/>
          <w:color w:val="auto"/>
        </w:rPr>
      </w:pPr>
    </w:p>
    <w:p>
      <w:pPr>
        <w:sectPr>
          <w:pgSz w:w="11900" w:h="16838" w:orient="portrait"/>
          <w:cols w:equalWidth="0" w:num="2">
            <w:col w:w="5660" w:space="180"/>
            <w:col w:w="5560"/>
          </w:cols>
          <w:pgMar w:left="220" w:top="343" w:right="279" w:bottom="1440" w:gutter="0" w:footer="0" w:header="0"/>
          <w:type w:val="continuous"/>
        </w:sectPr>
      </w:pPr>
    </w:p>
    <w:p>
      <w:pPr>
        <w:jc w:val="center"/>
        <w:ind w:right="-79"/>
        <w:spacing w:after="0"/>
        <w:rPr>
          <w:sz w:val="20"/>
          <w:szCs w:val="20"/>
          <w:color w:val="auto"/>
        </w:rPr>
      </w:pPr>
      <w:r>
        <w:rPr>
          <w:rFonts w:ascii="Arial" w:cs="Arial" w:eastAsia="Arial" w:hAnsi="Arial"/>
          <w:sz w:val="11"/>
          <w:szCs w:val="11"/>
          <w:color w:val="auto"/>
        </w:rPr>
        <w:t>See accompanying notes to consolidated financial statements.</w:t>
      </w:r>
    </w:p>
    <w:p>
      <w:pPr>
        <w:spacing w:after="0" w:line="326" w:lineRule="exact"/>
        <w:rPr>
          <w:sz w:val="20"/>
          <w:szCs w:val="20"/>
          <w:color w:val="auto"/>
        </w:rPr>
      </w:pPr>
    </w:p>
    <w:p>
      <w:pPr>
        <w:jc w:val="center"/>
        <w:ind w:right="-79"/>
        <w:spacing w:after="0"/>
        <w:rPr>
          <w:sz w:val="20"/>
          <w:szCs w:val="20"/>
          <w:color w:val="auto"/>
        </w:rPr>
      </w:pPr>
      <w:r>
        <w:rPr>
          <w:rFonts w:ascii="Arial" w:cs="Arial" w:eastAsia="Arial" w:hAnsi="Arial"/>
          <w:sz w:val="13"/>
          <w:szCs w:val="13"/>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00"/>
          </w:cols>
          <w:pgMar w:left="220" w:top="343" w:right="279" w:bottom="1440" w:gutter="0" w:footer="0" w:header="0"/>
          <w:type w:val="continuous"/>
        </w:sectPr>
      </w:pPr>
    </w:p>
    <w:bookmarkStart w:id="51" w:name="page52"/>
    <w:bookmarkEnd w:id="5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StemCells, Inc.</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Consolidated Statements of Cash Flows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20" w:type="dxa"/>
            <w:vAlign w:val="bottom"/>
          </w:tcPr>
          <w:p>
            <w:pPr>
              <w:spacing w:after="0"/>
              <w:rPr>
                <w:sz w:val="10"/>
                <w:szCs w:val="10"/>
                <w:color w:val="auto"/>
              </w:rPr>
            </w:pPr>
          </w:p>
        </w:tc>
        <w:tc>
          <w:tcPr>
            <w:tcW w:w="5460" w:type="dxa"/>
            <w:vAlign w:val="bottom"/>
          </w:tcPr>
          <w:p>
            <w:pPr>
              <w:spacing w:after="0"/>
              <w:rPr>
                <w:sz w:val="10"/>
                <w:szCs w:val="10"/>
                <w:color w:val="auto"/>
              </w:rPr>
            </w:pPr>
          </w:p>
        </w:tc>
        <w:tc>
          <w:tcPr>
            <w:tcW w:w="2440" w:type="dxa"/>
            <w:vAlign w:val="bottom"/>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36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0"/>
                <w:szCs w:val="10"/>
                <w:b w:val="1"/>
                <w:bCs w:val="1"/>
                <w:color w:val="auto"/>
              </w:rPr>
              <w:t>Year Ended December 31,</w:t>
            </w:r>
          </w:p>
        </w:tc>
        <w:tc>
          <w:tcPr>
            <w:tcW w:w="12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5460" w:type="dxa"/>
            <w:vAlign w:val="bottom"/>
          </w:tcPr>
          <w:p>
            <w:pPr>
              <w:spacing w:after="0"/>
              <w:rPr>
                <w:sz w:val="8"/>
                <w:szCs w:val="8"/>
                <w:color w:val="auto"/>
              </w:rPr>
            </w:pPr>
          </w:p>
        </w:tc>
        <w:tc>
          <w:tcPr>
            <w:tcW w:w="244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jc w:val="right"/>
              <w:ind w:right="308"/>
              <w:spacing w:after="0" w:line="98" w:lineRule="exact"/>
              <w:rPr>
                <w:sz w:val="20"/>
                <w:szCs w:val="20"/>
                <w:color w:val="auto"/>
              </w:rPr>
            </w:pPr>
            <w:r>
              <w:rPr>
                <w:rFonts w:ascii="Arial" w:cs="Arial" w:eastAsia="Arial" w:hAnsi="Arial"/>
                <w:sz w:val="10"/>
                <w:szCs w:val="10"/>
                <w:b w:val="1"/>
                <w:bCs w:val="1"/>
                <w:color w:val="auto"/>
              </w:rPr>
              <w:t>2005</w:t>
            </w:r>
          </w:p>
        </w:tc>
        <w:tc>
          <w:tcPr>
            <w:tcW w:w="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jc w:val="right"/>
              <w:ind w:right="288"/>
              <w:spacing w:after="0" w:line="98" w:lineRule="exact"/>
              <w:rPr>
                <w:sz w:val="20"/>
                <w:szCs w:val="20"/>
                <w:color w:val="auto"/>
              </w:rPr>
            </w:pPr>
            <w:r>
              <w:rPr>
                <w:rFonts w:ascii="Arial" w:cs="Arial" w:eastAsia="Arial" w:hAnsi="Arial"/>
                <w:sz w:val="10"/>
                <w:szCs w:val="10"/>
                <w:b w:val="1"/>
                <w:bCs w:val="1"/>
                <w:color w:val="auto"/>
              </w:rPr>
              <w:t>2004</w:t>
            </w: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jc w:val="right"/>
              <w:ind w:right="288"/>
              <w:spacing w:after="0" w:line="98" w:lineRule="exact"/>
              <w:rPr>
                <w:sz w:val="20"/>
                <w:szCs w:val="20"/>
                <w:color w:val="auto"/>
              </w:rPr>
            </w:pPr>
            <w:r>
              <w:rPr>
                <w:rFonts w:ascii="Arial" w:cs="Arial" w:eastAsia="Arial" w:hAnsi="Arial"/>
                <w:sz w:val="10"/>
                <w:szCs w:val="10"/>
                <w:b w:val="1"/>
                <w:bCs w:val="1"/>
                <w:color w:val="auto"/>
              </w:rPr>
              <w:t>2003</w:t>
            </w: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20" w:type="dxa"/>
            <w:vAlign w:val="bottom"/>
            <w:vMerge w:val="restart"/>
          </w:tcPr>
          <w:p>
            <w:pPr>
              <w:spacing w:after="0"/>
              <w:rPr>
                <w:sz w:val="2"/>
                <w:szCs w:val="2"/>
                <w:color w:val="auto"/>
              </w:rPr>
            </w:pPr>
          </w:p>
        </w:tc>
        <w:tc>
          <w:tcPr>
            <w:tcW w:w="5460" w:type="dxa"/>
            <w:vAlign w:val="bottom"/>
          </w:tcPr>
          <w:p>
            <w:pPr>
              <w:spacing w:after="0"/>
              <w:rPr>
                <w:sz w:val="2"/>
                <w:szCs w:val="2"/>
                <w:color w:val="auto"/>
              </w:rPr>
            </w:pPr>
          </w:p>
        </w:tc>
        <w:tc>
          <w:tcPr>
            <w:tcW w:w="2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8"/>
        </w:trPr>
        <w:tc>
          <w:tcPr>
            <w:tcW w:w="20" w:type="dxa"/>
            <w:vAlign w:val="bottom"/>
            <w:vMerge w:val="continue"/>
          </w:tcPr>
          <w:p>
            <w:pPr>
              <w:spacing w:after="0"/>
              <w:rPr>
                <w:sz w:val="9"/>
                <w:szCs w:val="9"/>
                <w:color w:val="auto"/>
              </w:rPr>
            </w:pPr>
          </w:p>
        </w:tc>
        <w:tc>
          <w:tcPr>
            <w:tcW w:w="5460" w:type="dxa"/>
            <w:vAlign w:val="bottom"/>
            <w:shd w:val="clear" w:color="auto" w:fill="CCEEFF"/>
          </w:tcPr>
          <w:p>
            <w:pPr>
              <w:spacing w:after="0" w:line="108" w:lineRule="exact"/>
              <w:rPr>
                <w:sz w:val="20"/>
                <w:szCs w:val="20"/>
                <w:color w:val="auto"/>
              </w:rPr>
            </w:pPr>
            <w:r>
              <w:rPr>
                <w:rFonts w:ascii="Arial" w:cs="Arial" w:eastAsia="Arial" w:hAnsi="Arial"/>
                <w:sz w:val="10"/>
                <w:szCs w:val="10"/>
                <w:b w:val="1"/>
                <w:bCs w:val="1"/>
                <w:color w:val="auto"/>
              </w:rPr>
              <w:t>Cash flows from operating activities:</w:t>
            </w:r>
          </w:p>
        </w:tc>
        <w:tc>
          <w:tcPr>
            <w:tcW w:w="244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460" w:type="dxa"/>
            <w:vAlign w:val="bottom"/>
          </w:tcPr>
          <w:p>
            <w:pPr>
              <w:spacing w:after="0" w:line="108" w:lineRule="exact"/>
              <w:rPr>
                <w:sz w:val="20"/>
                <w:szCs w:val="20"/>
                <w:color w:val="auto"/>
              </w:rPr>
            </w:pPr>
            <w:r>
              <w:rPr>
                <w:rFonts w:ascii="Arial" w:cs="Arial" w:eastAsia="Arial" w:hAnsi="Arial"/>
                <w:sz w:val="10"/>
                <w:szCs w:val="10"/>
                <w:color w:val="auto"/>
              </w:rPr>
              <w:t>Loss before deemed dividend</w:t>
            </w:r>
          </w:p>
        </w:tc>
        <w:tc>
          <w:tcPr>
            <w:tcW w:w="2640" w:type="dxa"/>
            <w:vAlign w:val="bottom"/>
            <w:gridSpan w:val="2"/>
          </w:tcPr>
          <w:p>
            <w:pPr>
              <w:jc w:val="right"/>
              <w:ind w:right="88"/>
              <w:spacing w:after="0" w:line="108" w:lineRule="exact"/>
              <w:rPr>
                <w:sz w:val="20"/>
                <w:szCs w:val="20"/>
                <w:color w:val="auto"/>
              </w:rPr>
            </w:pPr>
            <w:r>
              <w:rPr>
                <w:rFonts w:ascii="Arial" w:cs="Arial" w:eastAsia="Arial" w:hAnsi="Arial"/>
                <w:sz w:val="10"/>
                <w:szCs w:val="10"/>
                <w:color w:val="auto"/>
              </w:rPr>
              <w:t>$</w:t>
            </w:r>
          </w:p>
        </w:tc>
        <w:tc>
          <w:tcPr>
            <w:tcW w:w="840" w:type="dxa"/>
            <w:vAlign w:val="bottom"/>
            <w:gridSpan w:val="2"/>
          </w:tcPr>
          <w:p>
            <w:pPr>
              <w:jc w:val="right"/>
              <w:ind w:right="80"/>
              <w:spacing w:after="0" w:line="108" w:lineRule="exact"/>
              <w:rPr>
                <w:sz w:val="20"/>
                <w:szCs w:val="20"/>
                <w:color w:val="auto"/>
              </w:rPr>
            </w:pPr>
            <w:r>
              <w:rPr>
                <w:rFonts w:ascii="Arial" w:cs="Arial" w:eastAsia="Arial" w:hAnsi="Arial"/>
                <w:sz w:val="10"/>
                <w:szCs w:val="10"/>
                <w:color w:val="auto"/>
              </w:rPr>
              <w:t>(11,738,350)</w:t>
            </w:r>
          </w:p>
        </w:tc>
        <w:tc>
          <w:tcPr>
            <w:tcW w:w="420" w:type="dxa"/>
            <w:vAlign w:val="bottom"/>
            <w:gridSpan w:val="2"/>
          </w:tcPr>
          <w:p>
            <w:pPr>
              <w:jc w:val="right"/>
              <w:ind w:right="88"/>
              <w:spacing w:after="0" w:line="108" w:lineRule="exact"/>
              <w:rPr>
                <w:sz w:val="20"/>
                <w:szCs w:val="20"/>
                <w:color w:val="auto"/>
              </w:rPr>
            </w:pPr>
            <w:r>
              <w:rPr>
                <w:rFonts w:ascii="Arial" w:cs="Arial" w:eastAsia="Arial" w:hAnsi="Arial"/>
                <w:sz w:val="10"/>
                <w:szCs w:val="10"/>
                <w:color w:val="auto"/>
              </w:rPr>
              <w:t>$</w:t>
            </w:r>
          </w:p>
        </w:tc>
        <w:tc>
          <w:tcPr>
            <w:tcW w:w="94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(15,330,299)</w:t>
            </w:r>
          </w:p>
        </w:tc>
        <w:tc>
          <w:tcPr>
            <w:tcW w:w="320" w:type="dxa"/>
            <w:vAlign w:val="bottom"/>
            <w:gridSpan w:val="2"/>
          </w:tcPr>
          <w:p>
            <w:pPr>
              <w:jc w:val="right"/>
              <w:ind w:right="134"/>
              <w:spacing w:after="0" w:line="108" w:lineRule="exact"/>
              <w:rPr>
                <w:sz w:val="20"/>
                <w:szCs w:val="20"/>
                <w:color w:val="auto"/>
              </w:rPr>
            </w:pPr>
            <w:r>
              <w:rPr>
                <w:rFonts w:ascii="Arial" w:cs="Arial" w:eastAsia="Arial" w:hAnsi="Arial"/>
                <w:sz w:val="10"/>
                <w:szCs w:val="10"/>
                <w:color w:val="auto"/>
              </w:rPr>
              <w:t>$</w:t>
            </w:r>
          </w:p>
        </w:tc>
        <w:tc>
          <w:tcPr>
            <w:tcW w:w="820" w:type="dxa"/>
            <w:vAlign w:val="bottom"/>
            <w:gridSpan w:val="2"/>
          </w:tcPr>
          <w:p>
            <w:pPr>
              <w:jc w:val="right"/>
              <w:ind w:right="80"/>
              <w:spacing w:after="0" w:line="108" w:lineRule="exact"/>
              <w:rPr>
                <w:sz w:val="20"/>
                <w:szCs w:val="20"/>
                <w:color w:val="auto"/>
              </w:rPr>
            </w:pPr>
            <w:r>
              <w:rPr>
                <w:rFonts w:ascii="Arial" w:cs="Arial" w:eastAsia="Arial" w:hAnsi="Arial"/>
                <w:sz w:val="10"/>
                <w:szCs w:val="10"/>
                <w:color w:val="auto"/>
              </w:rPr>
              <w:t>(12,290,752)</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46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Adjustments to reconcile net loss to net cash used in operating activities:</w:t>
            </w:r>
          </w:p>
        </w:tc>
        <w:tc>
          <w:tcPr>
            <w:tcW w:w="244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460" w:type="dxa"/>
            <w:vAlign w:val="bottom"/>
          </w:tcPr>
          <w:p>
            <w:pPr>
              <w:ind w:left="80"/>
              <w:spacing w:after="0" w:line="108" w:lineRule="exact"/>
              <w:rPr>
                <w:sz w:val="20"/>
                <w:szCs w:val="20"/>
                <w:color w:val="auto"/>
              </w:rPr>
            </w:pPr>
            <w:r>
              <w:rPr>
                <w:rFonts w:ascii="Arial" w:cs="Arial" w:eastAsia="Arial" w:hAnsi="Arial"/>
                <w:sz w:val="10"/>
                <w:szCs w:val="10"/>
                <w:color w:val="auto"/>
              </w:rPr>
              <w:t>Depreciation and amortization</w:t>
            </w:r>
          </w:p>
        </w:tc>
        <w:tc>
          <w:tcPr>
            <w:tcW w:w="2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gridSpan w:val="2"/>
          </w:tcPr>
          <w:p>
            <w:pPr>
              <w:jc w:val="right"/>
              <w:ind w:right="120"/>
              <w:spacing w:after="0" w:line="108" w:lineRule="exact"/>
              <w:rPr>
                <w:sz w:val="20"/>
                <w:szCs w:val="20"/>
                <w:color w:val="auto"/>
              </w:rPr>
            </w:pPr>
            <w:r>
              <w:rPr>
                <w:rFonts w:ascii="Arial" w:cs="Arial" w:eastAsia="Arial" w:hAnsi="Arial"/>
                <w:sz w:val="10"/>
                <w:szCs w:val="10"/>
                <w:color w:val="auto"/>
              </w:rPr>
              <w:t>1,082,793</w:t>
            </w: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jc w:val="right"/>
              <w:spacing w:after="0" w:line="108" w:lineRule="exact"/>
              <w:rPr>
                <w:sz w:val="20"/>
                <w:szCs w:val="20"/>
                <w:color w:val="auto"/>
              </w:rPr>
            </w:pPr>
            <w:r>
              <w:rPr>
                <w:rFonts w:ascii="Arial" w:cs="Arial" w:eastAsia="Arial" w:hAnsi="Arial"/>
                <w:sz w:val="10"/>
                <w:szCs w:val="10"/>
                <w:color w:val="auto"/>
              </w:rPr>
              <w:t>1,037,719</w:t>
            </w: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gridSpan w:val="2"/>
          </w:tcPr>
          <w:p>
            <w:pPr>
              <w:jc w:val="right"/>
              <w:ind w:right="120"/>
              <w:spacing w:after="0" w:line="108" w:lineRule="exact"/>
              <w:rPr>
                <w:sz w:val="20"/>
                <w:szCs w:val="20"/>
                <w:color w:val="auto"/>
              </w:rPr>
            </w:pPr>
            <w:r>
              <w:rPr>
                <w:rFonts w:ascii="Arial" w:cs="Arial" w:eastAsia="Arial" w:hAnsi="Arial"/>
                <w:sz w:val="10"/>
                <w:szCs w:val="10"/>
                <w:color w:val="auto"/>
              </w:rPr>
              <w:t>1,013,133</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460" w:type="dxa"/>
            <w:vAlign w:val="bottom"/>
            <w:shd w:val="clear" w:color="auto" w:fill="CCEEFF"/>
          </w:tcPr>
          <w:p>
            <w:pPr>
              <w:ind w:left="80"/>
              <w:spacing w:after="0" w:line="108" w:lineRule="exact"/>
              <w:rPr>
                <w:sz w:val="20"/>
                <w:szCs w:val="20"/>
                <w:color w:val="auto"/>
              </w:rPr>
            </w:pPr>
            <w:r>
              <w:rPr>
                <w:rFonts w:ascii="Arial" w:cs="Arial" w:eastAsia="Arial" w:hAnsi="Arial"/>
                <w:sz w:val="10"/>
                <w:szCs w:val="10"/>
                <w:color w:val="auto"/>
              </w:rPr>
              <w:t>Amortization of deferred compensation</w:t>
            </w:r>
          </w:p>
        </w:tc>
        <w:tc>
          <w:tcPr>
            <w:tcW w:w="244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840" w:type="dxa"/>
            <w:vAlign w:val="bottom"/>
            <w:gridSpan w:val="2"/>
            <w:shd w:val="clear" w:color="auto" w:fill="CCEEFF"/>
          </w:tcPr>
          <w:p>
            <w:pPr>
              <w:jc w:val="right"/>
              <w:ind w:right="120"/>
              <w:spacing w:after="0" w:line="108" w:lineRule="exact"/>
              <w:rPr>
                <w:sz w:val="20"/>
                <w:szCs w:val="20"/>
                <w:color w:val="auto"/>
              </w:rPr>
            </w:pPr>
            <w:r>
              <w:rPr>
                <w:rFonts w:ascii="Arial" w:cs="Arial" w:eastAsia="Arial" w:hAnsi="Arial"/>
                <w:sz w:val="10"/>
                <w:szCs w:val="10"/>
                <w:color w:val="auto"/>
              </w:rPr>
              <w:t>354,624</w:t>
            </w:r>
          </w:p>
        </w:tc>
        <w:tc>
          <w:tcPr>
            <w:tcW w:w="2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940" w:type="dxa"/>
            <w:vAlign w:val="bottom"/>
            <w:gridSpan w:val="2"/>
            <w:shd w:val="clear" w:color="auto" w:fill="CCEEFF"/>
          </w:tcPr>
          <w:p>
            <w:pPr>
              <w:jc w:val="right"/>
              <w:ind w:right="240"/>
              <w:spacing w:after="0" w:line="108" w:lineRule="exact"/>
              <w:rPr>
                <w:sz w:val="20"/>
                <w:szCs w:val="20"/>
                <w:color w:val="auto"/>
              </w:rPr>
            </w:pPr>
            <w:r>
              <w:rPr>
                <w:rFonts w:ascii="Arial" w:cs="Arial" w:eastAsia="Arial" w:hAnsi="Arial"/>
                <w:sz w:val="10"/>
                <w:szCs w:val="10"/>
                <w:color w:val="auto"/>
              </w:rPr>
              <w:t>829,569</w:t>
            </w:r>
          </w:p>
        </w:tc>
        <w:tc>
          <w:tcPr>
            <w:tcW w:w="1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820" w:type="dxa"/>
            <w:vAlign w:val="bottom"/>
            <w:gridSpan w:val="2"/>
            <w:shd w:val="clear" w:color="auto" w:fill="CCEEFF"/>
          </w:tcPr>
          <w:p>
            <w:pPr>
              <w:jc w:val="right"/>
              <w:ind w:right="120"/>
              <w:spacing w:after="0" w:line="108" w:lineRule="exact"/>
              <w:rPr>
                <w:sz w:val="20"/>
                <w:szCs w:val="20"/>
                <w:color w:val="auto"/>
              </w:rPr>
            </w:pPr>
            <w:r>
              <w:rPr>
                <w:rFonts w:ascii="Arial" w:cs="Arial" w:eastAsia="Arial" w:hAnsi="Arial"/>
                <w:sz w:val="10"/>
                <w:szCs w:val="10"/>
                <w:color w:val="auto"/>
              </w:rPr>
              <w:t>251,208</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460" w:type="dxa"/>
            <w:vAlign w:val="bottom"/>
          </w:tcPr>
          <w:p>
            <w:pPr>
              <w:ind w:left="80"/>
              <w:spacing w:after="0" w:line="108" w:lineRule="exact"/>
              <w:rPr>
                <w:sz w:val="20"/>
                <w:szCs w:val="20"/>
                <w:color w:val="auto"/>
              </w:rPr>
            </w:pPr>
            <w:r>
              <w:rPr>
                <w:rFonts w:ascii="Arial" w:cs="Arial" w:eastAsia="Arial" w:hAnsi="Arial"/>
                <w:sz w:val="10"/>
                <w:szCs w:val="10"/>
                <w:color w:val="auto"/>
              </w:rPr>
              <w:t>Issue of shares and options in exchange for services</w:t>
            </w:r>
          </w:p>
        </w:tc>
        <w:tc>
          <w:tcPr>
            <w:tcW w:w="2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gridSpan w:val="2"/>
          </w:tcPr>
          <w:p>
            <w:pPr>
              <w:jc w:val="right"/>
              <w:ind w:right="120"/>
              <w:spacing w:after="0" w:line="108" w:lineRule="exact"/>
              <w:rPr>
                <w:sz w:val="20"/>
                <w:szCs w:val="20"/>
                <w:color w:val="auto"/>
              </w:rPr>
            </w:pPr>
            <w:r>
              <w:rPr>
                <w:rFonts w:ascii="Arial" w:cs="Arial" w:eastAsia="Arial" w:hAnsi="Arial"/>
                <w:sz w:val="10"/>
                <w:szCs w:val="10"/>
                <w:color w:val="auto"/>
              </w:rPr>
              <w:t>581,062</w:t>
            </w: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940" w:type="dxa"/>
            <w:vAlign w:val="bottom"/>
            <w:gridSpan w:val="2"/>
          </w:tcPr>
          <w:p>
            <w:pPr>
              <w:jc w:val="right"/>
              <w:ind w:right="240"/>
              <w:spacing w:after="0" w:line="108" w:lineRule="exact"/>
              <w:rPr>
                <w:sz w:val="20"/>
                <w:szCs w:val="20"/>
                <w:color w:val="auto"/>
              </w:rPr>
            </w:pPr>
            <w:r>
              <w:rPr>
                <w:rFonts w:ascii="Arial" w:cs="Arial" w:eastAsia="Arial" w:hAnsi="Arial"/>
                <w:sz w:val="10"/>
                <w:szCs w:val="10"/>
                <w:color w:val="auto"/>
              </w:rPr>
              <w:t>200,931</w:t>
            </w: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gridSpan w:val="2"/>
          </w:tcPr>
          <w:p>
            <w:pPr>
              <w:jc w:val="right"/>
              <w:ind w:right="120"/>
              <w:spacing w:after="0" w:line="108" w:lineRule="exact"/>
              <w:rPr>
                <w:sz w:val="20"/>
                <w:szCs w:val="20"/>
                <w:color w:val="auto"/>
              </w:rPr>
            </w:pPr>
            <w:r>
              <w:rPr>
                <w:rFonts w:ascii="Arial" w:cs="Arial" w:eastAsia="Arial" w:hAnsi="Arial"/>
                <w:sz w:val="10"/>
                <w:szCs w:val="10"/>
                <w:color w:val="auto"/>
              </w:rPr>
              <w:t>602,613</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460" w:type="dxa"/>
            <w:vAlign w:val="bottom"/>
            <w:shd w:val="clear" w:color="auto" w:fill="CCEEFF"/>
          </w:tcPr>
          <w:p>
            <w:pPr>
              <w:ind w:left="80"/>
              <w:spacing w:after="0" w:line="108" w:lineRule="exact"/>
              <w:rPr>
                <w:sz w:val="20"/>
                <w:szCs w:val="20"/>
                <w:color w:val="auto"/>
              </w:rPr>
            </w:pPr>
            <w:r>
              <w:rPr>
                <w:rFonts w:ascii="Arial" w:cs="Arial" w:eastAsia="Arial" w:hAnsi="Arial"/>
                <w:sz w:val="10"/>
                <w:szCs w:val="10"/>
                <w:color w:val="auto"/>
              </w:rPr>
              <w:t>Loss on disposal of fixed assets</w:t>
            </w:r>
          </w:p>
        </w:tc>
        <w:tc>
          <w:tcPr>
            <w:tcW w:w="244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840" w:type="dxa"/>
            <w:vAlign w:val="bottom"/>
            <w:gridSpan w:val="2"/>
            <w:shd w:val="clear" w:color="auto" w:fill="CCEEFF"/>
          </w:tcPr>
          <w:p>
            <w:pPr>
              <w:jc w:val="right"/>
              <w:ind w:right="120"/>
              <w:spacing w:after="0" w:line="108" w:lineRule="exact"/>
              <w:rPr>
                <w:sz w:val="20"/>
                <w:szCs w:val="20"/>
                <w:color w:val="auto"/>
              </w:rPr>
            </w:pPr>
            <w:r>
              <w:rPr>
                <w:rFonts w:ascii="Arial" w:cs="Arial" w:eastAsia="Arial" w:hAnsi="Arial"/>
                <w:sz w:val="10"/>
                <w:szCs w:val="10"/>
                <w:color w:val="auto"/>
              </w:rPr>
              <w:t>1,377</w:t>
            </w:r>
          </w:p>
        </w:tc>
        <w:tc>
          <w:tcPr>
            <w:tcW w:w="2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940" w:type="dxa"/>
            <w:vAlign w:val="bottom"/>
            <w:gridSpan w:val="2"/>
            <w:shd w:val="clear" w:color="auto" w:fill="CCEEFF"/>
          </w:tcPr>
          <w:p>
            <w:pPr>
              <w:jc w:val="right"/>
              <w:ind w:right="240"/>
              <w:spacing w:after="0" w:line="108" w:lineRule="exact"/>
              <w:rPr>
                <w:sz w:val="20"/>
                <w:szCs w:val="20"/>
                <w:color w:val="auto"/>
              </w:rPr>
            </w:pPr>
            <w:r>
              <w:rPr>
                <w:rFonts w:ascii="Arial" w:cs="Arial" w:eastAsia="Arial" w:hAnsi="Arial"/>
                <w:sz w:val="10"/>
                <w:szCs w:val="10"/>
                <w:color w:val="auto"/>
              </w:rPr>
              <w:t>54,644</w:t>
            </w:r>
          </w:p>
        </w:tc>
        <w:tc>
          <w:tcPr>
            <w:tcW w:w="1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820" w:type="dxa"/>
            <w:vAlign w:val="bottom"/>
            <w:gridSpan w:val="2"/>
            <w:shd w:val="clear" w:color="auto" w:fill="CCEEFF"/>
          </w:tcPr>
          <w:p>
            <w:pPr>
              <w:jc w:val="right"/>
              <w:ind w:right="120"/>
              <w:spacing w:after="0" w:line="108" w:lineRule="exact"/>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460" w:type="dxa"/>
            <w:vAlign w:val="bottom"/>
          </w:tcPr>
          <w:p>
            <w:pPr>
              <w:ind w:left="80"/>
              <w:spacing w:after="0" w:line="108" w:lineRule="exact"/>
              <w:rPr>
                <w:sz w:val="20"/>
                <w:szCs w:val="20"/>
                <w:color w:val="auto"/>
              </w:rPr>
            </w:pPr>
            <w:r>
              <w:rPr>
                <w:rFonts w:ascii="Arial" w:cs="Arial" w:eastAsia="Arial" w:hAnsi="Arial"/>
                <w:sz w:val="10"/>
                <w:szCs w:val="10"/>
                <w:color w:val="auto"/>
              </w:rPr>
              <w:t>Income from license and settlement agreement</w:t>
            </w:r>
          </w:p>
        </w:tc>
        <w:tc>
          <w:tcPr>
            <w:tcW w:w="2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gridSpan w:val="2"/>
          </w:tcPr>
          <w:p>
            <w:pPr>
              <w:jc w:val="right"/>
              <w:ind w:right="80"/>
              <w:spacing w:after="0" w:line="108" w:lineRule="exact"/>
              <w:rPr>
                <w:sz w:val="20"/>
                <w:szCs w:val="20"/>
                <w:color w:val="auto"/>
              </w:rPr>
            </w:pPr>
            <w:r>
              <w:rPr>
                <w:rFonts w:ascii="Arial" w:cs="Arial" w:eastAsia="Arial" w:hAnsi="Arial"/>
                <w:sz w:val="10"/>
                <w:szCs w:val="10"/>
                <w:color w:val="auto"/>
              </w:rPr>
              <w:t>(3,974,941)</w:t>
            </w: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940" w:type="dxa"/>
            <w:vAlign w:val="bottom"/>
            <w:gridSpan w:val="2"/>
          </w:tcPr>
          <w:p>
            <w:pPr>
              <w:jc w:val="right"/>
              <w:ind w:right="240"/>
              <w:spacing w:after="0" w:line="108" w:lineRule="exact"/>
              <w:rPr>
                <w:sz w:val="20"/>
                <w:szCs w:val="20"/>
                <w:color w:val="auto"/>
              </w:rPr>
            </w:pPr>
            <w:r>
              <w:rPr>
                <w:rFonts w:ascii="Arial" w:cs="Arial" w:eastAsia="Arial" w:hAnsi="Arial"/>
                <w:sz w:val="10"/>
                <w:szCs w:val="10"/>
                <w:color w:val="auto"/>
              </w:rPr>
              <w:t>—</w:t>
            </w: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gridSpan w:val="2"/>
          </w:tcPr>
          <w:p>
            <w:pPr>
              <w:jc w:val="right"/>
              <w:ind w:right="120"/>
              <w:spacing w:after="0" w:line="108" w:lineRule="exact"/>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460" w:type="dxa"/>
            <w:vAlign w:val="bottom"/>
            <w:shd w:val="clear" w:color="auto" w:fill="CCEEFF"/>
          </w:tcPr>
          <w:p>
            <w:pPr>
              <w:ind w:left="80"/>
              <w:spacing w:after="0" w:line="108" w:lineRule="exact"/>
              <w:rPr>
                <w:sz w:val="20"/>
                <w:szCs w:val="20"/>
                <w:color w:val="auto"/>
              </w:rPr>
            </w:pPr>
            <w:r>
              <w:rPr>
                <w:rFonts w:ascii="Arial" w:cs="Arial" w:eastAsia="Arial" w:hAnsi="Arial"/>
                <w:sz w:val="10"/>
                <w:szCs w:val="10"/>
                <w:color w:val="auto"/>
              </w:rPr>
              <w:t>Changes in operating assets and liabilities:</w:t>
            </w:r>
          </w:p>
        </w:tc>
        <w:tc>
          <w:tcPr>
            <w:tcW w:w="244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460" w:type="dxa"/>
            <w:vAlign w:val="bottom"/>
          </w:tcPr>
          <w:p>
            <w:pPr>
              <w:ind w:left="200"/>
              <w:spacing w:after="0" w:line="108" w:lineRule="exact"/>
              <w:rPr>
                <w:sz w:val="20"/>
                <w:szCs w:val="20"/>
                <w:color w:val="auto"/>
              </w:rPr>
            </w:pPr>
            <w:r>
              <w:rPr>
                <w:rFonts w:ascii="Arial" w:cs="Arial" w:eastAsia="Arial" w:hAnsi="Arial"/>
                <w:sz w:val="10"/>
                <w:szCs w:val="10"/>
                <w:color w:val="auto"/>
              </w:rPr>
              <w:t>Accrued interest receivable</w:t>
            </w:r>
          </w:p>
        </w:tc>
        <w:tc>
          <w:tcPr>
            <w:tcW w:w="2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gridSpan w:val="2"/>
          </w:tcPr>
          <w:p>
            <w:pPr>
              <w:jc w:val="right"/>
              <w:ind w:right="80"/>
              <w:spacing w:after="0" w:line="108" w:lineRule="exact"/>
              <w:rPr>
                <w:sz w:val="20"/>
                <w:szCs w:val="20"/>
                <w:color w:val="auto"/>
              </w:rPr>
            </w:pPr>
            <w:r>
              <w:rPr>
                <w:rFonts w:ascii="Arial" w:cs="Arial" w:eastAsia="Arial" w:hAnsi="Arial"/>
                <w:sz w:val="10"/>
                <w:szCs w:val="10"/>
                <w:color w:val="auto"/>
              </w:rPr>
              <w:t>(47,928)</w:t>
            </w: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94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(61,660)</w:t>
            </w: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gridSpan w:val="2"/>
          </w:tcPr>
          <w:p>
            <w:pPr>
              <w:jc w:val="right"/>
              <w:ind w:right="80"/>
              <w:spacing w:after="0" w:line="108" w:lineRule="exact"/>
              <w:rPr>
                <w:sz w:val="20"/>
                <w:szCs w:val="20"/>
                <w:color w:val="auto"/>
              </w:rPr>
            </w:pPr>
            <w:r>
              <w:rPr>
                <w:rFonts w:ascii="Arial" w:cs="Arial" w:eastAsia="Arial" w:hAnsi="Arial"/>
                <w:sz w:val="10"/>
                <w:szCs w:val="10"/>
                <w:color w:val="auto"/>
              </w:rPr>
              <w:t>(4,831)</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460" w:type="dxa"/>
            <w:vAlign w:val="bottom"/>
            <w:shd w:val="clear" w:color="auto" w:fill="CCEEFF"/>
          </w:tcPr>
          <w:p>
            <w:pPr>
              <w:ind w:left="200"/>
              <w:spacing w:after="0" w:line="108" w:lineRule="exact"/>
              <w:rPr>
                <w:sz w:val="20"/>
                <w:szCs w:val="20"/>
                <w:color w:val="auto"/>
              </w:rPr>
            </w:pPr>
            <w:r>
              <w:rPr>
                <w:rFonts w:ascii="Arial" w:cs="Arial" w:eastAsia="Arial" w:hAnsi="Arial"/>
                <w:sz w:val="10"/>
                <w:szCs w:val="10"/>
                <w:color w:val="auto"/>
              </w:rPr>
              <w:t>Other receivables</w:t>
            </w:r>
          </w:p>
        </w:tc>
        <w:tc>
          <w:tcPr>
            <w:tcW w:w="244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840" w:type="dxa"/>
            <w:vAlign w:val="bottom"/>
            <w:gridSpan w:val="2"/>
            <w:shd w:val="clear" w:color="auto" w:fill="CCEEFF"/>
          </w:tcPr>
          <w:p>
            <w:pPr>
              <w:jc w:val="right"/>
              <w:ind w:right="120"/>
              <w:spacing w:after="0" w:line="108" w:lineRule="exact"/>
              <w:rPr>
                <w:sz w:val="20"/>
                <w:szCs w:val="20"/>
                <w:color w:val="auto"/>
              </w:rPr>
            </w:pPr>
            <w:r>
              <w:rPr>
                <w:rFonts w:ascii="Arial" w:cs="Arial" w:eastAsia="Arial" w:hAnsi="Arial"/>
                <w:sz w:val="10"/>
                <w:szCs w:val="10"/>
                <w:color w:val="auto"/>
              </w:rPr>
              <w:t>26,972</w:t>
            </w:r>
          </w:p>
        </w:tc>
        <w:tc>
          <w:tcPr>
            <w:tcW w:w="2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940" w:type="dxa"/>
            <w:vAlign w:val="bottom"/>
            <w:gridSpan w:val="2"/>
            <w:shd w:val="clear" w:color="auto" w:fill="CCEEFF"/>
          </w:tcPr>
          <w:p>
            <w:pPr>
              <w:jc w:val="right"/>
              <w:ind w:right="240"/>
              <w:spacing w:after="0" w:line="108" w:lineRule="exact"/>
              <w:rPr>
                <w:sz w:val="20"/>
                <w:szCs w:val="20"/>
                <w:color w:val="auto"/>
              </w:rPr>
            </w:pPr>
            <w:r>
              <w:rPr>
                <w:rFonts w:ascii="Arial" w:cs="Arial" w:eastAsia="Arial" w:hAnsi="Arial"/>
                <w:sz w:val="10"/>
                <w:szCs w:val="10"/>
                <w:color w:val="auto"/>
              </w:rPr>
              <w:t>26,160</w:t>
            </w:r>
          </w:p>
        </w:tc>
        <w:tc>
          <w:tcPr>
            <w:tcW w:w="1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820" w:type="dxa"/>
            <w:vAlign w:val="bottom"/>
            <w:gridSpan w:val="2"/>
            <w:shd w:val="clear" w:color="auto" w:fill="CCEEFF"/>
          </w:tcPr>
          <w:p>
            <w:pPr>
              <w:jc w:val="right"/>
              <w:ind w:right="80"/>
              <w:spacing w:after="0" w:line="108" w:lineRule="exact"/>
              <w:rPr>
                <w:sz w:val="20"/>
                <w:szCs w:val="20"/>
                <w:color w:val="auto"/>
              </w:rPr>
            </w:pPr>
            <w:r>
              <w:rPr>
                <w:rFonts w:ascii="Arial" w:cs="Arial" w:eastAsia="Arial" w:hAnsi="Arial"/>
                <w:sz w:val="10"/>
                <w:szCs w:val="10"/>
                <w:color w:val="auto"/>
              </w:rPr>
              <w:t>(75,740)</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460" w:type="dxa"/>
            <w:vAlign w:val="bottom"/>
          </w:tcPr>
          <w:p>
            <w:pPr>
              <w:ind w:left="200"/>
              <w:spacing w:after="0" w:line="108" w:lineRule="exact"/>
              <w:rPr>
                <w:sz w:val="20"/>
                <w:szCs w:val="20"/>
                <w:color w:val="auto"/>
              </w:rPr>
            </w:pPr>
            <w:r>
              <w:rPr>
                <w:rFonts w:ascii="Arial" w:cs="Arial" w:eastAsia="Arial" w:hAnsi="Arial"/>
                <w:sz w:val="10"/>
                <w:szCs w:val="10"/>
                <w:color w:val="auto"/>
              </w:rPr>
              <w:t>Other current assets</w:t>
            </w:r>
          </w:p>
        </w:tc>
        <w:tc>
          <w:tcPr>
            <w:tcW w:w="2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gridSpan w:val="2"/>
          </w:tcPr>
          <w:p>
            <w:pPr>
              <w:jc w:val="right"/>
              <w:ind w:right="80"/>
              <w:spacing w:after="0" w:line="108" w:lineRule="exact"/>
              <w:rPr>
                <w:sz w:val="20"/>
                <w:szCs w:val="20"/>
                <w:color w:val="auto"/>
              </w:rPr>
            </w:pPr>
            <w:r>
              <w:rPr>
                <w:rFonts w:ascii="Arial" w:cs="Arial" w:eastAsia="Arial" w:hAnsi="Arial"/>
                <w:sz w:val="10"/>
                <w:szCs w:val="10"/>
                <w:color w:val="auto"/>
              </w:rPr>
              <w:t>(177,892)</w:t>
            </w: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94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(29,026)</w:t>
            </w: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gridSpan w:val="2"/>
          </w:tcPr>
          <w:p>
            <w:pPr>
              <w:jc w:val="right"/>
              <w:ind w:right="80"/>
              <w:spacing w:after="0" w:line="108" w:lineRule="exact"/>
              <w:rPr>
                <w:sz w:val="20"/>
                <w:szCs w:val="20"/>
                <w:color w:val="auto"/>
              </w:rPr>
            </w:pPr>
            <w:r>
              <w:rPr>
                <w:rFonts w:ascii="Arial" w:cs="Arial" w:eastAsia="Arial" w:hAnsi="Arial"/>
                <w:sz w:val="10"/>
                <w:szCs w:val="10"/>
                <w:color w:val="auto"/>
              </w:rPr>
              <w:t>(77,219)</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460" w:type="dxa"/>
            <w:vAlign w:val="bottom"/>
            <w:shd w:val="clear" w:color="auto" w:fill="CCEEFF"/>
          </w:tcPr>
          <w:p>
            <w:pPr>
              <w:ind w:left="200"/>
              <w:spacing w:after="0" w:line="108" w:lineRule="exact"/>
              <w:rPr>
                <w:sz w:val="20"/>
                <w:szCs w:val="20"/>
                <w:color w:val="auto"/>
              </w:rPr>
            </w:pPr>
            <w:r>
              <w:rPr>
                <w:rFonts w:ascii="Arial" w:cs="Arial" w:eastAsia="Arial" w:hAnsi="Arial"/>
                <w:sz w:val="10"/>
                <w:szCs w:val="10"/>
                <w:color w:val="auto"/>
              </w:rPr>
              <w:t>Other assets, net</w:t>
            </w:r>
          </w:p>
        </w:tc>
        <w:tc>
          <w:tcPr>
            <w:tcW w:w="244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840" w:type="dxa"/>
            <w:vAlign w:val="bottom"/>
            <w:gridSpan w:val="2"/>
            <w:shd w:val="clear" w:color="auto" w:fill="CCEEFF"/>
          </w:tcPr>
          <w:p>
            <w:pPr>
              <w:jc w:val="right"/>
              <w:ind w:right="80"/>
              <w:spacing w:after="0" w:line="108" w:lineRule="exact"/>
              <w:rPr>
                <w:sz w:val="20"/>
                <w:szCs w:val="20"/>
                <w:color w:val="auto"/>
              </w:rPr>
            </w:pPr>
            <w:r>
              <w:rPr>
                <w:rFonts w:ascii="Arial" w:cs="Arial" w:eastAsia="Arial" w:hAnsi="Arial"/>
                <w:sz w:val="10"/>
                <w:szCs w:val="10"/>
                <w:color w:val="auto"/>
              </w:rPr>
              <w:t>(47,053)</w:t>
            </w:r>
          </w:p>
        </w:tc>
        <w:tc>
          <w:tcPr>
            <w:tcW w:w="2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940" w:type="dxa"/>
            <w:vAlign w:val="bottom"/>
            <w:gridSpan w:val="2"/>
            <w:shd w:val="clear" w:color="auto" w:fill="CCEEFF"/>
          </w:tcPr>
          <w:p>
            <w:pPr>
              <w:jc w:val="right"/>
              <w:ind w:right="240"/>
              <w:spacing w:after="0" w:line="108" w:lineRule="exact"/>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820" w:type="dxa"/>
            <w:vAlign w:val="bottom"/>
            <w:gridSpan w:val="2"/>
            <w:shd w:val="clear" w:color="auto" w:fill="CCEEFF"/>
          </w:tcPr>
          <w:p>
            <w:pPr>
              <w:jc w:val="right"/>
              <w:ind w:right="80"/>
              <w:spacing w:after="0" w:line="108" w:lineRule="exact"/>
              <w:rPr>
                <w:sz w:val="20"/>
                <w:szCs w:val="20"/>
                <w:color w:val="auto"/>
              </w:rPr>
            </w:pPr>
            <w:r>
              <w:rPr>
                <w:rFonts w:ascii="Arial" w:cs="Arial" w:eastAsia="Arial" w:hAnsi="Arial"/>
                <w:sz w:val="10"/>
                <w:szCs w:val="10"/>
                <w:color w:val="auto"/>
              </w:rPr>
              <w:t>(277,863)</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460" w:type="dxa"/>
            <w:vAlign w:val="bottom"/>
          </w:tcPr>
          <w:p>
            <w:pPr>
              <w:ind w:left="200"/>
              <w:spacing w:after="0" w:line="108" w:lineRule="exact"/>
              <w:rPr>
                <w:sz w:val="20"/>
                <w:szCs w:val="20"/>
                <w:color w:val="auto"/>
              </w:rPr>
            </w:pPr>
            <w:r>
              <w:rPr>
                <w:rFonts w:ascii="Arial" w:cs="Arial" w:eastAsia="Arial" w:hAnsi="Arial"/>
                <w:sz w:val="10"/>
                <w:szCs w:val="10"/>
                <w:color w:val="auto"/>
              </w:rPr>
              <w:t>Accounts payable and accrued expenses</w:t>
            </w:r>
          </w:p>
        </w:tc>
        <w:tc>
          <w:tcPr>
            <w:tcW w:w="2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gridSpan w:val="2"/>
          </w:tcPr>
          <w:p>
            <w:pPr>
              <w:jc w:val="right"/>
              <w:ind w:right="120"/>
              <w:spacing w:after="0" w:line="108" w:lineRule="exact"/>
              <w:rPr>
                <w:sz w:val="20"/>
                <w:szCs w:val="20"/>
                <w:color w:val="auto"/>
              </w:rPr>
            </w:pPr>
            <w:r>
              <w:rPr>
                <w:rFonts w:ascii="Arial" w:cs="Arial" w:eastAsia="Arial" w:hAnsi="Arial"/>
                <w:sz w:val="10"/>
                <w:szCs w:val="10"/>
                <w:color w:val="auto"/>
              </w:rPr>
              <w:t>48,135</w:t>
            </w: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940" w:type="dxa"/>
            <w:vAlign w:val="bottom"/>
            <w:gridSpan w:val="2"/>
          </w:tcPr>
          <w:p>
            <w:pPr>
              <w:jc w:val="right"/>
              <w:ind w:right="240"/>
              <w:spacing w:after="0" w:line="108" w:lineRule="exact"/>
              <w:rPr>
                <w:sz w:val="20"/>
                <w:szCs w:val="20"/>
                <w:color w:val="auto"/>
              </w:rPr>
            </w:pPr>
            <w:r>
              <w:rPr>
                <w:rFonts w:ascii="Arial" w:cs="Arial" w:eastAsia="Arial" w:hAnsi="Arial"/>
                <w:sz w:val="10"/>
                <w:szCs w:val="10"/>
                <w:color w:val="auto"/>
              </w:rPr>
              <w:t>665,409</w:t>
            </w: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gridSpan w:val="2"/>
          </w:tcPr>
          <w:p>
            <w:pPr>
              <w:jc w:val="right"/>
              <w:ind w:right="120"/>
              <w:spacing w:after="0" w:line="108" w:lineRule="exact"/>
              <w:rPr>
                <w:sz w:val="20"/>
                <w:szCs w:val="20"/>
                <w:color w:val="auto"/>
              </w:rPr>
            </w:pPr>
            <w:r>
              <w:rPr>
                <w:rFonts w:ascii="Arial" w:cs="Arial" w:eastAsia="Arial" w:hAnsi="Arial"/>
                <w:sz w:val="10"/>
                <w:szCs w:val="10"/>
                <w:color w:val="auto"/>
              </w:rPr>
              <w:t>725,673</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460" w:type="dxa"/>
            <w:vAlign w:val="bottom"/>
            <w:shd w:val="clear" w:color="auto" w:fill="CCEEFF"/>
          </w:tcPr>
          <w:p>
            <w:pPr>
              <w:ind w:left="200"/>
              <w:spacing w:after="0" w:line="108" w:lineRule="exact"/>
              <w:rPr>
                <w:sz w:val="20"/>
                <w:szCs w:val="20"/>
                <w:color w:val="auto"/>
              </w:rPr>
            </w:pPr>
            <w:r>
              <w:rPr>
                <w:rFonts w:ascii="Arial" w:cs="Arial" w:eastAsia="Arial" w:hAnsi="Arial"/>
                <w:sz w:val="10"/>
                <w:szCs w:val="10"/>
                <w:color w:val="auto"/>
              </w:rPr>
              <w:t>Accrued wind-down expenses</w:t>
            </w:r>
          </w:p>
        </w:tc>
        <w:tc>
          <w:tcPr>
            <w:tcW w:w="244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840" w:type="dxa"/>
            <w:vAlign w:val="bottom"/>
            <w:gridSpan w:val="2"/>
            <w:shd w:val="clear" w:color="auto" w:fill="CCEEFF"/>
          </w:tcPr>
          <w:p>
            <w:pPr>
              <w:jc w:val="right"/>
              <w:ind w:right="120"/>
              <w:spacing w:after="0" w:line="108" w:lineRule="exact"/>
              <w:rPr>
                <w:sz w:val="20"/>
                <w:szCs w:val="20"/>
                <w:color w:val="auto"/>
              </w:rPr>
            </w:pPr>
            <w:r>
              <w:rPr>
                <w:rFonts w:ascii="Arial" w:cs="Arial" w:eastAsia="Arial" w:hAnsi="Arial"/>
                <w:sz w:val="10"/>
                <w:szCs w:val="10"/>
                <w:color w:val="auto"/>
              </w:rPr>
              <w:t>1,777,697</w:t>
            </w:r>
          </w:p>
        </w:tc>
        <w:tc>
          <w:tcPr>
            <w:tcW w:w="2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70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1,705,045</w:t>
            </w:r>
          </w:p>
        </w:tc>
        <w:tc>
          <w:tcPr>
            <w:tcW w:w="2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820" w:type="dxa"/>
            <w:vAlign w:val="bottom"/>
            <w:gridSpan w:val="2"/>
            <w:shd w:val="clear" w:color="auto" w:fill="CCEEFF"/>
          </w:tcPr>
          <w:p>
            <w:pPr>
              <w:jc w:val="right"/>
              <w:ind w:right="120"/>
              <w:spacing w:after="0" w:line="108" w:lineRule="exact"/>
              <w:rPr>
                <w:sz w:val="20"/>
                <w:szCs w:val="20"/>
                <w:color w:val="auto"/>
              </w:rPr>
            </w:pPr>
            <w:r>
              <w:rPr>
                <w:rFonts w:ascii="Arial" w:cs="Arial" w:eastAsia="Arial" w:hAnsi="Arial"/>
                <w:sz w:val="10"/>
                <w:szCs w:val="10"/>
                <w:color w:val="auto"/>
              </w:rPr>
              <w:t>1,891,620</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460" w:type="dxa"/>
            <w:vAlign w:val="bottom"/>
          </w:tcPr>
          <w:p>
            <w:pPr>
              <w:ind w:left="200"/>
              <w:spacing w:after="0" w:line="108" w:lineRule="exact"/>
              <w:rPr>
                <w:sz w:val="20"/>
                <w:szCs w:val="20"/>
                <w:color w:val="auto"/>
              </w:rPr>
            </w:pPr>
            <w:r>
              <w:rPr>
                <w:rFonts w:ascii="Arial" w:cs="Arial" w:eastAsia="Arial" w:hAnsi="Arial"/>
                <w:sz w:val="10"/>
                <w:szCs w:val="10"/>
                <w:color w:val="auto"/>
              </w:rPr>
              <w:t>Deferred rent</w:t>
            </w:r>
          </w:p>
        </w:tc>
        <w:tc>
          <w:tcPr>
            <w:tcW w:w="2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gridSpan w:val="2"/>
          </w:tcPr>
          <w:p>
            <w:pPr>
              <w:jc w:val="right"/>
              <w:ind w:right="120"/>
              <w:spacing w:after="0" w:line="108" w:lineRule="exact"/>
              <w:rPr>
                <w:sz w:val="20"/>
                <w:szCs w:val="20"/>
                <w:color w:val="auto"/>
              </w:rPr>
            </w:pPr>
            <w:r>
              <w:rPr>
                <w:rFonts w:ascii="Arial" w:cs="Arial" w:eastAsia="Arial" w:hAnsi="Arial"/>
                <w:sz w:val="10"/>
                <w:szCs w:val="10"/>
                <w:color w:val="auto"/>
              </w:rPr>
              <w:t>330,196</w:t>
            </w: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94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(372,400)</w:t>
            </w: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gridSpan w:val="2"/>
          </w:tcPr>
          <w:p>
            <w:pPr>
              <w:jc w:val="right"/>
              <w:ind w:right="80"/>
              <w:spacing w:after="0" w:line="108" w:lineRule="exact"/>
              <w:rPr>
                <w:sz w:val="20"/>
                <w:szCs w:val="20"/>
                <w:color w:val="auto"/>
              </w:rPr>
            </w:pPr>
            <w:r>
              <w:rPr>
                <w:rFonts w:ascii="Arial" w:cs="Arial" w:eastAsia="Arial" w:hAnsi="Arial"/>
                <w:sz w:val="10"/>
                <w:szCs w:val="10"/>
                <w:color w:val="auto"/>
              </w:rPr>
              <w:t>(429,218)</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460" w:type="dxa"/>
            <w:vAlign w:val="bottom"/>
            <w:shd w:val="clear" w:color="auto" w:fill="CCEEFF"/>
          </w:tcPr>
          <w:p>
            <w:pPr>
              <w:ind w:left="200"/>
              <w:spacing w:after="0" w:line="108" w:lineRule="exact"/>
              <w:rPr>
                <w:sz w:val="20"/>
                <w:szCs w:val="20"/>
                <w:color w:val="auto"/>
              </w:rPr>
            </w:pPr>
            <w:r>
              <w:rPr>
                <w:rFonts w:ascii="Arial" w:cs="Arial" w:eastAsia="Arial" w:hAnsi="Arial"/>
                <w:sz w:val="10"/>
                <w:szCs w:val="10"/>
                <w:color w:val="auto"/>
              </w:rPr>
              <w:t>Deposits and other long-term liabilities</w:t>
            </w:r>
          </w:p>
        </w:tc>
        <w:tc>
          <w:tcPr>
            <w:tcW w:w="244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840" w:type="dxa"/>
            <w:vAlign w:val="bottom"/>
            <w:gridSpan w:val="2"/>
            <w:shd w:val="clear" w:color="auto" w:fill="CCEEFF"/>
          </w:tcPr>
          <w:p>
            <w:pPr>
              <w:jc w:val="right"/>
              <w:ind w:right="80"/>
              <w:spacing w:after="0" w:line="108" w:lineRule="exact"/>
              <w:rPr>
                <w:sz w:val="20"/>
                <w:szCs w:val="20"/>
                <w:color w:val="auto"/>
              </w:rPr>
            </w:pPr>
            <w:r>
              <w:rPr>
                <w:rFonts w:ascii="Arial" w:cs="Arial" w:eastAsia="Arial" w:hAnsi="Arial"/>
                <w:sz w:val="10"/>
                <w:szCs w:val="10"/>
                <w:color w:val="auto"/>
              </w:rPr>
              <w:t>(87,260)</w:t>
            </w:r>
          </w:p>
        </w:tc>
        <w:tc>
          <w:tcPr>
            <w:tcW w:w="2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940" w:type="dxa"/>
            <w:vAlign w:val="bottom"/>
            <w:gridSpan w:val="2"/>
            <w:shd w:val="clear" w:color="auto" w:fill="CCEEFF"/>
          </w:tcPr>
          <w:p>
            <w:pPr>
              <w:jc w:val="right"/>
              <w:ind w:right="240"/>
              <w:spacing w:after="0" w:line="108" w:lineRule="exact"/>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820" w:type="dxa"/>
            <w:vAlign w:val="bottom"/>
            <w:gridSpan w:val="2"/>
            <w:shd w:val="clear" w:color="auto" w:fill="CCEEFF"/>
          </w:tcPr>
          <w:p>
            <w:pPr>
              <w:jc w:val="right"/>
              <w:ind w:right="120"/>
              <w:spacing w:after="0" w:line="108" w:lineRule="exact"/>
              <w:rPr>
                <w:sz w:val="20"/>
                <w:szCs w:val="20"/>
                <w:color w:val="auto"/>
              </w:rPr>
            </w:pPr>
            <w:r>
              <w:rPr>
                <w:rFonts w:ascii="Arial" w:cs="Arial" w:eastAsia="Arial" w:hAnsi="Arial"/>
                <w:sz w:val="10"/>
                <w:szCs w:val="10"/>
                <w:color w:val="auto"/>
              </w:rPr>
              <w:t>128,180</w:t>
            </w:r>
          </w:p>
        </w:tc>
        <w:tc>
          <w:tcPr>
            <w:tcW w:w="0" w:type="dxa"/>
            <w:vAlign w:val="bottom"/>
          </w:tcPr>
          <w:p>
            <w:pPr>
              <w:spacing w:after="0"/>
              <w:rPr>
                <w:sz w:val="1"/>
                <w:szCs w:val="1"/>
                <w:color w:val="auto"/>
              </w:rPr>
            </w:pPr>
          </w:p>
        </w:tc>
      </w:tr>
      <w:tr>
        <w:trPr>
          <w:trHeight w:val="108"/>
        </w:trPr>
        <w:tc>
          <w:tcPr>
            <w:tcW w:w="5480" w:type="dxa"/>
            <w:vAlign w:val="bottom"/>
            <w:gridSpan w:val="2"/>
          </w:tcPr>
          <w:p>
            <w:pPr>
              <w:spacing w:after="0" w:line="108" w:lineRule="exact"/>
              <w:rPr>
                <w:sz w:val="20"/>
                <w:szCs w:val="20"/>
                <w:color w:val="auto"/>
              </w:rPr>
            </w:pPr>
            <w:r>
              <w:rPr>
                <w:rFonts w:ascii="Arial" w:cs="Arial" w:eastAsia="Arial" w:hAnsi="Arial"/>
                <w:sz w:val="10"/>
                <w:szCs w:val="10"/>
                <w:color w:val="auto"/>
              </w:rPr>
              <w:t>Net cash used in operating activities</w:t>
            </w:r>
          </w:p>
        </w:tc>
        <w:tc>
          <w:tcPr>
            <w:tcW w:w="2440" w:type="dxa"/>
            <w:vAlign w:val="bottom"/>
          </w:tcPr>
          <w:p>
            <w:pPr>
              <w:spacing w:after="0"/>
              <w:rPr>
                <w:sz w:val="9"/>
                <w:szCs w:val="9"/>
                <w:color w:val="auto"/>
              </w:rPr>
            </w:pPr>
          </w:p>
        </w:tc>
        <w:tc>
          <w:tcPr>
            <w:tcW w:w="200" w:type="dxa"/>
            <w:vAlign w:val="bottom"/>
            <w:tcBorders>
              <w:top w:val="single" w:sz="8" w:color="auto"/>
            </w:tcBorders>
          </w:tcPr>
          <w:p>
            <w:pPr>
              <w:spacing w:after="0"/>
              <w:rPr>
                <w:sz w:val="9"/>
                <w:szCs w:val="9"/>
                <w:color w:val="auto"/>
              </w:rPr>
            </w:pPr>
          </w:p>
        </w:tc>
        <w:tc>
          <w:tcPr>
            <w:tcW w:w="720" w:type="dxa"/>
            <w:vAlign w:val="bottom"/>
            <w:tcBorders>
              <w:top w:val="single" w:sz="8" w:color="auto"/>
            </w:tcBorders>
          </w:tcPr>
          <w:p>
            <w:pPr>
              <w:jc w:val="right"/>
              <w:spacing w:after="0" w:line="108" w:lineRule="exact"/>
              <w:rPr>
                <w:sz w:val="20"/>
                <w:szCs w:val="20"/>
                <w:color w:val="auto"/>
              </w:rPr>
            </w:pPr>
            <w:r>
              <w:rPr>
                <w:rFonts w:ascii="Arial" w:cs="Arial" w:eastAsia="Arial" w:hAnsi="Arial"/>
                <w:sz w:val="10"/>
                <w:szCs w:val="10"/>
                <w:color w:val="auto"/>
              </w:rPr>
              <w:t>(11,870,568)</w:t>
            </w: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Borders>
              <w:top w:val="single" w:sz="8" w:color="auto"/>
            </w:tcBorders>
          </w:tcPr>
          <w:p>
            <w:pPr>
              <w:spacing w:after="0"/>
              <w:rPr>
                <w:sz w:val="9"/>
                <w:szCs w:val="9"/>
                <w:color w:val="auto"/>
              </w:rPr>
            </w:pPr>
          </w:p>
        </w:tc>
        <w:tc>
          <w:tcPr>
            <w:tcW w:w="700" w:type="dxa"/>
            <w:vAlign w:val="bottom"/>
            <w:tcBorders>
              <w:top w:val="single" w:sz="8" w:color="auto"/>
            </w:tcBorders>
          </w:tcPr>
          <w:p>
            <w:pPr>
              <w:jc w:val="right"/>
              <w:spacing w:after="0" w:line="108" w:lineRule="exact"/>
              <w:rPr>
                <w:sz w:val="20"/>
                <w:szCs w:val="20"/>
                <w:color w:val="auto"/>
              </w:rPr>
            </w:pPr>
            <w:r>
              <w:rPr>
                <w:rFonts w:ascii="Arial" w:cs="Arial" w:eastAsia="Arial" w:hAnsi="Arial"/>
                <w:sz w:val="10"/>
                <w:szCs w:val="10"/>
                <w:color w:val="auto"/>
              </w:rPr>
              <w:t>(11,273,908)</w:t>
            </w: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Borders>
              <w:top w:val="single" w:sz="8" w:color="auto"/>
            </w:tcBorders>
          </w:tcPr>
          <w:p>
            <w:pPr>
              <w:spacing w:after="0"/>
              <w:rPr>
                <w:sz w:val="9"/>
                <w:szCs w:val="9"/>
                <w:color w:val="auto"/>
              </w:rPr>
            </w:pPr>
          </w:p>
        </w:tc>
        <w:tc>
          <w:tcPr>
            <w:tcW w:w="700" w:type="dxa"/>
            <w:vAlign w:val="bottom"/>
            <w:tcBorders>
              <w:top w:val="single" w:sz="8" w:color="auto"/>
            </w:tcBorders>
          </w:tcPr>
          <w:p>
            <w:pPr>
              <w:jc w:val="right"/>
              <w:spacing w:after="0" w:line="108" w:lineRule="exact"/>
              <w:rPr>
                <w:sz w:val="20"/>
                <w:szCs w:val="20"/>
                <w:color w:val="auto"/>
              </w:rPr>
            </w:pPr>
            <w:r>
              <w:rPr>
                <w:rFonts w:ascii="Arial" w:cs="Arial" w:eastAsia="Arial" w:hAnsi="Arial"/>
                <w:sz w:val="10"/>
                <w:szCs w:val="10"/>
                <w:color w:val="auto"/>
              </w:rPr>
              <w:t>(8,543,196)</w:t>
            </w: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460" w:type="dxa"/>
            <w:vAlign w:val="bottom"/>
            <w:shd w:val="clear" w:color="auto" w:fill="CCEEFF"/>
          </w:tcPr>
          <w:p>
            <w:pPr>
              <w:spacing w:after="0" w:line="108" w:lineRule="exact"/>
              <w:rPr>
                <w:sz w:val="20"/>
                <w:szCs w:val="20"/>
                <w:color w:val="auto"/>
              </w:rPr>
            </w:pPr>
            <w:r>
              <w:rPr>
                <w:rFonts w:ascii="Arial" w:cs="Arial" w:eastAsia="Arial" w:hAnsi="Arial"/>
                <w:sz w:val="10"/>
                <w:szCs w:val="10"/>
                <w:b w:val="1"/>
                <w:bCs w:val="1"/>
                <w:color w:val="auto"/>
              </w:rPr>
              <w:t>Cash flows from investing activities:</w:t>
            </w:r>
          </w:p>
        </w:tc>
        <w:tc>
          <w:tcPr>
            <w:tcW w:w="244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460" w:type="dxa"/>
            <w:vAlign w:val="bottom"/>
          </w:tcPr>
          <w:p>
            <w:pPr>
              <w:spacing w:after="0" w:line="108" w:lineRule="exact"/>
              <w:rPr>
                <w:sz w:val="20"/>
                <w:szCs w:val="20"/>
                <w:color w:val="auto"/>
              </w:rPr>
            </w:pPr>
            <w:r>
              <w:rPr>
                <w:rFonts w:ascii="Arial" w:cs="Arial" w:eastAsia="Arial" w:hAnsi="Arial"/>
                <w:sz w:val="10"/>
                <w:szCs w:val="10"/>
                <w:color w:val="auto"/>
              </w:rPr>
              <w:t>Purchases of property, plant and equipment</w:t>
            </w:r>
          </w:p>
        </w:tc>
        <w:tc>
          <w:tcPr>
            <w:tcW w:w="2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gridSpan w:val="2"/>
          </w:tcPr>
          <w:p>
            <w:pPr>
              <w:jc w:val="right"/>
              <w:ind w:right="80"/>
              <w:spacing w:after="0" w:line="108" w:lineRule="exact"/>
              <w:rPr>
                <w:sz w:val="20"/>
                <w:szCs w:val="20"/>
                <w:color w:val="auto"/>
              </w:rPr>
            </w:pPr>
            <w:r>
              <w:rPr>
                <w:rFonts w:ascii="Arial" w:cs="Arial" w:eastAsia="Arial" w:hAnsi="Arial"/>
                <w:sz w:val="10"/>
                <w:szCs w:val="10"/>
                <w:color w:val="auto"/>
              </w:rPr>
              <w:t>(817,505)</w:t>
            </w: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94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(676,138)</w:t>
            </w: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gridSpan w:val="2"/>
          </w:tcPr>
          <w:p>
            <w:pPr>
              <w:jc w:val="right"/>
              <w:ind w:right="80"/>
              <w:spacing w:after="0" w:line="108" w:lineRule="exact"/>
              <w:rPr>
                <w:sz w:val="20"/>
                <w:szCs w:val="20"/>
                <w:color w:val="auto"/>
              </w:rPr>
            </w:pPr>
            <w:r>
              <w:rPr>
                <w:rFonts w:ascii="Arial" w:cs="Arial" w:eastAsia="Arial" w:hAnsi="Arial"/>
                <w:sz w:val="10"/>
                <w:szCs w:val="10"/>
                <w:color w:val="auto"/>
              </w:rPr>
              <w:t>(189,733)</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46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Acquisition of other assets</w:t>
            </w:r>
          </w:p>
        </w:tc>
        <w:tc>
          <w:tcPr>
            <w:tcW w:w="244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840" w:type="dxa"/>
            <w:vAlign w:val="bottom"/>
            <w:gridSpan w:val="2"/>
            <w:shd w:val="clear" w:color="auto" w:fill="CCEEFF"/>
          </w:tcPr>
          <w:p>
            <w:pPr>
              <w:jc w:val="right"/>
              <w:ind w:right="80"/>
              <w:spacing w:after="0" w:line="108" w:lineRule="exact"/>
              <w:rPr>
                <w:sz w:val="20"/>
                <w:szCs w:val="20"/>
                <w:color w:val="auto"/>
              </w:rPr>
            </w:pPr>
            <w:r>
              <w:rPr>
                <w:rFonts w:ascii="Arial" w:cs="Arial" w:eastAsia="Arial" w:hAnsi="Arial"/>
                <w:sz w:val="10"/>
                <w:szCs w:val="10"/>
                <w:color w:val="auto"/>
              </w:rPr>
              <w:t>(30,000)</w:t>
            </w:r>
          </w:p>
        </w:tc>
        <w:tc>
          <w:tcPr>
            <w:tcW w:w="2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94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(72,167)</w:t>
            </w:r>
          </w:p>
        </w:tc>
        <w:tc>
          <w:tcPr>
            <w:tcW w:w="1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820" w:type="dxa"/>
            <w:vAlign w:val="bottom"/>
            <w:gridSpan w:val="2"/>
            <w:shd w:val="clear" w:color="auto" w:fill="CCEEFF"/>
          </w:tcPr>
          <w:p>
            <w:pPr>
              <w:jc w:val="right"/>
              <w:ind w:right="140"/>
              <w:spacing w:after="0" w:line="108" w:lineRule="exact"/>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08"/>
        </w:trPr>
        <w:tc>
          <w:tcPr>
            <w:tcW w:w="5480" w:type="dxa"/>
            <w:vAlign w:val="bottom"/>
            <w:gridSpan w:val="2"/>
          </w:tcPr>
          <w:p>
            <w:pPr>
              <w:spacing w:after="0" w:line="108" w:lineRule="exact"/>
              <w:rPr>
                <w:sz w:val="20"/>
                <w:szCs w:val="20"/>
                <w:color w:val="auto"/>
              </w:rPr>
            </w:pPr>
            <w:r>
              <w:rPr>
                <w:rFonts w:ascii="Arial" w:cs="Arial" w:eastAsia="Arial" w:hAnsi="Arial"/>
                <w:sz w:val="10"/>
                <w:szCs w:val="10"/>
                <w:color w:val="auto"/>
              </w:rPr>
              <w:t>Net cash used in investing activities</w:t>
            </w:r>
          </w:p>
        </w:tc>
        <w:tc>
          <w:tcPr>
            <w:tcW w:w="2440" w:type="dxa"/>
            <w:vAlign w:val="bottom"/>
          </w:tcPr>
          <w:p>
            <w:pPr>
              <w:spacing w:after="0"/>
              <w:rPr>
                <w:sz w:val="9"/>
                <w:szCs w:val="9"/>
                <w:color w:val="auto"/>
              </w:rPr>
            </w:pPr>
          </w:p>
        </w:tc>
        <w:tc>
          <w:tcPr>
            <w:tcW w:w="200" w:type="dxa"/>
            <w:vAlign w:val="bottom"/>
            <w:tcBorders>
              <w:top w:val="single" w:sz="8" w:color="auto"/>
            </w:tcBorders>
          </w:tcPr>
          <w:p>
            <w:pPr>
              <w:spacing w:after="0"/>
              <w:rPr>
                <w:sz w:val="9"/>
                <w:szCs w:val="9"/>
                <w:color w:val="auto"/>
              </w:rPr>
            </w:pPr>
          </w:p>
        </w:tc>
        <w:tc>
          <w:tcPr>
            <w:tcW w:w="720" w:type="dxa"/>
            <w:vAlign w:val="bottom"/>
            <w:tcBorders>
              <w:top w:val="single" w:sz="8" w:color="auto"/>
            </w:tcBorders>
          </w:tcPr>
          <w:p>
            <w:pPr>
              <w:jc w:val="right"/>
              <w:spacing w:after="0" w:line="108" w:lineRule="exact"/>
              <w:rPr>
                <w:sz w:val="20"/>
                <w:szCs w:val="20"/>
                <w:color w:val="auto"/>
              </w:rPr>
            </w:pPr>
            <w:r>
              <w:rPr>
                <w:rFonts w:ascii="Arial" w:cs="Arial" w:eastAsia="Arial" w:hAnsi="Arial"/>
                <w:sz w:val="10"/>
                <w:szCs w:val="10"/>
                <w:color w:val="auto"/>
              </w:rPr>
              <w:t>(847,505)</w:t>
            </w: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Borders>
              <w:top w:val="single" w:sz="8" w:color="auto"/>
            </w:tcBorders>
          </w:tcPr>
          <w:p>
            <w:pPr>
              <w:spacing w:after="0"/>
              <w:rPr>
                <w:sz w:val="9"/>
                <w:szCs w:val="9"/>
                <w:color w:val="auto"/>
              </w:rPr>
            </w:pPr>
          </w:p>
        </w:tc>
        <w:tc>
          <w:tcPr>
            <w:tcW w:w="700" w:type="dxa"/>
            <w:vAlign w:val="bottom"/>
            <w:tcBorders>
              <w:top w:val="single" w:sz="8" w:color="auto"/>
            </w:tcBorders>
          </w:tcPr>
          <w:p>
            <w:pPr>
              <w:jc w:val="right"/>
              <w:spacing w:after="0" w:line="108" w:lineRule="exact"/>
              <w:rPr>
                <w:sz w:val="20"/>
                <w:szCs w:val="20"/>
                <w:color w:val="auto"/>
              </w:rPr>
            </w:pPr>
            <w:r>
              <w:rPr>
                <w:rFonts w:ascii="Arial" w:cs="Arial" w:eastAsia="Arial" w:hAnsi="Arial"/>
                <w:sz w:val="10"/>
                <w:szCs w:val="10"/>
                <w:color w:val="auto"/>
              </w:rPr>
              <w:t>(748,305)</w:t>
            </w: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Borders>
              <w:top w:val="single" w:sz="8" w:color="auto"/>
            </w:tcBorders>
          </w:tcPr>
          <w:p>
            <w:pPr>
              <w:spacing w:after="0"/>
              <w:rPr>
                <w:sz w:val="9"/>
                <w:szCs w:val="9"/>
                <w:color w:val="auto"/>
              </w:rPr>
            </w:pPr>
          </w:p>
        </w:tc>
        <w:tc>
          <w:tcPr>
            <w:tcW w:w="700" w:type="dxa"/>
            <w:vAlign w:val="bottom"/>
            <w:tcBorders>
              <w:top w:val="single" w:sz="8" w:color="auto"/>
            </w:tcBorders>
          </w:tcPr>
          <w:p>
            <w:pPr>
              <w:jc w:val="right"/>
              <w:spacing w:after="0" w:line="108" w:lineRule="exact"/>
              <w:rPr>
                <w:sz w:val="20"/>
                <w:szCs w:val="20"/>
                <w:color w:val="auto"/>
              </w:rPr>
            </w:pPr>
            <w:r>
              <w:rPr>
                <w:rFonts w:ascii="Arial" w:cs="Arial" w:eastAsia="Arial" w:hAnsi="Arial"/>
                <w:sz w:val="10"/>
                <w:szCs w:val="10"/>
                <w:color w:val="auto"/>
              </w:rPr>
              <w:t>(189,733)</w:t>
            </w: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460" w:type="dxa"/>
            <w:vAlign w:val="bottom"/>
            <w:shd w:val="clear" w:color="auto" w:fill="CCEEFF"/>
          </w:tcPr>
          <w:p>
            <w:pPr>
              <w:spacing w:after="0" w:line="108" w:lineRule="exact"/>
              <w:rPr>
                <w:sz w:val="20"/>
                <w:szCs w:val="20"/>
                <w:color w:val="auto"/>
              </w:rPr>
            </w:pPr>
            <w:r>
              <w:rPr>
                <w:rFonts w:ascii="Arial" w:cs="Arial" w:eastAsia="Arial" w:hAnsi="Arial"/>
                <w:sz w:val="10"/>
                <w:szCs w:val="10"/>
                <w:b w:val="1"/>
                <w:bCs w:val="1"/>
                <w:color w:val="auto"/>
              </w:rPr>
              <w:t>Cash flows from financing activities:</w:t>
            </w:r>
          </w:p>
        </w:tc>
        <w:tc>
          <w:tcPr>
            <w:tcW w:w="244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460" w:type="dxa"/>
            <w:vAlign w:val="bottom"/>
          </w:tcPr>
          <w:p>
            <w:pPr>
              <w:spacing w:after="0" w:line="108" w:lineRule="exact"/>
              <w:rPr>
                <w:sz w:val="20"/>
                <w:szCs w:val="20"/>
                <w:color w:val="auto"/>
              </w:rPr>
            </w:pPr>
            <w:r>
              <w:rPr>
                <w:rFonts w:ascii="Arial" w:cs="Arial" w:eastAsia="Arial" w:hAnsi="Arial"/>
                <w:sz w:val="10"/>
                <w:szCs w:val="10"/>
                <w:color w:val="auto"/>
              </w:rPr>
              <w:t>Proceeds (expense) from issuance of common stock, net</w:t>
            </w:r>
          </w:p>
        </w:tc>
        <w:tc>
          <w:tcPr>
            <w:tcW w:w="2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gridSpan w:val="2"/>
          </w:tcPr>
          <w:p>
            <w:pPr>
              <w:jc w:val="right"/>
              <w:ind w:right="80"/>
              <w:spacing w:after="0" w:line="108" w:lineRule="exact"/>
              <w:rPr>
                <w:sz w:val="20"/>
                <w:szCs w:val="20"/>
                <w:color w:val="auto"/>
              </w:rPr>
            </w:pPr>
            <w:r>
              <w:rPr>
                <w:rFonts w:ascii="Arial" w:cs="Arial" w:eastAsia="Arial" w:hAnsi="Arial"/>
                <w:sz w:val="10"/>
                <w:szCs w:val="10"/>
                <w:color w:val="auto"/>
              </w:rPr>
              <w:t>(193,946)</w:t>
            </w: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jc w:val="right"/>
              <w:spacing w:after="0" w:line="108" w:lineRule="exact"/>
              <w:rPr>
                <w:sz w:val="20"/>
                <w:szCs w:val="20"/>
                <w:color w:val="auto"/>
              </w:rPr>
            </w:pPr>
            <w:r>
              <w:rPr>
                <w:rFonts w:ascii="Arial" w:cs="Arial" w:eastAsia="Arial" w:hAnsi="Arial"/>
                <w:sz w:val="10"/>
                <w:szCs w:val="10"/>
                <w:color w:val="auto"/>
              </w:rPr>
              <w:t>39,640,178</w:t>
            </w: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gridSpan w:val="2"/>
          </w:tcPr>
          <w:p>
            <w:pPr>
              <w:jc w:val="right"/>
              <w:ind w:right="120"/>
              <w:spacing w:after="0" w:line="108" w:lineRule="exact"/>
              <w:rPr>
                <w:sz w:val="20"/>
                <w:szCs w:val="20"/>
                <w:color w:val="auto"/>
              </w:rPr>
            </w:pPr>
            <w:r>
              <w:rPr>
                <w:rFonts w:ascii="Arial" w:cs="Arial" w:eastAsia="Arial" w:hAnsi="Arial"/>
                <w:sz w:val="10"/>
                <w:szCs w:val="10"/>
                <w:color w:val="auto"/>
              </w:rPr>
              <w:t>16,130,347</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46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Proceeds from the exercise of stock options</w:t>
            </w:r>
          </w:p>
        </w:tc>
        <w:tc>
          <w:tcPr>
            <w:tcW w:w="244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840" w:type="dxa"/>
            <w:vAlign w:val="bottom"/>
            <w:gridSpan w:val="2"/>
            <w:shd w:val="clear" w:color="auto" w:fill="CCEEFF"/>
          </w:tcPr>
          <w:p>
            <w:pPr>
              <w:jc w:val="right"/>
              <w:ind w:right="120"/>
              <w:spacing w:after="0" w:line="108" w:lineRule="exact"/>
              <w:rPr>
                <w:sz w:val="20"/>
                <w:szCs w:val="20"/>
                <w:color w:val="auto"/>
              </w:rPr>
            </w:pPr>
            <w:r>
              <w:rPr>
                <w:rFonts w:ascii="Arial" w:cs="Arial" w:eastAsia="Arial" w:hAnsi="Arial"/>
                <w:sz w:val="10"/>
                <w:szCs w:val="10"/>
                <w:color w:val="auto"/>
              </w:rPr>
              <w:t>737,688</w:t>
            </w:r>
          </w:p>
        </w:tc>
        <w:tc>
          <w:tcPr>
            <w:tcW w:w="2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940" w:type="dxa"/>
            <w:vAlign w:val="bottom"/>
            <w:gridSpan w:val="2"/>
            <w:shd w:val="clear" w:color="auto" w:fill="CCEEFF"/>
          </w:tcPr>
          <w:p>
            <w:pPr>
              <w:jc w:val="right"/>
              <w:ind w:right="240"/>
              <w:spacing w:after="0" w:line="108" w:lineRule="exact"/>
              <w:rPr>
                <w:sz w:val="20"/>
                <w:szCs w:val="20"/>
                <w:color w:val="auto"/>
              </w:rPr>
            </w:pPr>
            <w:r>
              <w:rPr>
                <w:rFonts w:ascii="Arial" w:cs="Arial" w:eastAsia="Arial" w:hAnsi="Arial"/>
                <w:sz w:val="10"/>
                <w:szCs w:val="10"/>
                <w:color w:val="auto"/>
              </w:rPr>
              <w:t>45,379</w:t>
            </w:r>
          </w:p>
        </w:tc>
        <w:tc>
          <w:tcPr>
            <w:tcW w:w="1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820" w:type="dxa"/>
            <w:vAlign w:val="bottom"/>
            <w:gridSpan w:val="2"/>
            <w:shd w:val="clear" w:color="auto" w:fill="CCEEFF"/>
          </w:tcPr>
          <w:p>
            <w:pPr>
              <w:jc w:val="right"/>
              <w:ind w:right="120"/>
              <w:spacing w:after="0" w:line="108" w:lineRule="exact"/>
              <w:rPr>
                <w:sz w:val="20"/>
                <w:szCs w:val="20"/>
                <w:color w:val="auto"/>
              </w:rPr>
            </w:pPr>
            <w:r>
              <w:rPr>
                <w:rFonts w:ascii="Arial" w:cs="Arial" w:eastAsia="Arial" w:hAnsi="Arial"/>
                <w:sz w:val="10"/>
                <w:szCs w:val="10"/>
                <w:color w:val="auto"/>
              </w:rPr>
              <w:t>30,085</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460" w:type="dxa"/>
            <w:vAlign w:val="bottom"/>
          </w:tcPr>
          <w:p>
            <w:pPr>
              <w:spacing w:after="0" w:line="108" w:lineRule="exact"/>
              <w:rPr>
                <w:sz w:val="20"/>
                <w:szCs w:val="20"/>
                <w:color w:val="auto"/>
              </w:rPr>
            </w:pPr>
            <w:r>
              <w:rPr>
                <w:rFonts w:ascii="Arial" w:cs="Arial" w:eastAsia="Arial" w:hAnsi="Arial"/>
                <w:sz w:val="10"/>
                <w:szCs w:val="10"/>
                <w:color w:val="auto"/>
              </w:rPr>
              <w:t>Proceeds from the exercise of warrants</w:t>
            </w:r>
          </w:p>
        </w:tc>
        <w:tc>
          <w:tcPr>
            <w:tcW w:w="2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gridSpan w:val="2"/>
          </w:tcPr>
          <w:p>
            <w:pPr>
              <w:jc w:val="right"/>
              <w:ind w:right="120"/>
              <w:spacing w:after="0" w:line="108" w:lineRule="exact"/>
              <w:rPr>
                <w:sz w:val="20"/>
                <w:szCs w:val="20"/>
                <w:color w:val="auto"/>
              </w:rPr>
            </w:pPr>
            <w:r>
              <w:rPr>
                <w:rFonts w:ascii="Arial" w:cs="Arial" w:eastAsia="Arial" w:hAnsi="Arial"/>
                <w:sz w:val="10"/>
                <w:szCs w:val="10"/>
                <w:color w:val="auto"/>
              </w:rPr>
              <w:t>5,939,106</w:t>
            </w: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940" w:type="dxa"/>
            <w:vAlign w:val="bottom"/>
            <w:gridSpan w:val="2"/>
          </w:tcPr>
          <w:p>
            <w:pPr>
              <w:jc w:val="right"/>
              <w:ind w:right="240"/>
              <w:spacing w:after="0" w:line="108" w:lineRule="exact"/>
              <w:rPr>
                <w:sz w:val="20"/>
                <w:szCs w:val="20"/>
                <w:color w:val="auto"/>
              </w:rPr>
            </w:pPr>
            <w:r>
              <w:rPr>
                <w:rFonts w:ascii="Arial" w:cs="Arial" w:eastAsia="Arial" w:hAnsi="Arial"/>
                <w:sz w:val="10"/>
                <w:szCs w:val="10"/>
                <w:color w:val="auto"/>
              </w:rPr>
              <w:t>582,398</w:t>
            </w: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gridSpan w:val="2"/>
          </w:tcPr>
          <w:p>
            <w:pPr>
              <w:jc w:val="right"/>
              <w:ind w:right="120"/>
              <w:spacing w:after="0" w:line="108" w:lineRule="exact"/>
              <w:rPr>
                <w:sz w:val="20"/>
                <w:szCs w:val="20"/>
                <w:color w:val="auto"/>
              </w:rPr>
            </w:pPr>
            <w:r>
              <w:rPr>
                <w:rFonts w:ascii="Arial" w:cs="Arial" w:eastAsia="Arial" w:hAnsi="Arial"/>
                <w:sz w:val="10"/>
                <w:szCs w:val="10"/>
                <w:color w:val="auto"/>
              </w:rPr>
              <w:t>1,647,000</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46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Repayments of capital lease obligations</w:t>
            </w:r>
          </w:p>
        </w:tc>
        <w:tc>
          <w:tcPr>
            <w:tcW w:w="244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840" w:type="dxa"/>
            <w:vAlign w:val="bottom"/>
            <w:gridSpan w:val="2"/>
            <w:shd w:val="clear" w:color="auto" w:fill="CCEEFF"/>
          </w:tcPr>
          <w:p>
            <w:pPr>
              <w:jc w:val="right"/>
              <w:ind w:right="80"/>
              <w:spacing w:after="0" w:line="108" w:lineRule="exact"/>
              <w:rPr>
                <w:sz w:val="20"/>
                <w:szCs w:val="20"/>
                <w:color w:val="auto"/>
              </w:rPr>
            </w:pPr>
            <w:r>
              <w:rPr>
                <w:rFonts w:ascii="Arial" w:cs="Arial" w:eastAsia="Arial" w:hAnsi="Arial"/>
                <w:sz w:val="10"/>
                <w:szCs w:val="10"/>
                <w:color w:val="auto"/>
              </w:rPr>
              <w:t>(39,232)</w:t>
            </w:r>
          </w:p>
        </w:tc>
        <w:tc>
          <w:tcPr>
            <w:tcW w:w="2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94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(30,830)</w:t>
            </w:r>
          </w:p>
        </w:tc>
        <w:tc>
          <w:tcPr>
            <w:tcW w:w="1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820" w:type="dxa"/>
            <w:vAlign w:val="bottom"/>
            <w:gridSpan w:val="2"/>
            <w:shd w:val="clear" w:color="auto" w:fill="CCEEFF"/>
          </w:tcPr>
          <w:p>
            <w:pPr>
              <w:jc w:val="right"/>
              <w:ind w:right="120"/>
              <w:spacing w:after="0" w:line="108" w:lineRule="exact"/>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460" w:type="dxa"/>
            <w:vAlign w:val="bottom"/>
          </w:tcPr>
          <w:p>
            <w:pPr>
              <w:spacing w:after="0" w:line="108" w:lineRule="exact"/>
              <w:rPr>
                <w:sz w:val="20"/>
                <w:szCs w:val="20"/>
                <w:color w:val="auto"/>
              </w:rPr>
            </w:pPr>
            <w:r>
              <w:rPr>
                <w:rFonts w:ascii="Arial" w:cs="Arial" w:eastAsia="Arial" w:hAnsi="Arial"/>
                <w:sz w:val="10"/>
                <w:szCs w:val="10"/>
                <w:color w:val="auto"/>
              </w:rPr>
              <w:t>Repayments of debt obligations</w:t>
            </w:r>
          </w:p>
        </w:tc>
        <w:tc>
          <w:tcPr>
            <w:tcW w:w="2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gridSpan w:val="2"/>
          </w:tcPr>
          <w:p>
            <w:pPr>
              <w:jc w:val="right"/>
              <w:ind w:right="80"/>
              <w:spacing w:after="0" w:line="108" w:lineRule="exact"/>
              <w:rPr>
                <w:sz w:val="20"/>
                <w:szCs w:val="20"/>
                <w:color w:val="auto"/>
              </w:rPr>
            </w:pPr>
            <w:r>
              <w:rPr>
                <w:rFonts w:ascii="Arial" w:cs="Arial" w:eastAsia="Arial" w:hAnsi="Arial"/>
                <w:sz w:val="10"/>
                <w:szCs w:val="10"/>
                <w:color w:val="auto"/>
              </w:rPr>
              <w:t>(244,167)</w:t>
            </w: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94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(237,083)</w:t>
            </w: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gridSpan w:val="2"/>
          </w:tcPr>
          <w:p>
            <w:pPr>
              <w:jc w:val="right"/>
              <w:ind w:right="80"/>
              <w:spacing w:after="0" w:line="108" w:lineRule="exact"/>
              <w:rPr>
                <w:sz w:val="20"/>
                <w:szCs w:val="20"/>
                <w:color w:val="auto"/>
              </w:rPr>
            </w:pPr>
            <w:r>
              <w:rPr>
                <w:rFonts w:ascii="Arial" w:cs="Arial" w:eastAsia="Arial" w:hAnsi="Arial"/>
                <w:sz w:val="10"/>
                <w:szCs w:val="10"/>
                <w:color w:val="auto"/>
              </w:rPr>
              <w:t>(229,167)</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
        </w:trPr>
        <w:tc>
          <w:tcPr>
            <w:tcW w:w="20" w:type="dxa"/>
            <w:vAlign w:val="bottom"/>
            <w:vMerge w:val="continue"/>
          </w:tcPr>
          <w:p>
            <w:pPr>
              <w:spacing w:after="0"/>
              <w:rPr>
                <w:sz w:val="9"/>
                <w:szCs w:val="9"/>
                <w:color w:val="auto"/>
              </w:rPr>
            </w:pPr>
          </w:p>
        </w:tc>
        <w:tc>
          <w:tcPr>
            <w:tcW w:w="546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Net cash provided by financing activities</w:t>
            </w:r>
          </w:p>
        </w:tc>
        <w:tc>
          <w:tcPr>
            <w:tcW w:w="244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840" w:type="dxa"/>
            <w:vAlign w:val="bottom"/>
            <w:gridSpan w:val="2"/>
            <w:shd w:val="clear" w:color="auto" w:fill="CCEEFF"/>
          </w:tcPr>
          <w:p>
            <w:pPr>
              <w:jc w:val="right"/>
              <w:ind w:right="120"/>
              <w:spacing w:after="0" w:line="108" w:lineRule="exact"/>
              <w:rPr>
                <w:sz w:val="20"/>
                <w:szCs w:val="20"/>
                <w:color w:val="auto"/>
              </w:rPr>
            </w:pPr>
            <w:r>
              <w:rPr>
                <w:rFonts w:ascii="Arial" w:cs="Arial" w:eastAsia="Arial" w:hAnsi="Arial"/>
                <w:sz w:val="10"/>
                <w:szCs w:val="10"/>
                <w:color w:val="auto"/>
              </w:rPr>
              <w:t>6,199,449</w:t>
            </w:r>
          </w:p>
        </w:tc>
        <w:tc>
          <w:tcPr>
            <w:tcW w:w="2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70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40,000,042</w:t>
            </w:r>
          </w:p>
        </w:tc>
        <w:tc>
          <w:tcPr>
            <w:tcW w:w="2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820" w:type="dxa"/>
            <w:vAlign w:val="bottom"/>
            <w:gridSpan w:val="2"/>
            <w:shd w:val="clear" w:color="auto" w:fill="CCEEFF"/>
          </w:tcPr>
          <w:p>
            <w:pPr>
              <w:jc w:val="right"/>
              <w:ind w:right="120"/>
              <w:spacing w:after="0" w:line="108" w:lineRule="exact"/>
              <w:rPr>
                <w:sz w:val="20"/>
                <w:szCs w:val="20"/>
                <w:color w:val="auto"/>
              </w:rPr>
            </w:pPr>
            <w:r>
              <w:rPr>
                <w:rFonts w:ascii="Arial" w:cs="Arial" w:eastAsia="Arial" w:hAnsi="Arial"/>
                <w:sz w:val="10"/>
                <w:szCs w:val="10"/>
                <w:color w:val="auto"/>
              </w:rPr>
              <w:t>17,578,265</w:t>
            </w:r>
          </w:p>
        </w:tc>
        <w:tc>
          <w:tcPr>
            <w:tcW w:w="0" w:type="dxa"/>
            <w:vAlign w:val="bottom"/>
          </w:tcPr>
          <w:p>
            <w:pPr>
              <w:spacing w:after="0"/>
              <w:rPr>
                <w:sz w:val="1"/>
                <w:szCs w:val="1"/>
                <w:color w:val="auto"/>
              </w:rPr>
            </w:pPr>
          </w:p>
        </w:tc>
      </w:tr>
      <w:tr>
        <w:trPr>
          <w:trHeight w:val="108"/>
        </w:trPr>
        <w:tc>
          <w:tcPr>
            <w:tcW w:w="5480" w:type="dxa"/>
            <w:vAlign w:val="bottom"/>
            <w:gridSpan w:val="2"/>
          </w:tcPr>
          <w:p>
            <w:pPr>
              <w:spacing w:after="0" w:line="108" w:lineRule="exact"/>
              <w:rPr>
                <w:sz w:val="20"/>
                <w:szCs w:val="20"/>
                <w:color w:val="auto"/>
              </w:rPr>
            </w:pPr>
            <w:r>
              <w:rPr>
                <w:rFonts w:ascii="Arial" w:cs="Arial" w:eastAsia="Arial" w:hAnsi="Arial"/>
                <w:sz w:val="10"/>
                <w:szCs w:val="10"/>
                <w:color w:val="auto"/>
              </w:rPr>
              <w:t>Increase (decrease) in cash and cash equivalents</w:t>
            </w:r>
          </w:p>
        </w:tc>
        <w:tc>
          <w:tcPr>
            <w:tcW w:w="2440" w:type="dxa"/>
            <w:vAlign w:val="bottom"/>
          </w:tcPr>
          <w:p>
            <w:pPr>
              <w:spacing w:after="0"/>
              <w:rPr>
                <w:sz w:val="9"/>
                <w:szCs w:val="9"/>
                <w:color w:val="auto"/>
              </w:rPr>
            </w:pPr>
          </w:p>
        </w:tc>
        <w:tc>
          <w:tcPr>
            <w:tcW w:w="200" w:type="dxa"/>
            <w:vAlign w:val="bottom"/>
            <w:tcBorders>
              <w:top w:val="single" w:sz="8" w:color="auto"/>
            </w:tcBorders>
          </w:tcPr>
          <w:p>
            <w:pPr>
              <w:spacing w:after="0"/>
              <w:rPr>
                <w:sz w:val="9"/>
                <w:szCs w:val="9"/>
                <w:color w:val="auto"/>
              </w:rPr>
            </w:pPr>
          </w:p>
        </w:tc>
        <w:tc>
          <w:tcPr>
            <w:tcW w:w="720" w:type="dxa"/>
            <w:vAlign w:val="bottom"/>
            <w:tcBorders>
              <w:top w:val="single" w:sz="8" w:color="auto"/>
            </w:tcBorders>
          </w:tcPr>
          <w:p>
            <w:pPr>
              <w:jc w:val="right"/>
              <w:spacing w:after="0" w:line="108" w:lineRule="exact"/>
              <w:rPr>
                <w:sz w:val="20"/>
                <w:szCs w:val="20"/>
                <w:color w:val="auto"/>
              </w:rPr>
            </w:pPr>
            <w:r>
              <w:rPr>
                <w:rFonts w:ascii="Arial" w:cs="Arial" w:eastAsia="Arial" w:hAnsi="Arial"/>
                <w:sz w:val="10"/>
                <w:szCs w:val="10"/>
                <w:color w:val="auto"/>
              </w:rPr>
              <w:t>(6,518,624)</w:t>
            </w: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Borders>
              <w:top w:val="single" w:sz="8" w:color="auto"/>
            </w:tcBorders>
          </w:tcPr>
          <w:p>
            <w:pPr>
              <w:spacing w:after="0"/>
              <w:rPr>
                <w:sz w:val="9"/>
                <w:szCs w:val="9"/>
                <w:color w:val="auto"/>
              </w:rPr>
            </w:pPr>
          </w:p>
        </w:tc>
        <w:tc>
          <w:tcPr>
            <w:tcW w:w="700" w:type="dxa"/>
            <w:vAlign w:val="bottom"/>
            <w:tcBorders>
              <w:top w:val="single" w:sz="8" w:color="auto"/>
            </w:tcBorders>
          </w:tcPr>
          <w:p>
            <w:pPr>
              <w:jc w:val="right"/>
              <w:spacing w:after="0" w:line="108" w:lineRule="exact"/>
              <w:rPr>
                <w:sz w:val="20"/>
                <w:szCs w:val="20"/>
                <w:color w:val="auto"/>
              </w:rPr>
            </w:pPr>
            <w:r>
              <w:rPr>
                <w:rFonts w:ascii="Arial" w:cs="Arial" w:eastAsia="Arial" w:hAnsi="Arial"/>
                <w:sz w:val="10"/>
                <w:szCs w:val="10"/>
                <w:color w:val="auto"/>
              </w:rPr>
              <w:t>27,977,829</w:t>
            </w: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Borders>
              <w:top w:val="single" w:sz="8" w:color="auto"/>
            </w:tcBorders>
          </w:tcPr>
          <w:p>
            <w:pPr>
              <w:spacing w:after="0"/>
              <w:rPr>
                <w:sz w:val="9"/>
                <w:szCs w:val="9"/>
                <w:color w:val="auto"/>
              </w:rPr>
            </w:pPr>
          </w:p>
        </w:tc>
        <w:tc>
          <w:tcPr>
            <w:tcW w:w="700" w:type="dxa"/>
            <w:vAlign w:val="bottom"/>
            <w:tcBorders>
              <w:top w:val="single" w:sz="8" w:color="auto"/>
            </w:tcBorders>
          </w:tcPr>
          <w:p>
            <w:pPr>
              <w:jc w:val="right"/>
              <w:spacing w:after="0" w:line="108" w:lineRule="exact"/>
              <w:rPr>
                <w:sz w:val="20"/>
                <w:szCs w:val="20"/>
                <w:color w:val="auto"/>
              </w:rPr>
            </w:pPr>
            <w:r>
              <w:rPr>
                <w:rFonts w:ascii="Arial" w:cs="Arial" w:eastAsia="Arial" w:hAnsi="Arial"/>
                <w:sz w:val="10"/>
                <w:szCs w:val="10"/>
                <w:color w:val="auto"/>
              </w:rPr>
              <w:t>8,845,336</w:t>
            </w: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46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Cash and cash equivalents at beginning of year</w:t>
            </w:r>
          </w:p>
        </w:tc>
        <w:tc>
          <w:tcPr>
            <w:tcW w:w="244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840" w:type="dxa"/>
            <w:vAlign w:val="bottom"/>
            <w:gridSpan w:val="2"/>
            <w:shd w:val="clear" w:color="auto" w:fill="CCEEFF"/>
          </w:tcPr>
          <w:p>
            <w:pPr>
              <w:jc w:val="right"/>
              <w:ind w:right="120"/>
              <w:spacing w:after="0" w:line="108" w:lineRule="exact"/>
              <w:rPr>
                <w:sz w:val="20"/>
                <w:szCs w:val="20"/>
                <w:color w:val="auto"/>
              </w:rPr>
            </w:pPr>
            <w:r>
              <w:rPr>
                <w:rFonts w:ascii="Arial" w:cs="Arial" w:eastAsia="Arial" w:hAnsi="Arial"/>
                <w:sz w:val="10"/>
                <w:szCs w:val="10"/>
                <w:color w:val="auto"/>
              </w:rPr>
              <w:t>41,059,532</w:t>
            </w:r>
          </w:p>
        </w:tc>
        <w:tc>
          <w:tcPr>
            <w:tcW w:w="2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70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13,081,703</w:t>
            </w:r>
          </w:p>
        </w:tc>
        <w:tc>
          <w:tcPr>
            <w:tcW w:w="2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820" w:type="dxa"/>
            <w:vAlign w:val="bottom"/>
            <w:gridSpan w:val="2"/>
            <w:shd w:val="clear" w:color="auto" w:fill="CCEEFF"/>
          </w:tcPr>
          <w:p>
            <w:pPr>
              <w:jc w:val="right"/>
              <w:ind w:right="120"/>
              <w:spacing w:after="0" w:line="108" w:lineRule="exact"/>
              <w:rPr>
                <w:sz w:val="20"/>
                <w:szCs w:val="20"/>
                <w:color w:val="auto"/>
              </w:rPr>
            </w:pPr>
            <w:r>
              <w:rPr>
                <w:rFonts w:ascii="Arial" w:cs="Arial" w:eastAsia="Arial" w:hAnsi="Arial"/>
                <w:sz w:val="10"/>
                <w:szCs w:val="10"/>
                <w:color w:val="auto"/>
              </w:rPr>
              <w:t>4,236,367</w:t>
            </w:r>
          </w:p>
        </w:tc>
        <w:tc>
          <w:tcPr>
            <w:tcW w:w="0" w:type="dxa"/>
            <w:vAlign w:val="bottom"/>
          </w:tcPr>
          <w:p>
            <w:pPr>
              <w:spacing w:after="0"/>
              <w:rPr>
                <w:sz w:val="1"/>
                <w:szCs w:val="1"/>
                <w:color w:val="auto"/>
              </w:rPr>
            </w:pPr>
          </w:p>
        </w:tc>
      </w:tr>
      <w:tr>
        <w:trPr>
          <w:trHeight w:val="117"/>
        </w:trPr>
        <w:tc>
          <w:tcPr>
            <w:tcW w:w="5480" w:type="dxa"/>
            <w:vAlign w:val="bottom"/>
            <w:gridSpan w:val="2"/>
          </w:tcPr>
          <w:p>
            <w:pPr>
              <w:spacing w:after="0" w:line="108" w:lineRule="exact"/>
              <w:rPr>
                <w:sz w:val="20"/>
                <w:szCs w:val="20"/>
                <w:color w:val="auto"/>
              </w:rPr>
            </w:pPr>
            <w:r>
              <w:rPr>
                <w:rFonts w:ascii="Arial" w:cs="Arial" w:eastAsia="Arial" w:hAnsi="Arial"/>
                <w:sz w:val="10"/>
                <w:szCs w:val="10"/>
                <w:color w:val="auto"/>
              </w:rPr>
              <w:t>Cash and cash equivalents at end of the year</w:t>
            </w:r>
          </w:p>
        </w:tc>
        <w:tc>
          <w:tcPr>
            <w:tcW w:w="2440" w:type="dxa"/>
            <w:vAlign w:val="bottom"/>
          </w:tcPr>
          <w:p>
            <w:pPr>
              <w:spacing w:after="0"/>
              <w:rPr>
                <w:sz w:val="10"/>
                <w:szCs w:val="10"/>
                <w:color w:val="auto"/>
              </w:rPr>
            </w:pPr>
          </w:p>
        </w:tc>
        <w:tc>
          <w:tcPr>
            <w:tcW w:w="200" w:type="dxa"/>
            <w:vAlign w:val="bottom"/>
            <w:tcBorders>
              <w:top w:val="single" w:sz="8" w:color="auto"/>
              <w:bottom w:val="single" w:sz="8" w:color="auto"/>
            </w:tcBorders>
          </w:tcPr>
          <w:p>
            <w:pPr>
              <w:jc w:val="right"/>
              <w:ind w:right="88"/>
              <w:spacing w:after="0" w:line="108" w:lineRule="exact"/>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34,540,908</w:t>
            </w: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Borders>
              <w:top w:val="single" w:sz="8" w:color="auto"/>
              <w:bottom w:val="single" w:sz="8" w:color="auto"/>
            </w:tcBorders>
          </w:tcPr>
          <w:p>
            <w:pPr>
              <w:jc w:val="right"/>
              <w:ind w:right="88"/>
              <w:spacing w:after="0" w:line="108" w:lineRule="exact"/>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41,059,532</w:t>
            </w: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Borders>
              <w:top w:val="single" w:sz="8" w:color="auto"/>
              <w:bottom w:val="single" w:sz="8" w:color="auto"/>
            </w:tcBorders>
          </w:tcPr>
          <w:p>
            <w:pPr>
              <w:jc w:val="right"/>
              <w:ind w:right="134"/>
              <w:spacing w:after="0"/>
              <w:rPr>
                <w:sz w:val="20"/>
                <w:szCs w:val="20"/>
                <w:color w:val="auto"/>
              </w:rPr>
            </w:pPr>
            <w:r>
              <w:rPr>
                <w:rFonts w:ascii="Arial" w:cs="Arial" w:eastAsia="Arial" w:hAnsi="Arial"/>
                <w:sz w:val="5"/>
                <w:szCs w:val="5"/>
                <w:color w:val="auto"/>
                <w:w w:val="70"/>
              </w:rPr>
              <w:t>$</w:t>
            </w:r>
          </w:p>
        </w:tc>
        <w:tc>
          <w:tcPr>
            <w:tcW w:w="70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13,081,703</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0"/>
                <w:szCs w:val="10"/>
                <w:color w:val="auto"/>
              </w:rPr>
              <w:t>Supplemental disclosure of cash flow information:</w:t>
            </w:r>
          </w:p>
        </w:tc>
        <w:tc>
          <w:tcPr>
            <w:tcW w:w="24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460" w:type="dxa"/>
            <w:vAlign w:val="bottom"/>
          </w:tcPr>
          <w:p>
            <w:pPr>
              <w:ind w:left="80"/>
              <w:spacing w:after="0" w:line="108" w:lineRule="exact"/>
              <w:rPr>
                <w:sz w:val="20"/>
                <w:szCs w:val="20"/>
                <w:color w:val="auto"/>
              </w:rPr>
            </w:pPr>
            <w:r>
              <w:rPr>
                <w:rFonts w:ascii="Arial" w:cs="Arial" w:eastAsia="Arial" w:hAnsi="Arial"/>
                <w:sz w:val="10"/>
                <w:szCs w:val="10"/>
                <w:color w:val="auto"/>
              </w:rPr>
              <w:t>Interest paid</w:t>
            </w:r>
          </w:p>
        </w:tc>
        <w:tc>
          <w:tcPr>
            <w:tcW w:w="2640" w:type="dxa"/>
            <w:vAlign w:val="bottom"/>
            <w:gridSpan w:val="2"/>
          </w:tcPr>
          <w:p>
            <w:pPr>
              <w:jc w:val="right"/>
              <w:ind w:right="88"/>
              <w:spacing w:after="0" w:line="108" w:lineRule="exact"/>
              <w:rPr>
                <w:sz w:val="20"/>
                <w:szCs w:val="20"/>
                <w:color w:val="auto"/>
              </w:rPr>
            </w:pPr>
            <w:r>
              <w:rPr>
                <w:rFonts w:ascii="Arial" w:cs="Arial" w:eastAsia="Arial" w:hAnsi="Arial"/>
                <w:sz w:val="10"/>
                <w:szCs w:val="10"/>
                <w:color w:val="auto"/>
              </w:rPr>
              <w:t>$</w:t>
            </w:r>
          </w:p>
        </w:tc>
        <w:tc>
          <w:tcPr>
            <w:tcW w:w="840" w:type="dxa"/>
            <w:vAlign w:val="bottom"/>
            <w:gridSpan w:val="2"/>
          </w:tcPr>
          <w:p>
            <w:pPr>
              <w:jc w:val="right"/>
              <w:ind w:right="120"/>
              <w:spacing w:after="0" w:line="108" w:lineRule="exact"/>
              <w:rPr>
                <w:sz w:val="20"/>
                <w:szCs w:val="20"/>
                <w:color w:val="auto"/>
              </w:rPr>
            </w:pPr>
            <w:r>
              <w:rPr>
                <w:rFonts w:ascii="Arial" w:cs="Arial" w:eastAsia="Arial" w:hAnsi="Arial"/>
                <w:sz w:val="10"/>
                <w:szCs w:val="10"/>
                <w:color w:val="auto"/>
              </w:rPr>
              <w:t>171,909</w:t>
            </w:r>
          </w:p>
        </w:tc>
        <w:tc>
          <w:tcPr>
            <w:tcW w:w="420" w:type="dxa"/>
            <w:vAlign w:val="bottom"/>
            <w:gridSpan w:val="2"/>
          </w:tcPr>
          <w:p>
            <w:pPr>
              <w:jc w:val="right"/>
              <w:ind w:right="88"/>
              <w:spacing w:after="0" w:line="108" w:lineRule="exact"/>
              <w:rPr>
                <w:sz w:val="20"/>
                <w:szCs w:val="20"/>
                <w:color w:val="auto"/>
              </w:rPr>
            </w:pPr>
            <w:r>
              <w:rPr>
                <w:rFonts w:ascii="Arial" w:cs="Arial" w:eastAsia="Arial" w:hAnsi="Arial"/>
                <w:sz w:val="10"/>
                <w:szCs w:val="10"/>
                <w:color w:val="auto"/>
              </w:rPr>
              <w:t>$</w:t>
            </w:r>
          </w:p>
        </w:tc>
        <w:tc>
          <w:tcPr>
            <w:tcW w:w="940" w:type="dxa"/>
            <w:vAlign w:val="bottom"/>
            <w:gridSpan w:val="2"/>
          </w:tcPr>
          <w:p>
            <w:pPr>
              <w:jc w:val="right"/>
              <w:ind w:right="240"/>
              <w:spacing w:after="0" w:line="108" w:lineRule="exact"/>
              <w:rPr>
                <w:sz w:val="20"/>
                <w:szCs w:val="20"/>
                <w:color w:val="auto"/>
              </w:rPr>
            </w:pPr>
            <w:r>
              <w:rPr>
                <w:rFonts w:ascii="Arial" w:cs="Arial" w:eastAsia="Arial" w:hAnsi="Arial"/>
                <w:sz w:val="10"/>
                <w:szCs w:val="10"/>
                <w:color w:val="auto"/>
              </w:rPr>
              <w:t>191,006</w:t>
            </w:r>
          </w:p>
        </w:tc>
        <w:tc>
          <w:tcPr>
            <w:tcW w:w="320" w:type="dxa"/>
            <w:vAlign w:val="bottom"/>
            <w:gridSpan w:val="2"/>
          </w:tcPr>
          <w:p>
            <w:pPr>
              <w:jc w:val="right"/>
              <w:ind w:right="134"/>
              <w:spacing w:after="0" w:line="108" w:lineRule="exact"/>
              <w:rPr>
                <w:sz w:val="20"/>
                <w:szCs w:val="20"/>
                <w:color w:val="auto"/>
              </w:rPr>
            </w:pPr>
            <w:r>
              <w:rPr>
                <w:rFonts w:ascii="Arial" w:cs="Arial" w:eastAsia="Arial" w:hAnsi="Arial"/>
                <w:sz w:val="10"/>
                <w:szCs w:val="10"/>
                <w:color w:val="auto"/>
              </w:rPr>
              <w:t>$</w:t>
            </w:r>
          </w:p>
        </w:tc>
        <w:tc>
          <w:tcPr>
            <w:tcW w:w="820" w:type="dxa"/>
            <w:vAlign w:val="bottom"/>
            <w:gridSpan w:val="2"/>
          </w:tcPr>
          <w:p>
            <w:pPr>
              <w:jc w:val="right"/>
              <w:ind w:right="120"/>
              <w:spacing w:after="0" w:line="108" w:lineRule="exact"/>
              <w:rPr>
                <w:sz w:val="20"/>
                <w:szCs w:val="20"/>
                <w:color w:val="auto"/>
              </w:rPr>
            </w:pPr>
            <w:r>
              <w:rPr>
                <w:rFonts w:ascii="Arial" w:cs="Arial" w:eastAsia="Arial" w:hAnsi="Arial"/>
                <w:sz w:val="10"/>
                <w:szCs w:val="10"/>
                <w:color w:val="auto"/>
              </w:rPr>
              <w:t>207,112</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46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Supplemental schedule of non-cash investing and financing activities:</w:t>
            </w:r>
          </w:p>
        </w:tc>
        <w:tc>
          <w:tcPr>
            <w:tcW w:w="244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460" w:type="dxa"/>
            <w:vAlign w:val="bottom"/>
          </w:tcPr>
          <w:p>
            <w:pPr>
              <w:ind w:left="80"/>
              <w:spacing w:after="0" w:line="108" w:lineRule="exact"/>
              <w:rPr>
                <w:sz w:val="20"/>
                <w:szCs w:val="20"/>
                <w:color w:val="auto"/>
              </w:rPr>
            </w:pPr>
            <w:r>
              <w:rPr>
                <w:rFonts w:ascii="Arial" w:cs="Arial" w:eastAsia="Arial" w:hAnsi="Arial"/>
                <w:sz w:val="10"/>
                <w:szCs w:val="10"/>
                <w:color w:val="auto"/>
              </w:rPr>
              <w:t>Stock issued for licensing agreements</w:t>
            </w:r>
          </w:p>
        </w:tc>
        <w:tc>
          <w:tcPr>
            <w:tcW w:w="2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gridSpan w:val="2"/>
          </w:tcPr>
          <w:p>
            <w:pPr>
              <w:jc w:val="right"/>
              <w:ind w:right="120"/>
              <w:spacing w:after="0" w:line="108" w:lineRule="exact"/>
              <w:rPr>
                <w:sz w:val="20"/>
                <w:szCs w:val="20"/>
                <w:color w:val="auto"/>
              </w:rPr>
            </w:pPr>
            <w:r>
              <w:rPr>
                <w:rFonts w:ascii="Arial" w:cs="Arial" w:eastAsia="Arial" w:hAnsi="Arial"/>
                <w:sz w:val="10"/>
                <w:szCs w:val="10"/>
                <w:color w:val="auto"/>
              </w:rPr>
              <w:t>—</w:t>
            </w:r>
          </w:p>
        </w:tc>
        <w:tc>
          <w:tcPr>
            <w:tcW w:w="420" w:type="dxa"/>
            <w:vAlign w:val="bottom"/>
            <w:gridSpan w:val="2"/>
          </w:tcPr>
          <w:p>
            <w:pPr>
              <w:jc w:val="right"/>
              <w:ind w:right="88"/>
              <w:spacing w:after="0" w:line="108" w:lineRule="exact"/>
              <w:rPr>
                <w:sz w:val="20"/>
                <w:szCs w:val="20"/>
                <w:color w:val="auto"/>
              </w:rPr>
            </w:pPr>
            <w:r>
              <w:rPr>
                <w:rFonts w:ascii="Arial" w:cs="Arial" w:eastAsia="Arial" w:hAnsi="Arial"/>
                <w:sz w:val="10"/>
                <w:szCs w:val="10"/>
                <w:color w:val="auto"/>
              </w:rPr>
              <w:t>$</w:t>
            </w:r>
          </w:p>
        </w:tc>
        <w:tc>
          <w:tcPr>
            <w:tcW w:w="940" w:type="dxa"/>
            <w:vAlign w:val="bottom"/>
            <w:gridSpan w:val="2"/>
          </w:tcPr>
          <w:p>
            <w:pPr>
              <w:jc w:val="right"/>
              <w:ind w:right="120"/>
              <w:spacing w:after="0" w:line="108" w:lineRule="exact"/>
              <w:rPr>
                <w:sz w:val="20"/>
                <w:szCs w:val="20"/>
                <w:color w:val="auto"/>
              </w:rPr>
            </w:pPr>
            <w:r>
              <w:rPr>
                <w:rFonts w:ascii="Arial" w:cs="Arial" w:eastAsia="Arial" w:hAnsi="Arial"/>
                <w:sz w:val="10"/>
                <w:szCs w:val="10"/>
                <w:color w:val="auto"/>
              </w:rPr>
              <w:t>17,833(1)</w:t>
            </w:r>
          </w:p>
        </w:tc>
        <w:tc>
          <w:tcPr>
            <w:tcW w:w="320" w:type="dxa"/>
            <w:vAlign w:val="bottom"/>
            <w:gridSpan w:val="2"/>
          </w:tcPr>
          <w:p>
            <w:pPr>
              <w:jc w:val="right"/>
              <w:ind w:right="134"/>
              <w:spacing w:after="0" w:line="108" w:lineRule="exact"/>
              <w:rPr>
                <w:sz w:val="20"/>
                <w:szCs w:val="20"/>
                <w:color w:val="auto"/>
              </w:rPr>
            </w:pPr>
            <w:r>
              <w:rPr>
                <w:rFonts w:ascii="Arial" w:cs="Arial" w:eastAsia="Arial" w:hAnsi="Arial"/>
                <w:sz w:val="10"/>
                <w:szCs w:val="10"/>
                <w:color w:val="auto"/>
              </w:rPr>
              <w:t>$</w:t>
            </w:r>
          </w:p>
        </w:tc>
        <w:tc>
          <w:tcPr>
            <w:tcW w:w="820" w:type="dxa"/>
            <w:vAlign w:val="bottom"/>
            <w:gridSpan w:val="2"/>
          </w:tcPr>
          <w:p>
            <w:pPr>
              <w:jc w:val="right"/>
              <w:spacing w:after="0" w:line="108" w:lineRule="exact"/>
              <w:rPr>
                <w:sz w:val="20"/>
                <w:szCs w:val="20"/>
                <w:color w:val="auto"/>
              </w:rPr>
            </w:pPr>
            <w:r>
              <w:rPr>
                <w:rFonts w:ascii="Arial" w:cs="Arial" w:eastAsia="Arial" w:hAnsi="Arial"/>
                <w:sz w:val="10"/>
                <w:szCs w:val="10"/>
                <w:color w:val="auto"/>
              </w:rPr>
              <w:t>3,920(2)</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460" w:type="dxa"/>
            <w:vAlign w:val="bottom"/>
            <w:shd w:val="clear" w:color="auto" w:fill="CCEEFF"/>
          </w:tcPr>
          <w:p>
            <w:pPr>
              <w:ind w:left="80"/>
              <w:spacing w:after="0" w:line="108" w:lineRule="exact"/>
              <w:rPr>
                <w:sz w:val="20"/>
                <w:szCs w:val="20"/>
                <w:color w:val="auto"/>
              </w:rPr>
            </w:pPr>
            <w:r>
              <w:rPr>
                <w:rFonts w:ascii="Arial" w:cs="Arial" w:eastAsia="Arial" w:hAnsi="Arial"/>
                <w:sz w:val="10"/>
                <w:szCs w:val="10"/>
                <w:color w:val="auto"/>
              </w:rPr>
              <w:t>Conversion of 3% cumulative preferred stock</w:t>
            </w:r>
          </w:p>
        </w:tc>
        <w:tc>
          <w:tcPr>
            <w:tcW w:w="244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840" w:type="dxa"/>
            <w:vAlign w:val="bottom"/>
            <w:gridSpan w:val="2"/>
            <w:shd w:val="clear" w:color="auto" w:fill="CCEEFF"/>
          </w:tcPr>
          <w:p>
            <w:pPr>
              <w:jc w:val="right"/>
              <w:ind w:right="120"/>
              <w:spacing w:after="0" w:line="108" w:lineRule="exact"/>
              <w:rPr>
                <w:sz w:val="20"/>
                <w:szCs w:val="20"/>
                <w:color w:val="auto"/>
              </w:rPr>
            </w:pPr>
            <w:r>
              <w:rPr>
                <w:rFonts w:ascii="Arial" w:cs="Arial" w:eastAsia="Arial" w:hAnsi="Arial"/>
                <w:sz w:val="10"/>
                <w:szCs w:val="10"/>
                <w:color w:val="auto"/>
              </w:rPr>
              <w:t>—</w:t>
            </w:r>
          </w:p>
        </w:tc>
        <w:tc>
          <w:tcPr>
            <w:tcW w:w="2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940" w:type="dxa"/>
            <w:vAlign w:val="bottom"/>
            <w:gridSpan w:val="2"/>
            <w:shd w:val="clear" w:color="auto" w:fill="CCEEFF"/>
          </w:tcPr>
          <w:p>
            <w:pPr>
              <w:jc w:val="right"/>
              <w:ind w:right="240"/>
              <w:spacing w:after="0" w:line="108" w:lineRule="exact"/>
              <w:rPr>
                <w:sz w:val="20"/>
                <w:szCs w:val="20"/>
                <w:color w:val="auto"/>
              </w:rPr>
            </w:pPr>
            <w:r>
              <w:rPr>
                <w:rFonts w:ascii="Arial" w:cs="Arial" w:eastAsia="Arial" w:hAnsi="Arial"/>
                <w:sz w:val="10"/>
                <w:szCs w:val="10"/>
                <w:color w:val="auto"/>
              </w:rPr>
              <w:t>—</w:t>
            </w:r>
          </w:p>
        </w:tc>
        <w:tc>
          <w:tcPr>
            <w:tcW w:w="320" w:type="dxa"/>
            <w:vAlign w:val="bottom"/>
            <w:gridSpan w:val="2"/>
            <w:shd w:val="clear" w:color="auto" w:fill="CCEEFF"/>
          </w:tcPr>
          <w:p>
            <w:pPr>
              <w:jc w:val="right"/>
              <w:ind w:right="134"/>
              <w:spacing w:after="0" w:line="108" w:lineRule="exact"/>
              <w:rPr>
                <w:sz w:val="20"/>
                <w:szCs w:val="20"/>
                <w:color w:val="auto"/>
              </w:rPr>
            </w:pPr>
            <w:r>
              <w:rPr>
                <w:rFonts w:ascii="Arial" w:cs="Arial" w:eastAsia="Arial" w:hAnsi="Arial"/>
                <w:sz w:val="10"/>
                <w:szCs w:val="10"/>
                <w:color w:val="auto"/>
              </w:rPr>
              <w:t>$</w:t>
            </w:r>
          </w:p>
        </w:tc>
        <w:tc>
          <w:tcPr>
            <w:tcW w:w="820" w:type="dxa"/>
            <w:vAlign w:val="bottom"/>
            <w:gridSpan w:val="2"/>
            <w:shd w:val="clear" w:color="auto" w:fill="CCEEFF"/>
          </w:tcPr>
          <w:p>
            <w:pPr>
              <w:jc w:val="right"/>
              <w:spacing w:after="0" w:line="108" w:lineRule="exact"/>
              <w:rPr>
                <w:sz w:val="20"/>
                <w:szCs w:val="20"/>
                <w:color w:val="auto"/>
              </w:rPr>
            </w:pPr>
            <w:r>
              <w:rPr>
                <w:rFonts w:ascii="Arial" w:cs="Arial" w:eastAsia="Arial" w:hAnsi="Arial"/>
                <w:sz w:val="10"/>
                <w:szCs w:val="10"/>
                <w:color w:val="auto"/>
              </w:rPr>
              <w:t>4,725,597(3)</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460" w:type="dxa"/>
            <w:vAlign w:val="bottom"/>
          </w:tcPr>
          <w:p>
            <w:pPr>
              <w:ind w:left="80"/>
              <w:spacing w:after="0" w:line="108" w:lineRule="exact"/>
              <w:rPr>
                <w:sz w:val="20"/>
                <w:szCs w:val="20"/>
                <w:color w:val="auto"/>
              </w:rPr>
            </w:pPr>
            <w:r>
              <w:rPr>
                <w:rFonts w:ascii="Arial" w:cs="Arial" w:eastAsia="Arial" w:hAnsi="Arial"/>
                <w:sz w:val="10"/>
                <w:szCs w:val="10"/>
                <w:color w:val="auto"/>
              </w:rPr>
              <w:t>Dividends paid to 3% convertible preferred stock holders in stock</w:t>
            </w:r>
          </w:p>
        </w:tc>
        <w:tc>
          <w:tcPr>
            <w:tcW w:w="2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gridSpan w:val="2"/>
          </w:tcPr>
          <w:p>
            <w:pPr>
              <w:jc w:val="right"/>
              <w:ind w:right="120"/>
              <w:spacing w:after="0" w:line="108" w:lineRule="exact"/>
              <w:rPr>
                <w:sz w:val="20"/>
                <w:szCs w:val="20"/>
                <w:color w:val="auto"/>
              </w:rPr>
            </w:pPr>
            <w:r>
              <w:rPr>
                <w:rFonts w:ascii="Arial" w:cs="Arial" w:eastAsia="Arial" w:hAnsi="Arial"/>
                <w:sz w:val="10"/>
                <w:szCs w:val="10"/>
                <w:color w:val="auto"/>
              </w:rPr>
              <w:t>—</w:t>
            </w: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940" w:type="dxa"/>
            <w:vAlign w:val="bottom"/>
            <w:gridSpan w:val="2"/>
          </w:tcPr>
          <w:p>
            <w:pPr>
              <w:jc w:val="right"/>
              <w:ind w:right="240"/>
              <w:spacing w:after="0" w:line="108" w:lineRule="exact"/>
              <w:rPr>
                <w:sz w:val="20"/>
                <w:szCs w:val="20"/>
                <w:color w:val="auto"/>
              </w:rPr>
            </w:pPr>
            <w:r>
              <w:rPr>
                <w:rFonts w:ascii="Arial" w:cs="Arial" w:eastAsia="Arial" w:hAnsi="Arial"/>
                <w:sz w:val="10"/>
                <w:szCs w:val="10"/>
                <w:color w:val="auto"/>
              </w:rPr>
              <w:t>—</w:t>
            </w:r>
          </w:p>
        </w:tc>
        <w:tc>
          <w:tcPr>
            <w:tcW w:w="320" w:type="dxa"/>
            <w:vAlign w:val="bottom"/>
            <w:gridSpan w:val="2"/>
          </w:tcPr>
          <w:p>
            <w:pPr>
              <w:jc w:val="right"/>
              <w:ind w:right="134"/>
              <w:spacing w:after="0" w:line="108" w:lineRule="exact"/>
              <w:rPr>
                <w:sz w:val="20"/>
                <w:szCs w:val="20"/>
                <w:color w:val="auto"/>
              </w:rPr>
            </w:pPr>
            <w:r>
              <w:rPr>
                <w:rFonts w:ascii="Arial" w:cs="Arial" w:eastAsia="Arial" w:hAnsi="Arial"/>
                <w:sz w:val="10"/>
                <w:szCs w:val="10"/>
                <w:color w:val="auto"/>
              </w:rPr>
              <w:t>$</w:t>
            </w:r>
          </w:p>
        </w:tc>
        <w:tc>
          <w:tcPr>
            <w:tcW w:w="820" w:type="dxa"/>
            <w:vAlign w:val="bottom"/>
            <w:gridSpan w:val="2"/>
          </w:tcPr>
          <w:p>
            <w:pPr>
              <w:jc w:val="right"/>
              <w:spacing w:after="0" w:line="108" w:lineRule="exact"/>
              <w:rPr>
                <w:sz w:val="20"/>
                <w:szCs w:val="20"/>
                <w:color w:val="auto"/>
              </w:rPr>
            </w:pPr>
            <w:r>
              <w:rPr>
                <w:rFonts w:ascii="Arial" w:cs="Arial" w:eastAsia="Arial" w:hAnsi="Arial"/>
                <w:sz w:val="10"/>
                <w:szCs w:val="10"/>
                <w:color w:val="auto"/>
              </w:rPr>
              <w:t>68,497(4)</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460" w:type="dxa"/>
            <w:vAlign w:val="bottom"/>
            <w:shd w:val="clear" w:color="auto" w:fill="CCEEFF"/>
          </w:tcPr>
          <w:p>
            <w:pPr>
              <w:ind w:left="80"/>
              <w:spacing w:after="0" w:line="108" w:lineRule="exact"/>
              <w:rPr>
                <w:sz w:val="20"/>
                <w:szCs w:val="20"/>
                <w:color w:val="auto"/>
              </w:rPr>
            </w:pPr>
            <w:r>
              <w:rPr>
                <w:rFonts w:ascii="Arial" w:cs="Arial" w:eastAsia="Arial" w:hAnsi="Arial"/>
                <w:sz w:val="10"/>
                <w:szCs w:val="10"/>
                <w:color w:val="auto"/>
              </w:rPr>
              <w:t>Accretion of redeemable preferred stock</w:t>
            </w:r>
          </w:p>
        </w:tc>
        <w:tc>
          <w:tcPr>
            <w:tcW w:w="244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320" w:type="dxa"/>
            <w:vAlign w:val="bottom"/>
            <w:gridSpan w:val="2"/>
            <w:shd w:val="clear" w:color="auto" w:fill="CCEEFF"/>
          </w:tcPr>
          <w:p>
            <w:pPr>
              <w:jc w:val="right"/>
              <w:ind w:right="134"/>
              <w:spacing w:after="0" w:line="108" w:lineRule="exact"/>
              <w:rPr>
                <w:sz w:val="20"/>
                <w:szCs w:val="20"/>
                <w:color w:val="auto"/>
              </w:rPr>
            </w:pPr>
            <w:r>
              <w:rPr>
                <w:rFonts w:ascii="Arial" w:cs="Arial" w:eastAsia="Arial" w:hAnsi="Arial"/>
                <w:sz w:val="10"/>
                <w:szCs w:val="10"/>
                <w:color w:val="auto"/>
              </w:rPr>
              <w:t>$</w:t>
            </w:r>
          </w:p>
        </w:tc>
        <w:tc>
          <w:tcPr>
            <w:tcW w:w="820" w:type="dxa"/>
            <w:vAlign w:val="bottom"/>
            <w:gridSpan w:val="2"/>
            <w:shd w:val="clear" w:color="auto" w:fill="CCEEFF"/>
          </w:tcPr>
          <w:p>
            <w:pPr>
              <w:jc w:val="right"/>
              <w:spacing w:after="0" w:line="108" w:lineRule="exact"/>
              <w:rPr>
                <w:sz w:val="20"/>
                <w:szCs w:val="20"/>
                <w:color w:val="auto"/>
              </w:rPr>
            </w:pPr>
            <w:r>
              <w:rPr>
                <w:rFonts w:ascii="Arial" w:cs="Arial" w:eastAsia="Arial" w:hAnsi="Arial"/>
                <w:sz w:val="10"/>
                <w:szCs w:val="10"/>
                <w:color w:val="auto"/>
              </w:rPr>
              <w:t>1,067,579(5)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62230</wp:posOffset>
            </wp:positionV>
            <wp:extent cx="655320" cy="635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55320" cy="6350"/>
                    </a:xfrm>
                    <a:prstGeom prst="rect">
                      <a:avLst/>
                    </a:prstGeom>
                    <a:noFill/>
                  </pic:spPr>
                </pic:pic>
              </a:graphicData>
            </a:graphic>
          </wp:anchor>
        </w:drawing>
      </w:r>
    </w:p>
    <w:p>
      <w:pPr>
        <w:spacing w:after="0" w:line="128" w:lineRule="exact"/>
        <w:rPr>
          <w:sz w:val="20"/>
          <w:szCs w:val="20"/>
          <w:color w:val="auto"/>
        </w:rPr>
      </w:pPr>
    </w:p>
    <w:p>
      <w:pPr>
        <w:ind w:left="260" w:hanging="257"/>
        <w:spacing w:after="0" w:line="264" w:lineRule="auto"/>
        <w:tabs>
          <w:tab w:leader="none" w:pos="260" w:val="left"/>
        </w:tabs>
        <w:numPr>
          <w:ilvl w:val="0"/>
          <w:numId w:val="26"/>
        </w:numPr>
        <w:rPr>
          <w:rFonts w:ascii="Arial" w:cs="Arial" w:eastAsia="Arial" w:hAnsi="Arial"/>
          <w:sz w:val="13"/>
          <w:szCs w:val="13"/>
          <w:color w:val="auto"/>
        </w:rPr>
      </w:pPr>
      <w:r>
        <w:rPr>
          <w:rFonts w:ascii="Arial" w:cs="Arial" w:eastAsia="Arial" w:hAnsi="Arial"/>
          <w:sz w:val="13"/>
          <w:szCs w:val="13"/>
          <w:color w:val="auto"/>
        </w:rPr>
        <w:t>Under the terms of a license agreement with the California Institute of Technology (Cal Tech), fees of $10,000 and $5,000 were due on the issuance of two patents to which StemCells holds a license from Cal Tech, payable in cash or stock at the Company’s choice. The Company elected to pay the fees in stock and issued 9,535 unregistered shares to Cal Tech. The Company paid $2,833 in stock (1,816 shares) as part of an option agreement with the Board of Trustees of the Leland Stanford Junior University to acquire an exclusive license to an invention.</w:t>
      </w:r>
    </w:p>
    <w:p>
      <w:pPr>
        <w:spacing w:after="0" w:line="17" w:lineRule="exact"/>
        <w:rPr>
          <w:rFonts w:ascii="Arial" w:cs="Arial" w:eastAsia="Arial" w:hAnsi="Arial"/>
          <w:sz w:val="13"/>
          <w:szCs w:val="13"/>
          <w:color w:val="auto"/>
        </w:rPr>
      </w:pPr>
    </w:p>
    <w:p>
      <w:pPr>
        <w:ind w:left="260" w:hanging="257"/>
        <w:spacing w:after="0"/>
        <w:tabs>
          <w:tab w:leader="none" w:pos="260" w:val="left"/>
        </w:tabs>
        <w:numPr>
          <w:ilvl w:val="0"/>
          <w:numId w:val="26"/>
        </w:numPr>
        <w:rPr>
          <w:rFonts w:ascii="Arial" w:cs="Arial" w:eastAsia="Arial" w:hAnsi="Arial"/>
          <w:sz w:val="13"/>
          <w:szCs w:val="13"/>
          <w:color w:val="auto"/>
        </w:rPr>
      </w:pPr>
      <w:r>
        <w:rPr>
          <w:rFonts w:ascii="Arial" w:cs="Arial" w:eastAsia="Arial" w:hAnsi="Arial"/>
          <w:sz w:val="13"/>
          <w:szCs w:val="13"/>
          <w:color w:val="auto"/>
        </w:rPr>
        <w:t>Under the terms of an amended license agreement with the Oregon Health &amp; Science University (OHSU), 4,000 shares of stock were due to OHSU on execution of the amended agreement.</w:t>
      </w:r>
    </w:p>
    <w:p>
      <w:pPr>
        <w:spacing w:after="0" w:line="47" w:lineRule="exact"/>
        <w:rPr>
          <w:rFonts w:ascii="Arial" w:cs="Arial" w:eastAsia="Arial" w:hAnsi="Arial"/>
          <w:sz w:val="13"/>
          <w:szCs w:val="13"/>
          <w:color w:val="auto"/>
        </w:rPr>
      </w:pPr>
    </w:p>
    <w:p>
      <w:pPr>
        <w:ind w:left="260" w:hanging="257"/>
        <w:spacing w:after="0"/>
        <w:tabs>
          <w:tab w:leader="none" w:pos="260" w:val="left"/>
        </w:tabs>
        <w:numPr>
          <w:ilvl w:val="0"/>
          <w:numId w:val="26"/>
        </w:numPr>
        <w:rPr>
          <w:rFonts w:ascii="Arial" w:cs="Arial" w:eastAsia="Arial" w:hAnsi="Arial"/>
          <w:sz w:val="13"/>
          <w:szCs w:val="13"/>
          <w:color w:val="auto"/>
        </w:rPr>
      </w:pPr>
      <w:r>
        <w:rPr>
          <w:rFonts w:ascii="Arial" w:cs="Arial" w:eastAsia="Arial" w:hAnsi="Arial"/>
          <w:sz w:val="13"/>
          <w:szCs w:val="13"/>
          <w:color w:val="auto"/>
        </w:rPr>
        <w:t>4,000 shares of the 3% cumulative convertible preferred stock was converted for 3,500,000 shares of the Company’s common stock with a market value of $4,725,597.</w:t>
      </w:r>
    </w:p>
    <w:p>
      <w:pPr>
        <w:spacing w:after="0" w:line="47" w:lineRule="exact"/>
        <w:rPr>
          <w:rFonts w:ascii="Arial" w:cs="Arial" w:eastAsia="Arial" w:hAnsi="Arial"/>
          <w:sz w:val="13"/>
          <w:szCs w:val="13"/>
          <w:color w:val="auto"/>
        </w:rPr>
      </w:pPr>
    </w:p>
    <w:p>
      <w:pPr>
        <w:ind w:left="260" w:hanging="257"/>
        <w:spacing w:after="0"/>
        <w:tabs>
          <w:tab w:leader="none" w:pos="260" w:val="left"/>
        </w:tabs>
        <w:numPr>
          <w:ilvl w:val="0"/>
          <w:numId w:val="26"/>
        </w:numPr>
        <w:rPr>
          <w:rFonts w:ascii="Arial" w:cs="Arial" w:eastAsia="Arial" w:hAnsi="Arial"/>
          <w:sz w:val="13"/>
          <w:szCs w:val="13"/>
          <w:color w:val="auto"/>
        </w:rPr>
      </w:pPr>
      <w:r>
        <w:rPr>
          <w:rFonts w:ascii="Arial" w:cs="Arial" w:eastAsia="Arial" w:hAnsi="Arial"/>
          <w:sz w:val="13"/>
          <w:szCs w:val="13"/>
          <w:color w:val="auto"/>
        </w:rPr>
        <w:t>Accumulated dividends to 3% convertible preferred stock holders for 2003 was paid in stock with a total market value of $68,497(49,809 shares).</w:t>
      </w:r>
    </w:p>
    <w:p>
      <w:pPr>
        <w:spacing w:after="0" w:line="47" w:lineRule="exact"/>
        <w:rPr>
          <w:rFonts w:ascii="Arial" w:cs="Arial" w:eastAsia="Arial" w:hAnsi="Arial"/>
          <w:sz w:val="13"/>
          <w:szCs w:val="13"/>
          <w:color w:val="auto"/>
        </w:rPr>
      </w:pPr>
    </w:p>
    <w:p>
      <w:pPr>
        <w:ind w:left="260" w:hanging="257"/>
        <w:spacing w:after="0"/>
        <w:tabs>
          <w:tab w:leader="none" w:pos="260" w:val="left"/>
        </w:tabs>
        <w:numPr>
          <w:ilvl w:val="0"/>
          <w:numId w:val="26"/>
        </w:numPr>
        <w:rPr>
          <w:rFonts w:ascii="Arial" w:cs="Arial" w:eastAsia="Arial" w:hAnsi="Arial"/>
          <w:sz w:val="13"/>
          <w:szCs w:val="13"/>
          <w:color w:val="auto"/>
        </w:rPr>
      </w:pPr>
      <w:r>
        <w:rPr>
          <w:rFonts w:ascii="Arial" w:cs="Arial" w:eastAsia="Arial" w:hAnsi="Arial"/>
          <w:sz w:val="13"/>
          <w:szCs w:val="13"/>
          <w:color w:val="auto"/>
        </w:rPr>
        <w:t>See Note 10 under “3% Cumulative Redeemable Convertible Preferred Stock”</w:t>
      </w:r>
    </w:p>
    <w:p>
      <w:pPr>
        <w:spacing w:after="0" w:line="5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See accompanying notes to consolidated financial statements.</w:t>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52" w:name="page53"/>
    <w:bookmarkEnd w:id="52"/>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5320"/>
        <w:spacing w:after="0"/>
        <w:rPr>
          <w:sz w:val="20"/>
          <w:szCs w:val="20"/>
          <w:color w:val="auto"/>
        </w:rPr>
      </w:pPr>
      <w:r>
        <w:rPr>
          <w:rFonts w:ascii="Arial" w:cs="Arial" w:eastAsia="Arial" w:hAnsi="Arial"/>
          <w:sz w:val="13"/>
          <w:szCs w:val="13"/>
          <w:b w:val="1"/>
          <w:bCs w:val="1"/>
          <w:color w:val="auto"/>
        </w:rPr>
        <w:t>StemCells, Inc.</w:t>
      </w:r>
    </w:p>
    <w:p>
      <w:pPr>
        <w:spacing w:after="0" w:line="96" w:lineRule="exact"/>
        <w:rPr>
          <w:sz w:val="20"/>
          <w:szCs w:val="20"/>
          <w:color w:val="auto"/>
        </w:rPr>
      </w:pPr>
    </w:p>
    <w:p>
      <w:pPr>
        <w:ind w:left="4520"/>
        <w:spacing w:after="0"/>
        <w:rPr>
          <w:sz w:val="20"/>
          <w:szCs w:val="20"/>
          <w:color w:val="auto"/>
        </w:rPr>
      </w:pPr>
      <w:r>
        <w:rPr>
          <w:rFonts w:ascii="Arial" w:cs="Arial" w:eastAsia="Arial" w:hAnsi="Arial"/>
          <w:sz w:val="13"/>
          <w:szCs w:val="13"/>
          <w:b w:val="1"/>
          <w:bCs w:val="1"/>
          <w:color w:val="auto"/>
        </w:rPr>
        <w:t>Notes to Consolidated Financial Statements</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December 31, 2005</w:t>
      </w:r>
    </w:p>
    <w:p>
      <w:pPr>
        <w:spacing w:after="0" w:line="16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Note 1. Summary of Significant Accounting Policies</w:t>
      </w:r>
    </w:p>
    <w:p>
      <w:pPr>
        <w:spacing w:after="0" w:line="100" w:lineRule="exact"/>
        <w:rPr>
          <w:sz w:val="20"/>
          <w:szCs w:val="20"/>
          <w:color w:val="auto"/>
        </w:rPr>
      </w:pPr>
    </w:p>
    <w:p>
      <w:pPr>
        <w:ind w:left="120"/>
        <w:spacing w:after="0"/>
        <w:rPr>
          <w:sz w:val="20"/>
          <w:szCs w:val="20"/>
          <w:color w:val="auto"/>
        </w:rPr>
      </w:pPr>
      <w:r>
        <w:rPr>
          <w:rFonts w:ascii="Arial" w:cs="Arial" w:eastAsia="Arial" w:hAnsi="Arial"/>
          <w:sz w:val="13"/>
          <w:szCs w:val="13"/>
          <w:b w:val="1"/>
          <w:bCs w:val="1"/>
          <w:i w:val="1"/>
          <w:iCs w:val="1"/>
          <w:color w:val="auto"/>
        </w:rPr>
        <w:t>Nature of Business</w:t>
      </w:r>
    </w:p>
    <w:p>
      <w:pPr>
        <w:spacing w:after="0" w:line="96" w:lineRule="exact"/>
        <w:rPr>
          <w:sz w:val="20"/>
          <w:szCs w:val="20"/>
          <w:color w:val="auto"/>
        </w:rPr>
      </w:pPr>
    </w:p>
    <w:p>
      <w:pPr>
        <w:ind w:right="520" w:firstLine="344"/>
        <w:spacing w:after="0" w:line="276" w:lineRule="auto"/>
        <w:rPr>
          <w:sz w:val="20"/>
          <w:szCs w:val="20"/>
          <w:color w:val="auto"/>
        </w:rPr>
      </w:pPr>
      <w:r>
        <w:rPr>
          <w:rFonts w:ascii="Arial" w:cs="Arial" w:eastAsia="Arial" w:hAnsi="Arial"/>
          <w:sz w:val="13"/>
          <w:szCs w:val="13"/>
          <w:color w:val="auto"/>
        </w:rPr>
        <w:t>StemCells, Inc., a Delaware corporation, (the Company) is a biopharmaceutical company that operates in one segment, the development of novel stem cell therapies designed to treat human diseases and disorders.</w:t>
      </w:r>
    </w:p>
    <w:p>
      <w:pPr>
        <w:spacing w:after="0" w:line="59" w:lineRule="exact"/>
        <w:rPr>
          <w:sz w:val="20"/>
          <w:szCs w:val="20"/>
          <w:color w:val="auto"/>
        </w:rPr>
      </w:pPr>
    </w:p>
    <w:p>
      <w:pPr>
        <w:ind w:right="180" w:firstLine="344"/>
        <w:spacing w:after="0" w:line="264" w:lineRule="auto"/>
        <w:rPr>
          <w:sz w:val="20"/>
          <w:szCs w:val="20"/>
          <w:color w:val="auto"/>
        </w:rPr>
      </w:pPr>
      <w:r>
        <w:rPr>
          <w:rFonts w:ascii="Arial" w:cs="Arial" w:eastAsia="Arial" w:hAnsi="Arial"/>
          <w:sz w:val="13"/>
          <w:szCs w:val="13"/>
          <w:color w:val="auto"/>
        </w:rPr>
        <w:t>The accompanying consolidated financial statements have been prepared on the basis that the Company will continue as a going concern. Since inception, the Company has incurred annual losses and negative cash flows from operations and has an accumulated deficit of approximately $185.9 million at December 31, 2005. The Company has not derived revenues from the sale of products, and does not expect to receive revenues from product sales for at least several years.</w:t>
      </w:r>
    </w:p>
    <w:p>
      <w:pPr>
        <w:spacing w:after="0" w:line="67" w:lineRule="exact"/>
        <w:rPr>
          <w:sz w:val="20"/>
          <w:szCs w:val="20"/>
          <w:color w:val="auto"/>
        </w:rPr>
      </w:pPr>
    </w:p>
    <w:p>
      <w:pPr>
        <w:ind w:firstLine="344"/>
        <w:spacing w:after="0" w:line="256" w:lineRule="auto"/>
        <w:rPr>
          <w:sz w:val="20"/>
          <w:szCs w:val="20"/>
          <w:color w:val="auto"/>
        </w:rPr>
      </w:pPr>
      <w:r>
        <w:rPr>
          <w:rFonts w:ascii="Arial" w:cs="Arial" w:eastAsia="Arial" w:hAnsi="Arial"/>
          <w:sz w:val="13"/>
          <w:szCs w:val="13"/>
          <w:color w:val="auto"/>
        </w:rPr>
        <w:t>StemCells expects to incur additional operating losses over the next several years. The Company has very limited liquidity and capital resources and must obtain significant additional capital resources in order to sustain its product development efforts, for acquisition of technologies and intellectual property rights, for preclinical and clinical testing of its anticipated products, pursuit of regulatory approvals, acquisition of capital equipment, laboratory and office facilities, establishment of production capabilities, maintaining and enforcing its intellectual property portfolio, for general and administrative expenses and other working capital requirements. StemCells relies on cash reserves and proceeds from equity and debt offerings, proceeds from the transfer or sale of intellectual property rights, equipment, facilities or investments, and government grants and funding from collaborative arrangements, if obtainable, to fund its operations. If the Company exhausts its cash reserves and is unable to realize adequate financing, it may be unable to meet operating obligations and be required to initiate bankruptcy proceedings. The financial statements do not include any adjustments to reflect the possible future effects on the recoverability and classification of assets or the amounts and classification of liabilities that may result from the outcome of this uncertainty.</w:t>
      </w:r>
    </w:p>
    <w:p>
      <w:pPr>
        <w:spacing w:after="0" w:line="152" w:lineRule="exact"/>
        <w:rPr>
          <w:sz w:val="20"/>
          <w:szCs w:val="20"/>
          <w:color w:val="auto"/>
        </w:rPr>
      </w:pPr>
    </w:p>
    <w:p>
      <w:pPr>
        <w:ind w:left="120"/>
        <w:spacing w:after="0"/>
        <w:rPr>
          <w:sz w:val="20"/>
          <w:szCs w:val="20"/>
          <w:color w:val="auto"/>
        </w:rPr>
      </w:pPr>
      <w:r>
        <w:rPr>
          <w:rFonts w:ascii="Arial" w:cs="Arial" w:eastAsia="Arial" w:hAnsi="Arial"/>
          <w:sz w:val="13"/>
          <w:szCs w:val="13"/>
          <w:b w:val="1"/>
          <w:bCs w:val="1"/>
          <w:i w:val="1"/>
          <w:iCs w:val="1"/>
          <w:color w:val="auto"/>
        </w:rPr>
        <w:t>Principles of Consolidation</w:t>
      </w:r>
    </w:p>
    <w:p>
      <w:pPr>
        <w:spacing w:after="0" w:line="96" w:lineRule="exact"/>
        <w:rPr>
          <w:sz w:val="20"/>
          <w:szCs w:val="20"/>
          <w:color w:val="auto"/>
        </w:rPr>
      </w:pPr>
    </w:p>
    <w:p>
      <w:pPr>
        <w:ind w:firstLine="344"/>
        <w:spacing w:after="0" w:line="276" w:lineRule="auto"/>
        <w:rPr>
          <w:sz w:val="20"/>
          <w:szCs w:val="20"/>
          <w:color w:val="auto"/>
        </w:rPr>
      </w:pPr>
      <w:r>
        <w:rPr>
          <w:rFonts w:ascii="Arial" w:cs="Arial" w:eastAsia="Arial" w:hAnsi="Arial"/>
          <w:sz w:val="13"/>
          <w:szCs w:val="13"/>
          <w:color w:val="auto"/>
        </w:rPr>
        <w:t>The consolidated financial statements include accounts of the Company and StemCells California, Inc., a wholly owned subsidiary. All significant inter-company balances and transactions have been eliminated in consolidation.</w:t>
      </w:r>
    </w:p>
    <w:p>
      <w:pPr>
        <w:spacing w:after="0" w:line="138" w:lineRule="exact"/>
        <w:rPr>
          <w:sz w:val="20"/>
          <w:szCs w:val="20"/>
          <w:color w:val="auto"/>
        </w:rPr>
      </w:pPr>
    </w:p>
    <w:p>
      <w:pPr>
        <w:ind w:left="120"/>
        <w:spacing w:after="0"/>
        <w:rPr>
          <w:sz w:val="20"/>
          <w:szCs w:val="20"/>
          <w:color w:val="auto"/>
        </w:rPr>
      </w:pPr>
      <w:r>
        <w:rPr>
          <w:rFonts w:ascii="Arial" w:cs="Arial" w:eastAsia="Arial" w:hAnsi="Arial"/>
          <w:sz w:val="13"/>
          <w:szCs w:val="13"/>
          <w:b w:val="1"/>
          <w:bCs w:val="1"/>
          <w:i w:val="1"/>
          <w:iCs w:val="1"/>
          <w:color w:val="auto"/>
        </w:rPr>
        <w:t>Use of Estimates</w:t>
      </w:r>
    </w:p>
    <w:p>
      <w:pPr>
        <w:spacing w:after="0" w:line="96" w:lineRule="exact"/>
        <w:rPr>
          <w:sz w:val="20"/>
          <w:szCs w:val="20"/>
          <w:color w:val="auto"/>
        </w:rPr>
      </w:pPr>
    </w:p>
    <w:p>
      <w:pPr>
        <w:ind w:right="20" w:firstLine="344"/>
        <w:spacing w:after="0" w:line="264" w:lineRule="auto"/>
        <w:rPr>
          <w:sz w:val="20"/>
          <w:szCs w:val="20"/>
          <w:color w:val="auto"/>
        </w:rPr>
      </w:pPr>
      <w:r>
        <w:rPr>
          <w:rFonts w:ascii="Arial" w:cs="Arial" w:eastAsia="Arial" w:hAnsi="Arial"/>
          <w:sz w:val="13"/>
          <w:szCs w:val="13"/>
          <w:color w:val="auto"/>
        </w:rPr>
        <w:t>The preparation of consolidated financial statements in conformity with accounting principles generally accepted in the United States of America, requires management to make estimates and assumptions that affect the amounts reported in the consolidated financial statements. Actual results could differ from these estimates. The significant estimates include the accrued wind-down expenses (Note 8) and valuation allowance against deferred tax assets (Note 12).</w:t>
      </w:r>
    </w:p>
    <w:p>
      <w:pPr>
        <w:spacing w:after="0" w:line="146" w:lineRule="exact"/>
        <w:rPr>
          <w:sz w:val="20"/>
          <w:szCs w:val="20"/>
          <w:color w:val="auto"/>
        </w:rPr>
      </w:pPr>
    </w:p>
    <w:p>
      <w:pPr>
        <w:ind w:left="120"/>
        <w:spacing w:after="0"/>
        <w:rPr>
          <w:sz w:val="20"/>
          <w:szCs w:val="20"/>
          <w:color w:val="auto"/>
        </w:rPr>
      </w:pPr>
      <w:r>
        <w:rPr>
          <w:rFonts w:ascii="Arial" w:cs="Arial" w:eastAsia="Arial" w:hAnsi="Arial"/>
          <w:sz w:val="13"/>
          <w:szCs w:val="13"/>
          <w:b w:val="1"/>
          <w:bCs w:val="1"/>
          <w:i w:val="1"/>
          <w:iCs w:val="1"/>
          <w:color w:val="auto"/>
        </w:rPr>
        <w:t>Cash and Cash Equivalents</w:t>
      </w:r>
    </w:p>
    <w:p>
      <w:pPr>
        <w:spacing w:after="0" w:line="96" w:lineRule="exact"/>
        <w:rPr>
          <w:sz w:val="20"/>
          <w:szCs w:val="20"/>
          <w:color w:val="auto"/>
        </w:rPr>
      </w:pPr>
    </w:p>
    <w:p>
      <w:pPr>
        <w:ind w:left="340"/>
        <w:spacing w:after="0"/>
        <w:rPr>
          <w:sz w:val="20"/>
          <w:szCs w:val="20"/>
          <w:color w:val="auto"/>
        </w:rPr>
      </w:pPr>
      <w:r>
        <w:rPr>
          <w:rFonts w:ascii="Arial" w:cs="Arial" w:eastAsia="Arial" w:hAnsi="Arial"/>
          <w:sz w:val="13"/>
          <w:szCs w:val="13"/>
          <w:color w:val="auto"/>
        </w:rPr>
        <w:t>The Company considers cash equivalents to be only those investments that are highly liquid, readily convertible to cash and which mature within three months from the date of purchase.</w:t>
      </w:r>
    </w:p>
    <w:p>
      <w:pPr>
        <w:spacing w:after="0" w:line="175" w:lineRule="exact"/>
        <w:rPr>
          <w:sz w:val="20"/>
          <w:szCs w:val="20"/>
          <w:color w:val="auto"/>
        </w:rPr>
      </w:pPr>
    </w:p>
    <w:p>
      <w:pPr>
        <w:ind w:left="120"/>
        <w:spacing w:after="0"/>
        <w:rPr>
          <w:sz w:val="20"/>
          <w:szCs w:val="20"/>
          <w:color w:val="auto"/>
        </w:rPr>
      </w:pPr>
      <w:r>
        <w:rPr>
          <w:rFonts w:ascii="Arial" w:cs="Arial" w:eastAsia="Arial" w:hAnsi="Arial"/>
          <w:sz w:val="13"/>
          <w:szCs w:val="13"/>
          <w:b w:val="1"/>
          <w:bCs w:val="1"/>
          <w:i w:val="1"/>
          <w:iCs w:val="1"/>
          <w:color w:val="auto"/>
        </w:rPr>
        <w:t>Marketable securities</w:t>
      </w:r>
    </w:p>
    <w:p>
      <w:pPr>
        <w:spacing w:after="0" w:line="96" w:lineRule="exact"/>
        <w:rPr>
          <w:sz w:val="20"/>
          <w:szCs w:val="20"/>
          <w:color w:val="auto"/>
        </w:rPr>
      </w:pPr>
    </w:p>
    <w:p>
      <w:pPr>
        <w:ind w:right="80" w:firstLine="344"/>
        <w:spacing w:after="0" w:line="264" w:lineRule="auto"/>
        <w:rPr>
          <w:sz w:val="20"/>
          <w:szCs w:val="20"/>
          <w:color w:val="auto"/>
        </w:rPr>
      </w:pPr>
      <w:r>
        <w:rPr>
          <w:rFonts w:ascii="Arial" w:cs="Arial" w:eastAsia="Arial" w:hAnsi="Arial"/>
          <w:sz w:val="13"/>
          <w:szCs w:val="13"/>
          <w:color w:val="auto"/>
        </w:rPr>
        <w:t xml:space="preserve">In accordance with Statement of Financial Accounting Standard No. 115, </w:t>
      </w:r>
      <w:r>
        <w:rPr>
          <w:rFonts w:ascii="Arial" w:cs="Arial" w:eastAsia="Arial" w:hAnsi="Arial"/>
          <w:sz w:val="13"/>
          <w:szCs w:val="13"/>
          <w:i w:val="1"/>
          <w:iCs w:val="1"/>
          <w:color w:val="auto"/>
        </w:rPr>
        <w:t>“Accounting for Certain Investments in Debt and Equity Securities”</w:t>
      </w:r>
      <w:r>
        <w:rPr>
          <w:rFonts w:ascii="Arial" w:cs="Arial" w:eastAsia="Arial" w:hAnsi="Arial"/>
          <w:sz w:val="13"/>
          <w:szCs w:val="13"/>
          <w:color w:val="auto"/>
        </w:rPr>
        <w:t>, the Company has classified the Company’s short-term investments as available-for-sale marketable securities in the accompanying consolidated financial statements. The marketable securities are stated at fair market value, with unrealized gains and losses reported in other comprehensive income. Management</w:t>
      </w: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0"/>
          </w:cols>
          <w:pgMar w:left="220" w:top="343" w:right="239" w:bottom="1440" w:gutter="0" w:footer="0" w:header="0"/>
        </w:sectPr>
      </w:pPr>
    </w:p>
    <w:bookmarkStart w:id="53" w:name="page54"/>
    <w:bookmarkEnd w:id="53"/>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StemCells, Inc.</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169" w:lineRule="exact"/>
        <w:rPr>
          <w:sz w:val="20"/>
          <w:szCs w:val="20"/>
          <w:color w:val="auto"/>
        </w:rPr>
      </w:pPr>
    </w:p>
    <w:p>
      <w:pPr>
        <w:spacing w:after="0"/>
        <w:rPr>
          <w:sz w:val="20"/>
          <w:szCs w:val="20"/>
          <w:color w:val="auto"/>
        </w:rPr>
      </w:pPr>
      <w:r>
        <w:rPr>
          <w:rFonts w:ascii="Arial" w:cs="Arial" w:eastAsia="Arial" w:hAnsi="Arial"/>
          <w:sz w:val="13"/>
          <w:szCs w:val="13"/>
          <w:color w:val="auto"/>
        </w:rPr>
        <w:t>reviews securities with unrealized losses for other than temporary impairment. A decline in the fair value of securities, that is deemed other than temporary, is charged to earnings.</w:t>
      </w:r>
    </w:p>
    <w:p>
      <w:pPr>
        <w:spacing w:after="0" w:line="175" w:lineRule="exact"/>
        <w:rPr>
          <w:sz w:val="20"/>
          <w:szCs w:val="20"/>
          <w:color w:val="auto"/>
        </w:rPr>
      </w:pPr>
    </w:p>
    <w:p>
      <w:pPr>
        <w:ind w:left="120"/>
        <w:spacing w:after="0"/>
        <w:rPr>
          <w:sz w:val="20"/>
          <w:szCs w:val="20"/>
          <w:color w:val="auto"/>
        </w:rPr>
      </w:pPr>
      <w:r>
        <w:rPr>
          <w:rFonts w:ascii="Arial" w:cs="Arial" w:eastAsia="Arial" w:hAnsi="Arial"/>
          <w:sz w:val="13"/>
          <w:szCs w:val="13"/>
          <w:b w:val="1"/>
          <w:bCs w:val="1"/>
          <w:i w:val="1"/>
          <w:iCs w:val="1"/>
          <w:color w:val="auto"/>
        </w:rPr>
        <w:t>Estimated Fair Value of Financial Instruments</w:t>
      </w:r>
    </w:p>
    <w:p>
      <w:pPr>
        <w:spacing w:after="0" w:line="96" w:lineRule="exact"/>
        <w:rPr>
          <w:sz w:val="20"/>
          <w:szCs w:val="20"/>
          <w:color w:val="auto"/>
        </w:rPr>
      </w:pPr>
    </w:p>
    <w:p>
      <w:pPr>
        <w:ind w:right="360" w:firstLine="344"/>
        <w:spacing w:after="0" w:line="276" w:lineRule="auto"/>
        <w:rPr>
          <w:sz w:val="20"/>
          <w:szCs w:val="20"/>
          <w:color w:val="auto"/>
        </w:rPr>
      </w:pPr>
      <w:r>
        <w:rPr>
          <w:rFonts w:ascii="Arial" w:cs="Arial" w:eastAsia="Arial" w:hAnsi="Arial"/>
          <w:sz w:val="13"/>
          <w:szCs w:val="13"/>
          <w:color w:val="auto"/>
        </w:rPr>
        <w:t>The carrying value of cash and cash equivalents, other receivables, accounts payable and the current portion of the bonds payable approximates their estimated fair values due to the short maturities of these instruments. The carrying value of long-term debt approximates its fair value based on current rates available to the Company for similar debt.</w:t>
      </w:r>
    </w:p>
    <w:p>
      <w:pPr>
        <w:spacing w:after="0" w:line="138" w:lineRule="exact"/>
        <w:rPr>
          <w:sz w:val="20"/>
          <w:szCs w:val="20"/>
          <w:color w:val="auto"/>
        </w:rPr>
      </w:pPr>
    </w:p>
    <w:p>
      <w:pPr>
        <w:ind w:left="120"/>
        <w:spacing w:after="0"/>
        <w:rPr>
          <w:sz w:val="20"/>
          <w:szCs w:val="20"/>
          <w:color w:val="auto"/>
        </w:rPr>
      </w:pPr>
      <w:r>
        <w:rPr>
          <w:rFonts w:ascii="Arial" w:cs="Arial" w:eastAsia="Arial" w:hAnsi="Arial"/>
          <w:sz w:val="13"/>
          <w:szCs w:val="13"/>
          <w:b w:val="1"/>
          <w:bCs w:val="1"/>
          <w:i w:val="1"/>
          <w:iCs w:val="1"/>
          <w:color w:val="auto"/>
        </w:rPr>
        <w:t>Property, Plant and Equipment</w:t>
      </w:r>
    </w:p>
    <w:p>
      <w:pPr>
        <w:spacing w:after="0" w:line="96" w:lineRule="exact"/>
        <w:rPr>
          <w:sz w:val="20"/>
          <w:szCs w:val="20"/>
          <w:color w:val="auto"/>
        </w:rPr>
      </w:pPr>
    </w:p>
    <w:p>
      <w:pPr>
        <w:ind w:right="120" w:firstLine="344"/>
        <w:spacing w:after="0" w:line="276" w:lineRule="auto"/>
        <w:rPr>
          <w:sz w:val="20"/>
          <w:szCs w:val="20"/>
          <w:color w:val="auto"/>
        </w:rPr>
      </w:pPr>
      <w:r>
        <w:rPr>
          <w:rFonts w:ascii="Arial" w:cs="Arial" w:eastAsia="Arial" w:hAnsi="Arial"/>
          <w:sz w:val="13"/>
          <w:szCs w:val="13"/>
          <w:color w:val="auto"/>
        </w:rPr>
        <w:t>Property, plant and equipment, including that held under capital lease obligations, is stated at cost and depreciated using the straight-line method over the estimated life of the respective asset, or the lease term if shorter, as follows:</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8800" w:type="dxa"/>
            <w:vAlign w:val="bottom"/>
            <w:shd w:val="clear" w:color="auto" w:fill="CCEEFF"/>
          </w:tcPr>
          <w:p>
            <w:pPr>
              <w:spacing w:after="0"/>
              <w:rPr>
                <w:sz w:val="20"/>
                <w:szCs w:val="20"/>
                <w:color w:val="auto"/>
              </w:rPr>
            </w:pPr>
            <w:r>
              <w:rPr>
                <w:rFonts w:ascii="Arial" w:cs="Arial" w:eastAsia="Arial" w:hAnsi="Arial"/>
                <w:sz w:val="13"/>
                <w:szCs w:val="13"/>
                <w:color w:val="auto"/>
              </w:rPr>
              <w:t>Building and improvements</w:t>
            </w:r>
          </w:p>
        </w:tc>
        <w:tc>
          <w:tcPr>
            <w:tcW w:w="2660" w:type="dxa"/>
            <w:vAlign w:val="bottom"/>
            <w:shd w:val="clear" w:color="auto" w:fill="CCEEFF"/>
          </w:tcPr>
          <w:p>
            <w:pPr>
              <w:ind w:left="1940"/>
              <w:spacing w:after="0"/>
              <w:rPr>
                <w:sz w:val="20"/>
                <w:szCs w:val="20"/>
                <w:color w:val="auto"/>
              </w:rPr>
            </w:pPr>
            <w:r>
              <w:rPr>
                <w:rFonts w:ascii="Arial" w:cs="Arial" w:eastAsia="Arial" w:hAnsi="Arial"/>
                <w:sz w:val="13"/>
                <w:szCs w:val="13"/>
                <w:color w:val="auto"/>
              </w:rPr>
              <w:t>3 - 20 years</w:t>
            </w:r>
          </w:p>
        </w:tc>
      </w:tr>
      <w:tr>
        <w:trPr>
          <w:trHeight w:val="157"/>
        </w:trPr>
        <w:tc>
          <w:tcPr>
            <w:tcW w:w="8800" w:type="dxa"/>
            <w:vAlign w:val="bottom"/>
          </w:tcPr>
          <w:p>
            <w:pPr>
              <w:spacing w:after="0"/>
              <w:rPr>
                <w:sz w:val="20"/>
                <w:szCs w:val="20"/>
                <w:color w:val="auto"/>
              </w:rPr>
            </w:pPr>
            <w:r>
              <w:rPr>
                <w:rFonts w:ascii="Arial" w:cs="Arial" w:eastAsia="Arial" w:hAnsi="Arial"/>
                <w:sz w:val="13"/>
                <w:szCs w:val="13"/>
                <w:color w:val="auto"/>
              </w:rPr>
              <w:t>Machinery and equipment</w:t>
            </w:r>
          </w:p>
        </w:tc>
        <w:tc>
          <w:tcPr>
            <w:tcW w:w="2660" w:type="dxa"/>
            <w:vAlign w:val="bottom"/>
          </w:tcPr>
          <w:p>
            <w:pPr>
              <w:ind w:left="1940"/>
              <w:spacing w:after="0"/>
              <w:rPr>
                <w:sz w:val="20"/>
                <w:szCs w:val="20"/>
                <w:color w:val="auto"/>
              </w:rPr>
            </w:pPr>
            <w:r>
              <w:rPr>
                <w:rFonts w:ascii="Arial" w:cs="Arial" w:eastAsia="Arial" w:hAnsi="Arial"/>
                <w:sz w:val="13"/>
                <w:szCs w:val="13"/>
                <w:color w:val="auto"/>
              </w:rPr>
              <w:t>3 - 10 years</w:t>
            </w:r>
          </w:p>
        </w:tc>
      </w:tr>
      <w:tr>
        <w:trPr>
          <w:trHeight w:val="157"/>
        </w:trPr>
        <w:tc>
          <w:tcPr>
            <w:tcW w:w="8800" w:type="dxa"/>
            <w:vAlign w:val="bottom"/>
            <w:shd w:val="clear" w:color="auto" w:fill="CCEEFF"/>
          </w:tcPr>
          <w:p>
            <w:pPr>
              <w:spacing w:after="0"/>
              <w:rPr>
                <w:sz w:val="20"/>
                <w:szCs w:val="20"/>
                <w:color w:val="auto"/>
              </w:rPr>
            </w:pPr>
            <w:r>
              <w:rPr>
                <w:rFonts w:ascii="Arial" w:cs="Arial" w:eastAsia="Arial" w:hAnsi="Arial"/>
                <w:sz w:val="13"/>
                <w:szCs w:val="13"/>
                <w:color w:val="auto"/>
              </w:rPr>
              <w:t>Furniture and fixtures</w:t>
            </w:r>
          </w:p>
        </w:tc>
        <w:tc>
          <w:tcPr>
            <w:tcW w:w="2660" w:type="dxa"/>
            <w:vAlign w:val="bottom"/>
            <w:shd w:val="clear" w:color="auto" w:fill="CCEEFF"/>
          </w:tcPr>
          <w:p>
            <w:pPr>
              <w:ind w:left="1940"/>
              <w:spacing w:after="0"/>
              <w:rPr>
                <w:sz w:val="20"/>
                <w:szCs w:val="20"/>
                <w:color w:val="auto"/>
              </w:rPr>
            </w:pPr>
            <w:r>
              <w:rPr>
                <w:rFonts w:ascii="Arial" w:cs="Arial" w:eastAsia="Arial" w:hAnsi="Arial"/>
                <w:sz w:val="13"/>
                <w:szCs w:val="13"/>
                <w:color w:val="auto"/>
              </w:rPr>
              <w:t>3 - 10 years</w:t>
            </w:r>
          </w:p>
        </w:tc>
      </w:tr>
      <w:tr>
        <w:trPr>
          <w:trHeight w:val="244"/>
        </w:trPr>
        <w:tc>
          <w:tcPr>
            <w:tcW w:w="8800" w:type="dxa"/>
            <w:vAlign w:val="bottom"/>
          </w:tcPr>
          <w:p>
            <w:pPr>
              <w:ind w:left="340"/>
              <w:spacing w:after="0"/>
              <w:rPr>
                <w:sz w:val="20"/>
                <w:szCs w:val="20"/>
                <w:color w:val="auto"/>
              </w:rPr>
            </w:pPr>
            <w:r>
              <w:rPr>
                <w:rFonts w:ascii="Arial" w:cs="Arial" w:eastAsia="Arial" w:hAnsi="Arial"/>
                <w:sz w:val="13"/>
                <w:szCs w:val="13"/>
                <w:color w:val="auto"/>
              </w:rPr>
              <w:t>Leasehold improvements are amortized on a straight-line basis over the shorter of their estimated useful lives or lease terms.</w:t>
            </w:r>
          </w:p>
        </w:tc>
        <w:tc>
          <w:tcPr>
            <w:tcW w:w="2660" w:type="dxa"/>
            <w:vAlign w:val="bottom"/>
          </w:tcPr>
          <w:p>
            <w:pPr>
              <w:spacing w:after="0"/>
              <w:rPr>
                <w:sz w:val="21"/>
                <w:szCs w:val="21"/>
                <w:color w:val="auto"/>
              </w:rPr>
            </w:pPr>
          </w:p>
        </w:tc>
      </w:tr>
    </w:tbl>
    <w:p>
      <w:pPr>
        <w:spacing w:after="0" w:line="160" w:lineRule="exact"/>
        <w:rPr>
          <w:sz w:val="20"/>
          <w:szCs w:val="20"/>
          <w:color w:val="auto"/>
        </w:rPr>
      </w:pPr>
    </w:p>
    <w:p>
      <w:pPr>
        <w:ind w:left="120"/>
        <w:spacing w:after="0"/>
        <w:rPr>
          <w:sz w:val="20"/>
          <w:szCs w:val="20"/>
          <w:color w:val="auto"/>
        </w:rPr>
      </w:pPr>
      <w:r>
        <w:rPr>
          <w:rFonts w:ascii="Arial" w:cs="Arial" w:eastAsia="Arial" w:hAnsi="Arial"/>
          <w:sz w:val="13"/>
          <w:szCs w:val="13"/>
          <w:b w:val="1"/>
          <w:bCs w:val="1"/>
          <w:i w:val="1"/>
          <w:iCs w:val="1"/>
          <w:color w:val="auto"/>
        </w:rPr>
        <w:t>Patent and License Costs</w:t>
      </w:r>
    </w:p>
    <w:p>
      <w:pPr>
        <w:spacing w:after="0" w:line="96" w:lineRule="exact"/>
        <w:rPr>
          <w:sz w:val="20"/>
          <w:szCs w:val="20"/>
          <w:color w:val="auto"/>
        </w:rPr>
      </w:pPr>
    </w:p>
    <w:p>
      <w:pPr>
        <w:ind w:right="40" w:firstLine="344"/>
        <w:spacing w:after="0" w:line="258" w:lineRule="auto"/>
        <w:rPr>
          <w:sz w:val="20"/>
          <w:szCs w:val="20"/>
          <w:color w:val="auto"/>
        </w:rPr>
      </w:pPr>
      <w:r>
        <w:rPr>
          <w:rFonts w:ascii="Arial" w:cs="Arial" w:eastAsia="Arial" w:hAnsi="Arial"/>
          <w:sz w:val="13"/>
          <w:szCs w:val="13"/>
          <w:color w:val="auto"/>
        </w:rPr>
        <w:t>Prior to fiscal year 2001, the Company capitalized certain patent costs related to patent applications. Accumulated costs were amortized over the estimated economic life of the patents, not to exceed 17 years, using the straight-line method, commencing at the time the patent was issued. Costs related to patent applications are charged to expense at the time such patents are deemed to have no continuing value. Since 2001, the Company’s policy has been to expense all patent costs as incurred. At December 31, 2005 and 2004, total costs capitalized amounted to approximately $980,000 and the related accumulated amortization was approximately $348,000 and $292,000, respectively. Patent related expenses totaled approximately $703,000, $753,000, and $665,000 in 2005, 2004 and 2003, respectively. License costs are capitalized and amortized as research and development expense over the period of the license agreement.</w:t>
      </w:r>
    </w:p>
    <w:p>
      <w:pPr>
        <w:spacing w:after="0" w:line="150" w:lineRule="exact"/>
        <w:rPr>
          <w:sz w:val="20"/>
          <w:szCs w:val="20"/>
          <w:color w:val="auto"/>
        </w:rPr>
      </w:pPr>
    </w:p>
    <w:p>
      <w:pPr>
        <w:ind w:left="120"/>
        <w:spacing w:after="0"/>
        <w:rPr>
          <w:sz w:val="20"/>
          <w:szCs w:val="20"/>
          <w:color w:val="auto"/>
        </w:rPr>
      </w:pPr>
      <w:r>
        <w:rPr>
          <w:rFonts w:ascii="Arial" w:cs="Arial" w:eastAsia="Arial" w:hAnsi="Arial"/>
          <w:sz w:val="13"/>
          <w:szCs w:val="13"/>
          <w:b w:val="1"/>
          <w:bCs w:val="1"/>
          <w:i w:val="1"/>
          <w:iCs w:val="1"/>
          <w:color w:val="auto"/>
        </w:rPr>
        <w:t>Stock-Based Compensation</w:t>
      </w:r>
    </w:p>
    <w:p>
      <w:pPr>
        <w:spacing w:after="0" w:line="96" w:lineRule="exact"/>
        <w:rPr>
          <w:sz w:val="20"/>
          <w:szCs w:val="20"/>
          <w:color w:val="auto"/>
        </w:rPr>
      </w:pPr>
    </w:p>
    <w:p>
      <w:pPr>
        <w:ind w:right="60" w:firstLine="344"/>
        <w:spacing w:after="0" w:line="258" w:lineRule="auto"/>
        <w:rPr>
          <w:sz w:val="20"/>
          <w:szCs w:val="20"/>
          <w:color w:val="auto"/>
        </w:rPr>
      </w:pPr>
      <w:r>
        <w:rPr>
          <w:rFonts w:ascii="Arial" w:cs="Arial" w:eastAsia="Arial" w:hAnsi="Arial"/>
          <w:sz w:val="13"/>
          <w:szCs w:val="13"/>
          <w:color w:val="auto"/>
        </w:rPr>
        <w:t>The Company’s employee stock option plan is accounted for under Accounting Principles Board Opinion No. 25 (APB 25), “Accounting for Stock Issued to Employees.” The Company grants qualified stock options for a fixed number of shares to employees with an exercise price equal to the fair market value of the shares at the date of grant. In these circumstances and in accordance with APB 25, the Company recognizes no compensation expense for qualified stock option grants. The Company also issues non-qualified stock options for a fixed number of shares to employees with an exercise price less than the fair market value of the shares at the date of grant. When such options vest, the Company recognizes the intrinsic value (difference between the exercise price and fair market value at date of grant) as compensation expense in accordance with APB 25.</w:t>
      </w: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54" w:name="page55"/>
    <w:bookmarkEnd w:id="5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StemCells, Inc.</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179" w:lineRule="exact"/>
        <w:rPr>
          <w:sz w:val="20"/>
          <w:szCs w:val="20"/>
          <w:color w:val="auto"/>
        </w:rPr>
      </w:pPr>
    </w:p>
    <w:p>
      <w:pPr>
        <w:ind w:right="240" w:firstLine="344"/>
        <w:spacing w:after="0" w:line="296" w:lineRule="auto"/>
        <w:rPr>
          <w:sz w:val="20"/>
          <w:szCs w:val="20"/>
          <w:color w:val="auto"/>
        </w:rPr>
      </w:pPr>
      <w:r>
        <w:rPr>
          <w:rFonts w:ascii="Arial" w:cs="Arial" w:eastAsia="Arial" w:hAnsi="Arial"/>
          <w:sz w:val="12"/>
          <w:szCs w:val="12"/>
          <w:color w:val="auto"/>
        </w:rPr>
        <w:t>For purposes of disclosures pursuant to Statement of Financial Accounting Standards No. 123, “Accounting for Stock-Based Compensation,” (FAS 123) as amended by Statement of Financial Accounting Standards No. 148, “Accounting for Stock-Based Compensation — Transition and Disclosure,” (FAS 148), the estimated fair value of options is amortized to expense over the options’ vesting period. The following table illustrates the effect on net loss and net loss per share if the Company had applied the fair value recognition provisions of FAS 123 to stock-based employee compensation:</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20" w:type="dxa"/>
            <w:vAlign w:val="bottom"/>
          </w:tcPr>
          <w:p>
            <w:pPr>
              <w:spacing w:after="0"/>
              <w:rPr>
                <w:sz w:val="10"/>
                <w:szCs w:val="10"/>
                <w:color w:val="auto"/>
              </w:rPr>
            </w:pPr>
          </w:p>
        </w:tc>
        <w:tc>
          <w:tcPr>
            <w:tcW w:w="6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720" w:type="dxa"/>
            <w:vAlign w:val="bottom"/>
            <w:tcBorders>
              <w:bottom w:val="single" w:sz="8" w:color="auto"/>
            </w:tcBorders>
            <w:gridSpan w:val="3"/>
          </w:tcPr>
          <w:p>
            <w:pPr>
              <w:jc w:val="right"/>
              <w:ind w:right="520"/>
              <w:spacing w:after="0"/>
              <w:rPr>
                <w:sz w:val="20"/>
                <w:szCs w:val="20"/>
                <w:color w:val="auto"/>
              </w:rPr>
            </w:pPr>
            <w:r>
              <w:rPr>
                <w:rFonts w:ascii="Arial" w:cs="Arial" w:eastAsia="Arial" w:hAnsi="Arial"/>
                <w:sz w:val="10"/>
                <w:szCs w:val="10"/>
                <w:b w:val="1"/>
                <w:bCs w:val="1"/>
                <w:color w:val="auto"/>
                <w:w w:val="96"/>
              </w:rPr>
              <w:t>Year Ended December 31,</w:t>
            </w:r>
          </w:p>
        </w:tc>
        <w:tc>
          <w:tcPr>
            <w:tcW w:w="28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6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tcPr>
          <w:p>
            <w:pPr>
              <w:jc w:val="right"/>
              <w:ind w:right="476"/>
              <w:spacing w:after="0" w:line="98" w:lineRule="exact"/>
              <w:rPr>
                <w:sz w:val="20"/>
                <w:szCs w:val="20"/>
                <w:color w:val="auto"/>
              </w:rPr>
            </w:pPr>
            <w:r>
              <w:rPr>
                <w:rFonts w:ascii="Arial" w:cs="Arial" w:eastAsia="Arial" w:hAnsi="Arial"/>
                <w:sz w:val="10"/>
                <w:szCs w:val="10"/>
                <w:b w:val="1"/>
                <w:bCs w:val="1"/>
                <w:color w:val="auto"/>
              </w:rPr>
              <w:t>2005</w:t>
            </w: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tcPr>
          <w:p>
            <w:pPr>
              <w:jc w:val="right"/>
              <w:ind w:right="456"/>
              <w:spacing w:after="0" w:line="98" w:lineRule="exact"/>
              <w:rPr>
                <w:sz w:val="20"/>
                <w:szCs w:val="20"/>
                <w:color w:val="auto"/>
              </w:rPr>
            </w:pPr>
            <w:r>
              <w:rPr>
                <w:rFonts w:ascii="Arial" w:cs="Arial" w:eastAsia="Arial" w:hAnsi="Arial"/>
                <w:sz w:val="10"/>
                <w:szCs w:val="10"/>
                <w:b w:val="1"/>
                <w:bCs w:val="1"/>
                <w:color w:val="auto"/>
              </w:rPr>
              <w:t>2004</w:t>
            </w:r>
          </w:p>
        </w:tc>
        <w:tc>
          <w:tcPr>
            <w:tcW w:w="46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tcPr>
          <w:p>
            <w:pPr>
              <w:jc w:val="right"/>
              <w:ind w:right="456"/>
              <w:spacing w:after="0" w:line="98" w:lineRule="exact"/>
              <w:rPr>
                <w:sz w:val="20"/>
                <w:szCs w:val="20"/>
                <w:color w:val="auto"/>
              </w:rPr>
            </w:pPr>
            <w:r>
              <w:rPr>
                <w:rFonts w:ascii="Arial" w:cs="Arial" w:eastAsia="Arial" w:hAnsi="Arial"/>
                <w:sz w:val="10"/>
                <w:szCs w:val="10"/>
                <w:b w:val="1"/>
                <w:bCs w:val="1"/>
                <w:color w:val="auto"/>
              </w:rPr>
              <w:t>2003</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20" w:type="dxa"/>
            <w:vAlign w:val="bottom"/>
            <w:vMerge w:val="restart"/>
          </w:tcPr>
          <w:p>
            <w:pPr>
              <w:spacing w:after="0"/>
              <w:rPr>
                <w:sz w:val="2"/>
                <w:szCs w:val="2"/>
                <w:color w:val="auto"/>
              </w:rPr>
            </w:pPr>
          </w:p>
        </w:tc>
        <w:tc>
          <w:tcPr>
            <w:tcW w:w="6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20" w:type="dxa"/>
            <w:vAlign w:val="bottom"/>
            <w:vMerge w:val="continue"/>
          </w:tcPr>
          <w:p>
            <w:pPr>
              <w:spacing w:after="0"/>
              <w:rPr>
                <w:sz w:val="13"/>
                <w:szCs w:val="13"/>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3"/>
                <w:szCs w:val="13"/>
                <w:color w:val="auto"/>
              </w:rPr>
              <w:t>Net loss applicable to common stockholders — as reported</w:t>
            </w:r>
          </w:p>
        </w:tc>
        <w:tc>
          <w:tcPr>
            <w:tcW w:w="420" w:type="dxa"/>
            <w:vAlign w:val="bottom"/>
            <w:gridSpan w:val="2"/>
            <w:shd w:val="clear" w:color="auto" w:fill="CCEEFF"/>
          </w:tcPr>
          <w:p>
            <w:pPr>
              <w:jc w:val="right"/>
              <w:ind w:right="191"/>
              <w:spacing w:after="0"/>
              <w:rPr>
                <w:sz w:val="20"/>
                <w:szCs w:val="20"/>
                <w:color w:val="auto"/>
              </w:rPr>
            </w:pPr>
            <w:r>
              <w:rPr>
                <w:rFonts w:ascii="Arial" w:cs="Arial" w:eastAsia="Arial" w:hAnsi="Arial"/>
                <w:sz w:val="13"/>
                <w:szCs w:val="13"/>
                <w:color w:val="auto"/>
              </w:rPr>
              <w:t>$</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(11,738,350)</w:t>
            </w:r>
          </w:p>
        </w:tc>
        <w:tc>
          <w:tcPr>
            <w:tcW w:w="520" w:type="dxa"/>
            <w:vAlign w:val="bottom"/>
            <w:gridSpan w:val="2"/>
            <w:shd w:val="clear" w:color="auto" w:fill="CCEEFF"/>
          </w:tcPr>
          <w:p>
            <w:pPr>
              <w:jc w:val="right"/>
              <w:ind w:right="188"/>
              <w:spacing w:after="0"/>
              <w:rPr>
                <w:sz w:val="20"/>
                <w:szCs w:val="20"/>
                <w:color w:val="auto"/>
              </w:rPr>
            </w:pPr>
            <w:r>
              <w:rPr>
                <w:rFonts w:ascii="Arial" w:cs="Arial" w:eastAsia="Arial" w:hAnsi="Arial"/>
                <w:sz w:val="13"/>
                <w:szCs w:val="13"/>
                <w:color w:val="auto"/>
              </w:rPr>
              <w:t>$</w:t>
            </w:r>
          </w:p>
        </w:tc>
        <w:tc>
          <w:tcPr>
            <w:tcW w:w="142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(15,330,299)</w:t>
            </w:r>
          </w:p>
        </w:tc>
        <w:tc>
          <w:tcPr>
            <w:tcW w:w="280" w:type="dxa"/>
            <w:vAlign w:val="bottom"/>
            <w:shd w:val="clear" w:color="auto" w:fill="CCEEFF"/>
          </w:tcPr>
          <w:p>
            <w:pPr>
              <w:jc w:val="right"/>
              <w:ind w:right="171"/>
              <w:spacing w:after="0"/>
              <w:rPr>
                <w:sz w:val="20"/>
                <w:szCs w:val="20"/>
                <w:color w:val="auto"/>
              </w:rPr>
            </w:pPr>
            <w:r>
              <w:rPr>
                <w:rFonts w:ascii="Arial" w:cs="Arial" w:eastAsia="Arial" w:hAnsi="Arial"/>
                <w:sz w:val="10"/>
                <w:szCs w:val="10"/>
                <w:color w:val="auto"/>
                <w:w w:val="71"/>
              </w:rPr>
              <w:t>$</w:t>
            </w: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(14,425,160)</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6520" w:type="dxa"/>
            <w:vAlign w:val="bottom"/>
          </w:tcPr>
          <w:p>
            <w:pPr>
              <w:spacing w:after="0"/>
              <w:rPr>
                <w:sz w:val="20"/>
                <w:szCs w:val="20"/>
                <w:color w:val="auto"/>
              </w:rPr>
            </w:pPr>
            <w:r>
              <w:rPr>
                <w:rFonts w:ascii="Arial" w:cs="Arial" w:eastAsia="Arial" w:hAnsi="Arial"/>
                <w:sz w:val="13"/>
                <w:szCs w:val="13"/>
                <w:color w:val="auto"/>
                <w:w w:val="92"/>
              </w:rPr>
              <w:t>Add: Stock-based employee/ director compensation expense included in reported net loss under the intrinsic value method</w:t>
            </w: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20" w:type="dxa"/>
            <w:vAlign w:val="bottom"/>
            <w:gridSpan w:val="2"/>
          </w:tcPr>
          <w:p>
            <w:pPr>
              <w:jc w:val="right"/>
              <w:ind w:right="460"/>
              <w:spacing w:after="0"/>
              <w:rPr>
                <w:sz w:val="20"/>
                <w:szCs w:val="20"/>
                <w:color w:val="auto"/>
              </w:rPr>
            </w:pPr>
            <w:r>
              <w:rPr>
                <w:rFonts w:ascii="Arial" w:cs="Arial" w:eastAsia="Arial" w:hAnsi="Arial"/>
                <w:sz w:val="13"/>
                <w:szCs w:val="13"/>
                <w:color w:val="auto"/>
              </w:rPr>
              <w:t>33,868</w:t>
            </w:r>
          </w:p>
        </w:tc>
        <w:tc>
          <w:tcPr>
            <w:tcW w:w="28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242,548</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3"/>
                <w:szCs w:val="13"/>
                <w:color w:val="auto"/>
                <w:w w:val="96"/>
              </w:rPr>
              <w:t>Deduct: Total stock-based employee/director compensation expense under the fair value based method for all awards</w:t>
            </w:r>
          </w:p>
        </w:tc>
        <w:tc>
          <w:tcPr>
            <w:tcW w:w="1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(1,019,120)</w:t>
            </w:r>
          </w:p>
        </w:tc>
        <w:tc>
          <w:tcPr>
            <w:tcW w:w="2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42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(819,317)</w:t>
            </w:r>
          </w:p>
        </w:tc>
        <w:tc>
          <w:tcPr>
            <w:tcW w:w="28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(960,166)</w:t>
            </w:r>
          </w:p>
        </w:tc>
        <w:tc>
          <w:tcPr>
            <w:tcW w:w="0" w:type="dxa"/>
            <w:vAlign w:val="bottom"/>
          </w:tcPr>
          <w:p>
            <w:pPr>
              <w:spacing w:after="0"/>
              <w:rPr>
                <w:sz w:val="1"/>
                <w:szCs w:val="1"/>
                <w:color w:val="auto"/>
              </w:rPr>
            </w:pPr>
          </w:p>
        </w:tc>
      </w:tr>
      <w:tr>
        <w:trPr>
          <w:trHeight w:val="20"/>
        </w:trPr>
        <w:tc>
          <w:tcPr>
            <w:tcW w:w="6540" w:type="dxa"/>
            <w:vAlign w:val="bottom"/>
            <w:gridSpan w:val="2"/>
            <w:vMerge w:val="restart"/>
          </w:tcPr>
          <w:p>
            <w:pPr>
              <w:spacing w:after="0"/>
              <w:rPr>
                <w:sz w:val="20"/>
                <w:szCs w:val="20"/>
                <w:color w:val="auto"/>
              </w:rPr>
            </w:pPr>
            <w:r>
              <w:rPr>
                <w:rFonts w:ascii="Arial" w:cs="Arial" w:eastAsia="Arial" w:hAnsi="Arial"/>
                <w:sz w:val="13"/>
                <w:szCs w:val="13"/>
                <w:color w:val="auto"/>
              </w:rPr>
              <w:t>Net loss applicable to common stockholders — pro forma</w:t>
            </w:r>
          </w:p>
        </w:tc>
        <w:tc>
          <w:tcPr>
            <w:tcW w:w="1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54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jc w:val="right"/>
              <w:ind w:right="191"/>
              <w:spacing w:after="0"/>
              <w:rPr>
                <w:sz w:val="20"/>
                <w:szCs w:val="20"/>
                <w:color w:val="auto"/>
              </w:rPr>
            </w:pPr>
            <w:r>
              <w:rPr>
                <w:rFonts w:ascii="Arial" w:cs="Arial" w:eastAsia="Arial" w:hAnsi="Arial"/>
                <w:sz w:val="10"/>
                <w:szCs w:val="10"/>
                <w:color w:val="auto"/>
                <w:w w:val="71"/>
              </w:rPr>
              <w:t>$</w:t>
            </w:r>
          </w:p>
        </w:tc>
        <w:tc>
          <w:tcPr>
            <w:tcW w:w="1220" w:type="dxa"/>
            <w:vAlign w:val="bottom"/>
            <w:gridSpan w:val="2"/>
          </w:tcPr>
          <w:p>
            <w:pPr>
              <w:jc w:val="right"/>
              <w:ind w:right="200"/>
              <w:spacing w:after="0"/>
              <w:rPr>
                <w:sz w:val="20"/>
                <w:szCs w:val="20"/>
                <w:color w:val="auto"/>
              </w:rPr>
            </w:pPr>
            <w:r>
              <w:rPr>
                <w:rFonts w:ascii="Arial" w:cs="Arial" w:eastAsia="Arial" w:hAnsi="Arial"/>
                <w:sz w:val="13"/>
                <w:szCs w:val="13"/>
                <w:color w:val="auto"/>
              </w:rPr>
              <w:t>(12,757,470)</w:t>
            </w:r>
          </w:p>
        </w:tc>
        <w:tc>
          <w:tcPr>
            <w:tcW w:w="520" w:type="dxa"/>
            <w:vAlign w:val="bottom"/>
            <w:gridSpan w:val="2"/>
          </w:tcPr>
          <w:p>
            <w:pPr>
              <w:jc w:val="right"/>
              <w:ind w:right="188"/>
              <w:spacing w:after="0"/>
              <w:rPr>
                <w:sz w:val="20"/>
                <w:szCs w:val="20"/>
                <w:color w:val="auto"/>
              </w:rPr>
            </w:pPr>
            <w:r>
              <w:rPr>
                <w:rFonts w:ascii="Arial" w:cs="Arial" w:eastAsia="Arial" w:hAnsi="Arial"/>
                <w:sz w:val="13"/>
                <w:szCs w:val="13"/>
                <w:color w:val="auto"/>
              </w:rPr>
              <w:t>$</w:t>
            </w:r>
          </w:p>
        </w:tc>
        <w:tc>
          <w:tcPr>
            <w:tcW w:w="1420" w:type="dxa"/>
            <w:vAlign w:val="bottom"/>
            <w:gridSpan w:val="2"/>
          </w:tcPr>
          <w:p>
            <w:pPr>
              <w:jc w:val="right"/>
              <w:ind w:right="420"/>
              <w:spacing w:after="0"/>
              <w:rPr>
                <w:sz w:val="20"/>
                <w:szCs w:val="20"/>
                <w:color w:val="auto"/>
              </w:rPr>
            </w:pPr>
            <w:r>
              <w:rPr>
                <w:rFonts w:ascii="Arial" w:cs="Arial" w:eastAsia="Arial" w:hAnsi="Arial"/>
                <w:sz w:val="13"/>
                <w:szCs w:val="13"/>
                <w:color w:val="auto"/>
              </w:rPr>
              <w:t>(16,115,748)</w:t>
            </w:r>
          </w:p>
        </w:tc>
        <w:tc>
          <w:tcPr>
            <w:tcW w:w="280" w:type="dxa"/>
            <w:vAlign w:val="bottom"/>
          </w:tcPr>
          <w:p>
            <w:pPr>
              <w:jc w:val="right"/>
              <w:ind w:right="171"/>
              <w:spacing w:after="0"/>
              <w:rPr>
                <w:sz w:val="20"/>
                <w:szCs w:val="20"/>
                <w:color w:val="auto"/>
              </w:rPr>
            </w:pPr>
            <w:r>
              <w:rPr>
                <w:rFonts w:ascii="Arial" w:cs="Arial" w:eastAsia="Arial" w:hAnsi="Arial"/>
                <w:sz w:val="10"/>
                <w:szCs w:val="10"/>
                <w:color w:val="auto"/>
                <w:w w:val="71"/>
              </w:rPr>
              <w:t>$</w:t>
            </w:r>
          </w:p>
        </w:tc>
        <w:tc>
          <w:tcPr>
            <w:tcW w:w="1060" w:type="dxa"/>
            <w:vAlign w:val="bottom"/>
            <w:gridSpan w:val="2"/>
          </w:tcPr>
          <w:p>
            <w:pPr>
              <w:jc w:val="right"/>
              <w:ind w:right="60"/>
              <w:spacing w:after="0"/>
              <w:rPr>
                <w:sz w:val="20"/>
                <w:szCs w:val="20"/>
                <w:color w:val="auto"/>
              </w:rPr>
            </w:pPr>
            <w:r>
              <w:rPr>
                <w:rFonts w:ascii="Arial" w:cs="Arial" w:eastAsia="Arial" w:hAnsi="Arial"/>
                <w:sz w:val="13"/>
                <w:szCs w:val="13"/>
                <w:color w:val="auto"/>
              </w:rPr>
              <w:t>(15,142,778)</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6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2"/>
        </w:trPr>
        <w:tc>
          <w:tcPr>
            <w:tcW w:w="20" w:type="dxa"/>
            <w:vAlign w:val="bottom"/>
          </w:tcPr>
          <w:p>
            <w:pPr>
              <w:spacing w:after="0"/>
              <w:rPr>
                <w:sz w:val="14"/>
                <w:szCs w:val="14"/>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3"/>
                <w:szCs w:val="13"/>
                <w:color w:val="auto"/>
              </w:rPr>
              <w:t>Basic and diluted net loss per share applicable to common stockholders — as reported</w:t>
            </w: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jc w:val="right"/>
              <w:ind w:right="191"/>
              <w:spacing w:after="0"/>
              <w:rPr>
                <w:sz w:val="20"/>
                <w:szCs w:val="20"/>
                <w:color w:val="auto"/>
              </w:rPr>
            </w:pPr>
            <w:r>
              <w:rPr>
                <w:rFonts w:ascii="Arial" w:cs="Arial" w:eastAsia="Arial" w:hAnsi="Arial"/>
                <w:sz w:val="10"/>
                <w:szCs w:val="10"/>
                <w:color w:val="auto"/>
                <w:w w:val="71"/>
              </w:rPr>
              <w:t>$</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(0.18)</w:t>
            </w:r>
          </w:p>
        </w:tc>
        <w:tc>
          <w:tcPr>
            <w:tcW w:w="520" w:type="dxa"/>
            <w:vAlign w:val="bottom"/>
            <w:gridSpan w:val="2"/>
            <w:shd w:val="clear" w:color="auto" w:fill="CCEEFF"/>
          </w:tcPr>
          <w:p>
            <w:pPr>
              <w:jc w:val="right"/>
              <w:ind w:right="188"/>
              <w:spacing w:after="0"/>
              <w:rPr>
                <w:sz w:val="20"/>
                <w:szCs w:val="20"/>
                <w:color w:val="auto"/>
              </w:rPr>
            </w:pPr>
            <w:r>
              <w:rPr>
                <w:rFonts w:ascii="Arial" w:cs="Arial" w:eastAsia="Arial" w:hAnsi="Arial"/>
                <w:sz w:val="13"/>
                <w:szCs w:val="13"/>
                <w:color w:val="auto"/>
              </w:rPr>
              <w:t>$</w:t>
            </w:r>
          </w:p>
        </w:tc>
        <w:tc>
          <w:tcPr>
            <w:tcW w:w="142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(0.31)</w:t>
            </w:r>
          </w:p>
        </w:tc>
        <w:tc>
          <w:tcPr>
            <w:tcW w:w="280" w:type="dxa"/>
            <w:vAlign w:val="bottom"/>
            <w:shd w:val="clear" w:color="auto" w:fill="CCEEFF"/>
          </w:tcPr>
          <w:p>
            <w:pPr>
              <w:jc w:val="right"/>
              <w:ind w:right="171"/>
              <w:spacing w:after="0"/>
              <w:rPr>
                <w:sz w:val="20"/>
                <w:szCs w:val="20"/>
                <w:color w:val="auto"/>
              </w:rPr>
            </w:pPr>
            <w:r>
              <w:rPr>
                <w:rFonts w:ascii="Arial" w:cs="Arial" w:eastAsia="Arial" w:hAnsi="Arial"/>
                <w:sz w:val="10"/>
                <w:szCs w:val="10"/>
                <w:color w:val="auto"/>
                <w:w w:val="71"/>
              </w:rPr>
              <w:t>$</w:t>
            </w: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(0.45)</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6520" w:type="dxa"/>
            <w:vAlign w:val="bottom"/>
          </w:tcPr>
          <w:p>
            <w:pPr>
              <w:spacing w:after="0"/>
              <w:rPr>
                <w:sz w:val="20"/>
                <w:szCs w:val="20"/>
                <w:color w:val="auto"/>
              </w:rPr>
            </w:pPr>
            <w:r>
              <w:rPr>
                <w:rFonts w:ascii="Arial" w:cs="Arial" w:eastAsia="Arial" w:hAnsi="Arial"/>
                <w:sz w:val="13"/>
                <w:szCs w:val="13"/>
                <w:color w:val="auto"/>
              </w:rPr>
              <w:t>Basic and diluted net loss per share applicable to common stockholders — pro forma</w:t>
            </w:r>
          </w:p>
        </w:tc>
        <w:tc>
          <w:tcPr>
            <w:tcW w:w="420" w:type="dxa"/>
            <w:vAlign w:val="bottom"/>
            <w:gridSpan w:val="2"/>
          </w:tcPr>
          <w:p>
            <w:pPr>
              <w:jc w:val="right"/>
              <w:ind w:right="191"/>
              <w:spacing w:after="0"/>
              <w:rPr>
                <w:sz w:val="20"/>
                <w:szCs w:val="20"/>
                <w:color w:val="auto"/>
              </w:rPr>
            </w:pPr>
            <w:r>
              <w:rPr>
                <w:rFonts w:ascii="Arial" w:cs="Arial" w:eastAsia="Arial" w:hAnsi="Arial"/>
                <w:sz w:val="13"/>
                <w:szCs w:val="13"/>
                <w:color w:val="auto"/>
              </w:rPr>
              <w:t>$</w:t>
            </w:r>
          </w:p>
        </w:tc>
        <w:tc>
          <w:tcPr>
            <w:tcW w:w="1220" w:type="dxa"/>
            <w:vAlign w:val="bottom"/>
            <w:gridSpan w:val="2"/>
          </w:tcPr>
          <w:p>
            <w:pPr>
              <w:jc w:val="right"/>
              <w:ind w:right="200"/>
              <w:spacing w:after="0"/>
              <w:rPr>
                <w:sz w:val="20"/>
                <w:szCs w:val="20"/>
                <w:color w:val="auto"/>
              </w:rPr>
            </w:pPr>
            <w:r>
              <w:rPr>
                <w:rFonts w:ascii="Arial" w:cs="Arial" w:eastAsia="Arial" w:hAnsi="Arial"/>
                <w:sz w:val="13"/>
                <w:szCs w:val="13"/>
                <w:color w:val="auto"/>
              </w:rPr>
              <w:t>(0.20)</w:t>
            </w:r>
          </w:p>
        </w:tc>
        <w:tc>
          <w:tcPr>
            <w:tcW w:w="520" w:type="dxa"/>
            <w:vAlign w:val="bottom"/>
            <w:gridSpan w:val="2"/>
          </w:tcPr>
          <w:p>
            <w:pPr>
              <w:jc w:val="right"/>
              <w:ind w:right="188"/>
              <w:spacing w:after="0"/>
              <w:rPr>
                <w:sz w:val="20"/>
                <w:szCs w:val="20"/>
                <w:color w:val="auto"/>
              </w:rPr>
            </w:pPr>
            <w:r>
              <w:rPr>
                <w:rFonts w:ascii="Arial" w:cs="Arial" w:eastAsia="Arial" w:hAnsi="Arial"/>
                <w:sz w:val="13"/>
                <w:szCs w:val="13"/>
                <w:color w:val="auto"/>
              </w:rPr>
              <w:t>$</w:t>
            </w:r>
          </w:p>
        </w:tc>
        <w:tc>
          <w:tcPr>
            <w:tcW w:w="1420" w:type="dxa"/>
            <w:vAlign w:val="bottom"/>
            <w:gridSpan w:val="2"/>
          </w:tcPr>
          <w:p>
            <w:pPr>
              <w:jc w:val="right"/>
              <w:ind w:right="420"/>
              <w:spacing w:after="0"/>
              <w:rPr>
                <w:sz w:val="20"/>
                <w:szCs w:val="20"/>
                <w:color w:val="auto"/>
              </w:rPr>
            </w:pPr>
            <w:r>
              <w:rPr>
                <w:rFonts w:ascii="Arial" w:cs="Arial" w:eastAsia="Arial" w:hAnsi="Arial"/>
                <w:sz w:val="13"/>
                <w:szCs w:val="13"/>
                <w:color w:val="auto"/>
              </w:rPr>
              <w:t>(0.32)</w:t>
            </w:r>
          </w:p>
        </w:tc>
        <w:tc>
          <w:tcPr>
            <w:tcW w:w="280" w:type="dxa"/>
            <w:vAlign w:val="bottom"/>
          </w:tcPr>
          <w:p>
            <w:pPr>
              <w:jc w:val="right"/>
              <w:ind w:right="171"/>
              <w:spacing w:after="0"/>
              <w:rPr>
                <w:sz w:val="20"/>
                <w:szCs w:val="20"/>
                <w:color w:val="auto"/>
              </w:rPr>
            </w:pPr>
            <w:r>
              <w:rPr>
                <w:rFonts w:ascii="Arial" w:cs="Arial" w:eastAsia="Arial" w:hAnsi="Arial"/>
                <w:sz w:val="10"/>
                <w:szCs w:val="10"/>
                <w:color w:val="auto"/>
                <w:w w:val="71"/>
              </w:rPr>
              <w:t>$</w:t>
            </w:r>
          </w:p>
        </w:tc>
        <w:tc>
          <w:tcPr>
            <w:tcW w:w="1060" w:type="dxa"/>
            <w:vAlign w:val="bottom"/>
            <w:gridSpan w:val="2"/>
          </w:tcPr>
          <w:p>
            <w:pPr>
              <w:jc w:val="right"/>
              <w:ind w:right="60"/>
              <w:spacing w:after="0"/>
              <w:rPr>
                <w:sz w:val="20"/>
                <w:szCs w:val="20"/>
                <w:color w:val="auto"/>
              </w:rPr>
            </w:pPr>
            <w:r>
              <w:rPr>
                <w:rFonts w:ascii="Arial" w:cs="Arial" w:eastAsia="Arial" w:hAnsi="Arial"/>
                <w:sz w:val="13"/>
                <w:szCs w:val="13"/>
                <w:color w:val="auto"/>
              </w:rPr>
              <w:t>(0.47)</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3"/>
                <w:szCs w:val="13"/>
                <w:color w:val="auto"/>
              </w:rPr>
              <w:t>Shares used in computing basic and diluted loss per share amounts</w:t>
            </w:r>
          </w:p>
        </w:tc>
        <w:tc>
          <w:tcPr>
            <w:tcW w:w="1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63,643,176</w:t>
            </w:r>
          </w:p>
        </w:tc>
        <w:tc>
          <w:tcPr>
            <w:tcW w:w="2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420" w:type="dxa"/>
            <w:vAlign w:val="bottom"/>
            <w:gridSpan w:val="2"/>
            <w:shd w:val="clear" w:color="auto" w:fill="CCEEFF"/>
          </w:tcPr>
          <w:p>
            <w:pPr>
              <w:jc w:val="right"/>
              <w:ind w:right="460"/>
              <w:spacing w:after="0"/>
              <w:rPr>
                <w:sz w:val="20"/>
                <w:szCs w:val="20"/>
                <w:color w:val="auto"/>
              </w:rPr>
            </w:pPr>
            <w:r>
              <w:rPr>
                <w:rFonts w:ascii="Arial" w:cs="Arial" w:eastAsia="Arial" w:hAnsi="Arial"/>
                <w:sz w:val="13"/>
                <w:szCs w:val="13"/>
                <w:color w:val="auto"/>
              </w:rPr>
              <w:t>49,606,277</w:t>
            </w:r>
          </w:p>
        </w:tc>
        <w:tc>
          <w:tcPr>
            <w:tcW w:w="28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32,080,233</w:t>
            </w: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340"/>
        <w:spacing w:after="0"/>
        <w:rPr>
          <w:sz w:val="20"/>
          <w:szCs w:val="20"/>
          <w:color w:val="auto"/>
        </w:rPr>
      </w:pPr>
      <w:r>
        <w:rPr>
          <w:rFonts w:ascii="Arial" w:cs="Arial" w:eastAsia="Arial" w:hAnsi="Arial"/>
          <w:sz w:val="11"/>
          <w:szCs w:val="11"/>
          <w:color w:val="auto"/>
        </w:rPr>
        <w:t>The effects on pro forma net loss and net loss per share of expensing the estimated fair value of stock options are not necessarily representative of the effects on reporting the results of operations for future years.</w:t>
      </w:r>
    </w:p>
    <w:p>
      <w:pPr>
        <w:spacing w:after="0" w:line="38" w:lineRule="exact"/>
        <w:rPr>
          <w:sz w:val="20"/>
          <w:szCs w:val="20"/>
          <w:color w:val="auto"/>
        </w:rPr>
      </w:pPr>
    </w:p>
    <w:p>
      <w:pPr>
        <w:spacing w:after="0"/>
        <w:rPr>
          <w:sz w:val="20"/>
          <w:szCs w:val="20"/>
          <w:color w:val="auto"/>
        </w:rPr>
      </w:pPr>
      <w:r>
        <w:rPr>
          <w:rFonts w:ascii="Arial" w:cs="Arial" w:eastAsia="Arial" w:hAnsi="Arial"/>
          <w:sz w:val="13"/>
          <w:szCs w:val="13"/>
          <w:color w:val="auto"/>
        </w:rPr>
        <w:t>As permitted by FAS 123, the Company has used the Black-Scholes model for option valuation, which method may not accurately value the options described.</w:t>
      </w:r>
    </w:p>
    <w:p>
      <w:pPr>
        <w:spacing w:after="0" w:line="89" w:lineRule="exact"/>
        <w:rPr>
          <w:sz w:val="20"/>
          <w:szCs w:val="20"/>
          <w:color w:val="auto"/>
        </w:rPr>
      </w:pPr>
    </w:p>
    <w:p>
      <w:pPr>
        <w:ind w:right="40" w:firstLine="344"/>
        <w:spacing w:after="0" w:line="296" w:lineRule="auto"/>
        <w:rPr>
          <w:sz w:val="20"/>
          <w:szCs w:val="20"/>
          <w:color w:val="auto"/>
        </w:rPr>
      </w:pPr>
      <w:r>
        <w:rPr>
          <w:rFonts w:ascii="Arial" w:cs="Arial" w:eastAsia="Arial" w:hAnsi="Arial"/>
          <w:sz w:val="12"/>
          <w:szCs w:val="12"/>
          <w:color w:val="auto"/>
        </w:rPr>
        <w:t xml:space="preserve">The Company accounts for stock options granted to non-employees in accordance with SFAS 123 and Emerging Issues Task Force (EITF) 96-18 — </w:t>
      </w:r>
      <w:r>
        <w:rPr>
          <w:rFonts w:ascii="Arial" w:cs="Arial" w:eastAsia="Arial" w:hAnsi="Arial"/>
          <w:sz w:val="12"/>
          <w:szCs w:val="12"/>
          <w:i w:val="1"/>
          <w:iCs w:val="1"/>
          <w:color w:val="auto"/>
        </w:rPr>
        <w:t>“Accounting For Equity Instruments That Are Issued To Other</w:t>
      </w:r>
      <w:r>
        <w:rPr>
          <w:rFonts w:ascii="Arial" w:cs="Arial" w:eastAsia="Arial" w:hAnsi="Arial"/>
          <w:sz w:val="12"/>
          <w:szCs w:val="12"/>
          <w:color w:val="auto"/>
        </w:rPr>
        <w:t xml:space="preserve"> </w:t>
      </w:r>
      <w:r>
        <w:rPr>
          <w:rFonts w:ascii="Arial" w:cs="Arial" w:eastAsia="Arial" w:hAnsi="Arial"/>
          <w:sz w:val="12"/>
          <w:szCs w:val="12"/>
          <w:i w:val="1"/>
          <w:iCs w:val="1"/>
          <w:color w:val="auto"/>
        </w:rPr>
        <w:t>Than Employees For Acquiring, Or In Conjunction With Selling, Goods Or Services”</w:t>
      </w:r>
      <w:r>
        <w:rPr>
          <w:rFonts w:ascii="Arial" w:cs="Arial" w:eastAsia="Arial" w:hAnsi="Arial"/>
          <w:sz w:val="12"/>
          <w:szCs w:val="12"/>
          <w:color w:val="auto"/>
        </w:rPr>
        <w:t>, and accordingly, recognizes as expense the estimated fair value of such options as calculated using the Black-Scholes valuation</w:t>
      </w:r>
      <w:r>
        <w:rPr>
          <w:rFonts w:ascii="Arial" w:cs="Arial" w:eastAsia="Arial" w:hAnsi="Arial"/>
          <w:sz w:val="12"/>
          <w:szCs w:val="12"/>
          <w:i w:val="1"/>
          <w:iCs w:val="1"/>
          <w:color w:val="auto"/>
        </w:rPr>
        <w:t xml:space="preserve"> </w:t>
      </w:r>
      <w:r>
        <w:rPr>
          <w:rFonts w:ascii="Arial" w:cs="Arial" w:eastAsia="Arial" w:hAnsi="Arial"/>
          <w:sz w:val="12"/>
          <w:szCs w:val="12"/>
          <w:color w:val="auto"/>
        </w:rPr>
        <w:t>model. The fair value is remeasured during the service period and is amortized over the vesting period of each option or the recipient’s contractual arrangement, if shorter.</w:t>
      </w:r>
    </w:p>
    <w:p>
      <w:pPr>
        <w:spacing w:after="0" w:line="128" w:lineRule="exact"/>
        <w:rPr>
          <w:sz w:val="20"/>
          <w:szCs w:val="20"/>
          <w:color w:val="auto"/>
        </w:rPr>
      </w:pPr>
    </w:p>
    <w:p>
      <w:pPr>
        <w:ind w:left="120"/>
        <w:spacing w:after="0"/>
        <w:rPr>
          <w:sz w:val="20"/>
          <w:szCs w:val="20"/>
          <w:color w:val="auto"/>
        </w:rPr>
      </w:pPr>
      <w:r>
        <w:rPr>
          <w:rFonts w:ascii="Arial" w:cs="Arial" w:eastAsia="Arial" w:hAnsi="Arial"/>
          <w:sz w:val="13"/>
          <w:szCs w:val="13"/>
          <w:b w:val="1"/>
          <w:bCs w:val="1"/>
          <w:i w:val="1"/>
          <w:iCs w:val="1"/>
          <w:color w:val="auto"/>
        </w:rPr>
        <w:t>Long-Lived Assets</w:t>
      </w:r>
    </w:p>
    <w:p>
      <w:pPr>
        <w:spacing w:after="0" w:line="96" w:lineRule="exact"/>
        <w:rPr>
          <w:sz w:val="20"/>
          <w:szCs w:val="20"/>
          <w:color w:val="auto"/>
        </w:rPr>
      </w:pPr>
    </w:p>
    <w:p>
      <w:pPr>
        <w:jc w:val="both"/>
        <w:ind w:right="120" w:firstLine="344"/>
        <w:spacing w:after="0" w:line="264" w:lineRule="auto"/>
        <w:rPr>
          <w:sz w:val="20"/>
          <w:szCs w:val="20"/>
          <w:color w:val="auto"/>
        </w:rPr>
      </w:pPr>
      <w:r>
        <w:rPr>
          <w:rFonts w:ascii="Arial" w:cs="Arial" w:eastAsia="Arial" w:hAnsi="Arial"/>
          <w:sz w:val="13"/>
          <w:szCs w:val="13"/>
          <w:color w:val="auto"/>
        </w:rPr>
        <w:t>The Company routinely evaluates the carrying value of its long-lived assets. The Company records impairment losses on long-lived assets used in operations when events and circumstances indicate that assets may be impaired and the undiscounted cash flows estimated to be generated by the assets are less than the carrying amount of those assets. If an impairment exists, the charge to operations is measured as the excess of the carrying amount over the fair value of the assets. No such impairment was recognized during the years ended December 31, 2005, 2004 and 2003.</w:t>
      </w:r>
    </w:p>
    <w:p>
      <w:pPr>
        <w:spacing w:after="0" w:line="146" w:lineRule="exact"/>
        <w:rPr>
          <w:sz w:val="20"/>
          <w:szCs w:val="20"/>
          <w:color w:val="auto"/>
        </w:rPr>
      </w:pPr>
    </w:p>
    <w:p>
      <w:pPr>
        <w:ind w:left="120"/>
        <w:spacing w:after="0"/>
        <w:rPr>
          <w:sz w:val="20"/>
          <w:szCs w:val="20"/>
          <w:color w:val="auto"/>
        </w:rPr>
      </w:pPr>
      <w:r>
        <w:rPr>
          <w:rFonts w:ascii="Arial" w:cs="Arial" w:eastAsia="Arial" w:hAnsi="Arial"/>
          <w:sz w:val="13"/>
          <w:szCs w:val="13"/>
          <w:b w:val="1"/>
          <w:bCs w:val="1"/>
          <w:i w:val="1"/>
          <w:iCs w:val="1"/>
          <w:color w:val="auto"/>
        </w:rPr>
        <w:t>Income Taxes</w:t>
      </w:r>
    </w:p>
    <w:p>
      <w:pPr>
        <w:spacing w:after="0" w:line="96" w:lineRule="exact"/>
        <w:rPr>
          <w:sz w:val="20"/>
          <w:szCs w:val="20"/>
          <w:color w:val="auto"/>
        </w:rPr>
      </w:pPr>
    </w:p>
    <w:p>
      <w:pPr>
        <w:ind w:left="340"/>
        <w:spacing w:after="0"/>
        <w:rPr>
          <w:sz w:val="20"/>
          <w:szCs w:val="20"/>
          <w:color w:val="auto"/>
        </w:rPr>
      </w:pPr>
      <w:r>
        <w:rPr>
          <w:rFonts w:ascii="Arial" w:cs="Arial" w:eastAsia="Arial" w:hAnsi="Arial"/>
          <w:sz w:val="11"/>
          <w:szCs w:val="11"/>
          <w:color w:val="auto"/>
        </w:rPr>
        <w:t>The liability method is used to account for income taxes. Deferred tax assets and liabilities are determined based on differences between financial reporting and income tax bases of assets and liabilities as well as</w:t>
      </w:r>
    </w:p>
    <w:p>
      <w:pPr>
        <w:spacing w:after="0" w:line="38" w:lineRule="exact"/>
        <w:rPr>
          <w:sz w:val="20"/>
          <w:szCs w:val="20"/>
          <w:color w:val="auto"/>
        </w:rPr>
      </w:pPr>
    </w:p>
    <w:p>
      <w:pPr>
        <w:spacing w:after="0"/>
        <w:rPr>
          <w:sz w:val="20"/>
          <w:szCs w:val="20"/>
          <w:color w:val="auto"/>
        </w:rPr>
      </w:pPr>
      <w:r>
        <w:rPr>
          <w:rFonts w:ascii="Arial" w:cs="Arial" w:eastAsia="Arial" w:hAnsi="Arial"/>
          <w:sz w:val="13"/>
          <w:szCs w:val="13"/>
          <w:color w:val="auto"/>
        </w:rPr>
        <w:t>net</w:t>
      </w: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55" w:name="page56"/>
    <w:bookmarkEnd w:id="55"/>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StemCells, Inc.</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169" w:lineRule="exact"/>
        <w:rPr>
          <w:sz w:val="20"/>
          <w:szCs w:val="20"/>
          <w:color w:val="auto"/>
        </w:rPr>
      </w:pPr>
    </w:p>
    <w:p>
      <w:pPr>
        <w:ind w:right="120"/>
        <w:spacing w:after="0" w:line="276" w:lineRule="auto"/>
        <w:rPr>
          <w:sz w:val="20"/>
          <w:szCs w:val="20"/>
          <w:color w:val="auto"/>
        </w:rPr>
      </w:pPr>
      <w:r>
        <w:rPr>
          <w:rFonts w:ascii="Arial" w:cs="Arial" w:eastAsia="Arial" w:hAnsi="Arial"/>
          <w:sz w:val="13"/>
          <w:szCs w:val="13"/>
          <w:color w:val="auto"/>
        </w:rPr>
        <w:t>operating loss carry forwards and tax credits carryforwards and are measured using the enacted tax rates and laws that are expected to be in effect when the differences reverse. Deferred tax assets may be reduced by a valuation allowance to reflect the uncertainty associated with their ultimate realization.</w:t>
      </w:r>
    </w:p>
    <w:p>
      <w:pPr>
        <w:spacing w:after="0" w:line="138" w:lineRule="exact"/>
        <w:rPr>
          <w:sz w:val="20"/>
          <w:szCs w:val="20"/>
          <w:color w:val="auto"/>
        </w:rPr>
      </w:pPr>
    </w:p>
    <w:p>
      <w:pPr>
        <w:ind w:left="120"/>
        <w:spacing w:after="0"/>
        <w:rPr>
          <w:sz w:val="20"/>
          <w:szCs w:val="20"/>
          <w:color w:val="auto"/>
        </w:rPr>
      </w:pPr>
      <w:r>
        <w:rPr>
          <w:rFonts w:ascii="Arial" w:cs="Arial" w:eastAsia="Arial" w:hAnsi="Arial"/>
          <w:sz w:val="13"/>
          <w:szCs w:val="13"/>
          <w:b w:val="1"/>
          <w:bCs w:val="1"/>
          <w:i w:val="1"/>
          <w:iCs w:val="1"/>
          <w:color w:val="auto"/>
        </w:rPr>
        <w:t>Revenue Recognition</w:t>
      </w:r>
    </w:p>
    <w:p>
      <w:pPr>
        <w:spacing w:after="0" w:line="96" w:lineRule="exact"/>
        <w:rPr>
          <w:sz w:val="20"/>
          <w:szCs w:val="20"/>
          <w:color w:val="auto"/>
        </w:rPr>
      </w:pPr>
    </w:p>
    <w:p>
      <w:pPr>
        <w:ind w:right="200" w:firstLine="344"/>
        <w:spacing w:after="0" w:line="289" w:lineRule="auto"/>
        <w:rPr>
          <w:sz w:val="20"/>
          <w:szCs w:val="20"/>
          <w:color w:val="auto"/>
        </w:rPr>
      </w:pPr>
      <w:r>
        <w:rPr>
          <w:rFonts w:ascii="Arial" w:cs="Arial" w:eastAsia="Arial" w:hAnsi="Arial"/>
          <w:sz w:val="12"/>
          <w:szCs w:val="12"/>
          <w:color w:val="auto"/>
        </w:rPr>
        <w:t>Revenues from collaborative agreements and grants are recognized as earned upon either the incurring of reimbursable expenses directly related to the particular research plan or the completion of certain development milestones as defined within the terms of the collaborative agreement. Payments received in advance of research performed are designated as deferred revenue. The Company recognizes non-refundable upfront license fees and certain other related fees on a straight-line basis over the development period. Fees associated with substantive at risk, performance based milestones are recognized as revenue upon their completion, as defined in the respective agreements. Incidental assignment of technology rights is recognized as revenue at time of receipt.</w:t>
      </w:r>
    </w:p>
    <w:p>
      <w:pPr>
        <w:spacing w:after="0" w:line="132" w:lineRule="exact"/>
        <w:rPr>
          <w:sz w:val="20"/>
          <w:szCs w:val="20"/>
          <w:color w:val="auto"/>
        </w:rPr>
      </w:pPr>
    </w:p>
    <w:p>
      <w:pPr>
        <w:ind w:left="120"/>
        <w:spacing w:after="0"/>
        <w:rPr>
          <w:sz w:val="20"/>
          <w:szCs w:val="20"/>
          <w:color w:val="auto"/>
        </w:rPr>
      </w:pPr>
      <w:r>
        <w:rPr>
          <w:rFonts w:ascii="Arial" w:cs="Arial" w:eastAsia="Arial" w:hAnsi="Arial"/>
          <w:sz w:val="13"/>
          <w:szCs w:val="13"/>
          <w:b w:val="1"/>
          <w:bCs w:val="1"/>
          <w:i w:val="1"/>
          <w:iCs w:val="1"/>
          <w:color w:val="auto"/>
        </w:rPr>
        <w:t>Research and Development Costs</w:t>
      </w:r>
    </w:p>
    <w:p>
      <w:pPr>
        <w:spacing w:after="0" w:line="96" w:lineRule="exact"/>
        <w:rPr>
          <w:sz w:val="20"/>
          <w:szCs w:val="20"/>
          <w:color w:val="auto"/>
        </w:rPr>
      </w:pPr>
    </w:p>
    <w:p>
      <w:pPr>
        <w:ind w:left="340"/>
        <w:spacing w:after="0"/>
        <w:rPr>
          <w:sz w:val="20"/>
          <w:szCs w:val="20"/>
          <w:color w:val="auto"/>
        </w:rPr>
      </w:pPr>
      <w:r>
        <w:rPr>
          <w:rFonts w:ascii="Arial" w:cs="Arial" w:eastAsia="Arial" w:hAnsi="Arial"/>
          <w:sz w:val="12"/>
          <w:szCs w:val="12"/>
          <w:color w:val="auto"/>
        </w:rPr>
        <w:t>The Company expenses all research and development costs as incurred. Research and Development costs include costs of personnel, external services, supplies, facilities and miscellaneous other costs.</w:t>
      </w:r>
    </w:p>
    <w:p>
      <w:pPr>
        <w:spacing w:after="0" w:line="186" w:lineRule="exact"/>
        <w:rPr>
          <w:sz w:val="20"/>
          <w:szCs w:val="20"/>
          <w:color w:val="auto"/>
        </w:rPr>
      </w:pPr>
    </w:p>
    <w:p>
      <w:pPr>
        <w:ind w:left="120"/>
        <w:spacing w:after="0"/>
        <w:rPr>
          <w:sz w:val="20"/>
          <w:szCs w:val="20"/>
          <w:color w:val="auto"/>
        </w:rPr>
      </w:pPr>
      <w:r>
        <w:rPr>
          <w:rFonts w:ascii="Arial" w:cs="Arial" w:eastAsia="Arial" w:hAnsi="Arial"/>
          <w:sz w:val="13"/>
          <w:szCs w:val="13"/>
          <w:b w:val="1"/>
          <w:bCs w:val="1"/>
          <w:i w:val="1"/>
          <w:iCs w:val="1"/>
          <w:color w:val="auto"/>
        </w:rPr>
        <w:t>Net Loss per Share</w:t>
      </w:r>
    </w:p>
    <w:p>
      <w:pPr>
        <w:spacing w:after="0" w:line="96" w:lineRule="exact"/>
        <w:rPr>
          <w:sz w:val="20"/>
          <w:szCs w:val="20"/>
          <w:color w:val="auto"/>
        </w:rPr>
      </w:pPr>
    </w:p>
    <w:p>
      <w:pPr>
        <w:ind w:right="220" w:firstLine="344"/>
        <w:spacing w:after="0" w:line="276" w:lineRule="auto"/>
        <w:rPr>
          <w:sz w:val="20"/>
          <w:szCs w:val="20"/>
          <w:color w:val="auto"/>
        </w:rPr>
      </w:pPr>
      <w:r>
        <w:rPr>
          <w:rFonts w:ascii="Arial" w:cs="Arial" w:eastAsia="Arial" w:hAnsi="Arial"/>
          <w:sz w:val="13"/>
          <w:szCs w:val="13"/>
          <w:color w:val="auto"/>
        </w:rPr>
        <w:t>Basic and diluted net loss per share have been computed using the weighted-average number of shares of common stock outstanding during the period. Basic earnings per share excludes any dilutive effects of options, shares subject to repurchase, warrants and convertible securities. Diluted earnings per share includes the impact of potentially dilutive securities if dilutive.</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20" w:type="dxa"/>
            <w:vAlign w:val="bottom"/>
          </w:tcPr>
          <w:p>
            <w:pPr>
              <w:spacing w:after="0"/>
              <w:rPr>
                <w:sz w:val="10"/>
                <w:szCs w:val="10"/>
                <w:color w:val="auto"/>
              </w:rPr>
            </w:pPr>
          </w:p>
        </w:tc>
        <w:tc>
          <w:tcPr>
            <w:tcW w:w="56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720" w:type="dxa"/>
            <w:vAlign w:val="bottom"/>
            <w:tcBorders>
              <w:bottom w:val="single" w:sz="8" w:color="auto"/>
            </w:tcBorders>
            <w:gridSpan w:val="3"/>
          </w:tcPr>
          <w:p>
            <w:pPr>
              <w:ind w:left="20"/>
              <w:spacing w:after="0"/>
              <w:rPr>
                <w:sz w:val="20"/>
                <w:szCs w:val="20"/>
                <w:color w:val="auto"/>
              </w:rPr>
            </w:pPr>
            <w:r>
              <w:rPr>
                <w:rFonts w:ascii="Arial" w:cs="Arial" w:eastAsia="Arial" w:hAnsi="Arial"/>
                <w:sz w:val="10"/>
                <w:szCs w:val="10"/>
                <w:b w:val="1"/>
                <w:bCs w:val="1"/>
                <w:color w:val="auto"/>
              </w:rPr>
              <w:t>Years Ended December 31,</w:t>
            </w:r>
          </w:p>
        </w:tc>
        <w:tc>
          <w:tcPr>
            <w:tcW w:w="28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56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tcPr>
          <w:p>
            <w:pPr>
              <w:jc w:val="right"/>
              <w:ind w:right="478"/>
              <w:spacing w:after="0" w:line="98" w:lineRule="exact"/>
              <w:rPr>
                <w:sz w:val="20"/>
                <w:szCs w:val="20"/>
                <w:color w:val="auto"/>
              </w:rPr>
            </w:pPr>
            <w:r>
              <w:rPr>
                <w:rFonts w:ascii="Arial" w:cs="Arial" w:eastAsia="Arial" w:hAnsi="Arial"/>
                <w:sz w:val="10"/>
                <w:szCs w:val="10"/>
                <w:b w:val="1"/>
                <w:bCs w:val="1"/>
                <w:color w:val="auto"/>
              </w:rPr>
              <w:t>2005</w:t>
            </w: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tcPr>
          <w:p>
            <w:pPr>
              <w:jc w:val="right"/>
              <w:ind w:right="458"/>
              <w:spacing w:after="0" w:line="98" w:lineRule="exact"/>
              <w:rPr>
                <w:sz w:val="20"/>
                <w:szCs w:val="20"/>
                <w:color w:val="auto"/>
              </w:rPr>
            </w:pPr>
            <w:r>
              <w:rPr>
                <w:rFonts w:ascii="Arial" w:cs="Arial" w:eastAsia="Arial" w:hAnsi="Arial"/>
                <w:sz w:val="10"/>
                <w:szCs w:val="10"/>
                <w:b w:val="1"/>
                <w:bCs w:val="1"/>
                <w:color w:val="auto"/>
              </w:rPr>
              <w:t>2004</w:t>
            </w:r>
          </w:p>
        </w:tc>
        <w:tc>
          <w:tcPr>
            <w:tcW w:w="46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tcPr>
          <w:p>
            <w:pPr>
              <w:jc w:val="right"/>
              <w:ind w:right="458"/>
              <w:spacing w:after="0" w:line="98" w:lineRule="exact"/>
              <w:rPr>
                <w:sz w:val="20"/>
                <w:szCs w:val="20"/>
                <w:color w:val="auto"/>
              </w:rPr>
            </w:pPr>
            <w:r>
              <w:rPr>
                <w:rFonts w:ascii="Arial" w:cs="Arial" w:eastAsia="Arial" w:hAnsi="Arial"/>
                <w:sz w:val="10"/>
                <w:szCs w:val="10"/>
                <w:b w:val="1"/>
                <w:bCs w:val="1"/>
                <w:color w:val="auto"/>
              </w:rPr>
              <w:t>2003</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20" w:type="dxa"/>
            <w:vAlign w:val="bottom"/>
            <w:vMerge w:val="restart"/>
          </w:tcPr>
          <w:p>
            <w:pPr>
              <w:spacing w:after="0"/>
              <w:rPr>
                <w:sz w:val="2"/>
                <w:szCs w:val="2"/>
                <w:color w:val="auto"/>
              </w:rPr>
            </w:pPr>
          </w:p>
        </w:tc>
        <w:tc>
          <w:tcPr>
            <w:tcW w:w="56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20" w:type="dxa"/>
            <w:vAlign w:val="bottom"/>
            <w:vMerge w:val="continue"/>
          </w:tcPr>
          <w:p>
            <w:pPr>
              <w:spacing w:after="0"/>
              <w:rPr>
                <w:sz w:val="13"/>
                <w:szCs w:val="13"/>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3"/>
                <w:szCs w:val="13"/>
                <w:color w:val="auto"/>
              </w:rPr>
              <w:t>Net loss applicable to common stockholders</w:t>
            </w:r>
          </w:p>
        </w:tc>
        <w:tc>
          <w:tcPr>
            <w:tcW w:w="13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(11,738,350)</w:t>
            </w:r>
          </w:p>
        </w:tc>
        <w:tc>
          <w:tcPr>
            <w:tcW w:w="520" w:type="dxa"/>
            <w:vAlign w:val="bottom"/>
            <w:gridSpan w:val="2"/>
            <w:shd w:val="clear" w:color="auto" w:fill="CCEEFF"/>
          </w:tcPr>
          <w:p>
            <w:pPr>
              <w:ind w:left="220"/>
              <w:spacing w:after="0"/>
              <w:rPr>
                <w:sz w:val="20"/>
                <w:szCs w:val="20"/>
                <w:color w:val="auto"/>
              </w:rPr>
            </w:pPr>
            <w:r>
              <w:rPr>
                <w:rFonts w:ascii="Arial" w:cs="Arial" w:eastAsia="Arial" w:hAnsi="Arial"/>
                <w:sz w:val="13"/>
                <w:szCs w:val="13"/>
                <w:color w:val="auto"/>
              </w:rPr>
              <w:t>$</w:t>
            </w:r>
          </w:p>
        </w:tc>
        <w:tc>
          <w:tcPr>
            <w:tcW w:w="142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(15,330,299)</w:t>
            </w:r>
          </w:p>
        </w:tc>
        <w:tc>
          <w:tcPr>
            <w:tcW w:w="280" w:type="dxa"/>
            <w:vAlign w:val="bottom"/>
            <w:shd w:val="clear" w:color="auto" w:fill="CCEEFF"/>
          </w:tcPr>
          <w:p>
            <w:pPr>
              <w:jc w:val="right"/>
              <w:ind w:right="171"/>
              <w:spacing w:after="0"/>
              <w:rPr>
                <w:sz w:val="20"/>
                <w:szCs w:val="20"/>
                <w:color w:val="auto"/>
              </w:rPr>
            </w:pPr>
            <w:r>
              <w:rPr>
                <w:rFonts w:ascii="Arial" w:cs="Arial" w:eastAsia="Arial" w:hAnsi="Arial"/>
                <w:sz w:val="10"/>
                <w:szCs w:val="10"/>
                <w:color w:val="auto"/>
                <w:w w:val="71"/>
              </w:rPr>
              <w:t>$</w:t>
            </w: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(14,425,160)</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5620" w:type="dxa"/>
            <w:vAlign w:val="bottom"/>
          </w:tcPr>
          <w:p>
            <w:pPr>
              <w:spacing w:after="0"/>
              <w:rPr>
                <w:sz w:val="20"/>
                <w:szCs w:val="20"/>
                <w:color w:val="auto"/>
              </w:rPr>
            </w:pPr>
            <w:r>
              <w:rPr>
                <w:rFonts w:ascii="Arial" w:cs="Arial" w:eastAsia="Arial" w:hAnsi="Arial"/>
                <w:sz w:val="13"/>
                <w:szCs w:val="13"/>
                <w:color w:val="auto"/>
              </w:rPr>
              <w:t>Weighted average shares used in computing basic and diluted net loss per share amounts</w:t>
            </w:r>
          </w:p>
        </w:tc>
        <w:tc>
          <w:tcPr>
            <w:tcW w:w="10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3"/>
                <w:szCs w:val="13"/>
                <w:color w:val="auto"/>
              </w:rPr>
              <w:t>63,643,176</w:t>
            </w: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20" w:type="dxa"/>
            <w:vAlign w:val="bottom"/>
            <w:gridSpan w:val="2"/>
          </w:tcPr>
          <w:p>
            <w:pPr>
              <w:jc w:val="right"/>
              <w:ind w:right="460"/>
              <w:spacing w:after="0"/>
              <w:rPr>
                <w:sz w:val="20"/>
                <w:szCs w:val="20"/>
                <w:color w:val="auto"/>
              </w:rPr>
            </w:pPr>
            <w:r>
              <w:rPr>
                <w:rFonts w:ascii="Arial" w:cs="Arial" w:eastAsia="Arial" w:hAnsi="Arial"/>
                <w:sz w:val="13"/>
                <w:szCs w:val="13"/>
                <w:color w:val="auto"/>
              </w:rPr>
              <w:t>49,606,277</w:t>
            </w:r>
          </w:p>
        </w:tc>
        <w:tc>
          <w:tcPr>
            <w:tcW w:w="280" w:type="dxa"/>
            <w:vAlign w:val="bottom"/>
          </w:tcPr>
          <w:p>
            <w:pPr>
              <w:spacing w:after="0"/>
              <w:rPr>
                <w:sz w:val="13"/>
                <w:szCs w:val="13"/>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3"/>
                <w:szCs w:val="13"/>
                <w:color w:val="auto"/>
              </w:rPr>
              <w:t>32,080,233</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3"/>
                <w:szCs w:val="13"/>
                <w:color w:val="auto"/>
              </w:rPr>
              <w:t>Basic and diluted net loss per share applicable to common stockholders</w:t>
            </w:r>
          </w:p>
        </w:tc>
        <w:tc>
          <w:tcPr>
            <w:tcW w:w="13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(0.18)</w:t>
            </w:r>
          </w:p>
        </w:tc>
        <w:tc>
          <w:tcPr>
            <w:tcW w:w="520" w:type="dxa"/>
            <w:vAlign w:val="bottom"/>
            <w:gridSpan w:val="2"/>
            <w:shd w:val="clear" w:color="auto" w:fill="CCEEFF"/>
          </w:tcPr>
          <w:p>
            <w:pPr>
              <w:ind w:left="220"/>
              <w:spacing w:after="0"/>
              <w:rPr>
                <w:sz w:val="20"/>
                <w:szCs w:val="20"/>
                <w:color w:val="auto"/>
              </w:rPr>
            </w:pPr>
            <w:r>
              <w:rPr>
                <w:rFonts w:ascii="Arial" w:cs="Arial" w:eastAsia="Arial" w:hAnsi="Arial"/>
                <w:sz w:val="13"/>
                <w:szCs w:val="13"/>
                <w:color w:val="auto"/>
              </w:rPr>
              <w:t>$</w:t>
            </w:r>
          </w:p>
        </w:tc>
        <w:tc>
          <w:tcPr>
            <w:tcW w:w="142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(0.31)</w:t>
            </w:r>
          </w:p>
        </w:tc>
        <w:tc>
          <w:tcPr>
            <w:tcW w:w="280" w:type="dxa"/>
            <w:vAlign w:val="bottom"/>
            <w:shd w:val="clear" w:color="auto" w:fill="CCEEFF"/>
          </w:tcPr>
          <w:p>
            <w:pPr>
              <w:jc w:val="right"/>
              <w:ind w:right="171"/>
              <w:spacing w:after="0"/>
              <w:rPr>
                <w:sz w:val="20"/>
                <w:szCs w:val="20"/>
                <w:color w:val="auto"/>
              </w:rPr>
            </w:pPr>
            <w:r>
              <w:rPr>
                <w:rFonts w:ascii="Arial" w:cs="Arial" w:eastAsia="Arial" w:hAnsi="Arial"/>
                <w:sz w:val="10"/>
                <w:szCs w:val="10"/>
                <w:color w:val="auto"/>
                <w:w w:val="71"/>
              </w:rPr>
              <w:t>$</w:t>
            </w: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(0.45)</w:t>
            </w:r>
          </w:p>
        </w:tc>
        <w:tc>
          <w:tcPr>
            <w:tcW w:w="0" w:type="dxa"/>
            <w:vAlign w:val="bottom"/>
          </w:tcPr>
          <w:p>
            <w:pPr>
              <w:spacing w:after="0"/>
              <w:rPr>
                <w:sz w:val="1"/>
                <w:szCs w:val="1"/>
                <w:color w:val="auto"/>
              </w:rPr>
            </w:pPr>
          </w:p>
        </w:tc>
      </w:tr>
    </w:tbl>
    <w:p>
      <w:pPr>
        <w:spacing w:after="0" w:line="80" w:lineRule="exact"/>
        <w:rPr>
          <w:sz w:val="20"/>
          <w:szCs w:val="20"/>
          <w:color w:val="auto"/>
        </w:rPr>
      </w:pPr>
    </w:p>
    <w:p>
      <w:pPr>
        <w:ind w:right="180" w:firstLine="344"/>
        <w:spacing w:after="0" w:line="276" w:lineRule="auto"/>
        <w:rPr>
          <w:sz w:val="20"/>
          <w:szCs w:val="20"/>
          <w:color w:val="auto"/>
        </w:rPr>
      </w:pPr>
      <w:r>
        <w:rPr>
          <w:rFonts w:ascii="Arial" w:cs="Arial" w:eastAsia="Arial" w:hAnsi="Arial"/>
          <w:sz w:val="13"/>
          <w:szCs w:val="13"/>
          <w:color w:val="auto"/>
        </w:rPr>
        <w:t>The Company has excluded outstanding stock options and warrants from the calculation of diluted loss per common share because all such securities are anti-dilutive for all applicable periods presented. These outstanding securities consist of the following potential common shares:</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20" w:type="dxa"/>
            <w:vAlign w:val="bottom"/>
          </w:tcPr>
          <w:p>
            <w:pPr>
              <w:spacing w:after="0"/>
              <w:rPr>
                <w:sz w:val="10"/>
                <w:szCs w:val="10"/>
                <w:color w:val="auto"/>
              </w:rPr>
            </w:pPr>
          </w:p>
        </w:tc>
        <w:tc>
          <w:tcPr>
            <w:tcW w:w="7680" w:type="dxa"/>
            <w:vAlign w:val="bottom"/>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1840" w:type="dxa"/>
            <w:vAlign w:val="bottom"/>
            <w:tcBorders>
              <w:bottom w:val="single" w:sz="8" w:color="auto"/>
            </w:tcBorders>
            <w:gridSpan w:val="3"/>
          </w:tcPr>
          <w:p>
            <w:pPr>
              <w:ind w:left="300"/>
              <w:spacing w:after="0"/>
              <w:rPr>
                <w:sz w:val="20"/>
                <w:szCs w:val="20"/>
                <w:color w:val="auto"/>
              </w:rPr>
            </w:pPr>
            <w:r>
              <w:rPr>
                <w:rFonts w:ascii="Arial" w:cs="Arial" w:eastAsia="Arial" w:hAnsi="Arial"/>
                <w:sz w:val="10"/>
                <w:szCs w:val="10"/>
                <w:b w:val="1"/>
                <w:bCs w:val="1"/>
                <w:color w:val="auto"/>
              </w:rPr>
              <w:t>Years Ended December 31,</w:t>
            </w:r>
          </w:p>
        </w:tc>
        <w:tc>
          <w:tcPr>
            <w:tcW w:w="90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680" w:type="dxa"/>
            <w:vAlign w:val="bottom"/>
          </w:tcPr>
          <w:p>
            <w:pPr>
              <w:spacing w:after="0"/>
              <w:rPr>
                <w:sz w:val="8"/>
                <w:szCs w:val="8"/>
                <w:color w:val="auto"/>
              </w:rPr>
            </w:pPr>
          </w:p>
        </w:tc>
        <w:tc>
          <w:tcPr>
            <w:tcW w:w="920" w:type="dxa"/>
            <w:vAlign w:val="bottom"/>
          </w:tcPr>
          <w:p>
            <w:pPr>
              <w:jc w:val="right"/>
              <w:ind w:right="299"/>
              <w:spacing w:after="0" w:line="98" w:lineRule="exact"/>
              <w:rPr>
                <w:sz w:val="20"/>
                <w:szCs w:val="20"/>
                <w:color w:val="auto"/>
              </w:rPr>
            </w:pPr>
            <w:r>
              <w:rPr>
                <w:rFonts w:ascii="Arial" w:cs="Arial" w:eastAsia="Arial" w:hAnsi="Arial"/>
                <w:sz w:val="10"/>
                <w:szCs w:val="10"/>
                <w:b w:val="1"/>
                <w:bCs w:val="1"/>
                <w:color w:val="auto"/>
              </w:rPr>
              <w:t>2005</w:t>
            </w:r>
          </w:p>
        </w:tc>
        <w:tc>
          <w:tcPr>
            <w:tcW w:w="1380" w:type="dxa"/>
            <w:vAlign w:val="bottom"/>
            <w:gridSpan w:val="2"/>
          </w:tcPr>
          <w:p>
            <w:pPr>
              <w:jc w:val="right"/>
              <w:ind w:right="340"/>
              <w:spacing w:after="0" w:line="98" w:lineRule="exact"/>
              <w:rPr>
                <w:sz w:val="20"/>
                <w:szCs w:val="20"/>
                <w:color w:val="auto"/>
              </w:rPr>
            </w:pPr>
            <w:r>
              <w:rPr>
                <w:rFonts w:ascii="Arial" w:cs="Arial" w:eastAsia="Arial" w:hAnsi="Arial"/>
                <w:sz w:val="10"/>
                <w:szCs w:val="10"/>
                <w:b w:val="1"/>
                <w:bCs w:val="1"/>
                <w:color w:val="auto"/>
              </w:rPr>
              <w:t>2004</w:t>
            </w:r>
          </w:p>
        </w:tc>
        <w:tc>
          <w:tcPr>
            <w:tcW w:w="460" w:type="dxa"/>
            <w:vAlign w:val="bottom"/>
          </w:tcPr>
          <w:p>
            <w:pPr>
              <w:spacing w:after="0"/>
              <w:rPr>
                <w:sz w:val="8"/>
                <w:szCs w:val="8"/>
                <w:color w:val="auto"/>
              </w:rPr>
            </w:pPr>
          </w:p>
        </w:tc>
        <w:tc>
          <w:tcPr>
            <w:tcW w:w="900" w:type="dxa"/>
            <w:vAlign w:val="bottom"/>
          </w:tcPr>
          <w:p>
            <w:pPr>
              <w:jc w:val="right"/>
              <w:ind w:right="279"/>
              <w:spacing w:after="0" w:line="98" w:lineRule="exact"/>
              <w:rPr>
                <w:sz w:val="20"/>
                <w:szCs w:val="20"/>
                <w:color w:val="auto"/>
              </w:rPr>
            </w:pPr>
            <w:r>
              <w:rPr>
                <w:rFonts w:ascii="Arial" w:cs="Arial" w:eastAsia="Arial" w:hAnsi="Arial"/>
                <w:sz w:val="10"/>
                <w:szCs w:val="10"/>
                <w:b w:val="1"/>
                <w:bCs w:val="1"/>
                <w:color w:val="auto"/>
              </w:rPr>
              <w:t>2003</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20" w:type="dxa"/>
            <w:vAlign w:val="bottom"/>
            <w:vMerge w:val="restart"/>
          </w:tcPr>
          <w:p>
            <w:pPr>
              <w:spacing w:after="0"/>
              <w:rPr>
                <w:sz w:val="2"/>
                <w:szCs w:val="2"/>
                <w:color w:val="auto"/>
              </w:rPr>
            </w:pPr>
          </w:p>
        </w:tc>
        <w:tc>
          <w:tcPr>
            <w:tcW w:w="7680" w:type="dxa"/>
            <w:vAlign w:val="bottom"/>
          </w:tcPr>
          <w:p>
            <w:pPr>
              <w:spacing w:after="0"/>
              <w:rPr>
                <w:sz w:val="2"/>
                <w:szCs w:val="2"/>
                <w:color w:val="auto"/>
              </w:rPr>
            </w:pPr>
          </w:p>
        </w:tc>
        <w:tc>
          <w:tcPr>
            <w:tcW w:w="920" w:type="dxa"/>
            <w:vAlign w:val="bottom"/>
            <w:tcBorders>
              <w:top w:val="single" w:sz="8" w:color="auto"/>
            </w:tcBorders>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Borders>
              <w:top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20" w:type="dxa"/>
            <w:vAlign w:val="bottom"/>
            <w:vMerge w:val="continue"/>
          </w:tcPr>
          <w:p>
            <w:pPr>
              <w:spacing w:after="0"/>
              <w:rPr>
                <w:sz w:val="13"/>
                <w:szCs w:val="13"/>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3"/>
                <w:szCs w:val="13"/>
                <w:color w:val="auto"/>
              </w:rPr>
              <w:t>Outstanding options</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6,608,109</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6,682,201</w:t>
            </w:r>
          </w:p>
        </w:tc>
        <w:tc>
          <w:tcPr>
            <w:tcW w:w="46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5,025,374</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680" w:type="dxa"/>
            <w:vAlign w:val="bottom"/>
          </w:tcPr>
          <w:p>
            <w:pPr>
              <w:spacing w:after="0"/>
              <w:rPr>
                <w:sz w:val="20"/>
                <w:szCs w:val="20"/>
                <w:color w:val="auto"/>
              </w:rPr>
            </w:pPr>
            <w:r>
              <w:rPr>
                <w:rFonts w:ascii="Arial" w:cs="Arial" w:eastAsia="Arial" w:hAnsi="Arial"/>
                <w:sz w:val="13"/>
                <w:szCs w:val="13"/>
                <w:color w:val="auto"/>
              </w:rPr>
              <w:t>Outstanding warrants</w:t>
            </w:r>
          </w:p>
        </w:tc>
        <w:tc>
          <w:tcPr>
            <w:tcW w:w="920" w:type="dxa"/>
            <w:vAlign w:val="bottom"/>
          </w:tcPr>
          <w:p>
            <w:pPr>
              <w:jc w:val="right"/>
              <w:spacing w:after="0"/>
              <w:rPr>
                <w:sz w:val="20"/>
                <w:szCs w:val="20"/>
                <w:color w:val="auto"/>
              </w:rPr>
            </w:pPr>
            <w:r>
              <w:rPr>
                <w:rFonts w:ascii="Arial" w:cs="Arial" w:eastAsia="Arial" w:hAnsi="Arial"/>
                <w:sz w:val="13"/>
                <w:szCs w:val="13"/>
                <w:color w:val="auto"/>
              </w:rPr>
              <w:t>2,521,400</w:t>
            </w:r>
          </w:p>
        </w:tc>
        <w:tc>
          <w:tcPr>
            <w:tcW w:w="1380" w:type="dxa"/>
            <w:vAlign w:val="bottom"/>
            <w:gridSpan w:val="2"/>
          </w:tcPr>
          <w:p>
            <w:pPr>
              <w:jc w:val="right"/>
              <w:spacing w:after="0"/>
              <w:rPr>
                <w:sz w:val="20"/>
                <w:szCs w:val="20"/>
                <w:color w:val="auto"/>
              </w:rPr>
            </w:pPr>
            <w:r>
              <w:rPr>
                <w:rFonts w:ascii="Arial" w:cs="Arial" w:eastAsia="Arial" w:hAnsi="Arial"/>
                <w:sz w:val="13"/>
                <w:szCs w:val="13"/>
                <w:color w:val="auto"/>
              </w:rPr>
              <w:t>5,490,285</w:t>
            </w:r>
          </w:p>
        </w:tc>
        <w:tc>
          <w:tcPr>
            <w:tcW w:w="4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2,101,074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51" w:lineRule="exact"/>
        <w:rPr>
          <w:sz w:val="20"/>
          <w:szCs w:val="20"/>
          <w:color w:val="auto"/>
        </w:rPr>
      </w:pPr>
    </w:p>
    <w:p>
      <w:pPr>
        <w:ind w:left="120"/>
        <w:spacing w:after="0"/>
        <w:rPr>
          <w:sz w:val="20"/>
          <w:szCs w:val="20"/>
          <w:color w:val="auto"/>
        </w:rPr>
      </w:pPr>
      <w:r>
        <w:rPr>
          <w:rFonts w:ascii="Arial" w:cs="Arial" w:eastAsia="Arial" w:hAnsi="Arial"/>
          <w:sz w:val="13"/>
          <w:szCs w:val="13"/>
          <w:b w:val="1"/>
          <w:bCs w:val="1"/>
          <w:i w:val="1"/>
          <w:iCs w:val="1"/>
          <w:color w:val="auto"/>
        </w:rPr>
        <w:t>Comprehensive Income (Loss)</w:t>
      </w:r>
    </w:p>
    <w:p>
      <w:pPr>
        <w:spacing w:after="0" w:line="96" w:lineRule="exact"/>
        <w:rPr>
          <w:sz w:val="20"/>
          <w:szCs w:val="20"/>
          <w:color w:val="auto"/>
        </w:rPr>
      </w:pPr>
    </w:p>
    <w:p>
      <w:pPr>
        <w:ind w:right="60" w:firstLine="344"/>
        <w:spacing w:after="0" w:line="276" w:lineRule="auto"/>
        <w:rPr>
          <w:sz w:val="20"/>
          <w:szCs w:val="20"/>
          <w:color w:val="auto"/>
        </w:rPr>
      </w:pPr>
      <w:r>
        <w:rPr>
          <w:rFonts w:ascii="Arial" w:cs="Arial" w:eastAsia="Arial" w:hAnsi="Arial"/>
          <w:sz w:val="13"/>
          <w:szCs w:val="13"/>
          <w:color w:val="auto"/>
        </w:rPr>
        <w:t>Comprehensive income (loss) is comprised of net income (loss) and other comprehensive income (loss). The only component of other comprehensive income (loss) is an unrealized loss of $254,147 related to the Company’s marketable securities.</w:t>
      </w:r>
    </w:p>
    <w:p>
      <w:pPr>
        <w:spacing w:after="0" w:line="138" w:lineRule="exact"/>
        <w:rPr>
          <w:sz w:val="20"/>
          <w:szCs w:val="20"/>
          <w:color w:val="auto"/>
        </w:rPr>
      </w:pPr>
    </w:p>
    <w:p>
      <w:pPr>
        <w:ind w:left="120"/>
        <w:spacing w:after="0"/>
        <w:rPr>
          <w:sz w:val="20"/>
          <w:szCs w:val="20"/>
          <w:color w:val="auto"/>
        </w:rPr>
      </w:pPr>
      <w:r>
        <w:rPr>
          <w:rFonts w:ascii="Arial" w:cs="Arial" w:eastAsia="Arial" w:hAnsi="Arial"/>
          <w:sz w:val="13"/>
          <w:szCs w:val="13"/>
          <w:b w:val="1"/>
          <w:bCs w:val="1"/>
          <w:i w:val="1"/>
          <w:iCs w:val="1"/>
          <w:color w:val="auto"/>
        </w:rPr>
        <w:t>Recent Accounting Pronouncements</w:t>
      </w:r>
    </w:p>
    <w:p>
      <w:pPr>
        <w:spacing w:after="0" w:line="96" w:lineRule="exact"/>
        <w:rPr>
          <w:sz w:val="20"/>
          <w:szCs w:val="20"/>
          <w:color w:val="auto"/>
        </w:rPr>
      </w:pPr>
    </w:p>
    <w:p>
      <w:pPr>
        <w:ind w:firstLine="344"/>
        <w:spacing w:after="0" w:line="276" w:lineRule="auto"/>
        <w:rPr>
          <w:sz w:val="20"/>
          <w:szCs w:val="20"/>
          <w:color w:val="auto"/>
        </w:rPr>
      </w:pPr>
      <w:r>
        <w:rPr>
          <w:rFonts w:ascii="Arial" w:cs="Arial" w:eastAsia="Arial" w:hAnsi="Arial"/>
          <w:sz w:val="13"/>
          <w:szCs w:val="13"/>
          <w:color w:val="auto"/>
        </w:rPr>
        <w:t>In December 2004, FASB issued SFAS No. 123R (revised 2004), “</w:t>
      </w:r>
      <w:r>
        <w:rPr>
          <w:rFonts w:ascii="Arial" w:cs="Arial" w:eastAsia="Arial" w:hAnsi="Arial"/>
          <w:sz w:val="13"/>
          <w:szCs w:val="13"/>
          <w:i w:val="1"/>
          <w:iCs w:val="1"/>
          <w:color w:val="auto"/>
        </w:rPr>
        <w:t>Share-Based Payments</w:t>
      </w:r>
      <w:r>
        <w:rPr>
          <w:rFonts w:ascii="Arial" w:cs="Arial" w:eastAsia="Arial" w:hAnsi="Arial"/>
          <w:sz w:val="13"/>
          <w:szCs w:val="13"/>
          <w:color w:val="auto"/>
        </w:rPr>
        <w:t>.” This Statement is a revision of SFAS No. 123, “</w:t>
      </w:r>
      <w:r>
        <w:rPr>
          <w:rFonts w:ascii="Arial" w:cs="Arial" w:eastAsia="Arial" w:hAnsi="Arial"/>
          <w:sz w:val="13"/>
          <w:szCs w:val="13"/>
          <w:i w:val="1"/>
          <w:iCs w:val="1"/>
          <w:color w:val="auto"/>
        </w:rPr>
        <w:t>Accounting for Stock-Based Compensation</w:t>
      </w:r>
      <w:r>
        <w:rPr>
          <w:rFonts w:ascii="Arial" w:cs="Arial" w:eastAsia="Arial" w:hAnsi="Arial"/>
          <w:sz w:val="13"/>
          <w:szCs w:val="13"/>
          <w:color w:val="auto"/>
        </w:rPr>
        <w:t>.” This Statement supersedes APB 25, and its</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56" w:name="page57"/>
    <w:bookmarkEnd w:id="56"/>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StemCells, Inc.</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169" w:lineRule="exact"/>
        <w:rPr>
          <w:sz w:val="20"/>
          <w:szCs w:val="20"/>
          <w:color w:val="auto"/>
        </w:rPr>
      </w:pPr>
    </w:p>
    <w:p>
      <w:pPr>
        <w:spacing w:after="0" w:line="303" w:lineRule="auto"/>
        <w:rPr>
          <w:sz w:val="20"/>
          <w:szCs w:val="20"/>
          <w:color w:val="auto"/>
        </w:rPr>
      </w:pPr>
      <w:r>
        <w:rPr>
          <w:rFonts w:ascii="Arial" w:cs="Arial" w:eastAsia="Arial" w:hAnsi="Arial"/>
          <w:sz w:val="11"/>
          <w:szCs w:val="11"/>
          <w:color w:val="auto"/>
        </w:rPr>
        <w:t>related implementation guidance. Upon the adoption of SFAS No. 123R the Company will be required to expense stock options using a fair-value method in its Statement of Operations. The Company will be required to apply SFAS No. 123R as of the first annual reporting period starting on or after June 15, 2005, which is its first quarter beginning January 1, 2006. Adoption of the expensing requirements will increase the Company’s net loss. See “Stock-based Compensation” above in this Note 1 for disclosures regarding the effect on net earnings and earnings per share if the Company had applied the fair value recognition provisions of SFAS</w:t>
      </w:r>
    </w:p>
    <w:p>
      <w:pPr>
        <w:ind w:right="40"/>
        <w:spacing w:after="0" w:line="281" w:lineRule="auto"/>
        <w:rPr>
          <w:sz w:val="20"/>
          <w:szCs w:val="20"/>
          <w:color w:val="auto"/>
        </w:rPr>
      </w:pPr>
      <w:r>
        <w:rPr>
          <w:rFonts w:ascii="Arial" w:cs="Arial" w:eastAsia="Arial" w:hAnsi="Arial"/>
          <w:sz w:val="12"/>
          <w:szCs w:val="12"/>
          <w:color w:val="auto"/>
        </w:rPr>
        <w:t>No. 123R. Upon adoption, the Company intends to use the modified prospective method. Under this method, compensation cost is recognized beginning with the effective date of adoption (a) based on the requirements of SFAS 123R for all share-based payments granted after the effective date of adoption and (b) based on the requirements of SFAS 123R for all awards granted to employees prior to the effective date of adoption that remain unvested on the date of adoption. The Company currently utilizes the Black-Scholes option pricing model to estimate the fair value. The Black-Scholes model meets the requirements of SFAS 123R but the fair values generated by the model may not be indicative of the actual fair values of the Company’s stock-based awards. Although StemCells has not yet determined whether the adoption of SFAS 123R will result in amounts that are similar to the current pro forma disclosures under SFAS 123, it believes the adoption will have a material negative impact on the Company’s operating results.</w:t>
      </w:r>
    </w:p>
    <w:p>
      <w:pPr>
        <w:spacing w:after="0" w:line="60" w:lineRule="exact"/>
        <w:rPr>
          <w:sz w:val="20"/>
          <w:szCs w:val="20"/>
          <w:color w:val="auto"/>
        </w:rPr>
      </w:pPr>
    </w:p>
    <w:p>
      <w:pPr>
        <w:ind w:right="20" w:firstLine="344"/>
        <w:spacing w:after="0" w:line="285" w:lineRule="auto"/>
        <w:rPr>
          <w:sz w:val="20"/>
          <w:szCs w:val="20"/>
          <w:color w:val="auto"/>
        </w:rPr>
      </w:pPr>
      <w:r>
        <w:rPr>
          <w:rFonts w:ascii="Arial" w:cs="Arial" w:eastAsia="Arial" w:hAnsi="Arial"/>
          <w:sz w:val="12"/>
          <w:szCs w:val="12"/>
          <w:color w:val="auto"/>
        </w:rPr>
        <w:t xml:space="preserve">In June 2005, the FASB issued Statement of Financial Accounting Standards No. 154, </w:t>
      </w:r>
      <w:r>
        <w:rPr>
          <w:rFonts w:ascii="Arial" w:cs="Arial" w:eastAsia="Arial" w:hAnsi="Arial"/>
          <w:sz w:val="12"/>
          <w:szCs w:val="12"/>
          <w:i w:val="1"/>
          <w:iCs w:val="1"/>
          <w:color w:val="auto"/>
        </w:rPr>
        <w:t>Accounting Changes and Error Corrections</w:t>
      </w:r>
      <w:r>
        <w:rPr>
          <w:rFonts w:ascii="Arial" w:cs="Arial" w:eastAsia="Arial" w:hAnsi="Arial"/>
          <w:sz w:val="12"/>
          <w:szCs w:val="12"/>
          <w:color w:val="auto"/>
        </w:rPr>
        <w:t xml:space="preserve"> (“SFAS 154”). SFAS 154 replaces APB Opinion No. 20, “</w:t>
      </w:r>
      <w:r>
        <w:rPr>
          <w:rFonts w:ascii="Arial" w:cs="Arial" w:eastAsia="Arial" w:hAnsi="Arial"/>
          <w:sz w:val="12"/>
          <w:szCs w:val="12"/>
          <w:i w:val="1"/>
          <w:iCs w:val="1"/>
          <w:color w:val="auto"/>
        </w:rPr>
        <w:t>Accounting Changes”</w:t>
      </w:r>
      <w:r>
        <w:rPr>
          <w:rFonts w:ascii="Arial" w:cs="Arial" w:eastAsia="Arial" w:hAnsi="Arial"/>
          <w:sz w:val="12"/>
          <w:szCs w:val="12"/>
          <w:color w:val="auto"/>
        </w:rPr>
        <w:t xml:space="preserve"> and SFAS No. 3, </w:t>
      </w:r>
      <w:r>
        <w:rPr>
          <w:rFonts w:ascii="Arial" w:cs="Arial" w:eastAsia="Arial" w:hAnsi="Arial"/>
          <w:sz w:val="12"/>
          <w:szCs w:val="12"/>
          <w:i w:val="1"/>
          <w:iCs w:val="1"/>
          <w:color w:val="auto"/>
        </w:rPr>
        <w:t>“Reporting Accounting Changes in Interim Financial Statements”.</w:t>
      </w:r>
      <w:r>
        <w:rPr>
          <w:rFonts w:ascii="Arial" w:cs="Arial" w:eastAsia="Arial" w:hAnsi="Arial"/>
          <w:sz w:val="12"/>
          <w:szCs w:val="12"/>
          <w:color w:val="auto"/>
        </w:rPr>
        <w:t xml:space="preserve"> SFAS 154 requires that a voluntary change in accounting principle be applied retrospectively with all prior period financial statements presented on the new accounting principle. SFAS 154 also requires that a change in method of depreciating or amortizing a long-lived nonfinancial asset be accounted for prospectively as a change in estimate, and correction of errors in previously issued financial statements should be termed a restatement. SFAS 154 is effective for accounting changes and correction of errors made in fiscal years beginning after December 15, 2005. The implementation of FAS 154 is not expected to have a material impact on the Company’s consolidated financial statements.</w:t>
      </w:r>
    </w:p>
    <w:p>
      <w:pPr>
        <w:spacing w:after="0" w:line="91" w:lineRule="exact"/>
        <w:rPr>
          <w:sz w:val="20"/>
          <w:szCs w:val="20"/>
          <w:color w:val="auto"/>
        </w:rPr>
      </w:pPr>
    </w:p>
    <w:p>
      <w:pPr>
        <w:spacing w:after="0"/>
        <w:tabs>
          <w:tab w:leader="none" w:pos="560" w:val="left"/>
        </w:tabs>
        <w:rPr>
          <w:sz w:val="20"/>
          <w:szCs w:val="20"/>
          <w:color w:val="auto"/>
        </w:rPr>
      </w:pPr>
      <w:r>
        <w:rPr>
          <w:rFonts w:ascii="Arial" w:cs="Arial" w:eastAsia="Arial" w:hAnsi="Arial"/>
          <w:sz w:val="13"/>
          <w:szCs w:val="13"/>
          <w:b w:val="1"/>
          <w:bCs w:val="1"/>
          <w:color w:val="auto"/>
        </w:rPr>
        <w:t>Note 2.</w:t>
      </w:r>
      <w:r>
        <w:rPr>
          <w:sz w:val="20"/>
          <w:szCs w:val="20"/>
          <w:color w:val="auto"/>
        </w:rPr>
        <w:tab/>
      </w:r>
      <w:r>
        <w:rPr>
          <w:rFonts w:ascii="Arial" w:cs="Arial" w:eastAsia="Arial" w:hAnsi="Arial"/>
          <w:sz w:val="11"/>
          <w:szCs w:val="11"/>
          <w:b w:val="1"/>
          <w:bCs w:val="1"/>
          <w:color w:val="auto"/>
        </w:rPr>
        <w:t>ReNeuron License and Settlement Agreement</w:t>
      </w:r>
    </w:p>
    <w:p>
      <w:pPr>
        <w:spacing w:after="0" w:line="61" w:lineRule="exact"/>
        <w:rPr>
          <w:sz w:val="20"/>
          <w:szCs w:val="20"/>
          <w:color w:val="auto"/>
        </w:rPr>
      </w:pPr>
    </w:p>
    <w:p>
      <w:pPr>
        <w:ind w:right="80" w:firstLine="344"/>
        <w:spacing w:after="0" w:line="280" w:lineRule="auto"/>
        <w:rPr>
          <w:sz w:val="20"/>
          <w:szCs w:val="20"/>
          <w:color w:val="auto"/>
        </w:rPr>
      </w:pPr>
      <w:r>
        <w:rPr>
          <w:rFonts w:ascii="Arial" w:cs="Arial" w:eastAsia="Arial" w:hAnsi="Arial"/>
          <w:sz w:val="12"/>
          <w:szCs w:val="12"/>
          <w:color w:val="auto"/>
        </w:rPr>
        <w:t>In July 2005, the Company entered into a license and settlement agreement with ReNeuron Limited, a wholly owned subsidiary of ReNeuron Group plc, a publicly listed UK corporation (collectively referred to as “ReNeuron”). As part of the agreement, the Company granted ReNeuron a license that allows ReNeuron to exploit their “c-mycER” conditionally immortalized adult human neural stem cell technology for therapy and other purposes. In return for the license, StemCells received a 7.5% fully-diluted equity interest in ReNeuron, subject to certain anti-dilution provisions, and a cross-license to the exclusive use of ReNeuron’s technology for certain diseases and conditions, including lysosomal storage diseases, spinal cord injury, cerebral palsy and multiple sclerosis. The agreement also provides for full settlement of any potential claims that either StemCells or ReNeuron might have had against the other in connection with any putative infringement of certain of each party’s patent rights prior to the effective date of the agreement. The agreement is Exhibit 10.71 to the Company’s Quarterly Report on Form 10-Q for the quarter ended June 30, 2005. On July 1, 2005 the Company was entitled to 3,774,493 shares of ReNeuron, representing 7.5% of its fully-diluted share capital. On August 12, 2005, ReNeuron listed its shares on the London Stock Exchange’s Alternative Investment Market (“AIM”), a market for smaller, growing companies. As provided for under the agreement, the placement and listing of additional shares by ReNeuron resulted in StemCells’ receiving an additional 5,165,000 shares.</w:t>
      </w:r>
    </w:p>
    <w:p>
      <w:pPr>
        <w:spacing w:after="0" w:line="19" w:lineRule="exact"/>
        <w:rPr>
          <w:sz w:val="20"/>
          <w:szCs w:val="20"/>
          <w:color w:val="auto"/>
        </w:rPr>
      </w:pPr>
    </w:p>
    <w:p>
      <w:pPr>
        <w:ind w:firstLine="344"/>
        <w:spacing w:after="0" w:line="322" w:lineRule="auto"/>
        <w:rPr>
          <w:sz w:val="20"/>
          <w:szCs w:val="20"/>
          <w:color w:val="auto"/>
        </w:rPr>
      </w:pPr>
      <w:r>
        <w:rPr>
          <w:rFonts w:ascii="Arial" w:cs="Arial" w:eastAsia="Arial" w:hAnsi="Arial"/>
          <w:sz w:val="11"/>
          <w:szCs w:val="11"/>
          <w:color w:val="auto"/>
        </w:rPr>
        <w:t>The Company recorded in 2005 approximately $3,736,000 as other income, which was the fair value of the ReNeuron shares as of August 12, 2005, net of legal fees and the value of approximately 104,000 shares that were transferred to NeuroSpheres Ltd., an Alberta corporation from which StemCells has licensed some of the patent rights that are the subject of the agreement with ReNeuron. The ReNeuron shares are classified as “marketable securities.” The fair market value of the securities (8,835,766 shares) as of December 31, 2005 was $3,720,794. Changes in market value, as a result of changes in market price per share and the exchange rate between the US dollar and the British pound, are accounted for under “other comprehensive loss” and are not recorded as “other income or loss” until the shares are disposed, and a gain or loss realized.</w:t>
      </w: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57" w:name="page58"/>
    <w:bookmarkEnd w:id="57"/>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StemCells, Inc.</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175" w:lineRule="exact"/>
        <w:rPr>
          <w:sz w:val="20"/>
          <w:szCs w:val="20"/>
          <w:color w:val="auto"/>
        </w:rPr>
      </w:pPr>
    </w:p>
    <w:p>
      <w:pPr>
        <w:spacing w:after="0"/>
        <w:tabs>
          <w:tab w:leader="none" w:pos="560" w:val="left"/>
        </w:tabs>
        <w:rPr>
          <w:sz w:val="20"/>
          <w:szCs w:val="20"/>
          <w:color w:val="auto"/>
        </w:rPr>
      </w:pPr>
      <w:r>
        <w:rPr>
          <w:rFonts w:ascii="Arial" w:cs="Arial" w:eastAsia="Arial" w:hAnsi="Arial"/>
          <w:sz w:val="13"/>
          <w:szCs w:val="13"/>
          <w:b w:val="1"/>
          <w:bCs w:val="1"/>
          <w:color w:val="auto"/>
        </w:rPr>
        <w:t>Note 3.</w:t>
      </w:r>
      <w:r>
        <w:rPr>
          <w:sz w:val="20"/>
          <w:szCs w:val="20"/>
          <w:color w:val="auto"/>
        </w:rPr>
        <w:tab/>
      </w:r>
      <w:r>
        <w:rPr>
          <w:rFonts w:ascii="Arial" w:cs="Arial" w:eastAsia="Arial" w:hAnsi="Arial"/>
          <w:sz w:val="12"/>
          <w:szCs w:val="12"/>
          <w:b w:val="1"/>
          <w:bCs w:val="1"/>
          <w:color w:val="auto"/>
        </w:rPr>
        <w:t>Property, Plant and Equipment, Net</w:t>
      </w:r>
    </w:p>
    <w:p>
      <w:pPr>
        <w:spacing w:after="0" w:line="100" w:lineRule="exact"/>
        <w:rPr>
          <w:sz w:val="20"/>
          <w:szCs w:val="20"/>
          <w:color w:val="auto"/>
        </w:rPr>
      </w:pPr>
    </w:p>
    <w:p>
      <w:pPr>
        <w:ind w:left="340"/>
        <w:spacing w:after="0"/>
        <w:rPr>
          <w:sz w:val="20"/>
          <w:szCs w:val="20"/>
          <w:color w:val="auto"/>
        </w:rPr>
      </w:pPr>
      <w:r>
        <w:rPr>
          <w:rFonts w:ascii="Arial" w:cs="Arial" w:eastAsia="Arial" w:hAnsi="Arial"/>
          <w:sz w:val="13"/>
          <w:szCs w:val="13"/>
          <w:color w:val="auto"/>
        </w:rPr>
        <w:t>Property, plant and equipment consists of the following:</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20" w:type="dxa"/>
            <w:vAlign w:val="bottom"/>
          </w:tcPr>
          <w:p>
            <w:pPr>
              <w:spacing w:after="0"/>
              <w:rPr>
                <w:sz w:val="10"/>
                <w:szCs w:val="10"/>
                <w:color w:val="auto"/>
              </w:rPr>
            </w:pPr>
          </w:p>
        </w:tc>
        <w:tc>
          <w:tcPr>
            <w:tcW w:w="8580" w:type="dxa"/>
            <w:vAlign w:val="bottom"/>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1600" w:type="dxa"/>
            <w:vAlign w:val="bottom"/>
            <w:tcBorders>
              <w:bottom w:val="single" w:sz="8" w:color="auto"/>
            </w:tcBorders>
            <w:gridSpan w:val="4"/>
          </w:tcPr>
          <w:p>
            <w:pPr>
              <w:jc w:val="right"/>
              <w:ind w:right="151"/>
              <w:spacing w:after="0"/>
              <w:rPr>
                <w:sz w:val="20"/>
                <w:szCs w:val="20"/>
                <w:color w:val="auto"/>
              </w:rPr>
            </w:pPr>
            <w:r>
              <w:rPr>
                <w:rFonts w:ascii="Arial" w:cs="Arial" w:eastAsia="Arial" w:hAnsi="Arial"/>
                <w:sz w:val="10"/>
                <w:szCs w:val="10"/>
                <w:b w:val="1"/>
                <w:bCs w:val="1"/>
                <w:color w:val="auto"/>
              </w:rPr>
              <w:t>December 31,</w:t>
            </w:r>
          </w:p>
        </w:tc>
        <w:tc>
          <w:tcPr>
            <w:tcW w:w="88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858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jc w:val="right"/>
              <w:ind w:right="398"/>
              <w:spacing w:after="0" w:line="98" w:lineRule="exact"/>
              <w:rPr>
                <w:sz w:val="20"/>
                <w:szCs w:val="20"/>
                <w:color w:val="auto"/>
              </w:rPr>
            </w:pPr>
            <w:r>
              <w:rPr>
                <w:rFonts w:ascii="Arial" w:cs="Arial" w:eastAsia="Arial" w:hAnsi="Arial"/>
                <w:sz w:val="10"/>
                <w:szCs w:val="10"/>
                <w:b w:val="1"/>
                <w:bCs w:val="1"/>
                <w:color w:val="auto"/>
              </w:rPr>
              <w:t>2005</w:t>
            </w: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jc w:val="right"/>
              <w:ind w:right="396"/>
              <w:spacing w:after="0" w:line="98" w:lineRule="exact"/>
              <w:rPr>
                <w:sz w:val="20"/>
                <w:szCs w:val="20"/>
                <w:color w:val="auto"/>
              </w:rPr>
            </w:pPr>
            <w:r>
              <w:rPr>
                <w:rFonts w:ascii="Arial" w:cs="Arial" w:eastAsia="Arial" w:hAnsi="Arial"/>
                <w:sz w:val="10"/>
                <w:szCs w:val="10"/>
                <w:b w:val="1"/>
                <w:bCs w:val="1"/>
                <w:color w:val="auto"/>
              </w:rPr>
              <w:t>2004</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20" w:type="dxa"/>
            <w:vAlign w:val="bottom"/>
            <w:vMerge w:val="restart"/>
          </w:tcPr>
          <w:p>
            <w:pPr>
              <w:spacing w:after="0"/>
              <w:rPr>
                <w:sz w:val="2"/>
                <w:szCs w:val="2"/>
                <w:color w:val="auto"/>
              </w:rPr>
            </w:pPr>
          </w:p>
        </w:tc>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20" w:type="dxa"/>
            <w:vAlign w:val="bottom"/>
            <w:vMerge w:val="continue"/>
          </w:tcPr>
          <w:p>
            <w:pPr>
              <w:spacing w:after="0"/>
              <w:rPr>
                <w:sz w:val="13"/>
                <w:szCs w:val="13"/>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3"/>
                <w:szCs w:val="13"/>
                <w:color w:val="auto"/>
              </w:rPr>
              <w:t>Building and improvements</w:t>
            </w:r>
          </w:p>
        </w:tc>
        <w:tc>
          <w:tcPr>
            <w:tcW w:w="280" w:type="dxa"/>
            <w:vAlign w:val="bottom"/>
            <w:shd w:val="clear" w:color="auto" w:fill="CCEEFF"/>
          </w:tcPr>
          <w:p>
            <w:pPr>
              <w:jc w:val="right"/>
              <w:ind w:right="134"/>
              <w:spacing w:after="0"/>
              <w:rPr>
                <w:sz w:val="20"/>
                <w:szCs w:val="20"/>
                <w:color w:val="auto"/>
              </w:rPr>
            </w:pPr>
            <w:r>
              <w:rPr>
                <w:rFonts w:ascii="Arial" w:cs="Arial" w:eastAsia="Arial" w:hAnsi="Arial"/>
                <w:sz w:val="13"/>
                <w:szCs w:val="13"/>
                <w:color w:val="auto"/>
                <w:w w:val="82"/>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3,359,417</w:t>
            </w:r>
          </w:p>
        </w:tc>
        <w:tc>
          <w:tcPr>
            <w:tcW w:w="26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151"/>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3,308,098</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8580" w:type="dxa"/>
            <w:vAlign w:val="bottom"/>
          </w:tcPr>
          <w:p>
            <w:pPr>
              <w:spacing w:after="0"/>
              <w:rPr>
                <w:sz w:val="20"/>
                <w:szCs w:val="20"/>
                <w:color w:val="auto"/>
              </w:rPr>
            </w:pPr>
            <w:r>
              <w:rPr>
                <w:rFonts w:ascii="Arial" w:cs="Arial" w:eastAsia="Arial" w:hAnsi="Arial"/>
                <w:sz w:val="13"/>
                <w:szCs w:val="13"/>
                <w:color w:val="auto"/>
              </w:rPr>
              <w:t>Machinery and equipment</w:t>
            </w:r>
          </w:p>
        </w:tc>
        <w:tc>
          <w:tcPr>
            <w:tcW w:w="28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3,489,695</w:t>
            </w: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2,737,971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3"/>
                <w:szCs w:val="13"/>
                <w:color w:val="auto"/>
              </w:rPr>
              <w:t>Furniture and fixtures</w:t>
            </w:r>
          </w:p>
        </w:tc>
        <w:tc>
          <w:tcPr>
            <w:tcW w:w="280" w:type="dxa"/>
            <w:vAlign w:val="bottom"/>
            <w:tcBorders>
              <w:bottom w:val="single" w:sz="8" w:color="auto"/>
            </w:tcBorders>
            <w:shd w:val="clear" w:color="auto" w:fill="CCEEFF"/>
          </w:tcPr>
          <w:p>
            <w:pPr>
              <w:spacing w:after="0"/>
              <w:rPr>
                <w:sz w:val="13"/>
                <w:szCs w:val="1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348,963</w:t>
            </w:r>
          </w:p>
        </w:tc>
        <w:tc>
          <w:tcPr>
            <w:tcW w:w="2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spacing w:after="0"/>
              <w:rPr>
                <w:sz w:val="13"/>
                <w:szCs w:val="1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339,458</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7,198,075</w:t>
            </w: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6,385,527</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3"/>
                <w:szCs w:val="13"/>
                <w:color w:val="auto"/>
              </w:rPr>
              <w:t>Less accumulated depreciation and amortization</w:t>
            </w:r>
          </w:p>
        </w:tc>
        <w:tc>
          <w:tcPr>
            <w:tcW w:w="280" w:type="dxa"/>
            <w:vAlign w:val="bottom"/>
            <w:shd w:val="clear" w:color="auto" w:fill="CCEEFF"/>
          </w:tcPr>
          <w:p>
            <w:pPr>
              <w:spacing w:after="0"/>
              <w:rPr>
                <w:sz w:val="13"/>
                <w:szCs w:val="13"/>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(3,915,487)</w:t>
            </w:r>
          </w:p>
        </w:tc>
        <w:tc>
          <w:tcPr>
            <w:tcW w:w="2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(2,961,233)</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580" w:type="dxa"/>
            <w:vAlign w:val="bottom"/>
          </w:tcPr>
          <w:p>
            <w:pPr>
              <w:spacing w:after="0"/>
              <w:rPr>
                <w:sz w:val="14"/>
                <w:szCs w:val="14"/>
                <w:color w:val="auto"/>
              </w:rPr>
            </w:pPr>
          </w:p>
        </w:tc>
        <w:tc>
          <w:tcPr>
            <w:tcW w:w="280" w:type="dxa"/>
            <w:vAlign w:val="bottom"/>
            <w:tcBorders>
              <w:top w:val="single" w:sz="8" w:color="auto"/>
              <w:bottom w:val="single" w:sz="8" w:color="auto"/>
            </w:tcBorders>
          </w:tcPr>
          <w:p>
            <w:pPr>
              <w:jc w:val="right"/>
              <w:ind w:right="134"/>
              <w:spacing w:after="0"/>
              <w:rPr>
                <w:sz w:val="20"/>
                <w:szCs w:val="20"/>
                <w:color w:val="auto"/>
              </w:rPr>
            </w:pPr>
            <w:r>
              <w:rPr>
                <w:rFonts w:ascii="Arial" w:cs="Arial" w:eastAsia="Arial" w:hAnsi="Arial"/>
                <w:sz w:val="13"/>
                <w:szCs w:val="13"/>
                <w:color w:val="auto"/>
                <w:w w:val="82"/>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3,282,588</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Borders>
              <w:top w:val="single" w:sz="8" w:color="auto"/>
              <w:bottom w:val="single" w:sz="8" w:color="auto"/>
            </w:tcBorders>
          </w:tcPr>
          <w:p>
            <w:pPr>
              <w:jc w:val="right"/>
              <w:ind w:right="151"/>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3,424,294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340"/>
        <w:spacing w:after="0"/>
        <w:rPr>
          <w:sz w:val="20"/>
          <w:szCs w:val="20"/>
          <w:color w:val="auto"/>
        </w:rPr>
      </w:pPr>
      <w:r>
        <w:rPr>
          <w:rFonts w:ascii="Arial" w:cs="Arial" w:eastAsia="Arial" w:hAnsi="Arial"/>
          <w:sz w:val="13"/>
          <w:szCs w:val="13"/>
          <w:color w:val="auto"/>
        </w:rPr>
        <w:t>Depreciation and amortization expense was approximately $958,000, $933,000, and $916,000 for the years ended December 31, 2005, 2004 and 2003, respectively.</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480" w:type="dxa"/>
            <w:vAlign w:val="bottom"/>
            <w:gridSpan w:val="2"/>
          </w:tcPr>
          <w:p>
            <w:pPr>
              <w:spacing w:after="0"/>
              <w:rPr>
                <w:sz w:val="20"/>
                <w:szCs w:val="20"/>
                <w:color w:val="auto"/>
              </w:rPr>
            </w:pPr>
            <w:r>
              <w:rPr>
                <w:rFonts w:ascii="Arial" w:cs="Arial" w:eastAsia="Arial" w:hAnsi="Arial"/>
                <w:sz w:val="13"/>
                <w:szCs w:val="13"/>
                <w:b w:val="1"/>
                <w:bCs w:val="1"/>
                <w:color w:val="auto"/>
              </w:rPr>
              <w:t>Note 4.</w:t>
            </w:r>
          </w:p>
        </w:tc>
        <w:tc>
          <w:tcPr>
            <w:tcW w:w="8360" w:type="dxa"/>
            <w:vAlign w:val="bottom"/>
          </w:tcPr>
          <w:p>
            <w:pPr>
              <w:jc w:val="center"/>
              <w:ind w:right="7114"/>
              <w:spacing w:after="0"/>
              <w:rPr>
                <w:sz w:val="20"/>
                <w:szCs w:val="20"/>
                <w:color w:val="auto"/>
              </w:rPr>
            </w:pPr>
            <w:r>
              <w:rPr>
                <w:rFonts w:ascii="Arial" w:cs="Arial" w:eastAsia="Arial" w:hAnsi="Arial"/>
                <w:sz w:val="13"/>
                <w:szCs w:val="13"/>
                <w:b w:val="1"/>
                <w:bCs w:val="1"/>
                <w:color w:val="auto"/>
                <w:w w:val="89"/>
              </w:rPr>
              <w:t>Other Assets, Net</w:t>
            </w: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8820" w:type="dxa"/>
            <w:vAlign w:val="bottom"/>
            <w:gridSpan w:val="2"/>
          </w:tcPr>
          <w:p>
            <w:pPr>
              <w:jc w:val="center"/>
              <w:ind w:right="6674"/>
              <w:spacing w:after="0"/>
              <w:rPr>
                <w:sz w:val="20"/>
                <w:szCs w:val="20"/>
                <w:color w:val="auto"/>
              </w:rPr>
            </w:pPr>
            <w:r>
              <w:rPr>
                <w:rFonts w:ascii="Arial" w:cs="Arial" w:eastAsia="Arial" w:hAnsi="Arial"/>
                <w:sz w:val="13"/>
                <w:szCs w:val="13"/>
                <w:color w:val="auto"/>
                <w:w w:val="89"/>
              </w:rPr>
              <w:t>Other assets are as follows:</w:t>
            </w:r>
          </w:p>
        </w:tc>
        <w:tc>
          <w:tcPr>
            <w:tcW w:w="2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3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4"/>
          </w:tcPr>
          <w:p>
            <w:pPr>
              <w:jc w:val="right"/>
              <w:ind w:right="180"/>
              <w:spacing w:after="0"/>
              <w:rPr>
                <w:sz w:val="20"/>
                <w:szCs w:val="20"/>
                <w:color w:val="auto"/>
              </w:rPr>
            </w:pPr>
            <w:r>
              <w:rPr>
                <w:rFonts w:ascii="Arial" w:cs="Arial" w:eastAsia="Arial" w:hAnsi="Arial"/>
                <w:sz w:val="10"/>
                <w:szCs w:val="10"/>
                <w:b w:val="1"/>
                <w:bCs w:val="1"/>
                <w:color w:val="auto"/>
              </w:rPr>
              <w:t>December 31,</w:t>
            </w:r>
          </w:p>
        </w:tc>
        <w:tc>
          <w:tcPr>
            <w:tcW w:w="7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8360" w:type="dxa"/>
            <w:vAlign w:val="bottom"/>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jc w:val="right"/>
              <w:ind w:right="338"/>
              <w:spacing w:after="0" w:line="98" w:lineRule="exact"/>
              <w:rPr>
                <w:sz w:val="20"/>
                <w:szCs w:val="20"/>
                <w:color w:val="auto"/>
              </w:rPr>
            </w:pPr>
            <w:r>
              <w:rPr>
                <w:rFonts w:ascii="Arial" w:cs="Arial" w:eastAsia="Arial" w:hAnsi="Arial"/>
                <w:sz w:val="10"/>
                <w:szCs w:val="10"/>
                <w:b w:val="1"/>
                <w:bCs w:val="1"/>
                <w:color w:val="auto"/>
              </w:rPr>
              <w:t>2005</w:t>
            </w: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jc w:val="right"/>
              <w:ind w:right="337"/>
              <w:spacing w:after="0" w:line="98" w:lineRule="exact"/>
              <w:rPr>
                <w:sz w:val="20"/>
                <w:szCs w:val="20"/>
                <w:color w:val="auto"/>
              </w:rPr>
            </w:pPr>
            <w:r>
              <w:rPr>
                <w:rFonts w:ascii="Arial" w:cs="Arial" w:eastAsia="Arial" w:hAnsi="Arial"/>
                <w:sz w:val="10"/>
                <w:szCs w:val="10"/>
                <w:b w:val="1"/>
                <w:bCs w:val="1"/>
                <w:color w:val="auto"/>
              </w:rPr>
              <w:t>2004</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20" w:type="dxa"/>
            <w:vAlign w:val="bottom"/>
            <w:vMerge w:val="restart"/>
          </w:tcPr>
          <w:p>
            <w:pPr>
              <w:spacing w:after="0"/>
              <w:rPr>
                <w:sz w:val="2"/>
                <w:szCs w:val="2"/>
                <w:color w:val="auto"/>
              </w:rPr>
            </w:pPr>
          </w:p>
        </w:tc>
        <w:tc>
          <w:tcPr>
            <w:tcW w:w="460" w:type="dxa"/>
            <w:vAlign w:val="bottom"/>
          </w:tcPr>
          <w:p>
            <w:pPr>
              <w:spacing w:after="0"/>
              <w:rPr>
                <w:sz w:val="2"/>
                <w:szCs w:val="2"/>
                <w:color w:val="auto"/>
              </w:rPr>
            </w:pPr>
          </w:p>
        </w:tc>
        <w:tc>
          <w:tcPr>
            <w:tcW w:w="8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20" w:type="dxa"/>
            <w:vAlign w:val="bottom"/>
            <w:vMerge w:val="continue"/>
          </w:tcPr>
          <w:p>
            <w:pPr>
              <w:spacing w:after="0"/>
              <w:rPr>
                <w:sz w:val="13"/>
                <w:szCs w:val="13"/>
                <w:color w:val="auto"/>
              </w:rPr>
            </w:pPr>
          </w:p>
        </w:tc>
        <w:tc>
          <w:tcPr>
            <w:tcW w:w="88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Patents, net</w:t>
            </w:r>
          </w:p>
        </w:tc>
        <w:tc>
          <w:tcPr>
            <w:tcW w:w="240" w:type="dxa"/>
            <w:vAlign w:val="bottom"/>
            <w:shd w:val="clear" w:color="auto" w:fill="CCEEFF"/>
          </w:tcPr>
          <w:p>
            <w:pPr>
              <w:jc w:val="right"/>
              <w:ind w:right="94"/>
              <w:spacing w:after="0"/>
              <w:rPr>
                <w:sz w:val="20"/>
                <w:szCs w:val="20"/>
                <w:color w:val="auto"/>
              </w:rPr>
            </w:pPr>
            <w:r>
              <w:rPr>
                <w:rFonts w:ascii="Arial" w:cs="Arial" w:eastAsia="Arial" w:hAnsi="Arial"/>
                <w:sz w:val="13"/>
                <w:szCs w:val="13"/>
                <w:color w:val="auto"/>
                <w:w w:val="82"/>
              </w:rPr>
              <w:t>$</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631,764</w:t>
            </w:r>
          </w:p>
        </w:tc>
        <w:tc>
          <w:tcPr>
            <w:tcW w:w="4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687,567</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8820" w:type="dxa"/>
            <w:vAlign w:val="bottom"/>
            <w:gridSpan w:val="2"/>
          </w:tcPr>
          <w:p>
            <w:pPr>
              <w:spacing w:after="0"/>
              <w:rPr>
                <w:sz w:val="20"/>
                <w:szCs w:val="20"/>
                <w:color w:val="auto"/>
              </w:rPr>
            </w:pPr>
            <w:r>
              <w:rPr>
                <w:rFonts w:ascii="Arial" w:cs="Arial" w:eastAsia="Arial" w:hAnsi="Arial"/>
                <w:sz w:val="13"/>
                <w:szCs w:val="13"/>
                <w:color w:val="auto"/>
              </w:rPr>
              <w:t>License agreements, net</w:t>
            </w:r>
          </w:p>
        </w:tc>
        <w:tc>
          <w:tcPr>
            <w:tcW w:w="240" w:type="dxa"/>
            <w:vAlign w:val="bottom"/>
          </w:tcPr>
          <w:p>
            <w:pPr>
              <w:spacing w:after="0"/>
              <w:rPr>
                <w:sz w:val="13"/>
                <w:szCs w:val="13"/>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3"/>
                <w:szCs w:val="13"/>
                <w:color w:val="auto"/>
              </w:rPr>
              <w:t>437,117</w:t>
            </w: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376,274</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88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Security deposit — building lease</w:t>
            </w:r>
          </w:p>
        </w:tc>
        <w:tc>
          <w:tcPr>
            <w:tcW w:w="24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752,500</w:t>
            </w:r>
          </w:p>
        </w:tc>
        <w:tc>
          <w:tcPr>
            <w:tcW w:w="2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752,500</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8820" w:type="dxa"/>
            <w:vAlign w:val="bottom"/>
            <w:gridSpan w:val="2"/>
          </w:tcPr>
          <w:p>
            <w:pPr>
              <w:spacing w:after="0"/>
              <w:rPr>
                <w:sz w:val="20"/>
                <w:szCs w:val="20"/>
                <w:color w:val="auto"/>
              </w:rPr>
            </w:pPr>
            <w:r>
              <w:rPr>
                <w:rFonts w:ascii="Arial" w:cs="Arial" w:eastAsia="Arial" w:hAnsi="Arial"/>
                <w:sz w:val="13"/>
                <w:szCs w:val="13"/>
                <w:color w:val="auto"/>
              </w:rPr>
              <w:t>Restricted Cash-(Letter of Credit)</w:t>
            </w:r>
          </w:p>
        </w:tc>
        <w:tc>
          <w:tcPr>
            <w:tcW w:w="240" w:type="dxa"/>
            <w:vAlign w:val="bottom"/>
          </w:tcPr>
          <w:p>
            <w:pPr>
              <w:spacing w:after="0"/>
              <w:rPr>
                <w:sz w:val="13"/>
                <w:szCs w:val="13"/>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3"/>
                <w:szCs w:val="13"/>
                <w:color w:val="auto"/>
              </w:rPr>
              <w:t>884,132</w:t>
            </w: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937,078</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3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20" w:type="dxa"/>
            <w:vAlign w:val="bottom"/>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8360" w:type="dxa"/>
            <w:vAlign w:val="bottom"/>
            <w:shd w:val="clear" w:color="auto" w:fill="CCEEFF"/>
          </w:tcPr>
          <w:p>
            <w:pPr>
              <w:spacing w:after="0"/>
              <w:rPr>
                <w:sz w:val="13"/>
                <w:szCs w:val="13"/>
                <w:color w:val="auto"/>
              </w:rPr>
            </w:pPr>
          </w:p>
        </w:tc>
        <w:tc>
          <w:tcPr>
            <w:tcW w:w="240" w:type="dxa"/>
            <w:vAlign w:val="bottom"/>
            <w:shd w:val="clear" w:color="auto" w:fill="CCEEFF"/>
          </w:tcPr>
          <w:p>
            <w:pPr>
              <w:jc w:val="right"/>
              <w:ind w:right="94"/>
              <w:spacing w:after="0"/>
              <w:rPr>
                <w:sz w:val="20"/>
                <w:szCs w:val="20"/>
                <w:color w:val="auto"/>
              </w:rPr>
            </w:pPr>
            <w:r>
              <w:rPr>
                <w:rFonts w:ascii="Arial" w:cs="Arial" w:eastAsia="Arial" w:hAnsi="Arial"/>
                <w:sz w:val="13"/>
                <w:szCs w:val="13"/>
                <w:color w:val="auto"/>
                <w:w w:val="82"/>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2,705,513</w:t>
            </w:r>
          </w:p>
        </w:tc>
        <w:tc>
          <w:tcPr>
            <w:tcW w:w="24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2,753,419</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3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right="300" w:firstLine="344"/>
        <w:spacing w:after="0" w:line="276" w:lineRule="auto"/>
        <w:rPr>
          <w:sz w:val="20"/>
          <w:szCs w:val="20"/>
          <w:color w:val="auto"/>
        </w:rPr>
      </w:pPr>
      <w:r>
        <w:rPr>
          <w:rFonts w:ascii="Arial" w:cs="Arial" w:eastAsia="Arial" w:hAnsi="Arial"/>
          <w:sz w:val="13"/>
          <w:szCs w:val="13"/>
          <w:color w:val="auto"/>
        </w:rPr>
        <w:t>At December 31, 2005 and 2004, accumulated amortization was approximately $1,715,000 and $1,590,000, respectively, for patents and license agreements. Over the next five years, the estimated aggregate annual amortization expense based on current balances for patents and license agreements is expected to be approximately $105,000.</w:t>
      </w:r>
    </w:p>
    <w:p>
      <w:pPr>
        <w:spacing w:after="0" w:line="134" w:lineRule="exact"/>
        <w:rPr>
          <w:sz w:val="20"/>
          <w:szCs w:val="20"/>
          <w:color w:val="auto"/>
        </w:rPr>
      </w:pPr>
    </w:p>
    <w:p>
      <w:pPr>
        <w:spacing w:after="0"/>
        <w:tabs>
          <w:tab w:leader="none" w:pos="560" w:val="left"/>
        </w:tabs>
        <w:rPr>
          <w:sz w:val="20"/>
          <w:szCs w:val="20"/>
          <w:color w:val="auto"/>
        </w:rPr>
      </w:pPr>
      <w:r>
        <w:rPr>
          <w:rFonts w:ascii="Arial" w:cs="Arial" w:eastAsia="Arial" w:hAnsi="Arial"/>
          <w:sz w:val="13"/>
          <w:szCs w:val="13"/>
          <w:b w:val="1"/>
          <w:bCs w:val="1"/>
          <w:color w:val="auto"/>
        </w:rPr>
        <w:t>Note 5.</w:t>
      </w:r>
      <w:r>
        <w:rPr>
          <w:sz w:val="20"/>
          <w:szCs w:val="20"/>
          <w:color w:val="auto"/>
        </w:rPr>
        <w:tab/>
      </w:r>
      <w:r>
        <w:rPr>
          <w:rFonts w:ascii="Arial" w:cs="Arial" w:eastAsia="Arial" w:hAnsi="Arial"/>
          <w:sz w:val="11"/>
          <w:szCs w:val="11"/>
          <w:b w:val="1"/>
          <w:bCs w:val="1"/>
          <w:color w:val="auto"/>
        </w:rPr>
        <w:t>Accrued Expenses and Other</w:t>
      </w:r>
    </w:p>
    <w:p>
      <w:pPr>
        <w:spacing w:after="0" w:line="100" w:lineRule="exact"/>
        <w:rPr>
          <w:sz w:val="20"/>
          <w:szCs w:val="20"/>
          <w:color w:val="auto"/>
        </w:rPr>
      </w:pPr>
    </w:p>
    <w:p>
      <w:pPr>
        <w:ind w:left="340"/>
        <w:spacing w:after="0"/>
        <w:rPr>
          <w:sz w:val="20"/>
          <w:szCs w:val="20"/>
          <w:color w:val="auto"/>
        </w:rPr>
      </w:pPr>
      <w:r>
        <w:rPr>
          <w:rFonts w:ascii="Arial" w:cs="Arial" w:eastAsia="Arial" w:hAnsi="Arial"/>
          <w:sz w:val="13"/>
          <w:szCs w:val="13"/>
          <w:color w:val="auto"/>
        </w:rPr>
        <w:t>Accrued expenses and other current liabilities are as follows: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20" w:type="dxa"/>
            <w:vAlign w:val="bottom"/>
          </w:tcPr>
          <w:p>
            <w:pPr>
              <w:spacing w:after="0"/>
              <w:rPr>
                <w:sz w:val="10"/>
                <w:szCs w:val="10"/>
                <w:color w:val="auto"/>
              </w:rPr>
            </w:pPr>
          </w:p>
        </w:tc>
        <w:tc>
          <w:tcPr>
            <w:tcW w:w="8820" w:type="dxa"/>
            <w:vAlign w:val="bottom"/>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500" w:type="dxa"/>
            <w:vAlign w:val="bottom"/>
            <w:tcBorders>
              <w:bottom w:val="single" w:sz="8" w:color="auto"/>
            </w:tcBorders>
            <w:gridSpan w:val="4"/>
          </w:tcPr>
          <w:p>
            <w:pPr>
              <w:jc w:val="right"/>
              <w:ind w:right="180"/>
              <w:spacing w:after="0"/>
              <w:rPr>
                <w:sz w:val="20"/>
                <w:szCs w:val="20"/>
                <w:color w:val="auto"/>
              </w:rPr>
            </w:pPr>
            <w:r>
              <w:rPr>
                <w:rFonts w:ascii="Arial" w:cs="Arial" w:eastAsia="Arial" w:hAnsi="Arial"/>
                <w:sz w:val="10"/>
                <w:szCs w:val="10"/>
                <w:b w:val="1"/>
                <w:bCs w:val="1"/>
                <w:color w:val="auto"/>
              </w:rPr>
              <w:t>December 31,</w:t>
            </w:r>
          </w:p>
        </w:tc>
        <w:tc>
          <w:tcPr>
            <w:tcW w:w="78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8820" w:type="dxa"/>
            <w:vAlign w:val="bottom"/>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jc w:val="right"/>
              <w:ind w:right="339"/>
              <w:spacing w:after="0" w:line="98" w:lineRule="exact"/>
              <w:rPr>
                <w:sz w:val="20"/>
                <w:szCs w:val="20"/>
                <w:color w:val="auto"/>
              </w:rPr>
            </w:pPr>
            <w:r>
              <w:rPr>
                <w:rFonts w:ascii="Arial" w:cs="Arial" w:eastAsia="Arial" w:hAnsi="Arial"/>
                <w:sz w:val="10"/>
                <w:szCs w:val="10"/>
                <w:b w:val="1"/>
                <w:bCs w:val="1"/>
                <w:color w:val="auto"/>
              </w:rPr>
              <w:t>2005</w:t>
            </w: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jc w:val="right"/>
              <w:ind w:right="337"/>
              <w:spacing w:after="0" w:line="98" w:lineRule="exact"/>
              <w:rPr>
                <w:sz w:val="20"/>
                <w:szCs w:val="20"/>
                <w:color w:val="auto"/>
              </w:rPr>
            </w:pPr>
            <w:r>
              <w:rPr>
                <w:rFonts w:ascii="Arial" w:cs="Arial" w:eastAsia="Arial" w:hAnsi="Arial"/>
                <w:sz w:val="10"/>
                <w:szCs w:val="10"/>
                <w:b w:val="1"/>
                <w:bCs w:val="1"/>
                <w:color w:val="auto"/>
              </w:rPr>
              <w:t>2004</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20" w:type="dxa"/>
            <w:vAlign w:val="bottom"/>
            <w:vMerge w:val="restart"/>
          </w:tcPr>
          <w:p>
            <w:pPr>
              <w:spacing w:after="0"/>
              <w:rPr>
                <w:sz w:val="2"/>
                <w:szCs w:val="2"/>
                <w:color w:val="auto"/>
              </w:rPr>
            </w:pPr>
          </w:p>
        </w:tc>
        <w:tc>
          <w:tcPr>
            <w:tcW w:w="8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20" w:type="dxa"/>
            <w:vAlign w:val="bottom"/>
            <w:vMerge w:val="continue"/>
          </w:tcPr>
          <w:p>
            <w:pPr>
              <w:spacing w:after="0"/>
              <w:rPr>
                <w:sz w:val="13"/>
                <w:szCs w:val="13"/>
                <w:color w:val="auto"/>
              </w:rPr>
            </w:pPr>
          </w:p>
        </w:tc>
        <w:tc>
          <w:tcPr>
            <w:tcW w:w="8820" w:type="dxa"/>
            <w:vAlign w:val="bottom"/>
            <w:shd w:val="clear" w:color="auto" w:fill="CCEEFF"/>
          </w:tcPr>
          <w:p>
            <w:pPr>
              <w:spacing w:after="0"/>
              <w:rPr>
                <w:sz w:val="20"/>
                <w:szCs w:val="20"/>
                <w:color w:val="auto"/>
              </w:rPr>
            </w:pPr>
            <w:r>
              <w:rPr>
                <w:rFonts w:ascii="Arial" w:cs="Arial" w:eastAsia="Arial" w:hAnsi="Arial"/>
                <w:sz w:val="13"/>
                <w:szCs w:val="13"/>
                <w:color w:val="auto"/>
              </w:rPr>
              <w:t>External services</w:t>
            </w:r>
          </w:p>
        </w:tc>
        <w:tc>
          <w:tcPr>
            <w:tcW w:w="240" w:type="dxa"/>
            <w:vAlign w:val="bottom"/>
            <w:shd w:val="clear" w:color="auto" w:fill="CCEEFF"/>
          </w:tcPr>
          <w:p>
            <w:pPr>
              <w:jc w:val="right"/>
              <w:ind w:right="94"/>
              <w:spacing w:after="0"/>
              <w:rPr>
                <w:sz w:val="20"/>
                <w:szCs w:val="20"/>
                <w:color w:val="auto"/>
              </w:rPr>
            </w:pPr>
            <w:r>
              <w:rPr>
                <w:rFonts w:ascii="Arial" w:cs="Arial" w:eastAsia="Arial" w:hAnsi="Arial"/>
                <w:sz w:val="13"/>
                <w:szCs w:val="13"/>
                <w:color w:val="auto"/>
                <w:w w:val="82"/>
              </w:rPr>
              <w:t>$</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404,875</w:t>
            </w:r>
          </w:p>
        </w:tc>
        <w:tc>
          <w:tcPr>
            <w:tcW w:w="4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639,989</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8820" w:type="dxa"/>
            <w:vAlign w:val="bottom"/>
          </w:tcPr>
          <w:p>
            <w:pPr>
              <w:spacing w:after="0"/>
              <w:rPr>
                <w:sz w:val="20"/>
                <w:szCs w:val="20"/>
                <w:color w:val="auto"/>
              </w:rPr>
            </w:pPr>
            <w:r>
              <w:rPr>
                <w:rFonts w:ascii="Arial" w:cs="Arial" w:eastAsia="Arial" w:hAnsi="Arial"/>
                <w:sz w:val="13"/>
                <w:szCs w:val="13"/>
                <w:color w:val="auto"/>
              </w:rPr>
              <w:t>Employee compensation</w:t>
            </w:r>
          </w:p>
        </w:tc>
        <w:tc>
          <w:tcPr>
            <w:tcW w:w="240" w:type="dxa"/>
            <w:vAlign w:val="bottom"/>
          </w:tcPr>
          <w:p>
            <w:pPr>
              <w:spacing w:after="0"/>
              <w:rPr>
                <w:sz w:val="13"/>
                <w:szCs w:val="13"/>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3"/>
                <w:szCs w:val="13"/>
                <w:color w:val="auto"/>
              </w:rPr>
              <w:t>972,906</w:t>
            </w: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834,039</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8820" w:type="dxa"/>
            <w:vAlign w:val="bottom"/>
            <w:shd w:val="clear" w:color="auto" w:fill="CCEEFF"/>
          </w:tcPr>
          <w:p>
            <w:pPr>
              <w:spacing w:after="0"/>
              <w:rPr>
                <w:sz w:val="20"/>
                <w:szCs w:val="20"/>
                <w:color w:val="auto"/>
              </w:rPr>
            </w:pPr>
            <w:r>
              <w:rPr>
                <w:rFonts w:ascii="Arial" w:cs="Arial" w:eastAsia="Arial" w:hAnsi="Arial"/>
                <w:sz w:val="13"/>
                <w:szCs w:val="13"/>
                <w:color w:val="auto"/>
              </w:rPr>
              <w:t>Other</w:t>
            </w:r>
          </w:p>
        </w:tc>
        <w:tc>
          <w:tcPr>
            <w:tcW w:w="24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105,519</w:t>
            </w:r>
          </w:p>
        </w:tc>
        <w:tc>
          <w:tcPr>
            <w:tcW w:w="2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73,342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8820" w:type="dxa"/>
            <w:vAlign w:val="bottom"/>
          </w:tcPr>
          <w:p>
            <w:pPr>
              <w:spacing w:after="0"/>
              <w:rPr>
                <w:sz w:val="13"/>
                <w:szCs w:val="13"/>
                <w:color w:val="auto"/>
              </w:rPr>
            </w:pPr>
          </w:p>
        </w:tc>
        <w:tc>
          <w:tcPr>
            <w:tcW w:w="240" w:type="dxa"/>
            <w:vAlign w:val="bottom"/>
          </w:tcPr>
          <w:p>
            <w:pPr>
              <w:jc w:val="right"/>
              <w:ind w:right="94"/>
              <w:spacing w:after="0"/>
              <w:rPr>
                <w:sz w:val="20"/>
                <w:szCs w:val="20"/>
                <w:color w:val="auto"/>
              </w:rPr>
            </w:pPr>
            <w:r>
              <w:rPr>
                <w:rFonts w:ascii="Arial" w:cs="Arial" w:eastAsia="Arial" w:hAnsi="Arial"/>
                <w:sz w:val="13"/>
                <w:szCs w:val="13"/>
                <w:color w:val="auto"/>
                <w:w w:val="82"/>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1,483,300</w:t>
            </w:r>
          </w:p>
        </w:tc>
        <w:tc>
          <w:tcPr>
            <w:tcW w:w="240" w:type="dxa"/>
            <w:vAlign w:val="bottom"/>
          </w:tcPr>
          <w:p>
            <w:pPr>
              <w:spacing w:after="0"/>
              <w:rPr>
                <w:sz w:val="13"/>
                <w:szCs w:val="13"/>
                <w:color w:val="auto"/>
              </w:rPr>
            </w:pPr>
          </w:p>
        </w:tc>
        <w:tc>
          <w:tcPr>
            <w:tcW w:w="4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1,547,370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88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64" w:lineRule="exact"/>
        <w:rPr>
          <w:sz w:val="20"/>
          <w:szCs w:val="20"/>
          <w:color w:val="auto"/>
        </w:rPr>
      </w:pPr>
    </w:p>
    <w:p>
      <w:pPr>
        <w:spacing w:after="0"/>
        <w:tabs>
          <w:tab w:leader="none" w:pos="560" w:val="left"/>
        </w:tabs>
        <w:rPr>
          <w:sz w:val="20"/>
          <w:szCs w:val="20"/>
          <w:color w:val="auto"/>
        </w:rPr>
      </w:pPr>
      <w:r>
        <w:rPr>
          <w:rFonts w:ascii="Arial" w:cs="Arial" w:eastAsia="Arial" w:hAnsi="Arial"/>
          <w:sz w:val="13"/>
          <w:szCs w:val="13"/>
          <w:b w:val="1"/>
          <w:bCs w:val="1"/>
          <w:color w:val="auto"/>
        </w:rPr>
        <w:t>Note 6.</w:t>
      </w:r>
      <w:r>
        <w:rPr>
          <w:sz w:val="20"/>
          <w:szCs w:val="20"/>
          <w:color w:val="auto"/>
        </w:rPr>
        <w:tab/>
      </w:r>
      <w:r>
        <w:rPr>
          <w:rFonts w:ascii="Arial" w:cs="Arial" w:eastAsia="Arial" w:hAnsi="Arial"/>
          <w:sz w:val="10"/>
          <w:szCs w:val="10"/>
          <w:b w:val="1"/>
          <w:bCs w:val="1"/>
          <w:color w:val="auto"/>
        </w:rPr>
        <w:t>Leases</w:t>
      </w:r>
    </w:p>
    <w:p>
      <w:pPr>
        <w:spacing w:after="0" w:line="100" w:lineRule="exact"/>
        <w:rPr>
          <w:sz w:val="20"/>
          <w:szCs w:val="20"/>
          <w:color w:val="auto"/>
        </w:rPr>
      </w:pPr>
    </w:p>
    <w:p>
      <w:pPr>
        <w:jc w:val="both"/>
        <w:ind w:right="20" w:firstLine="344"/>
        <w:spacing w:after="0" w:line="264" w:lineRule="auto"/>
        <w:rPr>
          <w:sz w:val="20"/>
          <w:szCs w:val="20"/>
          <w:color w:val="auto"/>
        </w:rPr>
      </w:pPr>
      <w:r>
        <w:rPr>
          <w:rFonts w:ascii="Arial" w:cs="Arial" w:eastAsia="Arial" w:hAnsi="Arial"/>
          <w:sz w:val="13"/>
          <w:szCs w:val="13"/>
          <w:color w:val="auto"/>
        </w:rPr>
        <w:t>The Company has undertaken direct financing transactions with the State of Rhode Island and received proceeds from the issuance of industrial revenue bonds totaling $5,000,000 to finance the construction of its pilot manufacturing facility. The related leases are structured such that lease payments will fully fund all semiannual interest payments and annual principal payments through maturity in August 2014. Interest rates vary with the</w:t>
      </w: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58" w:name="page59"/>
    <w:bookmarkEnd w:id="58"/>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StemCells, Inc.</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169" w:lineRule="exact"/>
        <w:rPr>
          <w:sz w:val="20"/>
          <w:szCs w:val="20"/>
          <w:color w:val="auto"/>
        </w:rPr>
      </w:pPr>
    </w:p>
    <w:p>
      <w:pPr>
        <w:ind w:right="60"/>
        <w:spacing w:after="0" w:line="296" w:lineRule="auto"/>
        <w:rPr>
          <w:sz w:val="20"/>
          <w:szCs w:val="20"/>
          <w:color w:val="auto"/>
        </w:rPr>
      </w:pPr>
      <w:r>
        <w:rPr>
          <w:rFonts w:ascii="Arial" w:cs="Arial" w:eastAsia="Arial" w:hAnsi="Arial"/>
          <w:sz w:val="12"/>
          <w:szCs w:val="12"/>
          <w:color w:val="auto"/>
        </w:rPr>
        <w:t>respective bonds’ maturities, ranging from 8.1% to 9.5%. The bonds contain certain restrictive covenants which limit, among other things, the payment of cash dividends and the sale of the related assets. The Company entered into a fifteen-year lease for a laboratory facility in connection with a sale and leaseback arrangement in 1997. The lease has escalating rent payments and accordingly, the Company is recognizing rent expense on a straight-line basis. At December 31, 2005, the Company had $1,208,000 in deferred rent expense for this facility which is presented as part of the wind-down accrual.</w:t>
      </w:r>
    </w:p>
    <w:p>
      <w:pPr>
        <w:spacing w:after="0" w:line="50" w:lineRule="exact"/>
        <w:rPr>
          <w:sz w:val="20"/>
          <w:szCs w:val="20"/>
          <w:color w:val="auto"/>
        </w:rPr>
      </w:pPr>
    </w:p>
    <w:p>
      <w:pPr>
        <w:ind w:firstLine="344"/>
        <w:spacing w:after="0" w:line="278" w:lineRule="auto"/>
        <w:rPr>
          <w:sz w:val="20"/>
          <w:szCs w:val="20"/>
          <w:color w:val="auto"/>
        </w:rPr>
      </w:pPr>
      <w:r>
        <w:rPr>
          <w:rFonts w:ascii="Arial" w:cs="Arial" w:eastAsia="Arial" w:hAnsi="Arial"/>
          <w:sz w:val="12"/>
          <w:szCs w:val="12"/>
          <w:color w:val="auto"/>
        </w:rPr>
        <w:t>As of February 1, 2001, the Company entered into a 5-year lease for 40,000 square feet of an approximately 68,000 square foot facility located in the Stanford Research Park in Palo Alto, CA. The facility includes space for animals, laboratories, offices, and a GMP (Good Manufacturing Practices) suite. GMP facilities can be used to manufacture materials for clinical trials. On December 19, 2002 the Company negotiated an amendment to the lease, which resulted in reducing the average annual rent over the remaining term of the lease from approximately $3.7 million to $2.0 million. As part of the amendment the Company issued a letter of credit on January 2, 2003 for $503,079, which was an addition to the letter of credit in the amount of $275,000 issued at commencement of the lease, to serve as a deposit for the duration of the lease. The Company negotiated an amendment to the lease effective April 1, 2005, which extends the term of the lease through March 31, 2010, includes an immediate reduction in the rent per square foot, and provides for an expansion of the leased premises by approximately 28,000 additional square feet effective July 1, 2006. In addition, the Company has sublet some of the additional space for the period from April 1, 2005 through June 30, 2006. The average annual rent due from the Company under this lease for the period commencing April 1, 2005 to March 31, 2010 will be approximately $2 million before subtenant income. The lease has escalating rent payments, which the Company is recognizing on a straight-line basis. At December 31, 2005, the Company had deferred rent liability for this facility of $854,000. At December 31, 2005 the Company has space-sharing agreements covering in total approximately 13,000 square feet of this facility. The Company receives the amount of base rent plus the proportionate share of the operating expenses that it pays for such space over the term of these agreements.</w:t>
      </w:r>
    </w:p>
    <w:p>
      <w:pPr>
        <w:spacing w:after="0" w:line="63" w:lineRule="exact"/>
        <w:rPr>
          <w:sz w:val="20"/>
          <w:szCs w:val="20"/>
          <w:color w:val="auto"/>
        </w:rPr>
      </w:pPr>
    </w:p>
    <w:p>
      <w:pPr>
        <w:ind w:left="340"/>
        <w:spacing w:after="0"/>
        <w:rPr>
          <w:sz w:val="20"/>
          <w:szCs w:val="20"/>
          <w:color w:val="auto"/>
        </w:rPr>
      </w:pPr>
      <w:r>
        <w:rPr>
          <w:rFonts w:ascii="Arial" w:cs="Arial" w:eastAsia="Arial" w:hAnsi="Arial"/>
          <w:sz w:val="13"/>
          <w:szCs w:val="13"/>
          <w:color w:val="auto"/>
        </w:rPr>
        <w:t>As of December 31, 2005, future minimum lease payments and sublease income under operating and capital leases are as follows:</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4280" w:type="dxa"/>
            <w:vAlign w:val="bottom"/>
          </w:tcPr>
          <w:p>
            <w:pPr>
              <w:spacing w:after="0"/>
              <w:rPr>
                <w:sz w:val="10"/>
                <w:szCs w:val="10"/>
                <w:color w:val="auto"/>
              </w:rPr>
            </w:pPr>
          </w:p>
        </w:tc>
        <w:tc>
          <w:tcPr>
            <w:tcW w:w="18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320" w:type="dxa"/>
            <w:vAlign w:val="bottom"/>
            <w:gridSpan w:val="2"/>
          </w:tcPr>
          <w:p>
            <w:pPr>
              <w:jc w:val="right"/>
              <w:ind w:right="820"/>
              <w:spacing w:after="0"/>
              <w:rPr>
                <w:sz w:val="20"/>
                <w:szCs w:val="20"/>
                <w:color w:val="auto"/>
              </w:rPr>
            </w:pPr>
            <w:r>
              <w:rPr>
                <w:rFonts w:ascii="Arial" w:cs="Arial" w:eastAsia="Arial" w:hAnsi="Arial"/>
                <w:sz w:val="10"/>
                <w:szCs w:val="10"/>
                <w:b w:val="1"/>
                <w:bCs w:val="1"/>
                <w:color w:val="auto"/>
              </w:rPr>
              <w:t>Capital</w:t>
            </w:r>
          </w:p>
        </w:tc>
        <w:tc>
          <w:tcPr>
            <w:tcW w:w="220" w:type="dxa"/>
            <w:vAlign w:val="bottom"/>
          </w:tcPr>
          <w:p>
            <w:pPr>
              <w:spacing w:after="0"/>
              <w:rPr>
                <w:sz w:val="10"/>
                <w:szCs w:val="10"/>
                <w:color w:val="auto"/>
              </w:rPr>
            </w:pPr>
          </w:p>
        </w:tc>
        <w:tc>
          <w:tcPr>
            <w:tcW w:w="1260" w:type="dxa"/>
            <w:vAlign w:val="bottom"/>
            <w:gridSpan w:val="2"/>
          </w:tcPr>
          <w:p>
            <w:pPr>
              <w:jc w:val="right"/>
              <w:ind w:right="620"/>
              <w:spacing w:after="0"/>
              <w:rPr>
                <w:sz w:val="20"/>
                <w:szCs w:val="20"/>
                <w:color w:val="auto"/>
              </w:rPr>
            </w:pPr>
            <w:r>
              <w:rPr>
                <w:rFonts w:ascii="Arial" w:cs="Arial" w:eastAsia="Arial" w:hAnsi="Arial"/>
                <w:sz w:val="10"/>
                <w:szCs w:val="10"/>
                <w:b w:val="1"/>
                <w:bCs w:val="1"/>
                <w:color w:val="auto"/>
              </w:rPr>
              <w:t>Operating</w:t>
            </w: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40" w:type="dxa"/>
            <w:vAlign w:val="bottom"/>
            <w:gridSpan w:val="2"/>
          </w:tcPr>
          <w:p>
            <w:pPr>
              <w:jc w:val="right"/>
              <w:ind w:right="420"/>
              <w:spacing w:after="0"/>
              <w:rPr>
                <w:sz w:val="20"/>
                <w:szCs w:val="20"/>
                <w:color w:val="auto"/>
              </w:rPr>
            </w:pPr>
            <w:r>
              <w:rPr>
                <w:rFonts w:ascii="Arial" w:cs="Arial" w:eastAsia="Arial" w:hAnsi="Arial"/>
                <w:sz w:val="10"/>
                <w:szCs w:val="10"/>
                <w:b w:val="1"/>
                <w:bCs w:val="1"/>
                <w:color w:val="auto"/>
              </w:rPr>
              <w:t>Sublease</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4280" w:type="dxa"/>
            <w:vAlign w:val="bottom"/>
          </w:tcPr>
          <w:p>
            <w:pPr>
              <w:spacing w:after="0"/>
              <w:rPr>
                <w:sz w:val="10"/>
                <w:szCs w:val="10"/>
                <w:color w:val="auto"/>
              </w:rPr>
            </w:pPr>
          </w:p>
        </w:tc>
        <w:tc>
          <w:tcPr>
            <w:tcW w:w="18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320" w:type="dxa"/>
            <w:vAlign w:val="bottom"/>
            <w:gridSpan w:val="2"/>
          </w:tcPr>
          <w:p>
            <w:pPr>
              <w:jc w:val="right"/>
              <w:ind w:right="780"/>
              <w:spacing w:after="0"/>
              <w:rPr>
                <w:sz w:val="20"/>
                <w:szCs w:val="20"/>
                <w:color w:val="auto"/>
              </w:rPr>
            </w:pPr>
            <w:r>
              <w:rPr>
                <w:rFonts w:ascii="Arial" w:cs="Arial" w:eastAsia="Arial" w:hAnsi="Arial"/>
                <w:sz w:val="10"/>
                <w:szCs w:val="10"/>
                <w:b w:val="1"/>
                <w:bCs w:val="1"/>
                <w:color w:val="auto"/>
              </w:rPr>
              <w:t>Leases(1)</w:t>
            </w:r>
          </w:p>
        </w:tc>
        <w:tc>
          <w:tcPr>
            <w:tcW w:w="220" w:type="dxa"/>
            <w:vAlign w:val="bottom"/>
          </w:tcPr>
          <w:p>
            <w:pPr>
              <w:spacing w:after="0"/>
              <w:rPr>
                <w:sz w:val="10"/>
                <w:szCs w:val="10"/>
                <w:color w:val="auto"/>
              </w:rPr>
            </w:pPr>
          </w:p>
        </w:tc>
        <w:tc>
          <w:tcPr>
            <w:tcW w:w="1260" w:type="dxa"/>
            <w:vAlign w:val="bottom"/>
            <w:gridSpan w:val="2"/>
          </w:tcPr>
          <w:p>
            <w:pPr>
              <w:jc w:val="right"/>
              <w:ind w:right="700"/>
              <w:spacing w:after="0"/>
              <w:rPr>
                <w:sz w:val="20"/>
                <w:szCs w:val="20"/>
                <w:color w:val="auto"/>
              </w:rPr>
            </w:pPr>
            <w:r>
              <w:rPr>
                <w:rFonts w:ascii="Arial" w:cs="Arial" w:eastAsia="Arial" w:hAnsi="Arial"/>
                <w:sz w:val="10"/>
                <w:szCs w:val="10"/>
                <w:b w:val="1"/>
                <w:bCs w:val="1"/>
                <w:color w:val="auto"/>
              </w:rPr>
              <w:t>Leases</w:t>
            </w: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40" w:type="dxa"/>
            <w:vAlign w:val="bottom"/>
            <w:gridSpan w:val="2"/>
          </w:tcPr>
          <w:p>
            <w:pPr>
              <w:jc w:val="right"/>
              <w:ind w:right="440"/>
              <w:spacing w:after="0"/>
              <w:rPr>
                <w:sz w:val="20"/>
                <w:szCs w:val="20"/>
                <w:color w:val="auto"/>
              </w:rPr>
            </w:pPr>
            <w:r>
              <w:rPr>
                <w:rFonts w:ascii="Arial" w:cs="Arial" w:eastAsia="Arial" w:hAnsi="Arial"/>
                <w:sz w:val="10"/>
                <w:szCs w:val="10"/>
                <w:b w:val="1"/>
                <w:bCs w:val="1"/>
                <w:color w:val="auto"/>
              </w:rPr>
              <w:t>Income</w:t>
            </w:r>
          </w:p>
        </w:tc>
        <w:tc>
          <w:tcPr>
            <w:tcW w:w="0" w:type="dxa"/>
            <w:vAlign w:val="bottom"/>
          </w:tcPr>
          <w:p>
            <w:pPr>
              <w:spacing w:after="0"/>
              <w:rPr>
                <w:sz w:val="1"/>
                <w:szCs w:val="1"/>
                <w:color w:val="auto"/>
              </w:rPr>
            </w:pPr>
          </w:p>
        </w:tc>
      </w:tr>
      <w:tr>
        <w:trPr>
          <w:trHeight w:val="29"/>
        </w:trPr>
        <w:tc>
          <w:tcPr>
            <w:tcW w:w="20" w:type="dxa"/>
            <w:vAlign w:val="bottom"/>
            <w:vMerge w:val="restart"/>
          </w:tcPr>
          <w:p>
            <w:pPr>
              <w:spacing w:after="0"/>
              <w:rPr>
                <w:sz w:val="2"/>
                <w:szCs w:val="2"/>
                <w:color w:val="auto"/>
              </w:rPr>
            </w:pPr>
          </w:p>
        </w:tc>
        <w:tc>
          <w:tcPr>
            <w:tcW w:w="1020" w:type="dxa"/>
            <w:vAlign w:val="bottom"/>
          </w:tcPr>
          <w:p>
            <w:pPr>
              <w:spacing w:after="0"/>
              <w:rPr>
                <w:sz w:val="2"/>
                <w:szCs w:val="2"/>
                <w:color w:val="auto"/>
              </w:rPr>
            </w:pPr>
          </w:p>
        </w:tc>
        <w:tc>
          <w:tcPr>
            <w:tcW w:w="42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840" w:type="dxa"/>
            <w:vAlign w:val="bottom"/>
            <w:tcBorders>
              <w:top w:val="single" w:sz="8" w:color="auto"/>
            </w:tcBorders>
          </w:tcPr>
          <w:p>
            <w:pPr>
              <w:spacing w:after="0"/>
              <w:rPr>
                <w:sz w:val="2"/>
                <w:szCs w:val="2"/>
                <w:color w:val="auto"/>
              </w:rPr>
            </w:pPr>
          </w:p>
        </w:tc>
        <w:tc>
          <w:tcPr>
            <w:tcW w:w="480" w:type="dxa"/>
            <w:vAlign w:val="bottom"/>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1020" w:type="dxa"/>
            <w:vAlign w:val="bottom"/>
            <w:tcBorders>
              <w:top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84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20" w:type="dxa"/>
            <w:vAlign w:val="bottom"/>
            <w:vMerge w:val="continue"/>
          </w:tcPr>
          <w:p>
            <w:pPr>
              <w:spacing w:after="0"/>
              <w:rPr>
                <w:sz w:val="13"/>
                <w:szCs w:val="13"/>
                <w:color w:val="auto"/>
              </w:rPr>
            </w:pPr>
          </w:p>
        </w:tc>
        <w:tc>
          <w:tcPr>
            <w:tcW w:w="1020" w:type="dxa"/>
            <w:vAlign w:val="bottom"/>
            <w:shd w:val="clear" w:color="auto" w:fill="CCEEFF"/>
          </w:tcPr>
          <w:p>
            <w:pPr>
              <w:spacing w:after="0"/>
              <w:rPr>
                <w:sz w:val="20"/>
                <w:szCs w:val="20"/>
                <w:color w:val="auto"/>
              </w:rPr>
            </w:pPr>
            <w:r>
              <w:rPr>
                <w:rFonts w:ascii="Arial" w:cs="Arial" w:eastAsia="Arial" w:hAnsi="Arial"/>
                <w:sz w:val="13"/>
                <w:szCs w:val="13"/>
                <w:color w:val="auto"/>
              </w:rPr>
              <w:t>2006</w:t>
            </w:r>
          </w:p>
        </w:tc>
        <w:tc>
          <w:tcPr>
            <w:tcW w:w="4280" w:type="dxa"/>
            <w:vAlign w:val="bottom"/>
            <w:shd w:val="clear" w:color="auto" w:fill="CCEEFF"/>
          </w:tcPr>
          <w:p>
            <w:pPr>
              <w:spacing w:after="0"/>
              <w:rPr>
                <w:sz w:val="13"/>
                <w:szCs w:val="13"/>
                <w:color w:val="auto"/>
              </w:rPr>
            </w:pPr>
          </w:p>
        </w:tc>
        <w:tc>
          <w:tcPr>
            <w:tcW w:w="2000" w:type="dxa"/>
            <w:vAlign w:val="bottom"/>
            <w:gridSpan w:val="2"/>
            <w:shd w:val="clear" w:color="auto" w:fill="CCEEFF"/>
          </w:tcPr>
          <w:p>
            <w:pPr>
              <w:jc w:val="right"/>
              <w:ind w:right="54"/>
              <w:spacing w:after="0"/>
              <w:rPr>
                <w:sz w:val="20"/>
                <w:szCs w:val="20"/>
                <w:color w:val="auto"/>
              </w:rPr>
            </w:pPr>
            <w:r>
              <w:rPr>
                <w:rFonts w:ascii="Arial" w:cs="Arial" w:eastAsia="Arial" w:hAnsi="Arial"/>
                <w:sz w:val="13"/>
                <w:szCs w:val="13"/>
                <w:color w:val="auto"/>
              </w:rPr>
              <w:t>$</w:t>
            </w:r>
          </w:p>
        </w:tc>
        <w:tc>
          <w:tcPr>
            <w:tcW w:w="1320" w:type="dxa"/>
            <w:vAlign w:val="bottom"/>
            <w:gridSpan w:val="2"/>
            <w:shd w:val="clear" w:color="auto" w:fill="CCEEFF"/>
          </w:tcPr>
          <w:p>
            <w:pPr>
              <w:jc w:val="right"/>
              <w:ind w:right="480"/>
              <w:spacing w:after="0"/>
              <w:rPr>
                <w:sz w:val="20"/>
                <w:szCs w:val="20"/>
                <w:color w:val="auto"/>
              </w:rPr>
            </w:pPr>
            <w:r>
              <w:rPr>
                <w:rFonts w:ascii="Arial" w:cs="Arial" w:eastAsia="Arial" w:hAnsi="Arial"/>
                <w:sz w:val="13"/>
                <w:szCs w:val="13"/>
                <w:color w:val="auto"/>
              </w:rPr>
              <w:t>460,100</w:t>
            </w:r>
          </w:p>
        </w:tc>
        <w:tc>
          <w:tcPr>
            <w:tcW w:w="220" w:type="dxa"/>
            <w:vAlign w:val="bottom"/>
            <w:shd w:val="clear" w:color="auto" w:fill="CCEEFF"/>
          </w:tcPr>
          <w:p>
            <w:pPr>
              <w:jc w:val="right"/>
              <w:ind w:right="111"/>
              <w:spacing w:after="0"/>
              <w:rPr>
                <w:sz w:val="20"/>
                <w:szCs w:val="20"/>
                <w:color w:val="auto"/>
              </w:rPr>
            </w:pPr>
            <w:r>
              <w:rPr>
                <w:rFonts w:ascii="Arial" w:cs="Arial" w:eastAsia="Arial" w:hAnsi="Arial"/>
                <w:sz w:val="10"/>
                <w:szCs w:val="10"/>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2,831,929</w:t>
            </w:r>
          </w:p>
        </w:tc>
        <w:tc>
          <w:tcPr>
            <w:tcW w:w="24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1,020,889</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2007</w:t>
            </w:r>
          </w:p>
        </w:tc>
        <w:tc>
          <w:tcPr>
            <w:tcW w:w="428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20" w:type="dxa"/>
            <w:vAlign w:val="bottom"/>
            <w:gridSpan w:val="2"/>
          </w:tcPr>
          <w:p>
            <w:pPr>
              <w:jc w:val="right"/>
              <w:ind w:right="480"/>
              <w:spacing w:after="0"/>
              <w:rPr>
                <w:sz w:val="20"/>
                <w:szCs w:val="20"/>
                <w:color w:val="auto"/>
              </w:rPr>
            </w:pPr>
            <w:r>
              <w:rPr>
                <w:rFonts w:ascii="Arial" w:cs="Arial" w:eastAsia="Arial" w:hAnsi="Arial"/>
                <w:sz w:val="13"/>
                <w:szCs w:val="13"/>
                <w:color w:val="auto"/>
              </w:rPr>
              <w:t>332,545</w:t>
            </w:r>
          </w:p>
        </w:tc>
        <w:tc>
          <w:tcPr>
            <w:tcW w:w="22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3,165,162</w:t>
            </w: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468,847</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020" w:type="dxa"/>
            <w:vAlign w:val="bottom"/>
            <w:shd w:val="clear" w:color="auto" w:fill="CCEEFF"/>
          </w:tcPr>
          <w:p>
            <w:pPr>
              <w:spacing w:after="0"/>
              <w:rPr>
                <w:sz w:val="20"/>
                <w:szCs w:val="20"/>
                <w:color w:val="auto"/>
              </w:rPr>
            </w:pPr>
            <w:r>
              <w:rPr>
                <w:rFonts w:ascii="Arial" w:cs="Arial" w:eastAsia="Arial" w:hAnsi="Arial"/>
                <w:sz w:val="13"/>
                <w:szCs w:val="13"/>
                <w:color w:val="auto"/>
              </w:rPr>
              <w:t>2008</w:t>
            </w:r>
          </w:p>
        </w:tc>
        <w:tc>
          <w:tcPr>
            <w:tcW w:w="4280" w:type="dxa"/>
            <w:vAlign w:val="bottom"/>
            <w:shd w:val="clear" w:color="auto" w:fill="CCEEFF"/>
          </w:tcPr>
          <w:p>
            <w:pPr>
              <w:spacing w:after="0"/>
              <w:rPr>
                <w:sz w:val="13"/>
                <w:szCs w:val="13"/>
                <w:color w:val="auto"/>
              </w:rPr>
            </w:pPr>
          </w:p>
        </w:tc>
        <w:tc>
          <w:tcPr>
            <w:tcW w:w="18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320" w:type="dxa"/>
            <w:vAlign w:val="bottom"/>
            <w:gridSpan w:val="2"/>
            <w:shd w:val="clear" w:color="auto" w:fill="CCEEFF"/>
          </w:tcPr>
          <w:p>
            <w:pPr>
              <w:jc w:val="right"/>
              <w:ind w:right="480"/>
              <w:spacing w:after="0"/>
              <w:rPr>
                <w:sz w:val="20"/>
                <w:szCs w:val="20"/>
                <w:color w:val="auto"/>
              </w:rPr>
            </w:pPr>
            <w:r>
              <w:rPr>
                <w:rFonts w:ascii="Arial" w:cs="Arial" w:eastAsia="Arial" w:hAnsi="Arial"/>
                <w:sz w:val="13"/>
                <w:szCs w:val="13"/>
                <w:color w:val="auto"/>
              </w:rPr>
              <w:t>244,531</w:t>
            </w:r>
          </w:p>
        </w:tc>
        <w:tc>
          <w:tcPr>
            <w:tcW w:w="220" w:type="dxa"/>
            <w:vAlign w:val="bottom"/>
            <w:shd w:val="clear" w:color="auto" w:fill="CCEEFF"/>
          </w:tcPr>
          <w:p>
            <w:pPr>
              <w:spacing w:after="0"/>
              <w:rPr>
                <w:sz w:val="13"/>
                <w:szCs w:val="1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3,469,017</w:t>
            </w:r>
          </w:p>
        </w:tc>
        <w:tc>
          <w:tcPr>
            <w:tcW w:w="2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407,389</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2009</w:t>
            </w:r>
          </w:p>
        </w:tc>
        <w:tc>
          <w:tcPr>
            <w:tcW w:w="428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20" w:type="dxa"/>
            <w:vAlign w:val="bottom"/>
            <w:gridSpan w:val="2"/>
          </w:tcPr>
          <w:p>
            <w:pPr>
              <w:jc w:val="right"/>
              <w:ind w:right="480"/>
              <w:spacing w:after="0"/>
              <w:rPr>
                <w:sz w:val="20"/>
                <w:szCs w:val="20"/>
                <w:color w:val="auto"/>
              </w:rPr>
            </w:pPr>
            <w:r>
              <w:rPr>
                <w:rFonts w:ascii="Arial" w:cs="Arial" w:eastAsia="Arial" w:hAnsi="Arial"/>
                <w:sz w:val="13"/>
                <w:szCs w:val="13"/>
                <w:color w:val="auto"/>
              </w:rPr>
              <w:t>244,572</w:t>
            </w:r>
          </w:p>
        </w:tc>
        <w:tc>
          <w:tcPr>
            <w:tcW w:w="22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3,536,843</w:t>
            </w: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387,210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020" w:type="dxa"/>
            <w:vAlign w:val="bottom"/>
            <w:shd w:val="clear" w:color="auto" w:fill="CCEEFF"/>
          </w:tcPr>
          <w:p>
            <w:pPr>
              <w:spacing w:after="0"/>
              <w:rPr>
                <w:sz w:val="20"/>
                <w:szCs w:val="20"/>
                <w:color w:val="auto"/>
              </w:rPr>
            </w:pPr>
            <w:r>
              <w:rPr>
                <w:rFonts w:ascii="Arial" w:cs="Arial" w:eastAsia="Arial" w:hAnsi="Arial"/>
                <w:sz w:val="13"/>
                <w:szCs w:val="13"/>
                <w:color w:val="auto"/>
              </w:rPr>
              <w:t>2010</w:t>
            </w:r>
          </w:p>
        </w:tc>
        <w:tc>
          <w:tcPr>
            <w:tcW w:w="4280" w:type="dxa"/>
            <w:vAlign w:val="bottom"/>
            <w:shd w:val="clear" w:color="auto" w:fill="CCEEFF"/>
          </w:tcPr>
          <w:p>
            <w:pPr>
              <w:spacing w:after="0"/>
              <w:rPr>
                <w:sz w:val="13"/>
                <w:szCs w:val="13"/>
                <w:color w:val="auto"/>
              </w:rPr>
            </w:pPr>
          </w:p>
        </w:tc>
        <w:tc>
          <w:tcPr>
            <w:tcW w:w="18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320" w:type="dxa"/>
            <w:vAlign w:val="bottom"/>
            <w:gridSpan w:val="2"/>
            <w:shd w:val="clear" w:color="auto" w:fill="CCEEFF"/>
          </w:tcPr>
          <w:p>
            <w:pPr>
              <w:jc w:val="right"/>
              <w:ind w:right="480"/>
              <w:spacing w:after="0"/>
              <w:rPr>
                <w:sz w:val="20"/>
                <w:szCs w:val="20"/>
                <w:color w:val="auto"/>
              </w:rPr>
            </w:pPr>
            <w:r>
              <w:rPr>
                <w:rFonts w:ascii="Arial" w:cs="Arial" w:eastAsia="Arial" w:hAnsi="Arial"/>
                <w:sz w:val="13"/>
                <w:szCs w:val="13"/>
                <w:color w:val="auto"/>
              </w:rPr>
              <w:t>242,560</w:t>
            </w:r>
          </w:p>
        </w:tc>
        <w:tc>
          <w:tcPr>
            <w:tcW w:w="220" w:type="dxa"/>
            <w:vAlign w:val="bottom"/>
            <w:shd w:val="clear" w:color="auto" w:fill="CCEEFF"/>
          </w:tcPr>
          <w:p>
            <w:pPr>
              <w:spacing w:after="0"/>
              <w:rPr>
                <w:sz w:val="13"/>
                <w:szCs w:val="1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1,767,304</w:t>
            </w:r>
          </w:p>
        </w:tc>
        <w:tc>
          <w:tcPr>
            <w:tcW w:w="2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97,508</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5300" w:type="dxa"/>
            <w:vAlign w:val="bottom"/>
            <w:gridSpan w:val="2"/>
          </w:tcPr>
          <w:p>
            <w:pPr>
              <w:spacing w:after="0"/>
              <w:rPr>
                <w:sz w:val="20"/>
                <w:szCs w:val="20"/>
                <w:color w:val="auto"/>
              </w:rPr>
            </w:pPr>
            <w:r>
              <w:rPr>
                <w:rFonts w:ascii="Arial" w:cs="Arial" w:eastAsia="Arial" w:hAnsi="Arial"/>
                <w:sz w:val="13"/>
                <w:szCs w:val="13"/>
                <w:color w:val="auto"/>
              </w:rPr>
              <w:t>Thereafter</w:t>
            </w:r>
          </w:p>
        </w:tc>
        <w:tc>
          <w:tcPr>
            <w:tcW w:w="1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20" w:type="dxa"/>
            <w:vAlign w:val="bottom"/>
            <w:gridSpan w:val="2"/>
          </w:tcPr>
          <w:p>
            <w:pPr>
              <w:jc w:val="right"/>
              <w:ind w:right="480"/>
              <w:spacing w:after="0"/>
              <w:rPr>
                <w:sz w:val="20"/>
                <w:szCs w:val="20"/>
                <w:color w:val="auto"/>
              </w:rPr>
            </w:pPr>
            <w:r>
              <w:rPr>
                <w:rFonts w:ascii="Arial" w:cs="Arial" w:eastAsia="Arial" w:hAnsi="Arial"/>
                <w:sz w:val="13"/>
                <w:szCs w:val="13"/>
                <w:color w:val="auto"/>
              </w:rPr>
              <w:t>857,431</w:t>
            </w:r>
          </w:p>
        </w:tc>
        <w:tc>
          <w:tcPr>
            <w:tcW w:w="22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3,076,172</w:t>
            </w: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20" w:type="dxa"/>
            <w:vAlign w:val="bottom"/>
            <w:vMerge w:val="continue"/>
          </w:tcPr>
          <w:p>
            <w:pPr>
              <w:spacing w:after="0"/>
              <w:rPr>
                <w:sz w:val="14"/>
                <w:szCs w:val="14"/>
                <w:color w:val="auto"/>
              </w:rPr>
            </w:pPr>
          </w:p>
        </w:tc>
        <w:tc>
          <w:tcPr>
            <w:tcW w:w="53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Total minimum lease payments</w:t>
            </w:r>
          </w:p>
        </w:tc>
        <w:tc>
          <w:tcPr>
            <w:tcW w:w="18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320" w:type="dxa"/>
            <w:vAlign w:val="bottom"/>
            <w:gridSpan w:val="2"/>
            <w:shd w:val="clear" w:color="auto" w:fill="CCEEFF"/>
          </w:tcPr>
          <w:p>
            <w:pPr>
              <w:jc w:val="right"/>
              <w:ind w:right="480"/>
              <w:spacing w:after="0"/>
              <w:rPr>
                <w:sz w:val="20"/>
                <w:szCs w:val="20"/>
                <w:color w:val="auto"/>
              </w:rPr>
            </w:pPr>
            <w:r>
              <w:rPr>
                <w:rFonts w:ascii="Arial" w:cs="Arial" w:eastAsia="Arial" w:hAnsi="Arial"/>
                <w:sz w:val="13"/>
                <w:szCs w:val="13"/>
                <w:color w:val="auto"/>
              </w:rPr>
              <w:t>2,381,739</w:t>
            </w:r>
          </w:p>
        </w:tc>
        <w:tc>
          <w:tcPr>
            <w:tcW w:w="220" w:type="dxa"/>
            <w:vAlign w:val="bottom"/>
            <w:shd w:val="clear" w:color="auto" w:fill="CCEEFF"/>
          </w:tcPr>
          <w:p>
            <w:pPr>
              <w:jc w:val="right"/>
              <w:ind w:right="111"/>
              <w:spacing w:after="0"/>
              <w:rPr>
                <w:sz w:val="20"/>
                <w:szCs w:val="20"/>
                <w:color w:val="auto"/>
              </w:rPr>
            </w:pPr>
            <w:r>
              <w:rPr>
                <w:rFonts w:ascii="Arial" w:cs="Arial" w:eastAsia="Arial" w:hAnsi="Arial"/>
                <w:sz w:val="10"/>
                <w:szCs w:val="10"/>
                <w:color w:val="auto"/>
                <w:w w:val="71"/>
              </w:rPr>
              <w:t>$</w:t>
            </w: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17,846,427</w:t>
            </w:r>
          </w:p>
        </w:tc>
        <w:tc>
          <w:tcPr>
            <w:tcW w:w="4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2,381,843</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5320" w:type="dxa"/>
            <w:vAlign w:val="bottom"/>
            <w:gridSpan w:val="3"/>
          </w:tcPr>
          <w:p>
            <w:pPr>
              <w:spacing w:after="0"/>
              <w:rPr>
                <w:sz w:val="20"/>
                <w:szCs w:val="20"/>
                <w:color w:val="auto"/>
              </w:rPr>
            </w:pPr>
            <w:r>
              <w:rPr>
                <w:rFonts w:ascii="Arial" w:cs="Arial" w:eastAsia="Arial" w:hAnsi="Arial"/>
                <w:sz w:val="13"/>
                <w:szCs w:val="13"/>
                <w:color w:val="auto"/>
              </w:rPr>
              <w:t>Less amounts representing interest</w:t>
            </w:r>
          </w:p>
        </w:tc>
        <w:tc>
          <w:tcPr>
            <w:tcW w:w="1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20" w:type="dxa"/>
            <w:vAlign w:val="bottom"/>
            <w:gridSpan w:val="2"/>
          </w:tcPr>
          <w:p>
            <w:pPr>
              <w:jc w:val="right"/>
              <w:ind w:right="480"/>
              <w:spacing w:after="0"/>
              <w:rPr>
                <w:sz w:val="20"/>
                <w:szCs w:val="20"/>
                <w:color w:val="auto"/>
              </w:rPr>
            </w:pPr>
            <w:r>
              <w:rPr>
                <w:rFonts w:ascii="Arial" w:cs="Arial" w:eastAsia="Arial" w:hAnsi="Arial"/>
                <w:sz w:val="13"/>
                <w:szCs w:val="13"/>
                <w:color w:val="auto"/>
              </w:rPr>
              <w:t>721,646</w:t>
            </w:r>
          </w:p>
        </w:tc>
        <w:tc>
          <w:tcPr>
            <w:tcW w:w="22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20" w:type="dxa"/>
            <w:vAlign w:val="bottom"/>
            <w:vMerge w:val="continue"/>
          </w:tcPr>
          <w:p>
            <w:pPr>
              <w:spacing w:after="0"/>
              <w:rPr>
                <w:sz w:val="13"/>
                <w:szCs w:val="13"/>
                <w:color w:val="auto"/>
              </w:rPr>
            </w:pPr>
          </w:p>
        </w:tc>
        <w:tc>
          <w:tcPr>
            <w:tcW w:w="53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Present value of minimum lease payments</w:t>
            </w:r>
          </w:p>
        </w:tc>
        <w:tc>
          <w:tcPr>
            <w:tcW w:w="18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320" w:type="dxa"/>
            <w:vAlign w:val="bottom"/>
            <w:gridSpan w:val="2"/>
            <w:shd w:val="clear" w:color="auto" w:fill="CCEEFF"/>
          </w:tcPr>
          <w:p>
            <w:pPr>
              <w:jc w:val="right"/>
              <w:ind w:right="480"/>
              <w:spacing w:after="0"/>
              <w:rPr>
                <w:sz w:val="20"/>
                <w:szCs w:val="20"/>
                <w:color w:val="auto"/>
              </w:rPr>
            </w:pPr>
            <w:r>
              <w:rPr>
                <w:rFonts w:ascii="Arial" w:cs="Arial" w:eastAsia="Arial" w:hAnsi="Arial"/>
                <w:sz w:val="13"/>
                <w:szCs w:val="13"/>
                <w:color w:val="auto"/>
              </w:rPr>
              <w:t>1,660,093</w:t>
            </w:r>
          </w:p>
        </w:tc>
        <w:tc>
          <w:tcPr>
            <w:tcW w:w="22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5300" w:type="dxa"/>
            <w:vAlign w:val="bottom"/>
            <w:gridSpan w:val="2"/>
          </w:tcPr>
          <w:p>
            <w:pPr>
              <w:spacing w:after="0"/>
              <w:rPr>
                <w:sz w:val="20"/>
                <w:szCs w:val="20"/>
                <w:color w:val="auto"/>
              </w:rPr>
            </w:pPr>
            <w:r>
              <w:rPr>
                <w:rFonts w:ascii="Arial" w:cs="Arial" w:eastAsia="Arial" w:hAnsi="Arial"/>
                <w:sz w:val="13"/>
                <w:szCs w:val="13"/>
                <w:color w:val="auto"/>
              </w:rPr>
              <w:t>Less current maturities</w:t>
            </w:r>
          </w:p>
        </w:tc>
        <w:tc>
          <w:tcPr>
            <w:tcW w:w="1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20" w:type="dxa"/>
            <w:vAlign w:val="bottom"/>
            <w:gridSpan w:val="2"/>
          </w:tcPr>
          <w:p>
            <w:pPr>
              <w:jc w:val="right"/>
              <w:ind w:right="480"/>
              <w:spacing w:after="0"/>
              <w:rPr>
                <w:sz w:val="20"/>
                <w:szCs w:val="20"/>
                <w:color w:val="auto"/>
              </w:rPr>
            </w:pPr>
            <w:r>
              <w:rPr>
                <w:rFonts w:ascii="Arial" w:cs="Arial" w:eastAsia="Arial" w:hAnsi="Arial"/>
                <w:sz w:val="13"/>
                <w:szCs w:val="13"/>
                <w:color w:val="auto"/>
              </w:rPr>
              <w:t>308,843</w:t>
            </w: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20" w:type="dxa"/>
            <w:vAlign w:val="bottom"/>
            <w:vMerge w:val="continue"/>
          </w:tcPr>
          <w:p>
            <w:pPr>
              <w:spacing w:after="0"/>
              <w:rPr>
                <w:sz w:val="14"/>
                <w:szCs w:val="14"/>
                <w:color w:val="auto"/>
              </w:rPr>
            </w:pPr>
          </w:p>
        </w:tc>
        <w:tc>
          <w:tcPr>
            <w:tcW w:w="53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Capital lease obligations and bonds payable, less current maturities</w:t>
            </w:r>
          </w:p>
        </w:tc>
        <w:tc>
          <w:tcPr>
            <w:tcW w:w="18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54"/>
              <w:spacing w:after="0"/>
              <w:rPr>
                <w:sz w:val="20"/>
                <w:szCs w:val="20"/>
                <w:color w:val="auto"/>
              </w:rPr>
            </w:pPr>
            <w:r>
              <w:rPr>
                <w:rFonts w:ascii="Arial" w:cs="Arial" w:eastAsia="Arial" w:hAnsi="Arial"/>
                <w:sz w:val="13"/>
                <w:szCs w:val="13"/>
                <w:color w:val="auto"/>
                <w:w w:val="82"/>
              </w:rPr>
              <w:t>$</w:t>
            </w:r>
          </w:p>
        </w:tc>
        <w:tc>
          <w:tcPr>
            <w:tcW w:w="1320" w:type="dxa"/>
            <w:vAlign w:val="bottom"/>
            <w:gridSpan w:val="2"/>
            <w:shd w:val="clear" w:color="auto" w:fill="CCEEFF"/>
          </w:tcPr>
          <w:p>
            <w:pPr>
              <w:jc w:val="right"/>
              <w:ind w:right="480"/>
              <w:spacing w:after="0"/>
              <w:rPr>
                <w:sz w:val="20"/>
                <w:szCs w:val="20"/>
                <w:color w:val="auto"/>
              </w:rPr>
            </w:pPr>
            <w:r>
              <w:rPr>
                <w:rFonts w:ascii="Arial" w:cs="Arial" w:eastAsia="Arial" w:hAnsi="Arial"/>
                <w:sz w:val="13"/>
                <w:szCs w:val="13"/>
                <w:color w:val="auto"/>
              </w:rPr>
              <w:t>1,351,250</w:t>
            </w:r>
          </w:p>
        </w:tc>
        <w:tc>
          <w:tcPr>
            <w:tcW w:w="2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4280" w:type="dxa"/>
            <w:vAlign w:val="bottom"/>
          </w:tcPr>
          <w:p>
            <w:pPr>
              <w:spacing w:after="0"/>
              <w:rPr>
                <w:sz w:val="9"/>
                <w:szCs w:val="9"/>
                <w:color w:val="auto"/>
              </w:rPr>
            </w:pPr>
          </w:p>
        </w:tc>
        <w:tc>
          <w:tcPr>
            <w:tcW w:w="1800" w:type="dxa"/>
            <w:vAlign w:val="bottom"/>
          </w:tcPr>
          <w:p>
            <w:pPr>
              <w:spacing w:after="0"/>
              <w:rPr>
                <w:sz w:val="9"/>
                <w:szCs w:val="9"/>
                <w:color w:val="auto"/>
              </w:rPr>
            </w:pPr>
          </w:p>
        </w:tc>
        <w:tc>
          <w:tcPr>
            <w:tcW w:w="200" w:type="dxa"/>
            <w:vAlign w:val="bottom"/>
            <w:tcBorders>
              <w:top w:val="single" w:sz="8" w:color="auto"/>
            </w:tcBorders>
          </w:tcPr>
          <w:p>
            <w:pPr>
              <w:spacing w:after="0"/>
              <w:rPr>
                <w:sz w:val="9"/>
                <w:szCs w:val="9"/>
                <w:color w:val="auto"/>
              </w:rPr>
            </w:pPr>
          </w:p>
        </w:tc>
        <w:tc>
          <w:tcPr>
            <w:tcW w:w="840" w:type="dxa"/>
            <w:vAlign w:val="bottom"/>
            <w:tcBorders>
              <w:top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220" w:type="dxa"/>
            <w:vAlign w:val="bottom"/>
            <w:tcBorders>
              <w:top w:val="single" w:sz="8" w:color="auto"/>
            </w:tcBorders>
          </w:tcPr>
          <w:p>
            <w:pPr>
              <w:spacing w:after="0"/>
              <w:rPr>
                <w:sz w:val="9"/>
                <w:szCs w:val="9"/>
                <w:color w:val="auto"/>
              </w:rPr>
            </w:pPr>
          </w:p>
        </w:tc>
        <w:tc>
          <w:tcPr>
            <w:tcW w:w="1020" w:type="dxa"/>
            <w:vAlign w:val="bottom"/>
            <w:tcBorders>
              <w:top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84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5660" w:right="3100" w:hanging="5578"/>
        <w:spacing w:after="0" w:line="734" w:lineRule="auto"/>
        <w:tabs>
          <w:tab w:leader="none" w:pos="344" w:val="left"/>
        </w:tabs>
        <w:numPr>
          <w:ilvl w:val="0"/>
          <w:numId w:val="27"/>
        </w:numPr>
        <w:rPr>
          <w:rFonts w:ascii="Arial" w:cs="Arial" w:eastAsia="Arial" w:hAnsi="Arial"/>
          <w:sz w:val="13"/>
          <w:szCs w:val="13"/>
          <w:color w:val="auto"/>
        </w:rPr>
      </w:pPr>
      <w:r>
        <w:rPr>
          <w:rFonts w:ascii="Arial" w:cs="Arial" w:eastAsia="Arial" w:hAnsi="Arial"/>
          <w:sz w:val="13"/>
          <w:szCs w:val="13"/>
          <w:color w:val="auto"/>
        </w:rPr>
        <w:t>Includes Bonds payable Rent expense for the years ended December 31, 2005, 2004 and 2003, was $1,611,000, $1,109,000 and $1,040,000 respectively. 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-97155</wp:posOffset>
            </wp:positionV>
            <wp:extent cx="7290435" cy="1905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59" w:name="page60"/>
    <w:bookmarkEnd w:id="59"/>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StemCells, Inc.</w:t>
      </w:r>
    </w:p>
    <w:p>
      <w:pPr>
        <w:spacing w:after="0" w:line="96"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175" w:lineRule="exact"/>
        <w:rPr>
          <w:sz w:val="20"/>
          <w:szCs w:val="20"/>
          <w:color w:val="auto"/>
        </w:rPr>
      </w:pPr>
    </w:p>
    <w:p>
      <w:pPr>
        <w:ind w:left="680"/>
        <w:spacing w:after="0"/>
        <w:tabs>
          <w:tab w:leader="none" w:pos="1480" w:val="left"/>
        </w:tabs>
        <w:rPr>
          <w:sz w:val="20"/>
          <w:szCs w:val="20"/>
          <w:color w:val="auto"/>
        </w:rPr>
      </w:pPr>
      <w:r>
        <w:rPr>
          <w:rFonts w:ascii="Arial" w:cs="Arial" w:eastAsia="Arial" w:hAnsi="Arial"/>
          <w:sz w:val="13"/>
          <w:szCs w:val="13"/>
          <w:b w:val="1"/>
          <w:bCs w:val="1"/>
          <w:color w:val="auto"/>
        </w:rPr>
        <w:t>Note 7.</w:t>
      </w:r>
      <w:r>
        <w:rPr>
          <w:sz w:val="20"/>
          <w:szCs w:val="20"/>
          <w:color w:val="auto"/>
        </w:rPr>
        <w:tab/>
      </w:r>
      <w:r>
        <w:rPr>
          <w:rFonts w:ascii="Arial" w:cs="Arial" w:eastAsia="Arial" w:hAnsi="Arial"/>
          <w:sz w:val="11"/>
          <w:szCs w:val="11"/>
          <w:b w:val="1"/>
          <w:bCs w:val="1"/>
          <w:color w:val="auto"/>
        </w:rPr>
        <w:t>Grants</w:t>
      </w:r>
    </w:p>
    <w:p>
      <w:pPr>
        <w:spacing w:after="0" w:line="100" w:lineRule="exact"/>
        <w:rPr>
          <w:sz w:val="20"/>
          <w:szCs w:val="20"/>
          <w:color w:val="auto"/>
        </w:rPr>
      </w:pPr>
    </w:p>
    <w:p>
      <w:pPr>
        <w:ind w:left="680" w:right="280" w:firstLine="399"/>
        <w:spacing w:after="0" w:line="289" w:lineRule="auto"/>
        <w:rPr>
          <w:sz w:val="20"/>
          <w:szCs w:val="20"/>
          <w:color w:val="auto"/>
        </w:rPr>
      </w:pPr>
      <w:r>
        <w:rPr>
          <w:rFonts w:ascii="Arial" w:cs="Arial" w:eastAsia="Arial" w:hAnsi="Arial"/>
          <w:sz w:val="12"/>
          <w:szCs w:val="12"/>
          <w:color w:val="auto"/>
        </w:rPr>
        <w:t>On September 30, 2001, the Company was awarded a four-year, $225,000 per year grant from the National Institute of Diabetes &amp; Digestive &amp; Kidney Disorders of the National Institutes of Health for the Company’s liver stem cell program which focuses on identifying liver stem and progenitor cells for the treatment of liver diseases. The grant is subject to the availability of funds and satisfactory progress of the project. For this award, the Company has recognized $56,000, $225,000 and $112,000 as grant revenue for 2001, 2002 and 2003 respectively. The Company did not draw further funds from this grant after 2003 as it no longer pursued the particular research it covered.</w:t>
      </w:r>
    </w:p>
    <w:p>
      <w:pPr>
        <w:spacing w:after="0" w:line="53" w:lineRule="exact"/>
        <w:rPr>
          <w:sz w:val="20"/>
          <w:szCs w:val="20"/>
          <w:color w:val="auto"/>
        </w:rPr>
      </w:pPr>
    </w:p>
    <w:p>
      <w:pPr>
        <w:ind w:left="680" w:right="220" w:firstLine="399"/>
        <w:spacing w:after="0" w:line="264" w:lineRule="auto"/>
        <w:rPr>
          <w:sz w:val="20"/>
          <w:szCs w:val="20"/>
          <w:color w:val="auto"/>
        </w:rPr>
      </w:pPr>
      <w:r>
        <w:rPr>
          <w:rFonts w:ascii="Arial" w:cs="Arial" w:eastAsia="Arial" w:hAnsi="Arial"/>
          <w:sz w:val="13"/>
          <w:szCs w:val="13"/>
          <w:color w:val="auto"/>
        </w:rPr>
        <w:t>In September 2003 the Company was awarded a one year, $342,000 Small Business Innovation Research grant from the National Institute of Neurological Disease and Stroke (NINDS), to further its work in the treatment of spinal cord injuries. For this award, the Company has recognized $143,000 and $93,000 as grant revenue for 2003 and 2004, respectively. The remaining $106,000 was reimbursed to a subcontractor.</w:t>
      </w:r>
    </w:p>
    <w:p>
      <w:pPr>
        <w:spacing w:after="0" w:line="67"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In September 2004 the Company was awarded a Small Business Technology Transfer (STTR) grant for approximately $464,000 over one and one half years for studies in</w:t>
      </w:r>
    </w:p>
    <w:p>
      <w:pPr>
        <w:spacing w:after="0" w:line="27" w:lineRule="exact"/>
        <w:rPr>
          <w:sz w:val="20"/>
          <w:szCs w:val="20"/>
          <w:color w:val="auto"/>
        </w:rPr>
      </w:pPr>
    </w:p>
    <w:p>
      <w:pPr>
        <w:ind w:left="680"/>
        <w:spacing w:after="0"/>
        <w:rPr>
          <w:sz w:val="20"/>
          <w:szCs w:val="20"/>
          <w:color w:val="auto"/>
        </w:rPr>
      </w:pPr>
      <w:r>
        <w:rPr>
          <w:rFonts w:ascii="Arial" w:cs="Arial" w:eastAsia="Arial" w:hAnsi="Arial"/>
          <w:sz w:val="12"/>
          <w:szCs w:val="12"/>
          <w:color w:val="auto"/>
        </w:rPr>
        <w:t>Alzheimer’s disease. The grant supports joint work with Dr. George A. Carlson of the McLaughlin Research Institute (MRI) in Great Falls, Montana. The Company is entitled to receive</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1"/>
          <w:szCs w:val="11"/>
          <w:color w:val="auto"/>
        </w:rPr>
        <w:t>$243,000, and the remainder of $221,000 will be be reimbursed to MRI. For this award the Company has recognized $26,000 and $186,000 as grant revenue for 2004 and 2005, respectively.</w:t>
      </w:r>
    </w:p>
    <w:p>
      <w:pPr>
        <w:spacing w:after="0" w:line="186" w:lineRule="exact"/>
        <w:rPr>
          <w:sz w:val="20"/>
          <w:szCs w:val="20"/>
          <w:color w:val="auto"/>
        </w:rPr>
      </w:pPr>
    </w:p>
    <w:p>
      <w:pPr>
        <w:ind w:left="680"/>
        <w:spacing w:after="0"/>
        <w:tabs>
          <w:tab w:leader="none" w:pos="1480" w:val="left"/>
        </w:tabs>
        <w:rPr>
          <w:sz w:val="20"/>
          <w:szCs w:val="20"/>
          <w:color w:val="auto"/>
        </w:rPr>
      </w:pPr>
      <w:r>
        <w:rPr>
          <w:rFonts w:ascii="Arial" w:cs="Arial" w:eastAsia="Arial" w:hAnsi="Arial"/>
          <w:sz w:val="13"/>
          <w:szCs w:val="13"/>
          <w:b w:val="1"/>
          <w:bCs w:val="1"/>
          <w:color w:val="auto"/>
        </w:rPr>
        <w:t>Note 8.</w:t>
      </w:r>
      <w:r>
        <w:rPr>
          <w:sz w:val="20"/>
          <w:szCs w:val="20"/>
          <w:color w:val="auto"/>
        </w:rPr>
        <w:tab/>
      </w:r>
      <w:r>
        <w:rPr>
          <w:rFonts w:ascii="Arial" w:cs="Arial" w:eastAsia="Arial" w:hAnsi="Arial"/>
          <w:sz w:val="11"/>
          <w:szCs w:val="11"/>
          <w:b w:val="1"/>
          <w:bCs w:val="1"/>
          <w:color w:val="auto"/>
        </w:rPr>
        <w:t>Wind-down of Encapsulated Cell Technology Research and Development Program</w:t>
      </w:r>
    </w:p>
    <w:p>
      <w:pPr>
        <w:spacing w:after="0" w:line="100" w:lineRule="exact"/>
        <w:rPr>
          <w:sz w:val="20"/>
          <w:szCs w:val="20"/>
          <w:color w:val="auto"/>
        </w:rPr>
      </w:pPr>
    </w:p>
    <w:p>
      <w:pPr>
        <w:ind w:left="680" w:right="20" w:firstLine="399"/>
        <w:spacing w:after="0" w:line="264" w:lineRule="auto"/>
        <w:rPr>
          <w:sz w:val="20"/>
          <w:szCs w:val="20"/>
          <w:color w:val="auto"/>
        </w:rPr>
      </w:pPr>
      <w:r>
        <w:rPr>
          <w:rFonts w:ascii="Arial" w:cs="Arial" w:eastAsia="Arial" w:hAnsi="Arial"/>
          <w:sz w:val="13"/>
          <w:szCs w:val="13"/>
          <w:color w:val="auto"/>
        </w:rPr>
        <w:t>In July 1999, the Company decided to restructure its research operations by abandoning its former encapsulated cell technology program and to concentrate its resources on the research and development of its proprietary platform of stem cell technologies. The Company wound down its research and manufacturing operations in Lincoln, Rhode Island, and relocated its remaining research and development activities and its corporate headquarters to California, in October 1999.</w:t>
      </w:r>
    </w:p>
    <w:p>
      <w:pPr>
        <w:spacing w:after="0" w:line="67" w:lineRule="exact"/>
        <w:rPr>
          <w:sz w:val="20"/>
          <w:szCs w:val="20"/>
          <w:color w:val="auto"/>
        </w:rPr>
      </w:pPr>
    </w:p>
    <w:p>
      <w:pPr>
        <w:ind w:left="680" w:firstLine="399"/>
        <w:spacing w:after="0" w:line="285" w:lineRule="auto"/>
        <w:rPr>
          <w:sz w:val="20"/>
          <w:szCs w:val="20"/>
          <w:color w:val="auto"/>
        </w:rPr>
      </w:pPr>
      <w:r>
        <w:rPr>
          <w:rFonts w:ascii="Arial" w:cs="Arial" w:eastAsia="Arial" w:hAnsi="Arial"/>
          <w:sz w:val="12"/>
          <w:szCs w:val="12"/>
          <w:color w:val="auto"/>
        </w:rPr>
        <w:t>The Company established a reserve for the estimated lease payments and operating costs of the Rhode Island facilities. In determining the facility exit cost reserve amount, the Company is required to consider its lease payments through to the end of the lease term and estimate other relevant factors such as facility operating expenses, real estate market conditions in Rhode Island for similar facilities, occupancy rates and sublease rental rates projected over the course of the lease. The Company re-evaluates the estimate each quarter, taking account of changes, if any, in each underlying factor. The process is inherently subjective because it involves projections over time — from the date of the estimate through the end of the lease — and it is not possible to determine any of the factors except the lease payments with certainty over that period.</w:t>
      </w:r>
    </w:p>
    <w:p>
      <w:pPr>
        <w:spacing w:after="0" w:line="55" w:lineRule="exact"/>
        <w:rPr>
          <w:sz w:val="20"/>
          <w:szCs w:val="20"/>
          <w:color w:val="auto"/>
        </w:rPr>
      </w:pPr>
    </w:p>
    <w:p>
      <w:pPr>
        <w:ind w:left="680" w:right="80" w:firstLine="399"/>
        <w:spacing w:after="0" w:line="279" w:lineRule="auto"/>
        <w:rPr>
          <w:sz w:val="20"/>
          <w:szCs w:val="20"/>
          <w:color w:val="auto"/>
        </w:rPr>
      </w:pPr>
      <w:r>
        <w:rPr>
          <w:rFonts w:ascii="Arial" w:cs="Arial" w:eastAsia="Arial" w:hAnsi="Arial"/>
          <w:sz w:val="12"/>
          <w:szCs w:val="12"/>
          <w:color w:val="auto"/>
        </w:rPr>
        <w:t>In 2003, the Company incurred approximately $984,000 in actual operating expenses for this facility, of which approximately $775,000 was recorded against the reserve and the remainder was recorded as wind-down expenses. At the end of 2003, the Company revised the reserve at December 31, 2003, to approximately $2,676,000. In 2004, the Company recorded approximately $1,152,000 in operating expenses against the reserve. In 2004, after evaluating the aforementioned factors, at the end of each quarter, the Company re-evaluated its estimate and adjusted the reserve by recording in total, approximately $2,826,000 as additional wind-down expense. At December 31, 2004, the adjusted reserve was approximately $4,350,000. In 2005, the Company incurred approximately $1,079,000 in operating expenses against the reserve. The Company re-valued the reserve to approximately $4,568,000, $5,482,000, $5,520,000 and $6,098,000 at March 31, 2005, June 30, 2005, September 30, 2005, and December 31, 2005, respectively, by recording approximately $521,000, $1,197,000, $297,000 and $812,000 respectively as additional wind-down expenses. At December 31, 2005, the adjusted reserve was approximately $6,098,000. Even though it is the intent of the Company to dispose of the facility at the earliest possible time, it cannot determine with certainty a fixed date by which such disposal will occur. In light of this uncertainty, based on estimates, the Company will periodically re-evaluate and adjust the reserve.</w:t>
      </w:r>
    </w:p>
    <w:p>
      <w:pPr>
        <w:spacing w:after="0" w:line="267"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60" w:name="page61"/>
    <w:bookmarkEnd w:id="60"/>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StemCells, Inc.</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179" w:lineRule="exact"/>
        <w:rPr>
          <w:sz w:val="20"/>
          <w:szCs w:val="20"/>
          <w:color w:val="auto"/>
        </w:rPr>
      </w:pPr>
    </w:p>
    <w:p>
      <w:pPr>
        <w:ind w:left="120"/>
        <w:spacing w:after="0"/>
        <w:rPr>
          <w:sz w:val="20"/>
          <w:szCs w:val="20"/>
          <w:color w:val="auto"/>
        </w:rPr>
      </w:pPr>
      <w:r>
        <w:rPr>
          <w:rFonts w:ascii="Arial" w:cs="Arial" w:eastAsia="Arial" w:hAnsi="Arial"/>
          <w:sz w:val="13"/>
          <w:szCs w:val="13"/>
          <w:b w:val="1"/>
          <w:bCs w:val="1"/>
          <w:i w:val="1"/>
          <w:iCs w:val="1"/>
          <w:color w:val="auto"/>
        </w:rPr>
        <w:t>Wind-down reserve</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460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gridSpan w:val="2"/>
          </w:tcPr>
          <w:p>
            <w:pPr>
              <w:jc w:val="right"/>
              <w:ind w:right="288"/>
              <w:spacing w:after="0"/>
              <w:rPr>
                <w:sz w:val="20"/>
                <w:szCs w:val="20"/>
                <w:color w:val="auto"/>
              </w:rPr>
            </w:pPr>
            <w:r>
              <w:rPr>
                <w:rFonts w:ascii="Arial" w:cs="Arial" w:eastAsia="Arial" w:hAnsi="Arial"/>
                <w:sz w:val="10"/>
                <w:szCs w:val="10"/>
                <w:b w:val="1"/>
                <w:bCs w:val="1"/>
                <w:color w:val="auto"/>
                <w:w w:val="94"/>
              </w:rPr>
              <w:t>Period Covered</w:t>
            </w:r>
          </w:p>
        </w:tc>
        <w:tc>
          <w:tcPr>
            <w:tcW w:w="20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46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160" w:type="dxa"/>
            <w:vAlign w:val="bottom"/>
            <w:gridSpan w:val="2"/>
          </w:tcPr>
          <w:p>
            <w:pPr>
              <w:jc w:val="center"/>
              <w:ind w:right="400"/>
              <w:spacing w:after="0" w:line="81" w:lineRule="exact"/>
              <w:rPr>
                <w:sz w:val="20"/>
                <w:szCs w:val="20"/>
                <w:color w:val="auto"/>
              </w:rPr>
            </w:pPr>
            <w:r>
              <w:rPr>
                <w:rFonts w:ascii="Arial" w:cs="Arial" w:eastAsia="Arial" w:hAnsi="Arial"/>
                <w:sz w:val="9"/>
                <w:szCs w:val="9"/>
                <w:b w:val="1"/>
                <w:bCs w:val="1"/>
                <w:color w:val="auto"/>
              </w:rPr>
              <w:t>January 1 to</w:t>
            </w:r>
          </w:p>
        </w:tc>
        <w:tc>
          <w:tcPr>
            <w:tcW w:w="2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60" w:type="dxa"/>
            <w:vAlign w:val="bottom"/>
            <w:gridSpan w:val="2"/>
          </w:tcPr>
          <w:p>
            <w:pPr>
              <w:jc w:val="center"/>
              <w:ind w:right="528"/>
              <w:spacing w:after="0" w:line="81" w:lineRule="exact"/>
              <w:rPr>
                <w:sz w:val="20"/>
                <w:szCs w:val="20"/>
                <w:color w:val="auto"/>
              </w:rPr>
            </w:pPr>
            <w:r>
              <w:rPr>
                <w:rFonts w:ascii="Arial" w:cs="Arial" w:eastAsia="Arial" w:hAnsi="Arial"/>
                <w:sz w:val="9"/>
                <w:szCs w:val="9"/>
                <w:b w:val="1"/>
                <w:bCs w:val="1"/>
                <w:color w:val="auto"/>
              </w:rPr>
              <w:t>January 1 to</w:t>
            </w:r>
          </w:p>
        </w:tc>
        <w:tc>
          <w:tcPr>
            <w:tcW w:w="100" w:type="dxa"/>
            <w:vAlign w:val="bottom"/>
          </w:tcPr>
          <w:p>
            <w:pPr>
              <w:spacing w:after="0"/>
              <w:rPr>
                <w:sz w:val="7"/>
                <w:szCs w:val="7"/>
                <w:color w:val="auto"/>
              </w:rPr>
            </w:pPr>
          </w:p>
        </w:tc>
        <w:tc>
          <w:tcPr>
            <w:tcW w:w="1060" w:type="dxa"/>
            <w:vAlign w:val="bottom"/>
            <w:gridSpan w:val="2"/>
          </w:tcPr>
          <w:p>
            <w:pPr>
              <w:jc w:val="center"/>
              <w:ind w:right="288"/>
              <w:spacing w:after="0" w:line="81" w:lineRule="exact"/>
              <w:rPr>
                <w:sz w:val="20"/>
                <w:szCs w:val="20"/>
                <w:color w:val="auto"/>
              </w:rPr>
            </w:pPr>
            <w:r>
              <w:rPr>
                <w:rFonts w:ascii="Arial" w:cs="Arial" w:eastAsia="Arial" w:hAnsi="Arial"/>
                <w:sz w:val="9"/>
                <w:szCs w:val="9"/>
                <w:b w:val="1"/>
                <w:bCs w:val="1"/>
                <w:color w:val="auto"/>
              </w:rPr>
              <w:t>April 1 to</w:t>
            </w:r>
          </w:p>
        </w:tc>
        <w:tc>
          <w:tcPr>
            <w:tcW w:w="2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140" w:type="dxa"/>
            <w:vAlign w:val="bottom"/>
            <w:gridSpan w:val="2"/>
          </w:tcPr>
          <w:p>
            <w:pPr>
              <w:jc w:val="center"/>
              <w:ind w:right="400"/>
              <w:spacing w:after="0" w:line="81" w:lineRule="exact"/>
              <w:rPr>
                <w:sz w:val="20"/>
                <w:szCs w:val="20"/>
                <w:color w:val="auto"/>
              </w:rPr>
            </w:pPr>
            <w:r>
              <w:rPr>
                <w:rFonts w:ascii="Arial" w:cs="Arial" w:eastAsia="Arial" w:hAnsi="Arial"/>
                <w:sz w:val="9"/>
                <w:szCs w:val="9"/>
                <w:b w:val="1"/>
                <w:bCs w:val="1"/>
                <w:color w:val="auto"/>
              </w:rPr>
              <w:t>July 1 to</w:t>
            </w:r>
          </w:p>
        </w:tc>
        <w:tc>
          <w:tcPr>
            <w:tcW w:w="200" w:type="dxa"/>
            <w:vAlign w:val="bottom"/>
          </w:tcPr>
          <w:p>
            <w:pPr>
              <w:spacing w:after="0"/>
              <w:rPr>
                <w:sz w:val="7"/>
                <w:szCs w:val="7"/>
                <w:color w:val="auto"/>
              </w:rPr>
            </w:pPr>
          </w:p>
        </w:tc>
        <w:tc>
          <w:tcPr>
            <w:tcW w:w="140" w:type="dxa"/>
            <w:vAlign w:val="bottom"/>
          </w:tcPr>
          <w:p>
            <w:pPr>
              <w:spacing w:after="0"/>
              <w:rPr>
                <w:sz w:val="7"/>
                <w:szCs w:val="7"/>
                <w:color w:val="auto"/>
              </w:rPr>
            </w:pPr>
          </w:p>
        </w:tc>
        <w:tc>
          <w:tcPr>
            <w:tcW w:w="880" w:type="dxa"/>
            <w:vAlign w:val="bottom"/>
          </w:tcPr>
          <w:p>
            <w:pPr>
              <w:jc w:val="center"/>
              <w:ind w:right="78"/>
              <w:spacing w:after="0" w:line="81" w:lineRule="exact"/>
              <w:rPr>
                <w:sz w:val="20"/>
                <w:szCs w:val="20"/>
                <w:color w:val="auto"/>
              </w:rPr>
            </w:pPr>
            <w:r>
              <w:rPr>
                <w:rFonts w:ascii="Arial" w:cs="Arial" w:eastAsia="Arial" w:hAnsi="Arial"/>
                <w:sz w:val="9"/>
                <w:szCs w:val="9"/>
                <w:b w:val="1"/>
                <w:bCs w:val="1"/>
                <w:color w:val="auto"/>
              </w:rPr>
              <w:t>October 1 to</w:t>
            </w: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46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60" w:type="dxa"/>
            <w:vAlign w:val="bottom"/>
            <w:gridSpan w:val="2"/>
          </w:tcPr>
          <w:p>
            <w:pPr>
              <w:jc w:val="center"/>
              <w:ind w:right="400"/>
              <w:spacing w:after="0" w:line="108" w:lineRule="exact"/>
              <w:rPr>
                <w:sz w:val="20"/>
                <w:szCs w:val="20"/>
                <w:color w:val="auto"/>
              </w:rPr>
            </w:pPr>
            <w:r>
              <w:rPr>
                <w:rFonts w:ascii="Arial" w:cs="Arial" w:eastAsia="Arial" w:hAnsi="Arial"/>
                <w:sz w:val="10"/>
                <w:szCs w:val="10"/>
                <w:b w:val="1"/>
                <w:bCs w:val="1"/>
                <w:color w:val="auto"/>
                <w:w w:val="92"/>
              </w:rPr>
              <w:t>December 31,</w:t>
            </w: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60" w:type="dxa"/>
            <w:vAlign w:val="bottom"/>
            <w:gridSpan w:val="2"/>
          </w:tcPr>
          <w:p>
            <w:pPr>
              <w:jc w:val="center"/>
              <w:ind w:right="548"/>
              <w:spacing w:after="0" w:line="108" w:lineRule="exact"/>
              <w:rPr>
                <w:sz w:val="20"/>
                <w:szCs w:val="20"/>
                <w:color w:val="auto"/>
              </w:rPr>
            </w:pPr>
            <w:r>
              <w:rPr>
                <w:rFonts w:ascii="Arial" w:cs="Arial" w:eastAsia="Arial" w:hAnsi="Arial"/>
                <w:sz w:val="10"/>
                <w:szCs w:val="10"/>
                <w:b w:val="1"/>
                <w:bCs w:val="1"/>
                <w:color w:val="auto"/>
                <w:w w:val="99"/>
              </w:rPr>
              <w:t>March 31,</w:t>
            </w:r>
          </w:p>
        </w:tc>
        <w:tc>
          <w:tcPr>
            <w:tcW w:w="100" w:type="dxa"/>
            <w:vAlign w:val="bottom"/>
          </w:tcPr>
          <w:p>
            <w:pPr>
              <w:spacing w:after="0"/>
              <w:rPr>
                <w:sz w:val="9"/>
                <w:szCs w:val="9"/>
                <w:color w:val="auto"/>
              </w:rPr>
            </w:pPr>
          </w:p>
        </w:tc>
        <w:tc>
          <w:tcPr>
            <w:tcW w:w="1060" w:type="dxa"/>
            <w:vAlign w:val="bottom"/>
            <w:gridSpan w:val="2"/>
          </w:tcPr>
          <w:p>
            <w:pPr>
              <w:jc w:val="center"/>
              <w:ind w:right="288"/>
              <w:spacing w:after="0" w:line="108" w:lineRule="exact"/>
              <w:rPr>
                <w:sz w:val="20"/>
                <w:szCs w:val="20"/>
                <w:color w:val="auto"/>
              </w:rPr>
            </w:pPr>
            <w:r>
              <w:rPr>
                <w:rFonts w:ascii="Arial" w:cs="Arial" w:eastAsia="Arial" w:hAnsi="Arial"/>
                <w:sz w:val="10"/>
                <w:szCs w:val="10"/>
                <w:b w:val="1"/>
                <w:bCs w:val="1"/>
                <w:color w:val="auto"/>
                <w:w w:val="89"/>
              </w:rPr>
              <w:t>June 30,</w:t>
            </w: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40" w:type="dxa"/>
            <w:vAlign w:val="bottom"/>
            <w:gridSpan w:val="2"/>
          </w:tcPr>
          <w:p>
            <w:pPr>
              <w:jc w:val="center"/>
              <w:ind w:right="380"/>
              <w:spacing w:after="0" w:line="108" w:lineRule="exact"/>
              <w:rPr>
                <w:sz w:val="20"/>
                <w:szCs w:val="20"/>
                <w:color w:val="auto"/>
              </w:rPr>
            </w:pPr>
            <w:r>
              <w:rPr>
                <w:rFonts w:ascii="Arial" w:cs="Arial" w:eastAsia="Arial" w:hAnsi="Arial"/>
                <w:sz w:val="10"/>
                <w:szCs w:val="10"/>
                <w:b w:val="1"/>
                <w:bCs w:val="1"/>
                <w:color w:val="auto"/>
                <w:w w:val="93"/>
              </w:rPr>
              <w:t>September 30,</w:t>
            </w: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980" w:type="dxa"/>
            <w:vAlign w:val="bottom"/>
            <w:gridSpan w:val="2"/>
          </w:tcPr>
          <w:p>
            <w:pPr>
              <w:jc w:val="center"/>
              <w:ind w:right="240"/>
              <w:spacing w:after="0" w:line="108" w:lineRule="exact"/>
              <w:rPr>
                <w:sz w:val="20"/>
                <w:szCs w:val="20"/>
                <w:color w:val="auto"/>
              </w:rPr>
            </w:pPr>
            <w:r>
              <w:rPr>
                <w:rFonts w:ascii="Arial" w:cs="Arial" w:eastAsia="Arial" w:hAnsi="Arial"/>
                <w:sz w:val="10"/>
                <w:szCs w:val="10"/>
                <w:b w:val="1"/>
                <w:bCs w:val="1"/>
                <w:color w:val="auto"/>
                <w:w w:val="95"/>
              </w:rPr>
              <w:t>December 31,</w:t>
            </w:r>
          </w:p>
        </w:tc>
        <w:tc>
          <w:tcPr>
            <w:tcW w:w="0" w:type="dxa"/>
            <w:vAlign w:val="bottom"/>
          </w:tcPr>
          <w:p>
            <w:pPr>
              <w:spacing w:after="0"/>
              <w:rPr>
                <w:sz w:val="1"/>
                <w:szCs w:val="1"/>
                <w:color w:val="auto"/>
              </w:rPr>
            </w:pPr>
          </w:p>
        </w:tc>
      </w:tr>
      <w:tr>
        <w:trPr>
          <w:trHeight w:val="125"/>
        </w:trPr>
        <w:tc>
          <w:tcPr>
            <w:tcW w:w="460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jc w:val="center"/>
              <w:ind w:right="78"/>
              <w:spacing w:after="0"/>
              <w:rPr>
                <w:sz w:val="20"/>
                <w:szCs w:val="20"/>
                <w:color w:val="auto"/>
              </w:rPr>
            </w:pPr>
            <w:r>
              <w:rPr>
                <w:rFonts w:ascii="Arial" w:cs="Arial" w:eastAsia="Arial" w:hAnsi="Arial"/>
                <w:sz w:val="10"/>
                <w:szCs w:val="10"/>
                <w:b w:val="1"/>
                <w:bCs w:val="1"/>
                <w:color w:val="auto"/>
                <w:w w:val="89"/>
              </w:rPr>
              <w:t>2004</w:t>
            </w:r>
          </w:p>
        </w:tc>
        <w:tc>
          <w:tcPr>
            <w:tcW w:w="2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jc w:val="center"/>
              <w:ind w:right="78"/>
              <w:spacing w:after="0"/>
              <w:rPr>
                <w:sz w:val="20"/>
                <w:szCs w:val="20"/>
                <w:color w:val="auto"/>
              </w:rPr>
            </w:pPr>
            <w:r>
              <w:rPr>
                <w:rFonts w:ascii="Arial" w:cs="Arial" w:eastAsia="Arial" w:hAnsi="Arial"/>
                <w:sz w:val="10"/>
                <w:szCs w:val="10"/>
                <w:b w:val="1"/>
                <w:bCs w:val="1"/>
                <w:color w:val="auto"/>
                <w:w w:val="98"/>
              </w:rPr>
              <w:t>2005</w:t>
            </w:r>
          </w:p>
        </w:tc>
        <w:tc>
          <w:tcPr>
            <w:tcW w:w="460" w:type="dxa"/>
            <w:vAlign w:val="bottom"/>
            <w:vMerge w:val="restart"/>
          </w:tcPr>
          <w:p>
            <w:pPr>
              <w:jc w:val="right"/>
              <w:ind w:right="8"/>
              <w:spacing w:after="0"/>
              <w:rPr>
                <w:sz w:val="20"/>
                <w:szCs w:val="20"/>
                <w:color w:val="auto"/>
              </w:rPr>
            </w:pPr>
            <w:r>
              <w:rPr>
                <w:rFonts w:ascii="Arial" w:cs="Arial" w:eastAsia="Arial" w:hAnsi="Arial"/>
                <w:sz w:val="10"/>
                <w:szCs w:val="10"/>
                <w:b w:val="1"/>
                <w:bCs w:val="1"/>
                <w:color w:val="auto"/>
                <w:w w:val="81"/>
              </w:rPr>
              <w:t>(Amounts</w:t>
            </w:r>
          </w:p>
        </w:tc>
        <w:tc>
          <w:tcPr>
            <w:tcW w:w="10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jc w:val="center"/>
              <w:ind w:right="39"/>
              <w:spacing w:after="0"/>
              <w:rPr>
                <w:sz w:val="20"/>
                <w:szCs w:val="20"/>
                <w:color w:val="auto"/>
              </w:rPr>
            </w:pPr>
            <w:r>
              <w:rPr>
                <w:rFonts w:ascii="Arial" w:cs="Arial" w:eastAsia="Arial" w:hAnsi="Arial"/>
                <w:sz w:val="10"/>
                <w:szCs w:val="10"/>
                <w:b w:val="1"/>
                <w:bCs w:val="1"/>
                <w:color w:val="auto"/>
                <w:w w:val="89"/>
              </w:rPr>
              <w:t>2005</w:t>
            </w:r>
          </w:p>
        </w:tc>
        <w:tc>
          <w:tcPr>
            <w:tcW w:w="440" w:type="dxa"/>
            <w:vAlign w:val="bottom"/>
            <w:gridSpan w:val="2"/>
            <w:vMerge w:val="restart"/>
          </w:tcPr>
          <w:p>
            <w:pPr>
              <w:ind w:left="80"/>
              <w:spacing w:after="0"/>
              <w:rPr>
                <w:sz w:val="20"/>
                <w:szCs w:val="20"/>
                <w:color w:val="auto"/>
              </w:rPr>
            </w:pPr>
            <w:r>
              <w:rPr>
                <w:rFonts w:ascii="Arial" w:cs="Arial" w:eastAsia="Arial" w:hAnsi="Arial"/>
                <w:sz w:val="10"/>
                <w:szCs w:val="10"/>
                <w:b w:val="1"/>
                <w:bCs w:val="1"/>
                <w:color w:val="auto"/>
                <w:w w:val="70"/>
              </w:rPr>
              <w:t>thousand)</w:t>
            </w:r>
          </w:p>
        </w:tc>
        <w:tc>
          <w:tcPr>
            <w:tcW w:w="14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jc w:val="center"/>
              <w:ind w:right="58"/>
              <w:spacing w:after="0"/>
              <w:rPr>
                <w:sz w:val="20"/>
                <w:szCs w:val="20"/>
                <w:color w:val="auto"/>
              </w:rPr>
            </w:pPr>
            <w:r>
              <w:rPr>
                <w:rFonts w:ascii="Arial" w:cs="Arial" w:eastAsia="Arial" w:hAnsi="Arial"/>
                <w:sz w:val="10"/>
                <w:szCs w:val="10"/>
                <w:b w:val="1"/>
                <w:bCs w:val="1"/>
                <w:color w:val="auto"/>
                <w:w w:val="89"/>
              </w:rPr>
              <w:t>2005</w:t>
            </w: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jc w:val="center"/>
              <w:ind w:right="78"/>
              <w:spacing w:after="0"/>
              <w:rPr>
                <w:sz w:val="20"/>
                <w:szCs w:val="20"/>
                <w:color w:val="auto"/>
              </w:rPr>
            </w:pPr>
            <w:r>
              <w:rPr>
                <w:rFonts w:ascii="Arial" w:cs="Arial" w:eastAsia="Arial" w:hAnsi="Arial"/>
                <w:sz w:val="10"/>
                <w:szCs w:val="10"/>
                <w:b w:val="1"/>
                <w:bCs w:val="1"/>
                <w:color w:val="auto"/>
                <w:w w:val="98"/>
              </w:rPr>
              <w:t>2005</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4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60" w:type="dxa"/>
            <w:vAlign w:val="bottom"/>
            <w:vMerge w:val="continue"/>
          </w:tcPr>
          <w:p>
            <w:pPr>
              <w:spacing w:after="0"/>
              <w:rPr>
                <w:sz w:val="10"/>
                <w:szCs w:val="10"/>
                <w:color w:val="auto"/>
              </w:rPr>
            </w:pPr>
          </w:p>
        </w:tc>
        <w:tc>
          <w:tcPr>
            <w:tcW w:w="920" w:type="dxa"/>
            <w:vAlign w:val="bottom"/>
            <w:gridSpan w:val="2"/>
          </w:tcPr>
          <w:p>
            <w:pPr>
              <w:spacing w:after="0"/>
              <w:rPr>
                <w:sz w:val="20"/>
                <w:szCs w:val="20"/>
                <w:color w:val="auto"/>
              </w:rPr>
            </w:pPr>
            <w:r>
              <w:rPr>
                <w:rFonts w:ascii="Arial" w:cs="Arial" w:eastAsia="Arial" w:hAnsi="Arial"/>
                <w:sz w:val="10"/>
                <w:szCs w:val="10"/>
                <w:b w:val="1"/>
                <w:bCs w:val="1"/>
                <w:color w:val="auto"/>
                <w:w w:val="83"/>
              </w:rPr>
              <w:t>rounded to the nearest</w:t>
            </w:r>
          </w:p>
        </w:tc>
        <w:tc>
          <w:tcPr>
            <w:tcW w:w="44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4600" w:type="dxa"/>
            <w:vAlign w:val="bottom"/>
            <w:shd w:val="clear" w:color="auto" w:fill="CCEEFF"/>
          </w:tcPr>
          <w:p>
            <w:pPr>
              <w:spacing w:after="0"/>
              <w:rPr>
                <w:sz w:val="20"/>
                <w:szCs w:val="20"/>
                <w:color w:val="auto"/>
              </w:rPr>
            </w:pPr>
            <w:r>
              <w:rPr>
                <w:rFonts w:ascii="Arial" w:cs="Arial" w:eastAsia="Arial" w:hAnsi="Arial"/>
                <w:sz w:val="13"/>
                <w:szCs w:val="13"/>
                <w:color w:val="auto"/>
              </w:rPr>
              <w:t>Accrued wind-down reserve at beginning of period</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2,676,000</w:t>
            </w:r>
          </w:p>
        </w:tc>
        <w:tc>
          <w:tcPr>
            <w:tcW w:w="260" w:type="dxa"/>
            <w:vAlign w:val="bottom"/>
            <w:shd w:val="clear" w:color="auto" w:fill="CCEEFF"/>
          </w:tcPr>
          <w:p>
            <w:pPr>
              <w:spacing w:after="0"/>
              <w:rPr>
                <w:sz w:val="14"/>
                <w:szCs w:val="14"/>
                <w:color w:val="auto"/>
              </w:rPr>
            </w:pPr>
          </w:p>
        </w:tc>
        <w:tc>
          <w:tcPr>
            <w:tcW w:w="3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1260" w:type="dxa"/>
            <w:vAlign w:val="bottom"/>
            <w:gridSpan w:val="2"/>
            <w:shd w:val="clear" w:color="auto" w:fill="CCEEFF"/>
          </w:tcPr>
          <w:p>
            <w:pPr>
              <w:jc w:val="right"/>
              <w:ind w:right="408"/>
              <w:spacing w:after="0"/>
              <w:rPr>
                <w:sz w:val="20"/>
                <w:szCs w:val="20"/>
                <w:color w:val="auto"/>
              </w:rPr>
            </w:pPr>
            <w:r>
              <w:rPr>
                <w:rFonts w:ascii="Arial" w:cs="Arial" w:eastAsia="Arial" w:hAnsi="Arial"/>
                <w:sz w:val="13"/>
                <w:szCs w:val="13"/>
                <w:color w:val="auto"/>
              </w:rPr>
              <w:t>4,350,000</w:t>
            </w:r>
          </w:p>
        </w:tc>
        <w:tc>
          <w:tcPr>
            <w:tcW w:w="100" w:type="dxa"/>
            <w:vAlign w:val="bottom"/>
            <w:shd w:val="clear" w:color="auto" w:fill="CCEEFF"/>
          </w:tcPr>
          <w:p>
            <w:pPr>
              <w:spacing w:after="0"/>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4,568,000</w:t>
            </w:r>
          </w:p>
        </w:tc>
        <w:tc>
          <w:tcPr>
            <w:tcW w:w="240" w:type="dxa"/>
            <w:vAlign w:val="bottom"/>
            <w:shd w:val="clear" w:color="auto" w:fill="CCEEFF"/>
          </w:tcPr>
          <w:p>
            <w:pPr>
              <w:spacing w:after="0"/>
              <w:rPr>
                <w:sz w:val="14"/>
                <w:szCs w:val="14"/>
                <w:color w:val="auto"/>
              </w:rPr>
            </w:pPr>
          </w:p>
        </w:tc>
        <w:tc>
          <w:tcPr>
            <w:tcW w:w="3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5,482,000</w:t>
            </w:r>
          </w:p>
        </w:tc>
        <w:tc>
          <w:tcPr>
            <w:tcW w:w="260" w:type="dxa"/>
            <w:vAlign w:val="bottom"/>
            <w:shd w:val="clear" w:color="auto" w:fill="CCEEFF"/>
          </w:tcPr>
          <w:p>
            <w:pPr>
              <w:spacing w:after="0"/>
              <w:rPr>
                <w:sz w:val="14"/>
                <w:szCs w:val="14"/>
                <w:color w:val="auto"/>
              </w:rPr>
            </w:pP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5,520,000</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4600" w:type="dxa"/>
            <w:vAlign w:val="bottom"/>
          </w:tcPr>
          <w:p>
            <w:pPr>
              <w:spacing w:after="0"/>
              <w:rPr>
                <w:sz w:val="20"/>
                <w:szCs w:val="20"/>
                <w:color w:val="auto"/>
              </w:rPr>
            </w:pPr>
            <w:r>
              <w:rPr>
                <w:rFonts w:ascii="Arial" w:cs="Arial" w:eastAsia="Arial" w:hAnsi="Arial"/>
                <w:sz w:val="13"/>
                <w:szCs w:val="13"/>
                <w:color w:val="auto"/>
              </w:rPr>
              <w:t>Less actual expenses recorded against estimated reserve during the period</w:t>
            </w:r>
          </w:p>
        </w:tc>
        <w:tc>
          <w:tcPr>
            <w:tcW w:w="140" w:type="dxa"/>
            <w:vAlign w:val="bottom"/>
          </w:tcPr>
          <w:p>
            <w:pPr>
              <w:spacing w:after="0"/>
              <w:rPr>
                <w:sz w:val="13"/>
                <w:szCs w:val="13"/>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3"/>
                <w:szCs w:val="13"/>
                <w:color w:val="auto"/>
              </w:rPr>
              <w:t>(1,152,000)</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gridSpan w:val="2"/>
          </w:tcPr>
          <w:p>
            <w:pPr>
              <w:jc w:val="right"/>
              <w:ind w:right="368"/>
              <w:spacing w:after="0"/>
              <w:rPr>
                <w:sz w:val="20"/>
                <w:szCs w:val="20"/>
                <w:color w:val="auto"/>
              </w:rPr>
            </w:pPr>
            <w:r>
              <w:rPr>
                <w:rFonts w:ascii="Arial" w:cs="Arial" w:eastAsia="Arial" w:hAnsi="Arial"/>
                <w:sz w:val="13"/>
                <w:szCs w:val="13"/>
                <w:color w:val="auto"/>
              </w:rPr>
              <w:t>(303,000)</w:t>
            </w:r>
          </w:p>
        </w:tc>
        <w:tc>
          <w:tcPr>
            <w:tcW w:w="100" w:type="dxa"/>
            <w:vAlign w:val="bottom"/>
          </w:tcPr>
          <w:p>
            <w:pPr>
              <w:spacing w:after="0"/>
              <w:rPr>
                <w:sz w:val="13"/>
                <w:szCs w:val="13"/>
                <w:color w:val="auto"/>
              </w:rPr>
            </w:pPr>
          </w:p>
        </w:tc>
        <w:tc>
          <w:tcPr>
            <w:tcW w:w="1060" w:type="dxa"/>
            <w:vAlign w:val="bottom"/>
            <w:gridSpan w:val="2"/>
          </w:tcPr>
          <w:p>
            <w:pPr>
              <w:jc w:val="right"/>
              <w:ind w:right="148"/>
              <w:spacing w:after="0"/>
              <w:rPr>
                <w:sz w:val="20"/>
                <w:szCs w:val="20"/>
                <w:color w:val="auto"/>
              </w:rPr>
            </w:pPr>
            <w:r>
              <w:rPr>
                <w:rFonts w:ascii="Arial" w:cs="Arial" w:eastAsia="Arial" w:hAnsi="Arial"/>
                <w:sz w:val="13"/>
                <w:szCs w:val="13"/>
                <w:color w:val="auto"/>
              </w:rPr>
              <w:t>(283,000)</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3"/>
                <w:szCs w:val="13"/>
                <w:color w:val="auto"/>
              </w:rPr>
              <w:t>(259,000)</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3"/>
                <w:szCs w:val="13"/>
                <w:color w:val="auto"/>
              </w:rPr>
              <w:t>(234,000)</w:t>
            </w:r>
          </w:p>
        </w:tc>
        <w:tc>
          <w:tcPr>
            <w:tcW w:w="0" w:type="dxa"/>
            <w:vAlign w:val="bottom"/>
          </w:tcPr>
          <w:p>
            <w:pPr>
              <w:spacing w:after="0"/>
              <w:rPr>
                <w:sz w:val="1"/>
                <w:szCs w:val="1"/>
                <w:color w:val="auto"/>
              </w:rPr>
            </w:pPr>
          </w:p>
        </w:tc>
      </w:tr>
      <w:tr>
        <w:trPr>
          <w:trHeight w:val="157"/>
        </w:trPr>
        <w:tc>
          <w:tcPr>
            <w:tcW w:w="4600" w:type="dxa"/>
            <w:vAlign w:val="bottom"/>
            <w:shd w:val="clear" w:color="auto" w:fill="CCEEFF"/>
          </w:tcPr>
          <w:p>
            <w:pPr>
              <w:spacing w:after="0"/>
              <w:rPr>
                <w:sz w:val="20"/>
                <w:szCs w:val="20"/>
                <w:color w:val="auto"/>
              </w:rPr>
            </w:pPr>
            <w:r>
              <w:rPr>
                <w:rFonts w:ascii="Arial" w:cs="Arial" w:eastAsia="Arial" w:hAnsi="Arial"/>
                <w:sz w:val="13"/>
                <w:szCs w:val="13"/>
                <w:color w:val="auto"/>
              </w:rPr>
              <w:t>Additional expense recorded to revise estimated reserve at period-end</w:t>
            </w:r>
          </w:p>
        </w:tc>
        <w:tc>
          <w:tcPr>
            <w:tcW w:w="14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2,826,000</w:t>
            </w:r>
          </w:p>
        </w:tc>
        <w:tc>
          <w:tcPr>
            <w:tcW w:w="2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521,000</w:t>
            </w:r>
          </w:p>
        </w:tc>
        <w:tc>
          <w:tcPr>
            <w:tcW w:w="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1,197,000</w:t>
            </w:r>
          </w:p>
        </w:tc>
        <w:tc>
          <w:tcPr>
            <w:tcW w:w="2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297,000</w:t>
            </w:r>
          </w:p>
        </w:tc>
        <w:tc>
          <w:tcPr>
            <w:tcW w:w="2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812,000</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600" w:type="dxa"/>
            <w:vAlign w:val="bottom"/>
          </w:tcPr>
          <w:p>
            <w:pPr>
              <w:spacing w:after="0"/>
              <w:rPr>
                <w:sz w:val="20"/>
                <w:szCs w:val="20"/>
                <w:color w:val="auto"/>
              </w:rPr>
            </w:pPr>
            <w:r>
              <w:rPr>
                <w:rFonts w:ascii="Arial" w:cs="Arial" w:eastAsia="Arial" w:hAnsi="Arial"/>
                <w:sz w:val="13"/>
                <w:szCs w:val="13"/>
                <w:color w:val="auto"/>
              </w:rPr>
              <w:t>Revised reserve at period-end</w:t>
            </w:r>
          </w:p>
        </w:tc>
        <w:tc>
          <w:tcPr>
            <w:tcW w:w="14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4,350,000</w:t>
            </w: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4,568,000</w:t>
            </w:r>
          </w:p>
        </w:tc>
        <w:tc>
          <w:tcPr>
            <w:tcW w:w="46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5,482,000</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5,520,000</w:t>
            </w: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6,098,000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4600" w:type="dxa"/>
            <w:vAlign w:val="bottom"/>
            <w:shd w:val="clear" w:color="auto" w:fill="CCEEFF"/>
          </w:tcPr>
          <w:p>
            <w:pPr>
              <w:spacing w:after="0"/>
              <w:rPr>
                <w:sz w:val="20"/>
                <w:szCs w:val="20"/>
                <w:color w:val="auto"/>
              </w:rPr>
            </w:pPr>
            <w:r>
              <w:rPr>
                <w:rFonts w:ascii="Arial" w:cs="Arial" w:eastAsia="Arial" w:hAnsi="Arial"/>
                <w:sz w:val="13"/>
                <w:szCs w:val="13"/>
                <w:color w:val="auto"/>
              </w:rPr>
              <w:t>Add deferred rent at period end</w:t>
            </w:r>
          </w:p>
        </w:tc>
        <w:tc>
          <w:tcPr>
            <w:tcW w:w="140" w:type="dxa"/>
            <w:vAlign w:val="bottom"/>
            <w:tcBorders>
              <w:bottom w:val="single" w:sz="8" w:color="auto"/>
            </w:tcBorders>
            <w:shd w:val="clear" w:color="auto" w:fill="CCEEFF"/>
          </w:tcPr>
          <w:p>
            <w:pPr>
              <w:spacing w:after="0"/>
              <w:rPr>
                <w:sz w:val="13"/>
                <w:szCs w:val="13"/>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1,178,000</w:t>
            </w:r>
          </w:p>
        </w:tc>
        <w:tc>
          <w:tcPr>
            <w:tcW w:w="2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1,185,000</w:t>
            </w:r>
          </w:p>
        </w:tc>
        <w:tc>
          <w:tcPr>
            <w:tcW w:w="46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1,192,000</w:t>
            </w:r>
          </w:p>
        </w:tc>
        <w:tc>
          <w:tcPr>
            <w:tcW w:w="2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1,200,000</w:t>
            </w:r>
          </w:p>
        </w:tc>
        <w:tc>
          <w:tcPr>
            <w:tcW w:w="2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1,208,000</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600" w:type="dxa"/>
            <w:vAlign w:val="bottom"/>
          </w:tcPr>
          <w:p>
            <w:pPr>
              <w:spacing w:after="0"/>
              <w:rPr>
                <w:sz w:val="20"/>
                <w:szCs w:val="20"/>
                <w:color w:val="auto"/>
              </w:rPr>
            </w:pPr>
            <w:r>
              <w:rPr>
                <w:rFonts w:ascii="Arial" w:cs="Arial" w:eastAsia="Arial" w:hAnsi="Arial"/>
                <w:sz w:val="13"/>
                <w:szCs w:val="13"/>
                <w:color w:val="auto"/>
                <w:w w:val="96"/>
              </w:rPr>
              <w:t>Total accrued wind-down expenses at period-end (current and non current portion)</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900" w:type="dxa"/>
            <w:vAlign w:val="bottom"/>
          </w:tcPr>
          <w:p>
            <w:pPr>
              <w:jc w:val="right"/>
              <w:spacing w:after="0"/>
              <w:rPr>
                <w:sz w:val="20"/>
                <w:szCs w:val="20"/>
                <w:color w:val="auto"/>
              </w:rPr>
            </w:pPr>
            <w:r>
              <w:rPr>
                <w:rFonts w:ascii="Arial" w:cs="Arial" w:eastAsia="Arial" w:hAnsi="Arial"/>
                <w:sz w:val="13"/>
                <w:szCs w:val="13"/>
                <w:color w:val="auto"/>
              </w:rPr>
              <w:t>5,528,000</w:t>
            </w:r>
          </w:p>
        </w:tc>
        <w:tc>
          <w:tcPr>
            <w:tcW w:w="260" w:type="dxa"/>
            <w:vAlign w:val="bottom"/>
          </w:tcPr>
          <w:p>
            <w:pPr>
              <w:spacing w:after="0"/>
              <w:rPr>
                <w:sz w:val="13"/>
                <w:szCs w:val="13"/>
                <w:color w:val="auto"/>
              </w:rPr>
            </w:pPr>
          </w:p>
        </w:tc>
        <w:tc>
          <w:tcPr>
            <w:tcW w:w="34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1260" w:type="dxa"/>
            <w:vAlign w:val="bottom"/>
            <w:gridSpan w:val="2"/>
          </w:tcPr>
          <w:p>
            <w:pPr>
              <w:jc w:val="right"/>
              <w:ind w:right="408"/>
              <w:spacing w:after="0"/>
              <w:rPr>
                <w:sz w:val="20"/>
                <w:szCs w:val="20"/>
                <w:color w:val="auto"/>
              </w:rPr>
            </w:pPr>
            <w:r>
              <w:rPr>
                <w:rFonts w:ascii="Arial" w:cs="Arial" w:eastAsia="Arial" w:hAnsi="Arial"/>
                <w:sz w:val="13"/>
                <w:szCs w:val="13"/>
                <w:color w:val="auto"/>
              </w:rPr>
              <w:t>5,753,000</w:t>
            </w:r>
          </w:p>
        </w:tc>
        <w:tc>
          <w:tcPr>
            <w:tcW w:w="100" w:type="dxa"/>
            <w:vAlign w:val="bottom"/>
          </w:tcPr>
          <w:p>
            <w:pPr>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6,674,000</w:t>
            </w:r>
          </w:p>
        </w:tc>
        <w:tc>
          <w:tcPr>
            <w:tcW w:w="240" w:type="dxa"/>
            <w:vAlign w:val="bottom"/>
          </w:tcPr>
          <w:p>
            <w:pPr>
              <w:spacing w:after="0"/>
              <w:rPr>
                <w:sz w:val="13"/>
                <w:szCs w:val="13"/>
                <w:color w:val="auto"/>
              </w:rPr>
            </w:pPr>
          </w:p>
        </w:tc>
        <w:tc>
          <w:tcPr>
            <w:tcW w:w="34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6,720,000</w:t>
            </w:r>
          </w:p>
        </w:tc>
        <w:tc>
          <w:tcPr>
            <w:tcW w:w="260" w:type="dxa"/>
            <w:vAlign w:val="bottom"/>
          </w:tcPr>
          <w:p>
            <w:pPr>
              <w:spacing w:after="0"/>
              <w:rPr>
                <w:sz w:val="13"/>
                <w:szCs w:val="13"/>
                <w:color w:val="auto"/>
              </w:rPr>
            </w:pPr>
          </w:p>
        </w:tc>
        <w:tc>
          <w:tcPr>
            <w:tcW w:w="34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7,306,000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
        </w:trPr>
        <w:tc>
          <w:tcPr>
            <w:tcW w:w="46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2"/>
        </w:trPr>
        <w:tc>
          <w:tcPr>
            <w:tcW w:w="4600" w:type="dxa"/>
            <w:vAlign w:val="bottom"/>
            <w:shd w:val="clear" w:color="auto" w:fill="CCEEFF"/>
          </w:tcPr>
          <w:p>
            <w:pPr>
              <w:spacing w:after="0"/>
              <w:rPr>
                <w:sz w:val="20"/>
                <w:szCs w:val="20"/>
                <w:color w:val="auto"/>
              </w:rPr>
            </w:pPr>
            <w:r>
              <w:rPr>
                <w:rFonts w:ascii="Arial" w:cs="Arial" w:eastAsia="Arial" w:hAnsi="Arial"/>
                <w:sz w:val="13"/>
                <w:szCs w:val="13"/>
                <w:color w:val="auto"/>
              </w:rPr>
              <w:t>Accrued wind-down Expenses Current Portion</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1,013,000</w:t>
            </w:r>
          </w:p>
        </w:tc>
        <w:tc>
          <w:tcPr>
            <w:tcW w:w="260" w:type="dxa"/>
            <w:vAlign w:val="bottom"/>
            <w:shd w:val="clear" w:color="auto" w:fill="CCEEFF"/>
          </w:tcPr>
          <w:p>
            <w:pPr>
              <w:spacing w:after="0"/>
              <w:rPr>
                <w:sz w:val="14"/>
                <w:szCs w:val="14"/>
                <w:color w:val="auto"/>
              </w:rPr>
            </w:pPr>
          </w:p>
        </w:tc>
        <w:tc>
          <w:tcPr>
            <w:tcW w:w="3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1260" w:type="dxa"/>
            <w:vAlign w:val="bottom"/>
            <w:gridSpan w:val="2"/>
            <w:shd w:val="clear" w:color="auto" w:fill="CCEEFF"/>
          </w:tcPr>
          <w:p>
            <w:pPr>
              <w:jc w:val="right"/>
              <w:ind w:right="408"/>
              <w:spacing w:after="0"/>
              <w:rPr>
                <w:sz w:val="20"/>
                <w:szCs w:val="20"/>
                <w:color w:val="auto"/>
              </w:rPr>
            </w:pPr>
            <w:r>
              <w:rPr>
                <w:rFonts w:ascii="Arial" w:cs="Arial" w:eastAsia="Arial" w:hAnsi="Arial"/>
                <w:sz w:val="13"/>
                <w:szCs w:val="13"/>
                <w:color w:val="auto"/>
              </w:rPr>
              <w:t>1,034,000</w:t>
            </w:r>
          </w:p>
        </w:tc>
        <w:tc>
          <w:tcPr>
            <w:tcW w:w="100" w:type="dxa"/>
            <w:vAlign w:val="bottom"/>
            <w:shd w:val="clear" w:color="auto" w:fill="CCEEFF"/>
          </w:tcPr>
          <w:p>
            <w:pPr>
              <w:spacing w:after="0"/>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1,095,000</w:t>
            </w:r>
          </w:p>
        </w:tc>
        <w:tc>
          <w:tcPr>
            <w:tcW w:w="240" w:type="dxa"/>
            <w:vAlign w:val="bottom"/>
            <w:shd w:val="clear" w:color="auto" w:fill="CCEEFF"/>
          </w:tcPr>
          <w:p>
            <w:pPr>
              <w:spacing w:after="0"/>
              <w:rPr>
                <w:sz w:val="14"/>
                <w:szCs w:val="14"/>
                <w:color w:val="auto"/>
              </w:rPr>
            </w:pPr>
          </w:p>
        </w:tc>
        <w:tc>
          <w:tcPr>
            <w:tcW w:w="3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1,151,000</w:t>
            </w:r>
          </w:p>
        </w:tc>
        <w:tc>
          <w:tcPr>
            <w:tcW w:w="260" w:type="dxa"/>
            <w:vAlign w:val="bottom"/>
            <w:shd w:val="clear" w:color="auto" w:fill="CCEEFF"/>
          </w:tcPr>
          <w:p>
            <w:pPr>
              <w:spacing w:after="0"/>
              <w:rPr>
                <w:sz w:val="14"/>
                <w:szCs w:val="14"/>
                <w:color w:val="auto"/>
              </w:rPr>
            </w:pP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1,119,000</w:t>
            </w:r>
          </w:p>
        </w:tc>
        <w:tc>
          <w:tcPr>
            <w:tcW w:w="0" w:type="dxa"/>
            <w:vAlign w:val="bottom"/>
          </w:tcPr>
          <w:p>
            <w:pPr>
              <w:spacing w:after="0"/>
              <w:rPr>
                <w:sz w:val="1"/>
                <w:szCs w:val="1"/>
                <w:color w:val="auto"/>
              </w:rPr>
            </w:pPr>
          </w:p>
        </w:tc>
      </w:tr>
      <w:tr>
        <w:trPr>
          <w:trHeight w:val="157"/>
        </w:trPr>
        <w:tc>
          <w:tcPr>
            <w:tcW w:w="4600" w:type="dxa"/>
            <w:vAlign w:val="bottom"/>
          </w:tcPr>
          <w:p>
            <w:pPr>
              <w:ind w:left="120"/>
              <w:spacing w:after="0"/>
              <w:rPr>
                <w:sz w:val="20"/>
                <w:szCs w:val="20"/>
                <w:color w:val="auto"/>
              </w:rPr>
            </w:pPr>
            <w:r>
              <w:rPr>
                <w:rFonts w:ascii="Arial" w:cs="Arial" w:eastAsia="Arial" w:hAnsi="Arial"/>
                <w:sz w:val="13"/>
                <w:szCs w:val="13"/>
                <w:color w:val="auto"/>
              </w:rPr>
              <w:t>Non current portion</w:t>
            </w:r>
          </w:p>
        </w:tc>
        <w:tc>
          <w:tcPr>
            <w:tcW w:w="1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4,515,000</w:t>
            </w: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4,719,000</w:t>
            </w:r>
          </w:p>
        </w:tc>
        <w:tc>
          <w:tcPr>
            <w:tcW w:w="4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5,579,000</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5,569,000</w:t>
            </w: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6,187,000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4600" w:type="dxa"/>
            <w:vAlign w:val="bottom"/>
            <w:shd w:val="clear" w:color="auto" w:fill="CCEEFF"/>
          </w:tcPr>
          <w:p>
            <w:pPr>
              <w:spacing w:after="0"/>
              <w:rPr>
                <w:sz w:val="20"/>
                <w:szCs w:val="20"/>
                <w:color w:val="auto"/>
              </w:rPr>
            </w:pPr>
            <w:r>
              <w:rPr>
                <w:rFonts w:ascii="Arial" w:cs="Arial" w:eastAsia="Arial" w:hAnsi="Arial"/>
                <w:sz w:val="13"/>
                <w:szCs w:val="13"/>
                <w:color w:val="auto"/>
              </w:rPr>
              <w:t>Total accrued wind-down expenses</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5,528,000</w:t>
            </w:r>
          </w:p>
        </w:tc>
        <w:tc>
          <w:tcPr>
            <w:tcW w:w="260" w:type="dxa"/>
            <w:vAlign w:val="bottom"/>
            <w:shd w:val="clear" w:color="auto" w:fill="CCEEFF"/>
          </w:tcPr>
          <w:p>
            <w:pPr>
              <w:spacing w:after="0"/>
              <w:rPr>
                <w:sz w:val="13"/>
                <w:szCs w:val="13"/>
                <w:color w:val="auto"/>
              </w:rPr>
            </w:pPr>
          </w:p>
        </w:tc>
        <w:tc>
          <w:tcPr>
            <w:tcW w:w="3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1260" w:type="dxa"/>
            <w:vAlign w:val="bottom"/>
            <w:gridSpan w:val="2"/>
            <w:shd w:val="clear" w:color="auto" w:fill="CCEEFF"/>
          </w:tcPr>
          <w:p>
            <w:pPr>
              <w:jc w:val="right"/>
              <w:ind w:right="408"/>
              <w:spacing w:after="0"/>
              <w:rPr>
                <w:sz w:val="20"/>
                <w:szCs w:val="20"/>
                <w:color w:val="auto"/>
              </w:rPr>
            </w:pPr>
            <w:r>
              <w:rPr>
                <w:rFonts w:ascii="Arial" w:cs="Arial" w:eastAsia="Arial" w:hAnsi="Arial"/>
                <w:sz w:val="13"/>
                <w:szCs w:val="13"/>
                <w:color w:val="auto"/>
              </w:rPr>
              <w:t>5,753,000</w:t>
            </w:r>
          </w:p>
        </w:tc>
        <w:tc>
          <w:tcPr>
            <w:tcW w:w="100" w:type="dxa"/>
            <w:vAlign w:val="bottom"/>
            <w:shd w:val="clear" w:color="auto" w:fill="CCEEFF"/>
          </w:tcPr>
          <w:p>
            <w:pPr>
              <w:spacing w:after="0"/>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6,674,000</w:t>
            </w:r>
          </w:p>
        </w:tc>
        <w:tc>
          <w:tcPr>
            <w:tcW w:w="240" w:type="dxa"/>
            <w:vAlign w:val="bottom"/>
            <w:shd w:val="clear" w:color="auto" w:fill="CCEEFF"/>
          </w:tcPr>
          <w:p>
            <w:pPr>
              <w:spacing w:after="0"/>
              <w:rPr>
                <w:sz w:val="13"/>
                <w:szCs w:val="13"/>
                <w:color w:val="auto"/>
              </w:rPr>
            </w:pPr>
          </w:p>
        </w:tc>
        <w:tc>
          <w:tcPr>
            <w:tcW w:w="3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6,720,000</w:t>
            </w:r>
          </w:p>
        </w:tc>
        <w:tc>
          <w:tcPr>
            <w:tcW w:w="260" w:type="dxa"/>
            <w:vAlign w:val="bottom"/>
            <w:shd w:val="clear" w:color="auto" w:fill="CCEEFF"/>
          </w:tcPr>
          <w:p>
            <w:pPr>
              <w:spacing w:after="0"/>
              <w:rPr>
                <w:sz w:val="13"/>
                <w:szCs w:val="13"/>
                <w:color w:val="auto"/>
              </w:rPr>
            </w:pP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7,306,000</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9"/>
        </w:trPr>
        <w:tc>
          <w:tcPr>
            <w:tcW w:w="46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64" w:lineRule="exact"/>
        <w:rPr>
          <w:sz w:val="20"/>
          <w:szCs w:val="20"/>
          <w:color w:val="auto"/>
        </w:rPr>
      </w:pPr>
    </w:p>
    <w:p>
      <w:pPr>
        <w:spacing w:after="0"/>
        <w:tabs>
          <w:tab w:leader="none" w:pos="560" w:val="left"/>
        </w:tabs>
        <w:rPr>
          <w:sz w:val="20"/>
          <w:szCs w:val="20"/>
          <w:color w:val="auto"/>
        </w:rPr>
      </w:pPr>
      <w:r>
        <w:rPr>
          <w:rFonts w:ascii="Arial" w:cs="Arial" w:eastAsia="Arial" w:hAnsi="Arial"/>
          <w:sz w:val="13"/>
          <w:szCs w:val="13"/>
          <w:b w:val="1"/>
          <w:bCs w:val="1"/>
          <w:color w:val="auto"/>
        </w:rPr>
        <w:t>Note 9.</w:t>
      </w:r>
      <w:r>
        <w:rPr>
          <w:sz w:val="20"/>
          <w:szCs w:val="20"/>
          <w:color w:val="auto"/>
        </w:rPr>
        <w:tab/>
      </w:r>
      <w:r>
        <w:rPr>
          <w:rFonts w:ascii="Arial" w:cs="Arial" w:eastAsia="Arial" w:hAnsi="Arial"/>
          <w:sz w:val="11"/>
          <w:szCs w:val="11"/>
          <w:b w:val="1"/>
          <w:bCs w:val="1"/>
          <w:color w:val="auto"/>
        </w:rPr>
        <w:t>Consulting Arrangements</w:t>
      </w:r>
    </w:p>
    <w:p>
      <w:pPr>
        <w:spacing w:after="0" w:line="100" w:lineRule="exact"/>
        <w:rPr>
          <w:sz w:val="20"/>
          <w:szCs w:val="20"/>
          <w:color w:val="auto"/>
        </w:rPr>
      </w:pPr>
    </w:p>
    <w:p>
      <w:pPr>
        <w:ind w:right="100" w:firstLine="344"/>
        <w:spacing w:after="0" w:line="285" w:lineRule="auto"/>
        <w:rPr>
          <w:sz w:val="20"/>
          <w:szCs w:val="20"/>
          <w:color w:val="auto"/>
        </w:rPr>
      </w:pPr>
      <w:r>
        <w:rPr>
          <w:rFonts w:ascii="Arial" w:cs="Arial" w:eastAsia="Arial" w:hAnsi="Arial"/>
          <w:sz w:val="12"/>
          <w:szCs w:val="12"/>
          <w:color w:val="auto"/>
        </w:rPr>
        <w:t>In September 1997, the Company entered into consulting arrangements with the principal scientific founders of StemCells California, Dr. Irving Weissman, Dr. Fred H. Gage and Dr. David Anderson and with Dr. Richard M. Rose, then President and CEO of StemCells California. To attract and retain Drs. Rose, Weissman, Gage and Anderson, and to expedite the progress of the Company’s stem cell program, the Company awarded these individuals options to acquire a total of approximately 1.6 million shares of the Company’s common stock, vesting over a period of eight years and at an exercise price of $5.25 per share, the quoted market price at the grant date. The Company, based on the fair value of these options and their respective vesting schedule, recorded an expense of $355,000, $830,000 and $251,000 for the years 2005, 2004 and 2003, respectively. The fair value was determined using the Black-Scholes method. As of December 31, 2005, these options have been fully vested and expensed.</w:t>
      </w:r>
    </w:p>
    <w:p>
      <w:pPr>
        <w:spacing w:after="0" w:line="130" w:lineRule="exact"/>
        <w:rPr>
          <w:sz w:val="20"/>
          <w:szCs w:val="20"/>
          <w:color w:val="auto"/>
        </w:rPr>
      </w:pPr>
    </w:p>
    <w:p>
      <w:pPr>
        <w:spacing w:after="0"/>
        <w:tabs>
          <w:tab w:leader="none" w:pos="680" w:val="left"/>
        </w:tabs>
        <w:rPr>
          <w:sz w:val="20"/>
          <w:szCs w:val="20"/>
          <w:color w:val="auto"/>
        </w:rPr>
      </w:pPr>
      <w:r>
        <w:rPr>
          <w:rFonts w:ascii="Arial" w:cs="Arial" w:eastAsia="Arial" w:hAnsi="Arial"/>
          <w:sz w:val="13"/>
          <w:szCs w:val="13"/>
          <w:b w:val="1"/>
          <w:bCs w:val="1"/>
          <w:color w:val="auto"/>
        </w:rPr>
        <w:t>Note 10.</w:t>
      </w:r>
      <w:r>
        <w:rPr>
          <w:sz w:val="20"/>
          <w:szCs w:val="20"/>
          <w:color w:val="auto"/>
        </w:rPr>
        <w:tab/>
      </w:r>
      <w:r>
        <w:rPr>
          <w:rFonts w:ascii="Arial" w:cs="Arial" w:eastAsia="Arial" w:hAnsi="Arial"/>
          <w:sz w:val="11"/>
          <w:szCs w:val="11"/>
          <w:b w:val="1"/>
          <w:bCs w:val="1"/>
          <w:color w:val="auto"/>
        </w:rPr>
        <w:t>Stockholders’ Equity</w:t>
      </w:r>
    </w:p>
    <w:p>
      <w:pPr>
        <w:spacing w:after="0" w:line="100" w:lineRule="exact"/>
        <w:rPr>
          <w:sz w:val="20"/>
          <w:szCs w:val="20"/>
          <w:color w:val="auto"/>
        </w:rPr>
      </w:pPr>
    </w:p>
    <w:p>
      <w:pPr>
        <w:ind w:left="120"/>
        <w:spacing w:after="0"/>
        <w:rPr>
          <w:sz w:val="20"/>
          <w:szCs w:val="20"/>
          <w:color w:val="auto"/>
        </w:rPr>
      </w:pPr>
      <w:r>
        <w:rPr>
          <w:rFonts w:ascii="Arial" w:cs="Arial" w:eastAsia="Arial" w:hAnsi="Arial"/>
          <w:sz w:val="13"/>
          <w:szCs w:val="13"/>
          <w:b w:val="1"/>
          <w:bCs w:val="1"/>
          <w:i w:val="1"/>
          <w:iCs w:val="1"/>
          <w:color w:val="auto"/>
        </w:rPr>
        <w:t>Sale of Common Stock</w:t>
      </w:r>
    </w:p>
    <w:p>
      <w:pPr>
        <w:spacing w:after="0" w:line="96" w:lineRule="exact"/>
        <w:rPr>
          <w:sz w:val="20"/>
          <w:szCs w:val="20"/>
          <w:color w:val="auto"/>
        </w:rPr>
      </w:pPr>
    </w:p>
    <w:p>
      <w:pPr>
        <w:ind w:left="340"/>
        <w:spacing w:after="0"/>
        <w:rPr>
          <w:sz w:val="20"/>
          <w:szCs w:val="20"/>
          <w:color w:val="auto"/>
        </w:rPr>
      </w:pPr>
      <w:r>
        <w:rPr>
          <w:rFonts w:ascii="Arial" w:cs="Arial" w:eastAsia="Arial" w:hAnsi="Arial"/>
          <w:sz w:val="13"/>
          <w:szCs w:val="13"/>
          <w:color w:val="auto"/>
        </w:rPr>
        <w:t>Listed below are key financing transactions entered into by the Company through the sale of its common stock during the last three years:</w:t>
      </w:r>
    </w:p>
    <w:p>
      <w:pPr>
        <w:spacing w:after="0" w:line="96" w:lineRule="exact"/>
        <w:rPr>
          <w:sz w:val="20"/>
          <w:szCs w:val="20"/>
          <w:color w:val="auto"/>
        </w:rPr>
      </w:pPr>
    </w:p>
    <w:p>
      <w:pPr>
        <w:ind w:left="460" w:hanging="108"/>
        <w:spacing w:after="0"/>
        <w:tabs>
          <w:tab w:leader="none" w:pos="460" w:val="left"/>
        </w:tabs>
        <w:numPr>
          <w:ilvl w:val="0"/>
          <w:numId w:val="28"/>
        </w:numPr>
        <w:rPr>
          <w:rFonts w:ascii="Arial" w:cs="Arial" w:eastAsia="Arial" w:hAnsi="Arial"/>
          <w:sz w:val="12"/>
          <w:szCs w:val="12"/>
          <w:color w:val="auto"/>
        </w:rPr>
      </w:pPr>
      <w:r>
        <w:rPr>
          <w:rFonts w:ascii="Arial" w:cs="Arial" w:eastAsia="Arial" w:hAnsi="Arial"/>
          <w:sz w:val="12"/>
          <w:szCs w:val="12"/>
          <w:color w:val="auto"/>
        </w:rPr>
        <w:t>On May 7, 2003, the Company entered into a stock purchase agreement with Riverview, under which Riverview agreed to purchase 4 million shares of the Company’s common stock for $6.5 million, or</w:t>
      </w:r>
    </w:p>
    <w:p>
      <w:pPr>
        <w:spacing w:after="0" w:line="26" w:lineRule="exact"/>
        <w:rPr>
          <w:rFonts w:ascii="Arial" w:cs="Arial" w:eastAsia="Arial" w:hAnsi="Arial"/>
          <w:sz w:val="12"/>
          <w:szCs w:val="12"/>
          <w:color w:val="auto"/>
        </w:rPr>
      </w:pPr>
    </w:p>
    <w:p>
      <w:pPr>
        <w:ind w:left="460"/>
        <w:spacing w:after="0"/>
        <w:rPr>
          <w:rFonts w:ascii="Arial" w:cs="Arial" w:eastAsia="Arial" w:hAnsi="Arial"/>
          <w:sz w:val="12"/>
          <w:szCs w:val="12"/>
          <w:color w:val="auto"/>
        </w:rPr>
      </w:pPr>
      <w:r>
        <w:rPr>
          <w:rFonts w:ascii="Arial" w:cs="Arial" w:eastAsia="Arial" w:hAnsi="Arial"/>
          <w:sz w:val="11"/>
          <w:szCs w:val="11"/>
          <w:color w:val="auto"/>
        </w:rPr>
        <w:t>$1.625 per share. On the date of the agreement, the sale price was above the trading price of the Company’s common stock, which closed at $1.43 per share on that date. The Company also agreed to issue a</w:t>
      </w:r>
    </w:p>
    <w:p>
      <w:pPr>
        <w:spacing w:after="0" w:line="30" w:lineRule="exact"/>
        <w:rPr>
          <w:rFonts w:ascii="Arial" w:cs="Arial" w:eastAsia="Arial" w:hAnsi="Arial"/>
          <w:sz w:val="12"/>
          <w:szCs w:val="12"/>
          <w:color w:val="auto"/>
        </w:rPr>
      </w:pPr>
    </w:p>
    <w:p>
      <w:pPr>
        <w:ind w:left="460" w:right="20"/>
        <w:spacing w:after="0" w:line="264" w:lineRule="auto"/>
        <w:rPr>
          <w:rFonts w:ascii="Arial" w:cs="Arial" w:eastAsia="Arial" w:hAnsi="Arial"/>
          <w:sz w:val="12"/>
          <w:szCs w:val="12"/>
          <w:color w:val="auto"/>
        </w:rPr>
      </w:pPr>
      <w:r>
        <w:rPr>
          <w:rFonts w:ascii="Arial" w:cs="Arial" w:eastAsia="Arial" w:hAnsi="Arial"/>
          <w:sz w:val="13"/>
          <w:szCs w:val="13"/>
          <w:color w:val="auto"/>
        </w:rPr>
        <w:t>2-year warrant to Riverview to purchase 1,898,000 shares of common stock at $1.50 per share. The exercise price was subject to adjustment for stock splits, dividends, distributions, reclassifications and similar events. On</w:t>
      </w: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61" w:name="page62"/>
    <w:bookmarkEnd w:id="6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39"/>
        <w:spacing w:after="0"/>
        <w:rPr>
          <w:sz w:val="20"/>
          <w:szCs w:val="20"/>
          <w:color w:val="auto"/>
        </w:rPr>
      </w:pPr>
      <w:r>
        <w:rPr>
          <w:rFonts w:ascii="Arial" w:cs="Arial" w:eastAsia="Arial" w:hAnsi="Arial"/>
          <w:sz w:val="13"/>
          <w:szCs w:val="13"/>
          <w:b w:val="1"/>
          <w:bCs w:val="1"/>
          <w:color w:val="auto"/>
        </w:rPr>
        <w:t>StemCells, Inc.</w:t>
      </w:r>
    </w:p>
    <w:p>
      <w:pPr>
        <w:spacing w:after="0" w:line="96" w:lineRule="exact"/>
        <w:rPr>
          <w:sz w:val="20"/>
          <w:szCs w:val="20"/>
          <w:color w:val="auto"/>
        </w:rPr>
      </w:pPr>
    </w:p>
    <w:p>
      <w:pPr>
        <w:jc w:val="center"/>
        <w:ind w:right="-3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169" w:lineRule="exact"/>
        <w:rPr>
          <w:sz w:val="20"/>
          <w:szCs w:val="20"/>
          <w:color w:val="auto"/>
        </w:rPr>
      </w:pPr>
    </w:p>
    <w:p>
      <w:pPr>
        <w:ind w:left="460" w:right="80"/>
        <w:spacing w:after="0" w:line="289" w:lineRule="auto"/>
        <w:rPr>
          <w:sz w:val="20"/>
          <w:szCs w:val="20"/>
          <w:color w:val="auto"/>
        </w:rPr>
      </w:pPr>
      <w:r>
        <w:rPr>
          <w:rFonts w:ascii="Arial" w:cs="Arial" w:eastAsia="Arial" w:hAnsi="Arial"/>
          <w:sz w:val="12"/>
          <w:szCs w:val="12"/>
          <w:color w:val="auto"/>
        </w:rPr>
        <w:t>May 15, 2003, the Company issued the purchased shares and the warrant, and registered the resale of the purchased shares and the shares underlying the warrant. The exercise price could be below the trading market price at the time of the exercise. In the event that certain conditions were met, including the closing sale price of the Common Stock remaining at or above $2.50 per share for 10 consecutive trading days, the Company could have required Riverview to exercise the warrant for any remaining shares or to relinquish any unexercised portion. On November 11, 2003 and May 6, 2005, Riverview exercised the warrant acquiring 1,098,000 shares and 800,000 shares respectively at $1.50 per share. The total proceeds to the Company from this warrant exercise were $2,847,000.</w:t>
      </w:r>
    </w:p>
    <w:p>
      <w:pPr>
        <w:spacing w:after="0" w:line="132" w:lineRule="exact"/>
        <w:rPr>
          <w:sz w:val="20"/>
          <w:szCs w:val="20"/>
          <w:color w:val="auto"/>
        </w:rPr>
      </w:pPr>
    </w:p>
    <w:p>
      <w:pPr>
        <w:ind w:left="460" w:hanging="108"/>
        <w:spacing w:after="0"/>
        <w:tabs>
          <w:tab w:leader="none" w:pos="460" w:val="left"/>
        </w:tabs>
        <w:numPr>
          <w:ilvl w:val="0"/>
          <w:numId w:val="29"/>
        </w:numPr>
        <w:rPr>
          <w:rFonts w:ascii="Arial" w:cs="Arial" w:eastAsia="Arial" w:hAnsi="Arial"/>
          <w:sz w:val="13"/>
          <w:szCs w:val="13"/>
          <w:color w:val="auto"/>
        </w:rPr>
      </w:pPr>
      <w:r>
        <w:rPr>
          <w:rFonts w:ascii="Arial" w:cs="Arial" w:eastAsia="Arial" w:hAnsi="Arial"/>
          <w:sz w:val="13"/>
          <w:szCs w:val="13"/>
          <w:color w:val="auto"/>
        </w:rPr>
        <w:t>On December 10, 2003, the Company completed a $9.5 million financing transaction with Riverview through the sale of 5 million shares of common stock at a price of $1.90 per share.</w:t>
      </w:r>
    </w:p>
    <w:p>
      <w:pPr>
        <w:spacing w:after="0" w:line="86" w:lineRule="exact"/>
        <w:rPr>
          <w:rFonts w:ascii="Arial" w:cs="Arial" w:eastAsia="Arial" w:hAnsi="Arial"/>
          <w:sz w:val="13"/>
          <w:szCs w:val="13"/>
          <w:color w:val="auto"/>
        </w:rPr>
      </w:pPr>
    </w:p>
    <w:p>
      <w:pPr>
        <w:ind w:left="460" w:right="20" w:hanging="108"/>
        <w:spacing w:after="0" w:line="257" w:lineRule="auto"/>
        <w:tabs>
          <w:tab w:leader="none" w:pos="460" w:val="left"/>
        </w:tabs>
        <w:numPr>
          <w:ilvl w:val="0"/>
          <w:numId w:val="29"/>
        </w:numPr>
        <w:rPr>
          <w:rFonts w:ascii="Arial" w:cs="Arial" w:eastAsia="Arial" w:hAnsi="Arial"/>
          <w:sz w:val="13"/>
          <w:szCs w:val="13"/>
          <w:color w:val="auto"/>
        </w:rPr>
      </w:pPr>
      <w:r>
        <w:rPr>
          <w:rFonts w:ascii="Arial" w:cs="Arial" w:eastAsia="Arial" w:hAnsi="Arial"/>
          <w:sz w:val="13"/>
          <w:szCs w:val="13"/>
          <w:color w:val="auto"/>
        </w:rPr>
        <w:t>On June 16, 2004, the Company entered into an agreement with institutional and other accredited investors with respect to the private placement of approximately 13,160,000 shares of the Company’s common stock at a purchase price of $1.52 per share, for gross proceeds of approximately $20,000,000. Investors also received warrants exercisable for five years to purchase approximately 3,290,000 shares of the Company’s common stock at an exercise price of $1.90 per share. During the period October 2004 to December 2005, part of these warrants, were exercised to purchase an aggregate of 1,459,342 shares of the Company’s common stock at $1.90 per share. The Company received proceeds of $2,772,750 on issuance of the shares. C.E. Unterberg, Towbin LLC (Unterberg) served as placement agent for the private placement. For acting as the Company’s placement agent, Unterberg received fees of approximately $1,200,000, expense reimbursement of approximately $25,000 and a five year warrant to purchase 526,400 shares of the Company’s common stock at an exercise price of $1.89 per share.</w:t>
      </w:r>
    </w:p>
    <w:p>
      <w:pPr>
        <w:spacing w:after="0" w:line="61" w:lineRule="exact"/>
        <w:rPr>
          <w:rFonts w:ascii="Arial" w:cs="Arial" w:eastAsia="Arial" w:hAnsi="Arial"/>
          <w:sz w:val="13"/>
          <w:szCs w:val="13"/>
          <w:color w:val="auto"/>
        </w:rPr>
      </w:pPr>
    </w:p>
    <w:p>
      <w:pPr>
        <w:ind w:left="460" w:hanging="108"/>
        <w:spacing w:after="0" w:line="264" w:lineRule="auto"/>
        <w:tabs>
          <w:tab w:leader="none" w:pos="460" w:val="left"/>
        </w:tabs>
        <w:numPr>
          <w:ilvl w:val="0"/>
          <w:numId w:val="29"/>
        </w:numPr>
        <w:rPr>
          <w:rFonts w:ascii="Arial" w:cs="Arial" w:eastAsia="Arial" w:hAnsi="Arial"/>
          <w:sz w:val="13"/>
          <w:szCs w:val="13"/>
          <w:color w:val="auto"/>
        </w:rPr>
      </w:pPr>
      <w:r>
        <w:rPr>
          <w:rFonts w:ascii="Arial" w:cs="Arial" w:eastAsia="Arial" w:hAnsi="Arial"/>
          <w:sz w:val="13"/>
          <w:szCs w:val="13"/>
          <w:color w:val="auto"/>
        </w:rPr>
        <w:t>In October 2004, the Company entered into agreements with institutional investors with respect to the registered direct placement of 7,500,000 shares of its common stock at a purchase price of $3.00 per share, for gross proceeds of $22,500,000. Unterberg and Shoreline Pacific, LLC (Shoreline) served as placement agents for the transaction. For acting as the Company’s placement agent, Unterberg and Shoreline received fees totaling $1,350,000 and expense reimbursement of approximately $40,000.</w:t>
      </w:r>
    </w:p>
    <w:p>
      <w:pPr>
        <w:spacing w:after="0" w:line="146" w:lineRule="exact"/>
        <w:rPr>
          <w:sz w:val="20"/>
          <w:szCs w:val="20"/>
          <w:color w:val="auto"/>
        </w:rPr>
      </w:pPr>
    </w:p>
    <w:p>
      <w:pPr>
        <w:ind w:left="120"/>
        <w:spacing w:after="0"/>
        <w:rPr>
          <w:sz w:val="20"/>
          <w:szCs w:val="20"/>
          <w:color w:val="auto"/>
        </w:rPr>
      </w:pPr>
      <w:r>
        <w:rPr>
          <w:rFonts w:ascii="Arial" w:cs="Arial" w:eastAsia="Arial" w:hAnsi="Arial"/>
          <w:sz w:val="13"/>
          <w:szCs w:val="13"/>
          <w:b w:val="1"/>
          <w:bCs w:val="1"/>
          <w:i w:val="1"/>
          <w:iCs w:val="1"/>
          <w:color w:val="auto"/>
        </w:rPr>
        <w:t>Equity Line</w:t>
      </w:r>
    </w:p>
    <w:p>
      <w:pPr>
        <w:spacing w:after="0" w:line="96" w:lineRule="exact"/>
        <w:rPr>
          <w:sz w:val="20"/>
          <w:szCs w:val="20"/>
          <w:color w:val="auto"/>
        </w:rPr>
      </w:pPr>
    </w:p>
    <w:p>
      <w:pPr>
        <w:ind w:right="180" w:firstLine="344"/>
        <w:spacing w:after="0" w:line="289" w:lineRule="auto"/>
        <w:rPr>
          <w:sz w:val="20"/>
          <w:szCs w:val="20"/>
          <w:color w:val="auto"/>
        </w:rPr>
      </w:pPr>
      <w:r>
        <w:rPr>
          <w:rFonts w:ascii="Arial" w:cs="Arial" w:eastAsia="Arial" w:hAnsi="Arial"/>
          <w:sz w:val="12"/>
          <w:szCs w:val="12"/>
          <w:color w:val="auto"/>
        </w:rPr>
        <w:t>On May 10, 2001, the Company entered into a common stock purchase agreement with Sativum Investments Limited for the potential future issuance and sale of up to $30,000,000 of the Company’s common stock, subject to restrictions and other obligations. Under the agreement, which expired in January 2004, the Company had the right to draw down on the facility, from time to time, and Sativum was obligated to purchase shares of the Company’s common stock at a 6% discount to a volume weighted average market price over the 20 trading days following the draw-down notice. There was neither a requirement that the Company draw on the facility nor a penalty for not doing so. The Company was limited with respect to how often it could exercise a draw down and the amount of each draw down.</w:t>
      </w:r>
    </w:p>
    <w:p>
      <w:pPr>
        <w:spacing w:after="0" w:line="53" w:lineRule="exact"/>
        <w:rPr>
          <w:sz w:val="20"/>
          <w:szCs w:val="20"/>
          <w:color w:val="auto"/>
        </w:rPr>
      </w:pPr>
    </w:p>
    <w:p>
      <w:pPr>
        <w:ind w:right="60" w:firstLine="344"/>
        <w:spacing w:after="0" w:line="258" w:lineRule="auto"/>
        <w:rPr>
          <w:sz w:val="20"/>
          <w:szCs w:val="20"/>
          <w:color w:val="auto"/>
        </w:rPr>
      </w:pPr>
      <w:r>
        <w:rPr>
          <w:rFonts w:ascii="Arial" w:cs="Arial" w:eastAsia="Arial" w:hAnsi="Arial"/>
          <w:sz w:val="13"/>
          <w:szCs w:val="13"/>
          <w:color w:val="auto"/>
        </w:rPr>
        <w:t>In connection with the Company’s execution of the common stock purchase agreement with Sativum, the Company issued three three-year warrants to purchase an aggregate of 350,000 shares of the Company’s common stock at $2.38 per share to Sativum (250,000 shares), and to the placement agents: Pacific Crest Securities Inc. (75,000 shares) and Granite Financial Group, Inc. (25,000 shares). The placement agents have exercised their warrants in full, and the Company received payment of $238,050 for the shares issued to them in July 2001. The Company has valued the warrants using the Black-Scholes method and recorded the fair value in stockholders’ equity. These amounts are $522,500, $167,750 and $55,250 respectively. The exercise price and number of shares are subject to adjustment for subdivisions, combinations, stock dividends and reorganizations.</w:t>
      </w:r>
    </w:p>
    <w:p>
      <w:pPr>
        <w:spacing w:after="0" w:line="278"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20"/>
          </w:cols>
          <w:pgMar w:left="220" w:top="343" w:right="259" w:bottom="1440" w:gutter="0" w:footer="0" w:header="0"/>
        </w:sectPr>
      </w:pPr>
    </w:p>
    <w:bookmarkStart w:id="62" w:name="page63"/>
    <w:bookmarkEnd w:id="62"/>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StemCells, Inc.</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179" w:lineRule="exact"/>
        <w:rPr>
          <w:sz w:val="20"/>
          <w:szCs w:val="20"/>
          <w:color w:val="auto"/>
        </w:rPr>
      </w:pPr>
    </w:p>
    <w:p>
      <w:pPr>
        <w:ind w:right="120" w:firstLine="344"/>
        <w:spacing w:after="0" w:line="276" w:lineRule="auto"/>
        <w:rPr>
          <w:sz w:val="20"/>
          <w:szCs w:val="20"/>
          <w:color w:val="auto"/>
        </w:rPr>
      </w:pPr>
      <w:r>
        <w:rPr>
          <w:rFonts w:ascii="Arial" w:cs="Arial" w:eastAsia="Arial" w:hAnsi="Arial"/>
          <w:sz w:val="13"/>
          <w:szCs w:val="13"/>
          <w:color w:val="auto"/>
        </w:rPr>
        <w:t>The Company did draw down $4,000,000 by issuance of 707,947 shares in July of 2001, $118,000 by issuance of 107,812 shares in December of 2002, $66,000 by issuance of 58,516 shares in January of 2003, and $375,000 by issuance of 245,472 shares in May of 2003, before applicable fees.</w:t>
      </w:r>
    </w:p>
    <w:p>
      <w:pPr>
        <w:spacing w:after="0" w:line="138" w:lineRule="exact"/>
        <w:rPr>
          <w:sz w:val="20"/>
          <w:szCs w:val="20"/>
          <w:color w:val="auto"/>
        </w:rPr>
      </w:pPr>
    </w:p>
    <w:p>
      <w:pPr>
        <w:ind w:left="120"/>
        <w:spacing w:after="0"/>
        <w:rPr>
          <w:sz w:val="20"/>
          <w:szCs w:val="20"/>
          <w:color w:val="auto"/>
        </w:rPr>
      </w:pPr>
      <w:r>
        <w:rPr>
          <w:rFonts w:ascii="Arial" w:cs="Arial" w:eastAsia="Arial" w:hAnsi="Arial"/>
          <w:sz w:val="13"/>
          <w:szCs w:val="13"/>
          <w:b w:val="1"/>
          <w:bCs w:val="1"/>
          <w:i w:val="1"/>
          <w:iCs w:val="1"/>
          <w:color w:val="auto"/>
        </w:rPr>
        <w:t>3% Cumulative Redeemable Convertible Preferred Stock</w:t>
      </w:r>
    </w:p>
    <w:p>
      <w:pPr>
        <w:spacing w:after="0" w:line="96" w:lineRule="exact"/>
        <w:rPr>
          <w:sz w:val="20"/>
          <w:szCs w:val="20"/>
          <w:color w:val="auto"/>
        </w:rPr>
      </w:pPr>
    </w:p>
    <w:p>
      <w:pPr>
        <w:ind w:firstLine="344"/>
        <w:spacing w:after="0" w:line="306" w:lineRule="auto"/>
        <w:rPr>
          <w:sz w:val="20"/>
          <w:szCs w:val="20"/>
          <w:color w:val="auto"/>
        </w:rPr>
      </w:pPr>
      <w:r>
        <w:rPr>
          <w:rFonts w:ascii="Arial" w:cs="Arial" w:eastAsia="Arial" w:hAnsi="Arial"/>
          <w:sz w:val="11"/>
          <w:szCs w:val="11"/>
          <w:color w:val="auto"/>
        </w:rPr>
        <w:t>On December 4, 2001, the Company issued 5,000 shares of 3% cumulative convertible preferred stock to Riverview Group, L.L.C., (Riverview Group), a wholly owned subsidiary of Millennium Partners, L.P. plus a 5-year warrant to purchase 350,877 shares of common stock at $3.42 per share. The Company received net proceeds of $4,727,515. This preferred stock was convertible into shares of the Company’s common stock at a conversion price of $2.00 per share at the option of Riverview Group and has a mandatory redemption feature requiring the Company to redeem unconverted preferred stock on December 4, 2003. The conversion price of $2.00 per share was subject to adjustment for stock splits, dividends, distributions, reclassifications and similar events. The final closing price of the Company’s common stock on the NASDAQ National Market on the December 4, 2001 commitment date was $2.90 per share. The Company valued the warrants and the beneficial conversion feature reflecting the December 4, 2001 commitment date and the most beneficial per share discount available to the preferred shareholders. As the preferred shares contained a stated redemption, such value of $3,185,000, including issuance costs of $272,485, was recorded as a discount to the preferred shares. The preferred shares were accreted to the mandatory redemption amount and the accretion resulted in a deemed dividend. The deemed dividend has been reflected as an adjustment to net loss applicable to common stockholders. The holders of the preferred stock had liquidation rights equal to their original investment plus accrued but unpaid dividends. Dividends due on the shares of the preferred stock outstanding on a Dividend Payment Date (June 30 and December 31) could be paid in the Company’s common stock if the Company so elected by those dates. The Company did elect to pay the dividends in stock, and did so by issuing 38,313 shares of stock on July 3, 2002, 59,656 shares on December 23, 2002 and 17,935 shares June 30, 2003, valued at approximately $60,000, $69,000 and $30,000 respectively.</w:t>
      </w:r>
    </w:p>
    <w:p>
      <w:pPr>
        <w:spacing w:after="0" w:line="48" w:lineRule="exact"/>
        <w:rPr>
          <w:sz w:val="20"/>
          <w:szCs w:val="20"/>
          <w:color w:val="auto"/>
        </w:rPr>
      </w:pPr>
    </w:p>
    <w:p>
      <w:pPr>
        <w:ind w:left="340"/>
        <w:spacing w:after="0"/>
        <w:rPr>
          <w:sz w:val="20"/>
          <w:szCs w:val="20"/>
          <w:color w:val="auto"/>
        </w:rPr>
      </w:pPr>
      <w:r>
        <w:rPr>
          <w:rFonts w:ascii="Arial" w:cs="Arial" w:eastAsia="Arial" w:hAnsi="Arial"/>
          <w:sz w:val="13"/>
          <w:szCs w:val="13"/>
          <w:color w:val="auto"/>
        </w:rPr>
        <w:t>The Riverview Group converted all of its holdings of the Company’s 3% cumulative convertible preferred stock as follows:</w:t>
      </w:r>
    </w:p>
    <w:p>
      <w:pPr>
        <w:spacing w:after="0" w:line="96" w:lineRule="exact"/>
        <w:rPr>
          <w:sz w:val="20"/>
          <w:szCs w:val="20"/>
          <w:color w:val="auto"/>
        </w:rPr>
      </w:pPr>
    </w:p>
    <w:p>
      <w:pPr>
        <w:ind w:left="460" w:hanging="108"/>
        <w:spacing w:after="0"/>
        <w:tabs>
          <w:tab w:leader="none" w:pos="460" w:val="left"/>
        </w:tabs>
        <w:numPr>
          <w:ilvl w:val="0"/>
          <w:numId w:val="30"/>
        </w:numPr>
        <w:rPr>
          <w:rFonts w:ascii="Arial" w:cs="Arial" w:eastAsia="Arial" w:hAnsi="Arial"/>
          <w:sz w:val="13"/>
          <w:szCs w:val="13"/>
          <w:color w:val="auto"/>
        </w:rPr>
      </w:pPr>
      <w:r>
        <w:rPr>
          <w:rFonts w:ascii="Arial" w:cs="Arial" w:eastAsia="Arial" w:hAnsi="Arial"/>
          <w:sz w:val="13"/>
          <w:szCs w:val="13"/>
          <w:color w:val="auto"/>
        </w:rPr>
        <w:t>On December 7, 2001, 1,000 shares of the 3% cumulative convertible preferred stock were converted into 500,125 shares of the Company’s common stock.</w:t>
      </w:r>
    </w:p>
    <w:p>
      <w:pPr>
        <w:spacing w:after="0" w:line="86" w:lineRule="exact"/>
        <w:rPr>
          <w:rFonts w:ascii="Arial" w:cs="Arial" w:eastAsia="Arial" w:hAnsi="Arial"/>
          <w:sz w:val="13"/>
          <w:szCs w:val="13"/>
          <w:color w:val="auto"/>
        </w:rPr>
      </w:pPr>
    </w:p>
    <w:p>
      <w:pPr>
        <w:ind w:left="460" w:right="20" w:hanging="108"/>
        <w:spacing w:after="0" w:line="296" w:lineRule="auto"/>
        <w:tabs>
          <w:tab w:leader="none" w:pos="460" w:val="left"/>
        </w:tabs>
        <w:numPr>
          <w:ilvl w:val="0"/>
          <w:numId w:val="30"/>
        </w:numPr>
        <w:rPr>
          <w:rFonts w:ascii="Arial" w:cs="Arial" w:eastAsia="Arial" w:hAnsi="Arial"/>
          <w:sz w:val="12"/>
          <w:szCs w:val="12"/>
          <w:color w:val="auto"/>
        </w:rPr>
      </w:pPr>
      <w:r>
        <w:rPr>
          <w:rFonts w:ascii="Arial" w:cs="Arial" w:eastAsia="Arial" w:hAnsi="Arial"/>
          <w:sz w:val="12"/>
          <w:szCs w:val="12"/>
          <w:color w:val="auto"/>
        </w:rPr>
        <w:t>On April 9, 2003, the Company agreed with Riverview to reduce the conversion price to $0.80 per share for a period of 20 trading days. Riverview immediately agreed to convert 2,000 shares with a face value of $2 million, at the reduced price. Riverview received 2,521,041 shares of common stock upon conversion, which includes 21,041 shares valued at $16,833 as accrued dividends. As a result of the change in the conversion price, the Company recorded a deemed dividend to preferred shareholders related to the beneficial conversion feature of approximately $1,000,000 in the second quarter of 2003.</w:t>
      </w:r>
    </w:p>
    <w:p>
      <w:pPr>
        <w:spacing w:after="0" w:line="39" w:lineRule="exact"/>
        <w:rPr>
          <w:rFonts w:ascii="Arial" w:cs="Arial" w:eastAsia="Arial" w:hAnsi="Arial"/>
          <w:sz w:val="12"/>
          <w:szCs w:val="12"/>
          <w:color w:val="auto"/>
        </w:rPr>
      </w:pPr>
    </w:p>
    <w:p>
      <w:pPr>
        <w:ind w:left="460" w:right="100" w:hanging="108"/>
        <w:spacing w:after="0" w:line="276" w:lineRule="auto"/>
        <w:tabs>
          <w:tab w:leader="none" w:pos="460" w:val="left"/>
        </w:tabs>
        <w:numPr>
          <w:ilvl w:val="0"/>
          <w:numId w:val="30"/>
        </w:numPr>
        <w:rPr>
          <w:rFonts w:ascii="Arial" w:cs="Arial" w:eastAsia="Arial" w:hAnsi="Arial"/>
          <w:sz w:val="13"/>
          <w:szCs w:val="13"/>
          <w:color w:val="auto"/>
        </w:rPr>
      </w:pPr>
      <w:r>
        <w:rPr>
          <w:rFonts w:ascii="Arial" w:cs="Arial" w:eastAsia="Arial" w:hAnsi="Arial"/>
          <w:sz w:val="13"/>
          <w:szCs w:val="13"/>
          <w:color w:val="auto"/>
        </w:rPr>
        <w:t>On November 11, 2003, Riverview converted the remaining 2,000 shares of its 3% cumulative convertible preferred stock for 1,010,833 shares of the Company’s common stock, which includes 10,833 shares valued at $21,666 as accrued dividends.</w:t>
      </w:r>
    </w:p>
    <w:p>
      <w:pPr>
        <w:spacing w:after="0" w:line="59" w:lineRule="exact"/>
        <w:rPr>
          <w:sz w:val="20"/>
          <w:szCs w:val="20"/>
          <w:color w:val="auto"/>
        </w:rPr>
      </w:pPr>
    </w:p>
    <w:p>
      <w:pPr>
        <w:ind w:right="140" w:firstLine="344"/>
        <w:spacing w:after="0" w:line="276" w:lineRule="auto"/>
        <w:rPr>
          <w:sz w:val="20"/>
          <w:szCs w:val="20"/>
          <w:color w:val="auto"/>
        </w:rPr>
      </w:pPr>
      <w:r>
        <w:rPr>
          <w:rFonts w:ascii="Arial" w:cs="Arial" w:eastAsia="Arial" w:hAnsi="Arial"/>
          <w:sz w:val="13"/>
          <w:szCs w:val="13"/>
          <w:color w:val="auto"/>
        </w:rPr>
        <w:t>The Company recorded deemed dividends related to the 3% cumulative convertible preferred stock of $2,065,911 and $1,280,004 in 2003 and 2002. As all of the 3% cumulative convertible preferred stock was converted prior to December 31, 2003, no deemed dividends were recorded in 2004 and 2005.</w:t>
      </w:r>
    </w:p>
    <w:p>
      <w:pPr>
        <w:spacing w:after="0" w:line="138" w:lineRule="exact"/>
        <w:rPr>
          <w:sz w:val="20"/>
          <w:szCs w:val="20"/>
          <w:color w:val="auto"/>
        </w:rPr>
      </w:pPr>
    </w:p>
    <w:p>
      <w:pPr>
        <w:ind w:left="120"/>
        <w:spacing w:after="0"/>
        <w:rPr>
          <w:sz w:val="20"/>
          <w:szCs w:val="20"/>
          <w:color w:val="auto"/>
        </w:rPr>
      </w:pPr>
      <w:r>
        <w:rPr>
          <w:rFonts w:ascii="Arial" w:cs="Arial" w:eastAsia="Arial" w:hAnsi="Arial"/>
          <w:sz w:val="13"/>
          <w:szCs w:val="13"/>
          <w:b w:val="1"/>
          <w:bCs w:val="1"/>
          <w:i w:val="1"/>
          <w:iCs w:val="1"/>
          <w:color w:val="auto"/>
        </w:rPr>
        <w:t>6% Cumulative Convertible Preferred Stock</w:t>
      </w:r>
    </w:p>
    <w:p>
      <w:pPr>
        <w:spacing w:after="0" w:line="96" w:lineRule="exact"/>
        <w:rPr>
          <w:sz w:val="20"/>
          <w:szCs w:val="20"/>
          <w:color w:val="auto"/>
        </w:rPr>
      </w:pPr>
    </w:p>
    <w:p>
      <w:pPr>
        <w:ind w:right="100" w:firstLine="344"/>
        <w:spacing w:after="0" w:line="264" w:lineRule="auto"/>
        <w:rPr>
          <w:sz w:val="20"/>
          <w:szCs w:val="20"/>
          <w:color w:val="auto"/>
        </w:rPr>
      </w:pPr>
      <w:r>
        <w:rPr>
          <w:rFonts w:ascii="Arial" w:cs="Arial" w:eastAsia="Arial" w:hAnsi="Arial"/>
          <w:sz w:val="13"/>
          <w:szCs w:val="13"/>
          <w:color w:val="auto"/>
        </w:rPr>
        <w:t>On April 13, 2000, the Company issued 1,500 shares of 6% cumulative convertible preferred stock plus a warrant for 75,000 shares of common stock to two members of its Board of Directors for $1,500,000 on terms more favorable to the Company than it was then able to obtain from outside investors. The shares were initially convertible at the option of the holders into common stock at $3.77 per share (based on the face value of the</w:t>
      </w: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0"/>
          </w:cols>
          <w:pgMar w:left="220" w:top="343" w:right="239" w:bottom="1440" w:gutter="0" w:footer="0" w:header="0"/>
        </w:sectPr>
      </w:pPr>
    </w:p>
    <w:bookmarkStart w:id="63" w:name="page64"/>
    <w:bookmarkEnd w:id="63"/>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StemCells, Inc.</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169" w:lineRule="exact"/>
        <w:rPr>
          <w:sz w:val="20"/>
          <w:szCs w:val="20"/>
          <w:color w:val="auto"/>
        </w:rPr>
      </w:pPr>
    </w:p>
    <w:p>
      <w:pPr>
        <w:spacing w:after="0"/>
        <w:rPr>
          <w:sz w:val="20"/>
          <w:szCs w:val="20"/>
          <w:color w:val="auto"/>
        </w:rPr>
      </w:pPr>
      <w:r>
        <w:rPr>
          <w:rFonts w:ascii="Arial" w:cs="Arial" w:eastAsia="Arial" w:hAnsi="Arial"/>
          <w:sz w:val="12"/>
          <w:szCs w:val="12"/>
          <w:color w:val="auto"/>
        </w:rPr>
        <w:t>preferred shares). The conversion price for the preferred shares and the related number of warrants was subject to adjustment upon certain equity transactions, as defined by the applicable agreement.</w:t>
      </w:r>
    </w:p>
    <w:p>
      <w:pPr>
        <w:spacing w:after="0" w:line="108" w:lineRule="exact"/>
        <w:rPr>
          <w:sz w:val="20"/>
          <w:szCs w:val="20"/>
          <w:color w:val="auto"/>
        </w:rPr>
      </w:pPr>
    </w:p>
    <w:p>
      <w:pPr>
        <w:ind w:right="80" w:firstLine="344"/>
        <w:spacing w:after="0" w:line="260" w:lineRule="auto"/>
        <w:rPr>
          <w:sz w:val="20"/>
          <w:szCs w:val="20"/>
          <w:color w:val="auto"/>
        </w:rPr>
      </w:pPr>
      <w:r>
        <w:rPr>
          <w:rFonts w:ascii="Arial" w:cs="Arial" w:eastAsia="Arial" w:hAnsi="Arial"/>
          <w:sz w:val="13"/>
          <w:szCs w:val="13"/>
          <w:color w:val="auto"/>
        </w:rPr>
        <w:t>On June 7, 2002, one of the preferred stockholders converted 750 shares of 6% cumulative convertible preferred stock plus accumulated dividends, at an effective conversion price of $1.94 per share for 439,442 shares of common stock. On October 4, 2002, the remaining 750 shares, which were held by the other preferred shareholder, together with accumulated dividends, converted automatically at the then-effective conversion price of $1.07 to 812,802 shares of common stock. The accumulated dividends were paid in common stock with a value of $222,457. No 6% cumulative convertible preferred stock outstanding as of December 31, 2005.</w:t>
      </w:r>
    </w:p>
    <w:p>
      <w:pPr>
        <w:spacing w:after="0" w:line="70" w:lineRule="exact"/>
        <w:rPr>
          <w:sz w:val="20"/>
          <w:szCs w:val="20"/>
          <w:color w:val="auto"/>
        </w:rPr>
      </w:pPr>
    </w:p>
    <w:p>
      <w:pPr>
        <w:ind w:left="340"/>
        <w:spacing w:after="0"/>
        <w:rPr>
          <w:sz w:val="20"/>
          <w:szCs w:val="20"/>
          <w:color w:val="auto"/>
        </w:rPr>
      </w:pPr>
      <w:r>
        <w:rPr>
          <w:rFonts w:ascii="Arial" w:cs="Arial" w:eastAsia="Arial" w:hAnsi="Arial"/>
          <w:sz w:val="13"/>
          <w:szCs w:val="13"/>
          <w:color w:val="auto"/>
        </w:rPr>
        <w:t>In 2005, all of the related warrants were exercised for which the Company issued 83,036 shares and received proceeds of $247,102.</w:t>
      </w:r>
    </w:p>
    <w:p>
      <w:pPr>
        <w:spacing w:after="0" w:line="175" w:lineRule="exact"/>
        <w:rPr>
          <w:sz w:val="20"/>
          <w:szCs w:val="20"/>
          <w:color w:val="auto"/>
        </w:rPr>
      </w:pPr>
    </w:p>
    <w:p>
      <w:pPr>
        <w:ind w:left="120"/>
        <w:spacing w:after="0"/>
        <w:rPr>
          <w:sz w:val="20"/>
          <w:szCs w:val="20"/>
          <w:color w:val="auto"/>
        </w:rPr>
      </w:pPr>
      <w:r>
        <w:rPr>
          <w:rFonts w:ascii="Arial" w:cs="Arial" w:eastAsia="Arial" w:hAnsi="Arial"/>
          <w:sz w:val="13"/>
          <w:szCs w:val="13"/>
          <w:b w:val="1"/>
          <w:bCs w:val="1"/>
          <w:i w:val="1"/>
          <w:iCs w:val="1"/>
          <w:color w:val="auto"/>
        </w:rPr>
        <w:t>Stock Issued For Technology Licenses</w:t>
      </w:r>
    </w:p>
    <w:p>
      <w:pPr>
        <w:spacing w:after="0" w:line="96" w:lineRule="exact"/>
        <w:rPr>
          <w:sz w:val="20"/>
          <w:szCs w:val="20"/>
          <w:color w:val="auto"/>
        </w:rPr>
      </w:pPr>
    </w:p>
    <w:p>
      <w:pPr>
        <w:ind w:right="340" w:firstLine="344"/>
        <w:spacing w:after="0" w:line="264" w:lineRule="auto"/>
        <w:rPr>
          <w:sz w:val="20"/>
          <w:szCs w:val="20"/>
          <w:color w:val="auto"/>
        </w:rPr>
      </w:pPr>
      <w:r>
        <w:rPr>
          <w:rFonts w:ascii="Arial" w:cs="Arial" w:eastAsia="Arial" w:hAnsi="Arial"/>
          <w:sz w:val="13"/>
          <w:szCs w:val="13"/>
          <w:color w:val="auto"/>
        </w:rPr>
        <w:t>Under License Agreements with NeuroSpheres, Ltd., the Company obtained an exclusive patent license covering all uses of certain neural stem cell technology. The Company made up-front payments to NeuroSpheres of 65,000 shares of its common stock and $50,000, and will make additional cash payments when milestones are achieved. Effective in 2004, the Company began making annual $50,000 payments, creditable against royalties.</w:t>
      </w:r>
    </w:p>
    <w:p>
      <w:pPr>
        <w:spacing w:after="0" w:line="67" w:lineRule="exact"/>
        <w:rPr>
          <w:sz w:val="20"/>
          <w:szCs w:val="20"/>
          <w:color w:val="auto"/>
        </w:rPr>
      </w:pPr>
    </w:p>
    <w:p>
      <w:pPr>
        <w:ind w:right="80" w:firstLine="344"/>
        <w:spacing w:after="0" w:line="258" w:lineRule="auto"/>
        <w:rPr>
          <w:sz w:val="20"/>
          <w:szCs w:val="20"/>
          <w:color w:val="auto"/>
        </w:rPr>
      </w:pPr>
      <w:r>
        <w:rPr>
          <w:rFonts w:ascii="Arial" w:cs="Arial" w:eastAsia="Arial" w:hAnsi="Arial"/>
          <w:sz w:val="13"/>
          <w:szCs w:val="13"/>
          <w:color w:val="auto"/>
        </w:rPr>
        <w:t>Pursuant to the terms of a license agreement with the California Institute of Technology (Cal Tech) and the Company’s acquisition of its wholly owned subsidiary, StemCells California, StemCells issued 14,513 shares of common stock to Cal Tech. The Company issued an additional 12,800 shares of common stock to Cal Tech with a market value of approximately $40,000 in May 2000, upon execution of an amendment adding four families of patent applications to the license agreement. In August 2002, the Company acquired an additional license from Cal Tech to a different technology, pursuant to which the Company issued 27,535 shares of its common stock with a market value of approximately $35,000; in 2004, the Company also issued 9,535 shares of its common stock with a market value of approximately $15,000 to Cal Tech on the issuance of two patents covered under this additional license.</w:t>
      </w:r>
    </w:p>
    <w:p>
      <w:pPr>
        <w:spacing w:after="0" w:line="71" w:lineRule="exact"/>
        <w:rPr>
          <w:sz w:val="20"/>
          <w:szCs w:val="20"/>
          <w:color w:val="auto"/>
        </w:rPr>
      </w:pPr>
    </w:p>
    <w:p>
      <w:pPr>
        <w:ind w:right="120" w:firstLine="344"/>
        <w:spacing w:after="0" w:line="320" w:lineRule="auto"/>
        <w:rPr>
          <w:sz w:val="20"/>
          <w:szCs w:val="20"/>
          <w:color w:val="auto"/>
        </w:rPr>
      </w:pPr>
      <w:r>
        <w:rPr>
          <w:rFonts w:ascii="Arial" w:cs="Arial" w:eastAsia="Arial" w:hAnsi="Arial"/>
          <w:sz w:val="12"/>
          <w:szCs w:val="12"/>
          <w:color w:val="auto"/>
        </w:rPr>
        <w:t>In December 2004, the Company made part payment of $2,833 in stock (1,816 shares) as part of an option agreement with the Board of Trustees of the Leland Stanford Junior University to acquire an exclusive license to an invention. The remainder of the option fee ($7,167) was paid in cash. The Company did not exercise this option but retains a non-exclusive license to the invention.</w:t>
      </w:r>
    </w:p>
    <w:p>
      <w:pPr>
        <w:spacing w:after="0" w:line="35" w:lineRule="exact"/>
        <w:rPr>
          <w:sz w:val="20"/>
          <w:szCs w:val="20"/>
          <w:color w:val="auto"/>
        </w:rPr>
      </w:pPr>
    </w:p>
    <w:p>
      <w:pPr>
        <w:ind w:right="80" w:firstLine="344"/>
        <w:spacing w:after="0" w:line="264" w:lineRule="auto"/>
        <w:rPr>
          <w:sz w:val="20"/>
          <w:szCs w:val="20"/>
          <w:color w:val="auto"/>
        </w:rPr>
      </w:pPr>
      <w:r>
        <w:rPr>
          <w:rFonts w:ascii="Arial" w:cs="Arial" w:eastAsia="Arial" w:hAnsi="Arial"/>
          <w:sz w:val="13"/>
          <w:szCs w:val="13"/>
          <w:color w:val="auto"/>
        </w:rPr>
        <w:t>Upon entering a license agreement with the Oregon Health &amp; Science University (OHSU) in March 1997, the Company issued it 4,838 shares of common stock and an option to purchase up to 62,888 additional shares to OHSU with an exercise price of $.01 per share. The option has vested as to 9,675 shares for which shares were issued on March 31, 2002; the remaining option was terminated and the Company issued 4,000 shares of its common stock, with a market value of approximately $3,900, to OHSU in January 2003, pursuant to an amendment to the license agreement.</w:t>
      </w:r>
    </w:p>
    <w:p>
      <w:pPr>
        <w:spacing w:after="0" w:line="146" w:lineRule="exact"/>
        <w:rPr>
          <w:sz w:val="20"/>
          <w:szCs w:val="20"/>
          <w:color w:val="auto"/>
        </w:rPr>
      </w:pPr>
    </w:p>
    <w:p>
      <w:pPr>
        <w:ind w:left="120"/>
        <w:spacing w:after="0"/>
        <w:rPr>
          <w:sz w:val="20"/>
          <w:szCs w:val="20"/>
          <w:color w:val="auto"/>
        </w:rPr>
      </w:pPr>
      <w:r>
        <w:rPr>
          <w:rFonts w:ascii="Arial" w:cs="Arial" w:eastAsia="Arial" w:hAnsi="Arial"/>
          <w:sz w:val="13"/>
          <w:szCs w:val="13"/>
          <w:b w:val="1"/>
          <w:bCs w:val="1"/>
          <w:i w:val="1"/>
          <w:iCs w:val="1"/>
          <w:color w:val="auto"/>
        </w:rPr>
        <w:t>Stock Option Plans</w:t>
      </w:r>
    </w:p>
    <w:p>
      <w:pPr>
        <w:spacing w:after="0" w:line="96" w:lineRule="exact"/>
        <w:rPr>
          <w:sz w:val="20"/>
          <w:szCs w:val="20"/>
          <w:color w:val="auto"/>
        </w:rPr>
      </w:pPr>
    </w:p>
    <w:p>
      <w:pPr>
        <w:ind w:firstLine="344"/>
        <w:spacing w:after="0" w:line="260" w:lineRule="auto"/>
        <w:rPr>
          <w:sz w:val="20"/>
          <w:szCs w:val="20"/>
          <w:color w:val="auto"/>
        </w:rPr>
      </w:pPr>
      <w:r>
        <w:rPr>
          <w:rFonts w:ascii="Arial" w:cs="Arial" w:eastAsia="Arial" w:hAnsi="Arial"/>
          <w:sz w:val="13"/>
          <w:szCs w:val="13"/>
          <w:color w:val="auto"/>
        </w:rPr>
        <w:t>The Company has adopted several stock plans that provide for the issuance of incentive and nonqualified stock options, various stock and performance awards and stock appreciation rights, at prices to be determined by the Board of Directors. In the case of incentive stock options, such price will not be less than the fair market value on the date of grant. Options granted to employees generally vest ratably over four years and are exercisable for ten years from the date of grant or within three months of termination. The Company has paid its directors and some of its consultants in below-market options or in stock awards from its stock plans.</w:t>
      </w: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0"/>
          </w:cols>
          <w:pgMar w:left="220" w:top="343" w:right="239" w:bottom="1440" w:gutter="0" w:footer="0" w:header="0"/>
        </w:sectPr>
      </w:pPr>
    </w:p>
    <w:bookmarkStart w:id="64" w:name="page65"/>
    <w:bookmarkEnd w:id="6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StemCells, Inc.</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179" w:lineRule="exact"/>
        <w:rPr>
          <w:sz w:val="20"/>
          <w:szCs w:val="20"/>
          <w:color w:val="auto"/>
        </w:rPr>
      </w:pPr>
    </w:p>
    <w:p>
      <w:pPr>
        <w:ind w:left="340"/>
        <w:spacing w:after="0"/>
        <w:rPr>
          <w:sz w:val="20"/>
          <w:szCs w:val="20"/>
          <w:color w:val="auto"/>
        </w:rPr>
      </w:pPr>
      <w:r>
        <w:rPr>
          <w:rFonts w:ascii="Arial" w:cs="Arial" w:eastAsia="Arial" w:hAnsi="Arial"/>
          <w:sz w:val="13"/>
          <w:szCs w:val="13"/>
          <w:color w:val="auto"/>
        </w:rPr>
        <w:t>The following table presents the combined activity of the Company’s stock option plans for the years ended December 31:</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20" w:type="dxa"/>
            <w:vAlign w:val="bottom"/>
          </w:tcPr>
          <w:p>
            <w:pPr>
              <w:spacing w:after="0"/>
              <w:rPr>
                <w:sz w:val="10"/>
                <w:szCs w:val="10"/>
                <w:color w:val="auto"/>
              </w:rPr>
            </w:pPr>
          </w:p>
        </w:tc>
        <w:tc>
          <w:tcPr>
            <w:tcW w:w="4120" w:type="dxa"/>
            <w:vAlign w:val="bottom"/>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0"/>
                <w:szCs w:val="10"/>
                <w:b w:val="1"/>
                <w:bCs w:val="1"/>
                <w:color w:val="auto"/>
              </w:rPr>
              <w:t>2005</w:t>
            </w:r>
          </w:p>
        </w:tc>
        <w:tc>
          <w:tcPr>
            <w:tcW w:w="900" w:type="dxa"/>
            <w:vAlign w:val="bottom"/>
            <w:tcBorders>
              <w:bottom w:val="single" w:sz="8" w:color="auto"/>
            </w:tcBorders>
          </w:tcPr>
          <w:p>
            <w:pPr>
              <w:spacing w:after="0"/>
              <w:rPr>
                <w:sz w:val="10"/>
                <w:szCs w:val="10"/>
                <w:color w:val="auto"/>
              </w:rPr>
            </w:pPr>
          </w:p>
        </w:tc>
        <w:tc>
          <w:tcPr>
            <w:tcW w:w="360" w:type="dxa"/>
            <w:vAlign w:val="bottom"/>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0"/>
                <w:szCs w:val="10"/>
                <w:b w:val="1"/>
                <w:bCs w:val="1"/>
                <w:color w:val="auto"/>
              </w:rPr>
              <w:t>2004</w:t>
            </w:r>
          </w:p>
        </w:tc>
        <w:tc>
          <w:tcPr>
            <w:tcW w:w="900" w:type="dxa"/>
            <w:vAlign w:val="bottom"/>
            <w:tcBorders>
              <w:bottom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0"/>
                <w:szCs w:val="10"/>
                <w:b w:val="1"/>
                <w:bCs w:val="1"/>
                <w:color w:val="auto"/>
              </w:rPr>
              <w:t>2003</w:t>
            </w:r>
          </w:p>
        </w:tc>
        <w:tc>
          <w:tcPr>
            <w:tcW w:w="90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4120" w:type="dxa"/>
            <w:vAlign w:val="bottom"/>
          </w:tcPr>
          <w:p>
            <w:pPr>
              <w:spacing w:after="0"/>
              <w:rPr>
                <w:sz w:val="7"/>
                <w:szCs w:val="7"/>
                <w:color w:val="auto"/>
              </w:rPr>
            </w:pPr>
          </w:p>
        </w:tc>
        <w:tc>
          <w:tcPr>
            <w:tcW w:w="8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40" w:type="dxa"/>
            <w:vAlign w:val="bottom"/>
          </w:tcPr>
          <w:p>
            <w:pPr>
              <w:spacing w:after="0"/>
              <w:rPr>
                <w:sz w:val="7"/>
                <w:szCs w:val="7"/>
                <w:color w:val="auto"/>
              </w:rPr>
            </w:pPr>
          </w:p>
        </w:tc>
        <w:tc>
          <w:tcPr>
            <w:tcW w:w="140" w:type="dxa"/>
            <w:vAlign w:val="bottom"/>
          </w:tcPr>
          <w:p>
            <w:pPr>
              <w:spacing w:after="0"/>
              <w:rPr>
                <w:sz w:val="7"/>
                <w:szCs w:val="7"/>
                <w:color w:val="auto"/>
              </w:rPr>
            </w:pPr>
          </w:p>
        </w:tc>
        <w:tc>
          <w:tcPr>
            <w:tcW w:w="900" w:type="dxa"/>
            <w:vAlign w:val="bottom"/>
          </w:tcPr>
          <w:p>
            <w:pPr>
              <w:jc w:val="center"/>
              <w:ind w:right="59"/>
              <w:spacing w:after="0" w:line="81" w:lineRule="exact"/>
              <w:rPr>
                <w:sz w:val="20"/>
                <w:szCs w:val="20"/>
                <w:color w:val="auto"/>
              </w:rPr>
            </w:pPr>
            <w:r>
              <w:rPr>
                <w:rFonts w:ascii="Arial" w:cs="Arial" w:eastAsia="Arial" w:hAnsi="Arial"/>
                <w:sz w:val="9"/>
                <w:szCs w:val="9"/>
                <w:b w:val="1"/>
                <w:bCs w:val="1"/>
                <w:color w:val="auto"/>
              </w:rPr>
              <w:t>Weighted</w:t>
            </w:r>
          </w:p>
        </w:tc>
        <w:tc>
          <w:tcPr>
            <w:tcW w:w="360" w:type="dxa"/>
            <w:vAlign w:val="bottom"/>
          </w:tcPr>
          <w:p>
            <w:pPr>
              <w:spacing w:after="0"/>
              <w:rPr>
                <w:sz w:val="7"/>
                <w:szCs w:val="7"/>
                <w:color w:val="auto"/>
              </w:rPr>
            </w:pPr>
          </w:p>
        </w:tc>
        <w:tc>
          <w:tcPr>
            <w:tcW w:w="8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0" w:type="dxa"/>
            <w:vAlign w:val="bottom"/>
          </w:tcPr>
          <w:p>
            <w:pPr>
              <w:spacing w:after="0"/>
              <w:rPr>
                <w:sz w:val="7"/>
                <w:szCs w:val="7"/>
                <w:color w:val="auto"/>
              </w:rPr>
            </w:pPr>
          </w:p>
        </w:tc>
        <w:tc>
          <w:tcPr>
            <w:tcW w:w="900" w:type="dxa"/>
            <w:vAlign w:val="bottom"/>
          </w:tcPr>
          <w:p>
            <w:pPr>
              <w:jc w:val="center"/>
              <w:ind w:right="59"/>
              <w:spacing w:after="0" w:line="81" w:lineRule="exact"/>
              <w:rPr>
                <w:sz w:val="20"/>
                <w:szCs w:val="20"/>
                <w:color w:val="auto"/>
              </w:rPr>
            </w:pPr>
            <w:r>
              <w:rPr>
                <w:rFonts w:ascii="Arial" w:cs="Arial" w:eastAsia="Arial" w:hAnsi="Arial"/>
                <w:sz w:val="9"/>
                <w:szCs w:val="9"/>
                <w:b w:val="1"/>
                <w:bCs w:val="1"/>
                <w:color w:val="auto"/>
              </w:rPr>
              <w:t>Weighted</w:t>
            </w:r>
          </w:p>
        </w:tc>
        <w:tc>
          <w:tcPr>
            <w:tcW w:w="3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0" w:type="dxa"/>
            <w:vAlign w:val="bottom"/>
          </w:tcPr>
          <w:p>
            <w:pPr>
              <w:spacing w:after="0"/>
              <w:rPr>
                <w:sz w:val="7"/>
                <w:szCs w:val="7"/>
                <w:color w:val="auto"/>
              </w:rPr>
            </w:pPr>
          </w:p>
        </w:tc>
        <w:tc>
          <w:tcPr>
            <w:tcW w:w="900" w:type="dxa"/>
            <w:vAlign w:val="bottom"/>
          </w:tcPr>
          <w:p>
            <w:pPr>
              <w:jc w:val="center"/>
              <w:ind w:right="59"/>
              <w:spacing w:after="0" w:line="81" w:lineRule="exact"/>
              <w:rPr>
                <w:sz w:val="20"/>
                <w:szCs w:val="20"/>
                <w:color w:val="auto"/>
              </w:rPr>
            </w:pPr>
            <w:r>
              <w:rPr>
                <w:rFonts w:ascii="Arial" w:cs="Arial" w:eastAsia="Arial" w:hAnsi="Arial"/>
                <w:sz w:val="9"/>
                <w:szCs w:val="9"/>
                <w:b w:val="1"/>
                <w:bCs w:val="1"/>
                <w:color w:val="auto"/>
              </w:rPr>
              <w:t>Weighted</w:t>
            </w: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120" w:type="dxa"/>
            <w:vAlign w:val="bottom"/>
          </w:tcPr>
          <w:p>
            <w:pPr>
              <w:spacing w:after="0"/>
              <w:rPr>
                <w:sz w:val="9"/>
                <w:szCs w:val="9"/>
                <w:color w:val="auto"/>
              </w:rPr>
            </w:pPr>
          </w:p>
        </w:tc>
        <w:tc>
          <w:tcPr>
            <w:tcW w:w="920" w:type="dxa"/>
            <w:vAlign w:val="bottom"/>
            <w:gridSpan w:val="2"/>
            <w:vMerge w:val="restart"/>
          </w:tcPr>
          <w:p>
            <w:pPr>
              <w:jc w:val="right"/>
              <w:ind w:right="340"/>
              <w:spacing w:after="0"/>
              <w:rPr>
                <w:sz w:val="20"/>
                <w:szCs w:val="20"/>
                <w:color w:val="auto"/>
              </w:rPr>
            </w:pPr>
            <w:r>
              <w:rPr>
                <w:rFonts w:ascii="Arial" w:cs="Arial" w:eastAsia="Arial" w:hAnsi="Arial"/>
                <w:sz w:val="10"/>
                <w:szCs w:val="10"/>
                <w:b w:val="1"/>
                <w:bCs w:val="1"/>
                <w:color w:val="auto"/>
              </w:rPr>
              <w:t>Options</w:t>
            </w: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60" w:type="dxa"/>
            <w:vAlign w:val="bottom"/>
            <w:gridSpan w:val="2"/>
          </w:tcPr>
          <w:p>
            <w:pPr>
              <w:jc w:val="center"/>
              <w:ind w:right="500"/>
              <w:spacing w:after="0" w:line="108" w:lineRule="exact"/>
              <w:rPr>
                <w:sz w:val="20"/>
                <w:szCs w:val="20"/>
                <w:color w:val="auto"/>
              </w:rPr>
            </w:pPr>
            <w:r>
              <w:rPr>
                <w:rFonts w:ascii="Arial" w:cs="Arial" w:eastAsia="Arial" w:hAnsi="Arial"/>
                <w:sz w:val="10"/>
                <w:szCs w:val="10"/>
                <w:b w:val="1"/>
                <w:bCs w:val="1"/>
                <w:color w:val="auto"/>
                <w:w w:val="91"/>
              </w:rPr>
              <w:t>Average</w:t>
            </w:r>
          </w:p>
        </w:tc>
        <w:tc>
          <w:tcPr>
            <w:tcW w:w="920" w:type="dxa"/>
            <w:vAlign w:val="bottom"/>
            <w:gridSpan w:val="2"/>
            <w:vMerge w:val="restart"/>
          </w:tcPr>
          <w:p>
            <w:pPr>
              <w:jc w:val="right"/>
              <w:ind w:right="340"/>
              <w:spacing w:after="0"/>
              <w:rPr>
                <w:sz w:val="20"/>
                <w:szCs w:val="20"/>
                <w:color w:val="auto"/>
              </w:rPr>
            </w:pPr>
            <w:r>
              <w:rPr>
                <w:rFonts w:ascii="Arial" w:cs="Arial" w:eastAsia="Arial" w:hAnsi="Arial"/>
                <w:sz w:val="10"/>
                <w:szCs w:val="10"/>
                <w:b w:val="1"/>
                <w:bCs w:val="1"/>
                <w:color w:val="auto"/>
              </w:rPr>
              <w:t>Options</w:t>
            </w: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20" w:type="dxa"/>
            <w:vAlign w:val="bottom"/>
            <w:gridSpan w:val="2"/>
          </w:tcPr>
          <w:p>
            <w:pPr>
              <w:jc w:val="center"/>
              <w:ind w:right="460"/>
              <w:spacing w:after="0" w:line="108" w:lineRule="exact"/>
              <w:rPr>
                <w:sz w:val="20"/>
                <w:szCs w:val="20"/>
                <w:color w:val="auto"/>
              </w:rPr>
            </w:pPr>
            <w:r>
              <w:rPr>
                <w:rFonts w:ascii="Arial" w:cs="Arial" w:eastAsia="Arial" w:hAnsi="Arial"/>
                <w:sz w:val="10"/>
                <w:szCs w:val="10"/>
                <w:b w:val="1"/>
                <w:bCs w:val="1"/>
                <w:color w:val="auto"/>
                <w:w w:val="91"/>
              </w:rPr>
              <w:t>Average</w:t>
            </w:r>
          </w:p>
        </w:tc>
        <w:tc>
          <w:tcPr>
            <w:tcW w:w="920" w:type="dxa"/>
            <w:vAlign w:val="bottom"/>
            <w:gridSpan w:val="2"/>
            <w:vMerge w:val="restart"/>
          </w:tcPr>
          <w:p>
            <w:pPr>
              <w:jc w:val="right"/>
              <w:ind w:right="340"/>
              <w:spacing w:after="0"/>
              <w:rPr>
                <w:sz w:val="20"/>
                <w:szCs w:val="20"/>
                <w:color w:val="auto"/>
              </w:rPr>
            </w:pPr>
            <w:r>
              <w:rPr>
                <w:rFonts w:ascii="Arial" w:cs="Arial" w:eastAsia="Arial" w:hAnsi="Arial"/>
                <w:sz w:val="10"/>
                <w:szCs w:val="10"/>
                <w:b w:val="1"/>
                <w:bCs w:val="1"/>
                <w:color w:val="auto"/>
              </w:rPr>
              <w:t>Options</w:t>
            </w: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0" w:type="dxa"/>
            <w:vAlign w:val="bottom"/>
            <w:gridSpan w:val="2"/>
          </w:tcPr>
          <w:p>
            <w:pPr>
              <w:jc w:val="center"/>
              <w:ind w:right="220"/>
              <w:spacing w:after="0" w:line="108" w:lineRule="exact"/>
              <w:rPr>
                <w:sz w:val="20"/>
                <w:szCs w:val="20"/>
                <w:color w:val="auto"/>
              </w:rPr>
            </w:pPr>
            <w:r>
              <w:rPr>
                <w:rFonts w:ascii="Arial" w:cs="Arial" w:eastAsia="Arial" w:hAnsi="Arial"/>
                <w:sz w:val="10"/>
                <w:szCs w:val="10"/>
                <w:b w:val="1"/>
                <w:bCs w:val="1"/>
                <w:color w:val="auto"/>
                <w:w w:val="96"/>
              </w:rPr>
              <w:t>Average</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4120" w:type="dxa"/>
            <w:vAlign w:val="bottom"/>
          </w:tcPr>
          <w:p>
            <w:pPr>
              <w:spacing w:after="0"/>
              <w:rPr>
                <w:sz w:val="10"/>
                <w:szCs w:val="10"/>
                <w:color w:val="auto"/>
              </w:rPr>
            </w:pPr>
          </w:p>
        </w:tc>
        <w:tc>
          <w:tcPr>
            <w:tcW w:w="920" w:type="dxa"/>
            <w:vAlign w:val="bottom"/>
            <w:gridSpan w:val="2"/>
            <w:vMerge w:val="continue"/>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60" w:type="dxa"/>
            <w:vAlign w:val="bottom"/>
            <w:gridSpan w:val="2"/>
          </w:tcPr>
          <w:p>
            <w:pPr>
              <w:jc w:val="center"/>
              <w:ind w:right="480"/>
              <w:spacing w:after="0"/>
              <w:rPr>
                <w:sz w:val="20"/>
                <w:szCs w:val="20"/>
                <w:color w:val="auto"/>
              </w:rPr>
            </w:pPr>
            <w:r>
              <w:rPr>
                <w:rFonts w:ascii="Arial" w:cs="Arial" w:eastAsia="Arial" w:hAnsi="Arial"/>
                <w:sz w:val="10"/>
                <w:szCs w:val="10"/>
                <w:b w:val="1"/>
                <w:bCs w:val="1"/>
                <w:color w:val="auto"/>
                <w:w w:val="90"/>
              </w:rPr>
              <w:t>Exercise Price</w:t>
            </w:r>
          </w:p>
        </w:tc>
        <w:tc>
          <w:tcPr>
            <w:tcW w:w="920" w:type="dxa"/>
            <w:vAlign w:val="bottom"/>
            <w:gridSpan w:val="2"/>
            <w:vMerge w:val="continue"/>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20" w:type="dxa"/>
            <w:vAlign w:val="bottom"/>
            <w:gridSpan w:val="2"/>
          </w:tcPr>
          <w:p>
            <w:pPr>
              <w:jc w:val="center"/>
              <w:ind w:right="460"/>
              <w:spacing w:after="0"/>
              <w:rPr>
                <w:sz w:val="20"/>
                <w:szCs w:val="20"/>
                <w:color w:val="auto"/>
              </w:rPr>
            </w:pPr>
            <w:r>
              <w:rPr>
                <w:rFonts w:ascii="Arial" w:cs="Arial" w:eastAsia="Arial" w:hAnsi="Arial"/>
                <w:sz w:val="10"/>
                <w:szCs w:val="10"/>
                <w:b w:val="1"/>
                <w:bCs w:val="1"/>
                <w:color w:val="auto"/>
                <w:w w:val="93"/>
              </w:rPr>
              <w:t>Exercise Price</w:t>
            </w:r>
          </w:p>
        </w:tc>
        <w:tc>
          <w:tcPr>
            <w:tcW w:w="920" w:type="dxa"/>
            <w:vAlign w:val="bottom"/>
            <w:gridSpan w:val="2"/>
            <w:vMerge w:val="continue"/>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0"/>
                <w:szCs w:val="10"/>
                <w:b w:val="1"/>
                <w:bCs w:val="1"/>
                <w:color w:val="auto"/>
                <w:w w:val="90"/>
              </w:rPr>
              <w:t>Exercise Price</w:t>
            </w:r>
          </w:p>
        </w:tc>
        <w:tc>
          <w:tcPr>
            <w:tcW w:w="0" w:type="dxa"/>
            <w:vAlign w:val="bottom"/>
          </w:tcPr>
          <w:p>
            <w:pPr>
              <w:spacing w:after="0"/>
              <w:rPr>
                <w:sz w:val="1"/>
                <w:szCs w:val="1"/>
                <w:color w:val="auto"/>
              </w:rPr>
            </w:pPr>
          </w:p>
        </w:tc>
      </w:tr>
      <w:tr>
        <w:trPr>
          <w:trHeight w:val="29"/>
        </w:trPr>
        <w:tc>
          <w:tcPr>
            <w:tcW w:w="20" w:type="dxa"/>
            <w:vAlign w:val="bottom"/>
            <w:vMerge w:val="restart"/>
          </w:tcPr>
          <w:p>
            <w:pPr>
              <w:spacing w:after="0"/>
              <w:rPr>
                <w:sz w:val="2"/>
                <w:szCs w:val="2"/>
                <w:color w:val="auto"/>
              </w:rPr>
            </w:pPr>
          </w:p>
        </w:tc>
        <w:tc>
          <w:tcPr>
            <w:tcW w:w="4120" w:type="dxa"/>
            <w:vAlign w:val="bottom"/>
          </w:tcPr>
          <w:p>
            <w:pPr>
              <w:spacing w:after="0"/>
              <w:rPr>
                <w:sz w:val="2"/>
                <w:szCs w:val="2"/>
                <w:color w:val="auto"/>
              </w:rPr>
            </w:pPr>
          </w:p>
        </w:tc>
        <w:tc>
          <w:tcPr>
            <w:tcW w:w="82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900" w:type="dxa"/>
            <w:vAlign w:val="bottom"/>
            <w:tcBorders>
              <w:top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82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900" w:type="dxa"/>
            <w:vAlign w:val="bottom"/>
            <w:tcBorders>
              <w:top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9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20" w:type="dxa"/>
            <w:vAlign w:val="bottom"/>
            <w:vMerge w:val="continue"/>
          </w:tcPr>
          <w:p>
            <w:pPr>
              <w:spacing w:after="0"/>
              <w:rPr>
                <w:sz w:val="13"/>
                <w:szCs w:val="13"/>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3"/>
                <w:szCs w:val="13"/>
                <w:color w:val="auto"/>
              </w:rPr>
              <w:t>Outstanding at January 1</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6,682,201</w:t>
            </w:r>
          </w:p>
        </w:tc>
        <w:tc>
          <w:tcPr>
            <w:tcW w:w="100" w:type="dxa"/>
            <w:vAlign w:val="bottom"/>
            <w:shd w:val="clear" w:color="auto" w:fill="CCEEFF"/>
          </w:tcPr>
          <w:p>
            <w:pPr>
              <w:spacing w:after="0"/>
              <w:rPr>
                <w:sz w:val="13"/>
                <w:szCs w:val="13"/>
                <w:color w:val="auto"/>
              </w:rPr>
            </w:pP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126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2.67</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5,025,374</w:t>
            </w:r>
          </w:p>
        </w:tc>
        <w:tc>
          <w:tcPr>
            <w:tcW w:w="100" w:type="dxa"/>
            <w:vAlign w:val="bottom"/>
            <w:shd w:val="clear" w:color="auto" w:fill="CCEEFF"/>
          </w:tcPr>
          <w:p>
            <w:pPr>
              <w:spacing w:after="0"/>
              <w:rPr>
                <w:sz w:val="13"/>
                <w:szCs w:val="13"/>
                <w:color w:val="auto"/>
              </w:rPr>
            </w:pP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3"/>
                <w:szCs w:val="13"/>
                <w:color w:val="auto"/>
              </w:rPr>
              <w:t>2.91</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4,294,050</w:t>
            </w:r>
          </w:p>
        </w:tc>
        <w:tc>
          <w:tcPr>
            <w:tcW w:w="120" w:type="dxa"/>
            <w:vAlign w:val="bottom"/>
            <w:shd w:val="clear" w:color="auto" w:fill="CCEEFF"/>
          </w:tcPr>
          <w:p>
            <w:pPr>
              <w:spacing w:after="0"/>
              <w:rPr>
                <w:sz w:val="13"/>
                <w:szCs w:val="13"/>
                <w:color w:val="auto"/>
              </w:rPr>
            </w:pPr>
          </w:p>
        </w:tc>
        <w:tc>
          <w:tcPr>
            <w:tcW w:w="3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3.14</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4120" w:type="dxa"/>
            <w:vAlign w:val="bottom"/>
          </w:tcPr>
          <w:p>
            <w:pPr>
              <w:spacing w:after="0"/>
              <w:rPr>
                <w:sz w:val="20"/>
                <w:szCs w:val="20"/>
                <w:color w:val="auto"/>
              </w:rPr>
            </w:pPr>
            <w:r>
              <w:rPr>
                <w:rFonts w:ascii="Arial" w:cs="Arial" w:eastAsia="Arial" w:hAnsi="Arial"/>
                <w:sz w:val="13"/>
                <w:szCs w:val="13"/>
                <w:color w:val="auto"/>
              </w:rPr>
              <w:t>Granted</w:t>
            </w:r>
          </w:p>
        </w:tc>
        <w:tc>
          <w:tcPr>
            <w:tcW w:w="820" w:type="dxa"/>
            <w:vAlign w:val="bottom"/>
          </w:tcPr>
          <w:p>
            <w:pPr>
              <w:jc w:val="right"/>
              <w:spacing w:after="0"/>
              <w:rPr>
                <w:sz w:val="20"/>
                <w:szCs w:val="20"/>
                <w:color w:val="auto"/>
              </w:rPr>
            </w:pPr>
            <w:r>
              <w:rPr>
                <w:rFonts w:ascii="Arial" w:cs="Arial" w:eastAsia="Arial" w:hAnsi="Arial"/>
                <w:sz w:val="13"/>
                <w:szCs w:val="13"/>
                <w:color w:val="auto"/>
              </w:rPr>
              <w:t>1,075,481</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60" w:type="dxa"/>
            <w:vAlign w:val="bottom"/>
            <w:gridSpan w:val="2"/>
          </w:tcPr>
          <w:p>
            <w:pPr>
              <w:jc w:val="right"/>
              <w:ind w:right="360"/>
              <w:spacing w:after="0"/>
              <w:rPr>
                <w:sz w:val="20"/>
                <w:szCs w:val="20"/>
                <w:color w:val="auto"/>
              </w:rPr>
            </w:pPr>
            <w:r>
              <w:rPr>
                <w:rFonts w:ascii="Arial" w:cs="Arial" w:eastAsia="Arial" w:hAnsi="Arial"/>
                <w:sz w:val="13"/>
                <w:szCs w:val="13"/>
                <w:color w:val="auto"/>
              </w:rPr>
              <w:t>4.75</w:t>
            </w:r>
          </w:p>
        </w:tc>
        <w:tc>
          <w:tcPr>
            <w:tcW w:w="820" w:type="dxa"/>
            <w:vAlign w:val="bottom"/>
          </w:tcPr>
          <w:p>
            <w:pPr>
              <w:jc w:val="right"/>
              <w:spacing w:after="0"/>
              <w:rPr>
                <w:sz w:val="20"/>
                <w:szCs w:val="20"/>
                <w:color w:val="auto"/>
              </w:rPr>
            </w:pPr>
            <w:r>
              <w:rPr>
                <w:rFonts w:ascii="Arial" w:cs="Arial" w:eastAsia="Arial" w:hAnsi="Arial"/>
                <w:sz w:val="13"/>
                <w:szCs w:val="13"/>
                <w:color w:val="auto"/>
              </w:rPr>
              <w:t>1,932,772</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3"/>
                <w:szCs w:val="13"/>
                <w:color w:val="auto"/>
              </w:rPr>
              <w:t>1.92</w:t>
            </w:r>
          </w:p>
        </w:tc>
        <w:tc>
          <w:tcPr>
            <w:tcW w:w="800" w:type="dxa"/>
            <w:vAlign w:val="bottom"/>
          </w:tcPr>
          <w:p>
            <w:pPr>
              <w:jc w:val="right"/>
              <w:spacing w:after="0"/>
              <w:rPr>
                <w:sz w:val="20"/>
                <w:szCs w:val="20"/>
                <w:color w:val="auto"/>
              </w:rPr>
            </w:pPr>
            <w:r>
              <w:rPr>
                <w:rFonts w:ascii="Arial" w:cs="Arial" w:eastAsia="Arial" w:hAnsi="Arial"/>
                <w:sz w:val="13"/>
                <w:szCs w:val="13"/>
                <w:color w:val="auto"/>
              </w:rPr>
              <w:t>1,125,161</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3"/>
                <w:szCs w:val="13"/>
                <w:color w:val="auto"/>
              </w:rPr>
              <w:t>1.25</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3"/>
                <w:szCs w:val="13"/>
                <w:color w:val="auto"/>
              </w:rPr>
              <w:t>Exercised</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(423,989)</w:t>
            </w:r>
          </w:p>
        </w:tc>
        <w:tc>
          <w:tcPr>
            <w:tcW w:w="2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1.76</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(152,673)</w:t>
            </w:r>
          </w:p>
        </w:tc>
        <w:tc>
          <w:tcPr>
            <w:tcW w:w="2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3"/>
                <w:szCs w:val="13"/>
                <w:color w:val="auto"/>
              </w:rPr>
              <w:t>0.30</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(97,233)</w:t>
            </w:r>
          </w:p>
        </w:tc>
        <w:tc>
          <w:tcPr>
            <w:tcW w:w="2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0.31</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4120" w:type="dxa"/>
            <w:vAlign w:val="bottom"/>
          </w:tcPr>
          <w:p>
            <w:pPr>
              <w:spacing w:after="0"/>
              <w:rPr>
                <w:sz w:val="20"/>
                <w:szCs w:val="20"/>
                <w:color w:val="auto"/>
              </w:rPr>
            </w:pPr>
            <w:r>
              <w:rPr>
                <w:rFonts w:ascii="Arial" w:cs="Arial" w:eastAsia="Arial" w:hAnsi="Arial"/>
                <w:sz w:val="13"/>
                <w:szCs w:val="13"/>
                <w:color w:val="auto"/>
              </w:rPr>
              <w:t>Canceled</w:t>
            </w:r>
          </w:p>
        </w:tc>
        <w:tc>
          <w:tcPr>
            <w:tcW w:w="920" w:type="dxa"/>
            <w:vAlign w:val="bottom"/>
            <w:gridSpan w:val="2"/>
          </w:tcPr>
          <w:p>
            <w:pPr>
              <w:jc w:val="right"/>
              <w:ind w:right="60"/>
              <w:spacing w:after="0"/>
              <w:rPr>
                <w:sz w:val="20"/>
                <w:szCs w:val="20"/>
                <w:color w:val="auto"/>
              </w:rPr>
            </w:pPr>
            <w:r>
              <w:rPr>
                <w:rFonts w:ascii="Arial" w:cs="Arial" w:eastAsia="Arial" w:hAnsi="Arial"/>
                <w:sz w:val="13"/>
                <w:szCs w:val="13"/>
                <w:color w:val="auto"/>
              </w:rPr>
              <w:t>(725,584)</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60" w:type="dxa"/>
            <w:vAlign w:val="bottom"/>
            <w:gridSpan w:val="2"/>
          </w:tcPr>
          <w:p>
            <w:pPr>
              <w:jc w:val="right"/>
              <w:ind w:right="360"/>
              <w:spacing w:after="0"/>
              <w:rPr>
                <w:sz w:val="20"/>
                <w:szCs w:val="20"/>
                <w:color w:val="auto"/>
              </w:rPr>
            </w:pPr>
            <w:r>
              <w:rPr>
                <w:rFonts w:ascii="Arial" w:cs="Arial" w:eastAsia="Arial" w:hAnsi="Arial"/>
                <w:sz w:val="13"/>
                <w:szCs w:val="13"/>
                <w:color w:val="auto"/>
              </w:rPr>
              <w:t>3.11</w:t>
            </w:r>
          </w:p>
        </w:tc>
        <w:tc>
          <w:tcPr>
            <w:tcW w:w="920" w:type="dxa"/>
            <w:vAlign w:val="bottom"/>
            <w:gridSpan w:val="2"/>
          </w:tcPr>
          <w:p>
            <w:pPr>
              <w:jc w:val="right"/>
              <w:ind w:right="60"/>
              <w:spacing w:after="0"/>
              <w:rPr>
                <w:sz w:val="20"/>
                <w:szCs w:val="20"/>
                <w:color w:val="auto"/>
              </w:rPr>
            </w:pPr>
            <w:r>
              <w:rPr>
                <w:rFonts w:ascii="Arial" w:cs="Arial" w:eastAsia="Arial" w:hAnsi="Arial"/>
                <w:sz w:val="13"/>
                <w:szCs w:val="13"/>
                <w:color w:val="auto"/>
              </w:rPr>
              <w:t>(123,272)</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3"/>
                <w:szCs w:val="13"/>
                <w:color w:val="auto"/>
              </w:rPr>
              <w:t>3.49</w:t>
            </w:r>
          </w:p>
        </w:tc>
        <w:tc>
          <w:tcPr>
            <w:tcW w:w="920" w:type="dxa"/>
            <w:vAlign w:val="bottom"/>
            <w:gridSpan w:val="2"/>
          </w:tcPr>
          <w:p>
            <w:pPr>
              <w:jc w:val="right"/>
              <w:ind w:right="80"/>
              <w:spacing w:after="0"/>
              <w:rPr>
                <w:sz w:val="20"/>
                <w:szCs w:val="20"/>
                <w:color w:val="auto"/>
              </w:rPr>
            </w:pPr>
            <w:r>
              <w:rPr>
                <w:rFonts w:ascii="Arial" w:cs="Arial" w:eastAsia="Arial" w:hAnsi="Arial"/>
                <w:sz w:val="13"/>
                <w:szCs w:val="13"/>
                <w:color w:val="auto"/>
              </w:rPr>
              <w:t>(296,604)</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3"/>
                <w:szCs w:val="13"/>
                <w:color w:val="auto"/>
              </w:rPr>
              <w:t>2.34</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3"/>
                <w:szCs w:val="13"/>
                <w:color w:val="auto"/>
              </w:rPr>
              <w:t>Outstanding at December 31</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6,608,109</w:t>
            </w:r>
          </w:p>
        </w:tc>
        <w:tc>
          <w:tcPr>
            <w:tcW w:w="100" w:type="dxa"/>
            <w:vAlign w:val="bottom"/>
            <w:shd w:val="clear" w:color="auto" w:fill="CCEEFF"/>
          </w:tcPr>
          <w:p>
            <w:pPr>
              <w:spacing w:after="0"/>
              <w:rPr>
                <w:sz w:val="14"/>
                <w:szCs w:val="14"/>
                <w:color w:val="auto"/>
              </w:rPr>
            </w:pP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126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3.02</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6,682,201</w:t>
            </w:r>
          </w:p>
        </w:tc>
        <w:tc>
          <w:tcPr>
            <w:tcW w:w="100" w:type="dxa"/>
            <w:vAlign w:val="bottom"/>
            <w:shd w:val="clear" w:color="auto" w:fill="CCEEFF"/>
          </w:tcPr>
          <w:p>
            <w:pPr>
              <w:spacing w:after="0"/>
              <w:rPr>
                <w:sz w:val="14"/>
                <w:szCs w:val="14"/>
                <w:color w:val="auto"/>
              </w:rPr>
            </w:pP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3"/>
                <w:szCs w:val="13"/>
                <w:color w:val="auto"/>
              </w:rPr>
              <w:t>2.67</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5,025,374</w:t>
            </w:r>
          </w:p>
        </w:tc>
        <w:tc>
          <w:tcPr>
            <w:tcW w:w="120" w:type="dxa"/>
            <w:vAlign w:val="bottom"/>
            <w:shd w:val="clear" w:color="auto" w:fill="CCEEFF"/>
          </w:tcPr>
          <w:p>
            <w:pPr>
              <w:spacing w:after="0"/>
              <w:rPr>
                <w:sz w:val="14"/>
                <w:szCs w:val="14"/>
                <w:color w:val="auto"/>
              </w:rPr>
            </w:pPr>
          </w:p>
        </w:tc>
        <w:tc>
          <w:tcPr>
            <w:tcW w:w="3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2.91</w:t>
            </w:r>
          </w:p>
        </w:tc>
        <w:tc>
          <w:tcPr>
            <w:tcW w:w="0" w:type="dxa"/>
            <w:vAlign w:val="bottom"/>
          </w:tcPr>
          <w:p>
            <w:pPr>
              <w:spacing w:after="0"/>
              <w:rPr>
                <w:sz w:val="1"/>
                <w:szCs w:val="1"/>
                <w:color w:val="auto"/>
              </w:rPr>
            </w:pPr>
          </w:p>
        </w:tc>
      </w:tr>
      <w:tr>
        <w:trPr>
          <w:trHeight w:val="177"/>
        </w:trPr>
        <w:tc>
          <w:tcPr>
            <w:tcW w:w="4140" w:type="dxa"/>
            <w:vAlign w:val="bottom"/>
            <w:gridSpan w:val="2"/>
          </w:tcPr>
          <w:p>
            <w:pPr>
              <w:spacing w:after="0"/>
              <w:rPr>
                <w:sz w:val="20"/>
                <w:szCs w:val="20"/>
                <w:color w:val="auto"/>
              </w:rPr>
            </w:pPr>
            <w:r>
              <w:rPr>
                <w:rFonts w:ascii="Arial" w:cs="Arial" w:eastAsia="Arial" w:hAnsi="Arial"/>
                <w:sz w:val="13"/>
                <w:szCs w:val="13"/>
                <w:color w:val="auto"/>
              </w:rPr>
              <w:t>Options exercisable at December 31</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4,265,713</w:t>
            </w:r>
          </w:p>
        </w:tc>
        <w:tc>
          <w:tcPr>
            <w:tcW w:w="100" w:type="dxa"/>
            <w:vAlign w:val="bottom"/>
          </w:tcPr>
          <w:p>
            <w:pPr>
              <w:spacing w:after="0"/>
              <w:rPr>
                <w:sz w:val="15"/>
                <w:szCs w:val="15"/>
                <w:color w:val="auto"/>
              </w:rPr>
            </w:pPr>
          </w:p>
        </w:tc>
        <w:tc>
          <w:tcPr>
            <w:tcW w:w="38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1260" w:type="dxa"/>
            <w:vAlign w:val="bottom"/>
            <w:gridSpan w:val="2"/>
          </w:tcPr>
          <w:p>
            <w:pPr>
              <w:jc w:val="right"/>
              <w:ind w:right="360"/>
              <w:spacing w:after="0"/>
              <w:rPr>
                <w:sz w:val="20"/>
                <w:szCs w:val="20"/>
                <w:color w:val="auto"/>
              </w:rPr>
            </w:pPr>
            <w:r>
              <w:rPr>
                <w:rFonts w:ascii="Arial" w:cs="Arial" w:eastAsia="Arial" w:hAnsi="Arial"/>
                <w:sz w:val="13"/>
                <w:szCs w:val="13"/>
                <w:color w:val="auto"/>
              </w:rPr>
              <w:t>3.03</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3,687,243</w:t>
            </w:r>
          </w:p>
        </w:tc>
        <w:tc>
          <w:tcPr>
            <w:tcW w:w="100" w:type="dxa"/>
            <w:vAlign w:val="bottom"/>
          </w:tcPr>
          <w:p>
            <w:pPr>
              <w:spacing w:after="0"/>
              <w:rPr>
                <w:sz w:val="15"/>
                <w:szCs w:val="15"/>
                <w:color w:val="auto"/>
              </w:rPr>
            </w:pPr>
          </w:p>
        </w:tc>
        <w:tc>
          <w:tcPr>
            <w:tcW w:w="36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1220" w:type="dxa"/>
            <w:vAlign w:val="bottom"/>
            <w:gridSpan w:val="2"/>
          </w:tcPr>
          <w:p>
            <w:pPr>
              <w:jc w:val="right"/>
              <w:ind w:right="320"/>
              <w:spacing w:after="0"/>
              <w:rPr>
                <w:sz w:val="20"/>
                <w:szCs w:val="20"/>
                <w:color w:val="auto"/>
              </w:rPr>
            </w:pPr>
            <w:r>
              <w:rPr>
                <w:rFonts w:ascii="Arial" w:cs="Arial" w:eastAsia="Arial" w:hAnsi="Arial"/>
                <w:sz w:val="13"/>
                <w:szCs w:val="13"/>
                <w:color w:val="auto"/>
              </w:rPr>
              <w:t>2.98</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3,048,940</w:t>
            </w:r>
          </w:p>
        </w:tc>
        <w:tc>
          <w:tcPr>
            <w:tcW w:w="120" w:type="dxa"/>
            <w:vAlign w:val="bottom"/>
          </w:tcPr>
          <w:p>
            <w:pPr>
              <w:spacing w:after="0"/>
              <w:rPr>
                <w:sz w:val="15"/>
                <w:szCs w:val="15"/>
                <w:color w:val="auto"/>
              </w:rPr>
            </w:pPr>
          </w:p>
        </w:tc>
        <w:tc>
          <w:tcPr>
            <w:tcW w:w="34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900" w:type="dxa"/>
            <w:vAlign w:val="bottom"/>
          </w:tcPr>
          <w:p>
            <w:pPr>
              <w:jc w:val="right"/>
              <w:spacing w:after="0"/>
              <w:rPr>
                <w:sz w:val="20"/>
                <w:szCs w:val="20"/>
                <w:color w:val="auto"/>
              </w:rPr>
            </w:pPr>
            <w:r>
              <w:rPr>
                <w:rFonts w:ascii="Arial" w:cs="Arial" w:eastAsia="Arial" w:hAnsi="Arial"/>
                <w:sz w:val="13"/>
                <w:szCs w:val="13"/>
                <w:color w:val="auto"/>
              </w:rPr>
              <w:t>3.11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340"/>
        <w:spacing w:after="0"/>
        <w:rPr>
          <w:sz w:val="20"/>
          <w:szCs w:val="20"/>
          <w:color w:val="auto"/>
        </w:rPr>
      </w:pPr>
      <w:r>
        <w:rPr>
          <w:rFonts w:ascii="Arial" w:cs="Arial" w:eastAsia="Arial" w:hAnsi="Arial"/>
          <w:sz w:val="13"/>
          <w:szCs w:val="13"/>
          <w:color w:val="auto"/>
        </w:rPr>
        <w:t>The following table presents weighted average price and life information about significant option groups outstanding at December 31, 2005:</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20" w:type="dxa"/>
            <w:vAlign w:val="bottom"/>
          </w:tcPr>
          <w:p>
            <w:pPr>
              <w:spacing w:after="0"/>
              <w:rPr>
                <w:sz w:val="10"/>
                <w:szCs w:val="10"/>
                <w:color w:val="auto"/>
              </w:rPr>
            </w:pPr>
          </w:p>
        </w:tc>
        <w:tc>
          <w:tcPr>
            <w:tcW w:w="5260" w:type="dxa"/>
            <w:vAlign w:val="bottom"/>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c>
          <w:tcPr>
            <w:tcW w:w="1640" w:type="dxa"/>
            <w:vAlign w:val="bottom"/>
            <w:tcBorders>
              <w:bottom w:val="single" w:sz="8" w:color="auto"/>
            </w:tcBorders>
            <w:gridSpan w:val="3"/>
          </w:tcPr>
          <w:p>
            <w:pPr>
              <w:jc w:val="right"/>
              <w:ind w:right="400"/>
              <w:spacing w:after="0"/>
              <w:rPr>
                <w:sz w:val="20"/>
                <w:szCs w:val="20"/>
                <w:color w:val="auto"/>
              </w:rPr>
            </w:pPr>
            <w:r>
              <w:rPr>
                <w:rFonts w:ascii="Arial" w:cs="Arial" w:eastAsia="Arial" w:hAnsi="Arial"/>
                <w:sz w:val="10"/>
                <w:szCs w:val="10"/>
                <w:b w:val="1"/>
                <w:bCs w:val="1"/>
                <w:color w:val="auto"/>
              </w:rPr>
              <w:t>Options Outstanding</w:t>
            </w:r>
          </w:p>
        </w:tc>
        <w:tc>
          <w:tcPr>
            <w:tcW w:w="2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440" w:type="dxa"/>
            <w:vAlign w:val="bottom"/>
          </w:tcPr>
          <w:p>
            <w:pPr>
              <w:spacing w:after="0"/>
              <w:rPr>
                <w:sz w:val="10"/>
                <w:szCs w:val="10"/>
                <w:color w:val="auto"/>
              </w:rPr>
            </w:pPr>
          </w:p>
        </w:tc>
        <w:tc>
          <w:tcPr>
            <w:tcW w:w="1480" w:type="dxa"/>
            <w:vAlign w:val="bottom"/>
            <w:gridSpan w:val="3"/>
            <w:vMerge w:val="restart"/>
          </w:tcPr>
          <w:p>
            <w:pPr>
              <w:jc w:val="right"/>
              <w:spacing w:after="0"/>
              <w:rPr>
                <w:sz w:val="20"/>
                <w:szCs w:val="20"/>
                <w:color w:val="auto"/>
              </w:rPr>
            </w:pPr>
            <w:r>
              <w:rPr>
                <w:rFonts w:ascii="Arial" w:cs="Arial" w:eastAsia="Arial" w:hAnsi="Arial"/>
                <w:sz w:val="10"/>
                <w:szCs w:val="10"/>
                <w:b w:val="1"/>
                <w:bCs w:val="1"/>
                <w:color w:val="auto"/>
              </w:rPr>
              <w:t>Options Exercisable</w:t>
            </w: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52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160" w:type="dxa"/>
            <w:vAlign w:val="bottom"/>
            <w:gridSpan w:val="2"/>
          </w:tcPr>
          <w:p>
            <w:pPr>
              <w:jc w:val="center"/>
              <w:ind w:right="220"/>
              <w:spacing w:after="0" w:line="98" w:lineRule="exact"/>
              <w:rPr>
                <w:sz w:val="20"/>
                <w:szCs w:val="20"/>
                <w:color w:val="auto"/>
              </w:rPr>
            </w:pPr>
            <w:r>
              <w:rPr>
                <w:rFonts w:ascii="Arial" w:cs="Arial" w:eastAsia="Arial" w:hAnsi="Arial"/>
                <w:sz w:val="10"/>
                <w:szCs w:val="10"/>
                <w:b w:val="1"/>
                <w:bCs w:val="1"/>
                <w:color w:val="auto"/>
                <w:w w:val="93"/>
              </w:rPr>
              <w:t>Weighted</w:t>
            </w: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480" w:type="dxa"/>
            <w:vAlign w:val="bottom"/>
            <w:tcBorders>
              <w:bottom w:val="single" w:sz="8" w:color="auto"/>
            </w:tcBorders>
            <w:gridSpan w:val="3"/>
            <w:vMerge w:val="continue"/>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52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480" w:type="dxa"/>
            <w:vAlign w:val="bottom"/>
          </w:tcPr>
          <w:p>
            <w:pPr>
              <w:spacing w:after="0"/>
              <w:rPr>
                <w:sz w:val="7"/>
                <w:szCs w:val="7"/>
                <w:color w:val="auto"/>
              </w:rPr>
            </w:pPr>
          </w:p>
        </w:tc>
        <w:tc>
          <w:tcPr>
            <w:tcW w:w="1160" w:type="dxa"/>
            <w:vAlign w:val="bottom"/>
            <w:gridSpan w:val="2"/>
          </w:tcPr>
          <w:p>
            <w:pPr>
              <w:jc w:val="center"/>
              <w:ind w:right="240"/>
              <w:spacing w:after="0" w:line="81" w:lineRule="exact"/>
              <w:rPr>
                <w:sz w:val="20"/>
                <w:szCs w:val="20"/>
                <w:color w:val="auto"/>
              </w:rPr>
            </w:pPr>
            <w:r>
              <w:rPr>
                <w:rFonts w:ascii="Arial" w:cs="Arial" w:eastAsia="Arial" w:hAnsi="Arial"/>
                <w:sz w:val="9"/>
                <w:szCs w:val="9"/>
                <w:b w:val="1"/>
                <w:bCs w:val="1"/>
                <w:color w:val="auto"/>
              </w:rPr>
              <w:t>Average</w:t>
            </w:r>
          </w:p>
        </w:tc>
        <w:tc>
          <w:tcPr>
            <w:tcW w:w="2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20" w:type="dxa"/>
            <w:vAlign w:val="bottom"/>
            <w:gridSpan w:val="2"/>
          </w:tcPr>
          <w:p>
            <w:pPr>
              <w:jc w:val="center"/>
              <w:ind w:right="560"/>
              <w:spacing w:after="0" w:line="81" w:lineRule="exact"/>
              <w:rPr>
                <w:sz w:val="20"/>
                <w:szCs w:val="20"/>
                <w:color w:val="auto"/>
              </w:rPr>
            </w:pPr>
            <w:r>
              <w:rPr>
                <w:rFonts w:ascii="Arial" w:cs="Arial" w:eastAsia="Arial" w:hAnsi="Arial"/>
                <w:sz w:val="9"/>
                <w:szCs w:val="9"/>
                <w:b w:val="1"/>
                <w:bCs w:val="1"/>
                <w:color w:val="auto"/>
              </w:rPr>
              <w:t>Weighted</w:t>
            </w:r>
          </w:p>
        </w:tc>
        <w:tc>
          <w:tcPr>
            <w:tcW w:w="920" w:type="dxa"/>
            <w:vAlign w:val="bottom"/>
          </w:tcPr>
          <w:p>
            <w:pPr>
              <w:spacing w:after="0"/>
              <w:rPr>
                <w:sz w:val="7"/>
                <w:szCs w:val="7"/>
                <w:color w:val="auto"/>
              </w:rPr>
            </w:pPr>
          </w:p>
        </w:tc>
        <w:tc>
          <w:tcPr>
            <w:tcW w:w="440" w:type="dxa"/>
            <w:vAlign w:val="bottom"/>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tcPr>
          <w:p>
            <w:pPr>
              <w:jc w:val="center"/>
              <w:ind w:right="63"/>
              <w:spacing w:after="0" w:line="81" w:lineRule="exact"/>
              <w:rPr>
                <w:sz w:val="20"/>
                <w:szCs w:val="20"/>
                <w:color w:val="auto"/>
              </w:rPr>
            </w:pPr>
            <w:r>
              <w:rPr>
                <w:rFonts w:ascii="Arial" w:cs="Arial" w:eastAsia="Arial" w:hAnsi="Arial"/>
                <w:sz w:val="9"/>
                <w:szCs w:val="9"/>
                <w:b w:val="1"/>
                <w:bCs w:val="1"/>
                <w:color w:val="auto"/>
              </w:rPr>
              <w:t>Weighted</w:t>
            </w: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528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Range of</w:t>
            </w:r>
          </w:p>
        </w:tc>
        <w:tc>
          <w:tcPr>
            <w:tcW w:w="1040" w:type="dxa"/>
            <w:vAlign w:val="bottom"/>
            <w:vMerge w:val="restart"/>
          </w:tcPr>
          <w:p>
            <w:pPr>
              <w:jc w:val="right"/>
              <w:ind w:right="259"/>
              <w:spacing w:after="0"/>
              <w:rPr>
                <w:sz w:val="20"/>
                <w:szCs w:val="20"/>
                <w:color w:val="auto"/>
              </w:rPr>
            </w:pPr>
            <w:r>
              <w:rPr>
                <w:rFonts w:ascii="Arial" w:cs="Arial" w:eastAsia="Arial" w:hAnsi="Arial"/>
                <w:sz w:val="10"/>
                <w:szCs w:val="10"/>
                <w:b w:val="1"/>
                <w:bCs w:val="1"/>
                <w:color w:val="auto"/>
              </w:rPr>
              <w:t>Number</w:t>
            </w:r>
          </w:p>
        </w:tc>
        <w:tc>
          <w:tcPr>
            <w:tcW w:w="480" w:type="dxa"/>
            <w:vAlign w:val="bottom"/>
          </w:tcPr>
          <w:p>
            <w:pPr>
              <w:spacing w:after="0"/>
              <w:rPr>
                <w:sz w:val="9"/>
                <w:szCs w:val="9"/>
                <w:color w:val="auto"/>
              </w:rPr>
            </w:pPr>
          </w:p>
        </w:tc>
        <w:tc>
          <w:tcPr>
            <w:tcW w:w="1160" w:type="dxa"/>
            <w:vAlign w:val="bottom"/>
            <w:gridSpan w:val="2"/>
          </w:tcPr>
          <w:p>
            <w:pPr>
              <w:jc w:val="center"/>
              <w:ind w:right="240"/>
              <w:spacing w:after="0" w:line="108" w:lineRule="exact"/>
              <w:rPr>
                <w:sz w:val="20"/>
                <w:szCs w:val="20"/>
                <w:color w:val="auto"/>
              </w:rPr>
            </w:pPr>
            <w:r>
              <w:rPr>
                <w:rFonts w:ascii="Arial" w:cs="Arial" w:eastAsia="Arial" w:hAnsi="Arial"/>
                <w:sz w:val="10"/>
                <w:szCs w:val="10"/>
                <w:b w:val="1"/>
                <w:bCs w:val="1"/>
                <w:color w:val="auto"/>
                <w:w w:val="93"/>
              </w:rPr>
              <w:t>Remaining</w:t>
            </w: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20" w:type="dxa"/>
            <w:vAlign w:val="bottom"/>
            <w:gridSpan w:val="2"/>
          </w:tcPr>
          <w:p>
            <w:pPr>
              <w:jc w:val="center"/>
              <w:ind w:right="540"/>
              <w:spacing w:after="0" w:line="108" w:lineRule="exact"/>
              <w:rPr>
                <w:sz w:val="20"/>
                <w:szCs w:val="20"/>
                <w:color w:val="auto"/>
              </w:rPr>
            </w:pPr>
            <w:r>
              <w:rPr>
                <w:rFonts w:ascii="Arial" w:cs="Arial" w:eastAsia="Arial" w:hAnsi="Arial"/>
                <w:sz w:val="10"/>
                <w:szCs w:val="10"/>
                <w:b w:val="1"/>
                <w:bCs w:val="1"/>
                <w:color w:val="auto"/>
                <w:w w:val="91"/>
              </w:rPr>
              <w:t>Average</w:t>
            </w:r>
          </w:p>
        </w:tc>
        <w:tc>
          <w:tcPr>
            <w:tcW w:w="920" w:type="dxa"/>
            <w:vAlign w:val="bottom"/>
            <w:vMerge w:val="restart"/>
          </w:tcPr>
          <w:p>
            <w:pPr>
              <w:jc w:val="right"/>
              <w:ind w:right="220"/>
              <w:spacing w:after="0"/>
              <w:rPr>
                <w:sz w:val="20"/>
                <w:szCs w:val="20"/>
                <w:color w:val="auto"/>
              </w:rPr>
            </w:pPr>
            <w:r>
              <w:rPr>
                <w:rFonts w:ascii="Arial" w:cs="Arial" w:eastAsia="Arial" w:hAnsi="Arial"/>
                <w:sz w:val="10"/>
                <w:szCs w:val="10"/>
                <w:b w:val="1"/>
                <w:bCs w:val="1"/>
                <w:color w:val="auto"/>
              </w:rPr>
              <w:t>Number</w:t>
            </w:r>
          </w:p>
        </w:tc>
        <w:tc>
          <w:tcPr>
            <w:tcW w:w="4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gridSpan w:val="2"/>
          </w:tcPr>
          <w:p>
            <w:pPr>
              <w:jc w:val="center"/>
              <w:ind w:right="220"/>
              <w:spacing w:after="0" w:line="108" w:lineRule="exact"/>
              <w:rPr>
                <w:sz w:val="20"/>
                <w:szCs w:val="20"/>
                <w:color w:val="auto"/>
              </w:rPr>
            </w:pPr>
            <w:r>
              <w:rPr>
                <w:rFonts w:ascii="Arial" w:cs="Arial" w:eastAsia="Arial" w:hAnsi="Arial"/>
                <w:sz w:val="10"/>
                <w:szCs w:val="10"/>
                <w:b w:val="1"/>
                <w:bCs w:val="1"/>
                <w:color w:val="auto"/>
                <w:w w:val="91"/>
              </w:rPr>
              <w:t>Average</w:t>
            </w:r>
          </w:p>
        </w:tc>
        <w:tc>
          <w:tcPr>
            <w:tcW w:w="0" w:type="dxa"/>
            <w:vAlign w:val="bottom"/>
          </w:tcPr>
          <w:p>
            <w:pPr>
              <w:spacing w:after="0"/>
              <w:rPr>
                <w:sz w:val="1"/>
                <w:szCs w:val="1"/>
                <w:color w:val="auto"/>
              </w:rPr>
            </w:pPr>
          </w:p>
        </w:tc>
      </w:tr>
      <w:tr>
        <w:trPr>
          <w:trHeight w:val="108"/>
        </w:trPr>
        <w:tc>
          <w:tcPr>
            <w:tcW w:w="5280" w:type="dxa"/>
            <w:vAlign w:val="bottom"/>
            <w:gridSpan w:val="2"/>
            <w:vMerge w:val="continue"/>
          </w:tcPr>
          <w:p>
            <w:pPr>
              <w:spacing w:after="0"/>
              <w:rPr>
                <w:sz w:val="9"/>
                <w:szCs w:val="9"/>
                <w:color w:val="auto"/>
              </w:rPr>
            </w:pPr>
          </w:p>
        </w:tc>
        <w:tc>
          <w:tcPr>
            <w:tcW w:w="1040" w:type="dxa"/>
            <w:vAlign w:val="bottom"/>
            <w:vMerge w:val="continue"/>
          </w:tcPr>
          <w:p>
            <w:pPr>
              <w:spacing w:after="0"/>
              <w:rPr>
                <w:sz w:val="9"/>
                <w:szCs w:val="9"/>
                <w:color w:val="auto"/>
              </w:rPr>
            </w:pPr>
          </w:p>
        </w:tc>
        <w:tc>
          <w:tcPr>
            <w:tcW w:w="480" w:type="dxa"/>
            <w:vAlign w:val="bottom"/>
          </w:tcPr>
          <w:p>
            <w:pPr>
              <w:spacing w:after="0"/>
              <w:rPr>
                <w:sz w:val="9"/>
                <w:szCs w:val="9"/>
                <w:color w:val="auto"/>
              </w:rPr>
            </w:pPr>
          </w:p>
        </w:tc>
        <w:tc>
          <w:tcPr>
            <w:tcW w:w="1160" w:type="dxa"/>
            <w:vAlign w:val="bottom"/>
            <w:gridSpan w:val="2"/>
          </w:tcPr>
          <w:p>
            <w:pPr>
              <w:jc w:val="center"/>
              <w:ind w:right="220"/>
              <w:spacing w:after="0" w:line="108" w:lineRule="exact"/>
              <w:rPr>
                <w:sz w:val="20"/>
                <w:szCs w:val="20"/>
                <w:color w:val="auto"/>
              </w:rPr>
            </w:pPr>
            <w:r>
              <w:rPr>
                <w:rFonts w:ascii="Arial" w:cs="Arial" w:eastAsia="Arial" w:hAnsi="Arial"/>
                <w:sz w:val="10"/>
                <w:szCs w:val="10"/>
                <w:b w:val="1"/>
                <w:bCs w:val="1"/>
                <w:color w:val="auto"/>
                <w:w w:val="97"/>
              </w:rPr>
              <w:t>Contractual</w:t>
            </w: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20" w:type="dxa"/>
            <w:vAlign w:val="bottom"/>
            <w:gridSpan w:val="2"/>
          </w:tcPr>
          <w:p>
            <w:pPr>
              <w:jc w:val="center"/>
              <w:ind w:right="560"/>
              <w:spacing w:after="0" w:line="108" w:lineRule="exact"/>
              <w:rPr>
                <w:sz w:val="20"/>
                <w:szCs w:val="20"/>
                <w:color w:val="auto"/>
              </w:rPr>
            </w:pPr>
            <w:r>
              <w:rPr>
                <w:rFonts w:ascii="Arial" w:cs="Arial" w:eastAsia="Arial" w:hAnsi="Arial"/>
                <w:sz w:val="10"/>
                <w:szCs w:val="10"/>
                <w:b w:val="1"/>
                <w:bCs w:val="1"/>
                <w:color w:val="auto"/>
                <w:w w:val="92"/>
              </w:rPr>
              <w:t>Exercise</w:t>
            </w:r>
          </w:p>
        </w:tc>
        <w:tc>
          <w:tcPr>
            <w:tcW w:w="920" w:type="dxa"/>
            <w:vAlign w:val="bottom"/>
            <w:vMerge w:val="continue"/>
          </w:tcPr>
          <w:p>
            <w:pPr>
              <w:spacing w:after="0"/>
              <w:rPr>
                <w:sz w:val="9"/>
                <w:szCs w:val="9"/>
                <w:color w:val="auto"/>
              </w:rPr>
            </w:pPr>
          </w:p>
        </w:tc>
        <w:tc>
          <w:tcPr>
            <w:tcW w:w="4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gridSpan w:val="2"/>
          </w:tcPr>
          <w:p>
            <w:pPr>
              <w:jc w:val="center"/>
              <w:ind w:right="200"/>
              <w:spacing w:after="0" w:line="108" w:lineRule="exact"/>
              <w:rPr>
                <w:sz w:val="20"/>
                <w:szCs w:val="20"/>
                <w:color w:val="auto"/>
              </w:rPr>
            </w:pPr>
            <w:r>
              <w:rPr>
                <w:rFonts w:ascii="Arial" w:cs="Arial" w:eastAsia="Arial" w:hAnsi="Arial"/>
                <w:sz w:val="10"/>
                <w:szCs w:val="10"/>
                <w:b w:val="1"/>
                <w:bCs w:val="1"/>
                <w:color w:val="auto"/>
                <w:w w:val="92"/>
              </w:rPr>
              <w:t>Exercise</w:t>
            </w:r>
          </w:p>
        </w:tc>
        <w:tc>
          <w:tcPr>
            <w:tcW w:w="0" w:type="dxa"/>
            <w:vAlign w:val="bottom"/>
          </w:tcPr>
          <w:p>
            <w:pPr>
              <w:spacing w:after="0"/>
              <w:rPr>
                <w:sz w:val="1"/>
                <w:szCs w:val="1"/>
                <w:color w:val="auto"/>
              </w:rPr>
            </w:pPr>
          </w:p>
        </w:tc>
      </w:tr>
      <w:tr>
        <w:trPr>
          <w:trHeight w:val="135"/>
        </w:trPr>
        <w:tc>
          <w:tcPr>
            <w:tcW w:w="5280" w:type="dxa"/>
            <w:vAlign w:val="bottom"/>
            <w:gridSpan w:val="2"/>
          </w:tcPr>
          <w:p>
            <w:pPr>
              <w:spacing w:after="0"/>
              <w:rPr>
                <w:sz w:val="20"/>
                <w:szCs w:val="20"/>
                <w:color w:val="auto"/>
              </w:rPr>
            </w:pPr>
            <w:r>
              <w:rPr>
                <w:rFonts w:ascii="Arial" w:cs="Arial" w:eastAsia="Arial" w:hAnsi="Arial"/>
                <w:sz w:val="10"/>
                <w:szCs w:val="10"/>
                <w:b w:val="1"/>
                <w:bCs w:val="1"/>
                <w:u w:val="single" w:color="auto"/>
                <w:color w:val="auto"/>
              </w:rPr>
              <w:t>E</w:t>
            </w:r>
            <w:r>
              <w:rPr>
                <w:rFonts w:ascii="Arial" w:cs="Arial" w:eastAsia="Arial" w:hAnsi="Arial"/>
                <w:sz w:val="10"/>
                <w:szCs w:val="10"/>
                <w:b w:val="1"/>
                <w:bCs w:val="1"/>
                <w:color w:val="auto"/>
              </w:rPr>
              <w:t>xercise Prices</w:t>
            </w:r>
          </w:p>
        </w:tc>
        <w:tc>
          <w:tcPr>
            <w:tcW w:w="1040" w:type="dxa"/>
            <w:vAlign w:val="bottom"/>
          </w:tcPr>
          <w:p>
            <w:pPr>
              <w:jc w:val="right"/>
              <w:ind w:right="179"/>
              <w:spacing w:after="0"/>
              <w:rPr>
                <w:sz w:val="20"/>
                <w:szCs w:val="20"/>
                <w:color w:val="auto"/>
              </w:rPr>
            </w:pPr>
            <w:r>
              <w:rPr>
                <w:rFonts w:ascii="Arial" w:cs="Arial" w:eastAsia="Arial" w:hAnsi="Arial"/>
                <w:sz w:val="10"/>
                <w:szCs w:val="10"/>
                <w:b w:val="1"/>
                <w:bCs w:val="1"/>
                <w:color w:val="auto"/>
              </w:rPr>
              <w:t>Outstanding</w:t>
            </w:r>
          </w:p>
        </w:tc>
        <w:tc>
          <w:tcPr>
            <w:tcW w:w="480" w:type="dxa"/>
            <w:vAlign w:val="bottom"/>
          </w:tcPr>
          <w:p>
            <w:pPr>
              <w:spacing w:after="0"/>
              <w:rPr>
                <w:sz w:val="11"/>
                <w:szCs w:val="11"/>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0"/>
                <w:szCs w:val="10"/>
                <w:b w:val="1"/>
                <w:bCs w:val="1"/>
                <w:color w:val="auto"/>
              </w:rPr>
              <w:t>Life (Yrs.)</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2"/>
          </w:tcPr>
          <w:p>
            <w:pPr>
              <w:jc w:val="center"/>
              <w:ind w:right="540"/>
              <w:spacing w:after="0"/>
              <w:rPr>
                <w:sz w:val="20"/>
                <w:szCs w:val="20"/>
                <w:color w:val="auto"/>
              </w:rPr>
            </w:pPr>
            <w:r>
              <w:rPr>
                <w:rFonts w:ascii="Arial" w:cs="Arial" w:eastAsia="Arial" w:hAnsi="Arial"/>
                <w:sz w:val="10"/>
                <w:szCs w:val="10"/>
                <w:b w:val="1"/>
                <w:bCs w:val="1"/>
                <w:color w:val="auto"/>
                <w:w w:val="97"/>
              </w:rPr>
              <w:t>Price</w:t>
            </w:r>
          </w:p>
        </w:tc>
        <w:tc>
          <w:tcPr>
            <w:tcW w:w="920" w:type="dxa"/>
            <w:vAlign w:val="bottom"/>
          </w:tcPr>
          <w:p>
            <w:pPr>
              <w:jc w:val="right"/>
              <w:ind w:right="140"/>
              <w:spacing w:after="0"/>
              <w:rPr>
                <w:sz w:val="20"/>
                <w:szCs w:val="20"/>
                <w:color w:val="auto"/>
              </w:rPr>
            </w:pPr>
            <w:r>
              <w:rPr>
                <w:rFonts w:ascii="Arial" w:cs="Arial" w:eastAsia="Arial" w:hAnsi="Arial"/>
                <w:sz w:val="10"/>
                <w:szCs w:val="10"/>
                <w:b w:val="1"/>
                <w:bCs w:val="1"/>
                <w:color w:val="auto"/>
              </w:rPr>
              <w:t>Exercisable</w:t>
            </w: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gridSpan w:val="2"/>
          </w:tcPr>
          <w:p>
            <w:pPr>
              <w:jc w:val="center"/>
              <w:ind w:right="220"/>
              <w:spacing w:after="0"/>
              <w:rPr>
                <w:sz w:val="20"/>
                <w:szCs w:val="20"/>
                <w:color w:val="auto"/>
              </w:rPr>
            </w:pPr>
            <w:r>
              <w:rPr>
                <w:rFonts w:ascii="Arial" w:cs="Arial" w:eastAsia="Arial" w:hAnsi="Arial"/>
                <w:sz w:val="10"/>
                <w:szCs w:val="10"/>
                <w:b w:val="1"/>
                <w:bCs w:val="1"/>
                <w:color w:val="auto"/>
                <w:w w:val="97"/>
              </w:rPr>
              <w:t>Price</w:t>
            </w:r>
          </w:p>
        </w:tc>
        <w:tc>
          <w:tcPr>
            <w:tcW w:w="0" w:type="dxa"/>
            <w:vAlign w:val="bottom"/>
          </w:tcPr>
          <w:p>
            <w:pPr>
              <w:spacing w:after="0"/>
              <w:rPr>
                <w:sz w:val="1"/>
                <w:szCs w:val="1"/>
                <w:color w:val="auto"/>
              </w:rPr>
            </w:pPr>
          </w:p>
        </w:tc>
      </w:tr>
      <w:tr>
        <w:trPr>
          <w:trHeight w:val="29"/>
        </w:trPr>
        <w:tc>
          <w:tcPr>
            <w:tcW w:w="20" w:type="dxa"/>
            <w:vAlign w:val="bottom"/>
            <w:vMerge w:val="restart"/>
          </w:tcPr>
          <w:p>
            <w:pPr>
              <w:spacing w:after="0"/>
              <w:rPr>
                <w:sz w:val="2"/>
                <w:szCs w:val="2"/>
                <w:color w:val="auto"/>
              </w:rPr>
            </w:pPr>
          </w:p>
        </w:tc>
        <w:tc>
          <w:tcPr>
            <w:tcW w:w="5260" w:type="dxa"/>
            <w:vAlign w:val="bottom"/>
          </w:tcPr>
          <w:p>
            <w:pPr>
              <w:spacing w:after="0"/>
              <w:rPr>
                <w:sz w:val="2"/>
                <w:szCs w:val="2"/>
                <w:color w:val="auto"/>
              </w:rPr>
            </w:pPr>
          </w:p>
        </w:tc>
        <w:tc>
          <w:tcPr>
            <w:tcW w:w="1040" w:type="dxa"/>
            <w:vAlign w:val="bottom"/>
            <w:tcBorders>
              <w:top w:val="single" w:sz="8" w:color="auto"/>
            </w:tcBorders>
          </w:tcPr>
          <w:p>
            <w:pPr>
              <w:spacing w:after="0"/>
              <w:rPr>
                <w:sz w:val="2"/>
                <w:szCs w:val="2"/>
                <w:color w:val="auto"/>
              </w:rPr>
            </w:pPr>
          </w:p>
        </w:tc>
        <w:tc>
          <w:tcPr>
            <w:tcW w:w="480" w:type="dxa"/>
            <w:vAlign w:val="bottom"/>
          </w:tcPr>
          <w:p>
            <w:pPr>
              <w:spacing w:after="0"/>
              <w:rPr>
                <w:sz w:val="2"/>
                <w:szCs w:val="2"/>
                <w:color w:val="auto"/>
              </w:rPr>
            </w:pPr>
          </w:p>
        </w:tc>
        <w:tc>
          <w:tcPr>
            <w:tcW w:w="920" w:type="dxa"/>
            <w:vAlign w:val="bottom"/>
            <w:tcBorders>
              <w:top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580" w:type="dxa"/>
            <w:vAlign w:val="bottom"/>
            <w:tcBorders>
              <w:top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Borders>
              <w:top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56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20" w:type="dxa"/>
            <w:vAlign w:val="bottom"/>
            <w:vMerge w:val="continue"/>
          </w:tcPr>
          <w:p>
            <w:pPr>
              <w:spacing w:after="0"/>
              <w:rPr>
                <w:sz w:val="13"/>
                <w:szCs w:val="13"/>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3"/>
                <w:szCs w:val="13"/>
                <w:color w:val="auto"/>
              </w:rPr>
              <w:t>Less than $2.00</w:t>
            </w: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2,815,885</w:t>
            </w:r>
          </w:p>
        </w:tc>
        <w:tc>
          <w:tcPr>
            <w:tcW w:w="1640" w:type="dxa"/>
            <w:vAlign w:val="bottom"/>
            <w:gridSpan w:val="3"/>
            <w:shd w:val="clear" w:color="auto" w:fill="CCEEFF"/>
          </w:tcPr>
          <w:p>
            <w:pPr>
              <w:jc w:val="right"/>
              <w:ind w:right="240"/>
              <w:spacing w:after="0"/>
              <w:rPr>
                <w:sz w:val="20"/>
                <w:szCs w:val="20"/>
                <w:color w:val="auto"/>
              </w:rPr>
            </w:pPr>
            <w:r>
              <w:rPr>
                <w:rFonts w:ascii="Arial" w:cs="Arial" w:eastAsia="Arial" w:hAnsi="Arial"/>
                <w:sz w:val="13"/>
                <w:szCs w:val="13"/>
                <w:color w:val="auto"/>
              </w:rPr>
              <w:t>7.28</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3"/>
                <w:szCs w:val="13"/>
                <w:color w:val="auto"/>
              </w:rPr>
              <w:t>1.19</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1,627,702</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0.99</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5260" w:type="dxa"/>
            <w:vAlign w:val="bottom"/>
          </w:tcPr>
          <w:p>
            <w:pPr>
              <w:spacing w:after="0"/>
              <w:rPr>
                <w:sz w:val="20"/>
                <w:szCs w:val="20"/>
                <w:color w:val="auto"/>
              </w:rPr>
            </w:pPr>
            <w:r>
              <w:rPr>
                <w:rFonts w:ascii="Arial" w:cs="Arial" w:eastAsia="Arial" w:hAnsi="Arial"/>
                <w:sz w:val="13"/>
                <w:szCs w:val="13"/>
                <w:color w:val="auto"/>
              </w:rPr>
              <w:t>$2.00 - $3.99</w:t>
            </w:r>
          </w:p>
        </w:tc>
        <w:tc>
          <w:tcPr>
            <w:tcW w:w="1040" w:type="dxa"/>
            <w:vAlign w:val="bottom"/>
          </w:tcPr>
          <w:p>
            <w:pPr>
              <w:jc w:val="right"/>
              <w:spacing w:after="0"/>
              <w:rPr>
                <w:sz w:val="20"/>
                <w:szCs w:val="20"/>
                <w:color w:val="auto"/>
              </w:rPr>
            </w:pPr>
            <w:r>
              <w:rPr>
                <w:rFonts w:ascii="Arial" w:cs="Arial" w:eastAsia="Arial" w:hAnsi="Arial"/>
                <w:sz w:val="13"/>
                <w:szCs w:val="13"/>
                <w:color w:val="auto"/>
              </w:rPr>
              <w:t>1,229,285</w:t>
            </w:r>
          </w:p>
        </w:tc>
        <w:tc>
          <w:tcPr>
            <w:tcW w:w="1640" w:type="dxa"/>
            <w:vAlign w:val="bottom"/>
            <w:gridSpan w:val="3"/>
          </w:tcPr>
          <w:p>
            <w:pPr>
              <w:jc w:val="right"/>
              <w:ind w:right="240"/>
              <w:spacing w:after="0"/>
              <w:rPr>
                <w:sz w:val="20"/>
                <w:szCs w:val="20"/>
                <w:color w:val="auto"/>
              </w:rPr>
            </w:pPr>
            <w:r>
              <w:rPr>
                <w:rFonts w:ascii="Arial" w:cs="Arial" w:eastAsia="Arial" w:hAnsi="Arial"/>
                <w:sz w:val="13"/>
                <w:szCs w:val="13"/>
                <w:color w:val="auto"/>
              </w:rPr>
              <w:t>6.03</w:t>
            </w:r>
          </w:p>
        </w:tc>
        <w:tc>
          <w:tcPr>
            <w:tcW w:w="34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1020" w:type="dxa"/>
            <w:vAlign w:val="bottom"/>
            <w:gridSpan w:val="2"/>
          </w:tcPr>
          <w:p>
            <w:pPr>
              <w:jc w:val="right"/>
              <w:ind w:right="440"/>
              <w:spacing w:after="0"/>
              <w:rPr>
                <w:sz w:val="20"/>
                <w:szCs w:val="20"/>
                <w:color w:val="auto"/>
              </w:rPr>
            </w:pPr>
            <w:r>
              <w:rPr>
                <w:rFonts w:ascii="Arial" w:cs="Arial" w:eastAsia="Arial" w:hAnsi="Arial"/>
                <w:sz w:val="13"/>
                <w:szCs w:val="13"/>
                <w:color w:val="auto"/>
              </w:rPr>
              <w:t>2.76</w:t>
            </w:r>
          </w:p>
        </w:tc>
        <w:tc>
          <w:tcPr>
            <w:tcW w:w="920" w:type="dxa"/>
            <w:vAlign w:val="bottom"/>
          </w:tcPr>
          <w:p>
            <w:pPr>
              <w:jc w:val="right"/>
              <w:spacing w:after="0"/>
              <w:rPr>
                <w:sz w:val="20"/>
                <w:szCs w:val="20"/>
                <w:color w:val="auto"/>
              </w:rPr>
            </w:pPr>
            <w:r>
              <w:rPr>
                <w:rFonts w:ascii="Arial" w:cs="Arial" w:eastAsia="Arial" w:hAnsi="Arial"/>
                <w:sz w:val="13"/>
                <w:szCs w:val="13"/>
                <w:color w:val="auto"/>
              </w:rPr>
              <w:t>1,024,072</w:t>
            </w:r>
          </w:p>
        </w:tc>
        <w:tc>
          <w:tcPr>
            <w:tcW w:w="56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3"/>
                <w:szCs w:val="13"/>
                <w:color w:val="auto"/>
              </w:rPr>
              <w:t>2.75</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3"/>
                <w:szCs w:val="13"/>
                <w:color w:val="auto"/>
              </w:rPr>
              <w:t>$4.00 - $5.99</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2,562,939</w:t>
            </w:r>
          </w:p>
        </w:tc>
        <w:tc>
          <w:tcPr>
            <w:tcW w:w="1640" w:type="dxa"/>
            <w:vAlign w:val="bottom"/>
            <w:gridSpan w:val="3"/>
            <w:shd w:val="clear" w:color="auto" w:fill="CCEEFF"/>
          </w:tcPr>
          <w:p>
            <w:pPr>
              <w:jc w:val="right"/>
              <w:ind w:right="240"/>
              <w:spacing w:after="0"/>
              <w:rPr>
                <w:sz w:val="20"/>
                <w:szCs w:val="20"/>
                <w:color w:val="auto"/>
              </w:rPr>
            </w:pPr>
            <w:r>
              <w:rPr>
                <w:rFonts w:ascii="Arial" w:cs="Arial" w:eastAsia="Arial" w:hAnsi="Arial"/>
                <w:sz w:val="13"/>
                <w:szCs w:val="13"/>
                <w:color w:val="auto"/>
              </w:rPr>
              <w:t>4.77</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3"/>
                <w:szCs w:val="13"/>
                <w:color w:val="auto"/>
              </w:rPr>
              <w:t>5.14</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1,613,939</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5.23</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5260" w:type="dxa"/>
            <w:vAlign w:val="bottom"/>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6,608,109</w:t>
            </w:r>
          </w:p>
        </w:tc>
        <w:tc>
          <w:tcPr>
            <w:tcW w:w="4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4,265,713</w:t>
            </w: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340"/>
        <w:spacing w:after="0"/>
        <w:rPr>
          <w:sz w:val="20"/>
          <w:szCs w:val="20"/>
          <w:color w:val="auto"/>
        </w:rPr>
      </w:pPr>
      <w:r>
        <w:rPr>
          <w:rFonts w:ascii="Arial" w:cs="Arial" w:eastAsia="Arial" w:hAnsi="Arial"/>
          <w:sz w:val="12"/>
          <w:szCs w:val="12"/>
          <w:color w:val="auto"/>
        </w:rPr>
        <w:t>The weighted average fair value per share of options granted during 2005, 2004 and 2003 was $3.75, $1.64 and $0.86, respectively. The fair value of options at the date of grant were estimated using the Black-</w:t>
      </w:r>
    </w:p>
    <w:p>
      <w:pPr>
        <w:spacing w:after="0" w:line="27" w:lineRule="exact"/>
        <w:rPr>
          <w:sz w:val="20"/>
          <w:szCs w:val="20"/>
          <w:color w:val="auto"/>
        </w:rPr>
      </w:pPr>
    </w:p>
    <w:p>
      <w:pPr>
        <w:spacing w:after="0"/>
        <w:rPr>
          <w:sz w:val="20"/>
          <w:szCs w:val="20"/>
          <w:color w:val="auto"/>
        </w:rPr>
      </w:pPr>
      <w:r>
        <w:rPr>
          <w:rFonts w:ascii="Arial" w:cs="Arial" w:eastAsia="Arial" w:hAnsi="Arial"/>
          <w:sz w:val="13"/>
          <w:szCs w:val="13"/>
          <w:color w:val="auto"/>
        </w:rPr>
        <w:t>Scholes model with the following weighted average assumptions: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20" w:type="dxa"/>
            <w:vAlign w:val="bottom"/>
          </w:tcPr>
          <w:p>
            <w:pPr>
              <w:spacing w:after="0"/>
              <w:rPr>
                <w:sz w:val="10"/>
                <w:szCs w:val="10"/>
                <w:color w:val="auto"/>
              </w:rPr>
            </w:pPr>
          </w:p>
        </w:tc>
        <w:tc>
          <w:tcPr>
            <w:tcW w:w="9060" w:type="dxa"/>
            <w:vAlign w:val="bottom"/>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gridSpan w:val="2"/>
          </w:tcPr>
          <w:p>
            <w:pPr>
              <w:jc w:val="right"/>
              <w:ind w:right="520"/>
              <w:spacing w:after="0"/>
              <w:rPr>
                <w:sz w:val="20"/>
                <w:szCs w:val="20"/>
                <w:color w:val="auto"/>
              </w:rPr>
            </w:pPr>
            <w:r>
              <w:rPr>
                <w:rFonts w:ascii="Arial" w:cs="Arial" w:eastAsia="Arial" w:hAnsi="Arial"/>
                <w:sz w:val="10"/>
                <w:szCs w:val="10"/>
                <w:b w:val="1"/>
                <w:bCs w:val="1"/>
                <w:color w:val="auto"/>
              </w:rPr>
              <w:t>Options</w:t>
            </w:r>
          </w:p>
        </w:tc>
        <w:tc>
          <w:tcPr>
            <w:tcW w:w="46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9060" w:type="dxa"/>
            <w:vAlign w:val="bottom"/>
          </w:tcPr>
          <w:p>
            <w:pPr>
              <w:spacing w:after="0"/>
              <w:rPr>
                <w:sz w:val="8"/>
                <w:szCs w:val="8"/>
                <w:color w:val="auto"/>
              </w:rPr>
            </w:pPr>
          </w:p>
        </w:tc>
        <w:tc>
          <w:tcPr>
            <w:tcW w:w="440" w:type="dxa"/>
            <w:vAlign w:val="bottom"/>
            <w:tcBorders>
              <w:bottom w:val="single" w:sz="8" w:color="auto"/>
            </w:tcBorders>
          </w:tcPr>
          <w:p>
            <w:pPr>
              <w:jc w:val="right"/>
              <w:ind w:right="57"/>
              <w:spacing w:after="0" w:line="98" w:lineRule="exact"/>
              <w:rPr>
                <w:sz w:val="20"/>
                <w:szCs w:val="20"/>
                <w:color w:val="auto"/>
              </w:rPr>
            </w:pPr>
            <w:r>
              <w:rPr>
                <w:rFonts w:ascii="Arial" w:cs="Arial" w:eastAsia="Arial" w:hAnsi="Arial"/>
                <w:sz w:val="10"/>
                <w:szCs w:val="10"/>
                <w:b w:val="1"/>
                <w:bCs w:val="1"/>
                <w:color w:val="auto"/>
              </w:rPr>
              <w:t>2005</w:t>
            </w:r>
          </w:p>
        </w:tc>
        <w:tc>
          <w:tcPr>
            <w:tcW w:w="460" w:type="dxa"/>
            <w:vAlign w:val="bottom"/>
          </w:tcPr>
          <w:p>
            <w:pPr>
              <w:spacing w:after="0"/>
              <w:rPr>
                <w:sz w:val="8"/>
                <w:szCs w:val="8"/>
                <w:color w:val="auto"/>
              </w:rPr>
            </w:pPr>
          </w:p>
        </w:tc>
        <w:tc>
          <w:tcPr>
            <w:tcW w:w="460" w:type="dxa"/>
            <w:vAlign w:val="bottom"/>
            <w:tcBorders>
              <w:bottom w:val="single" w:sz="8" w:color="auto"/>
            </w:tcBorders>
          </w:tcPr>
          <w:p>
            <w:pPr>
              <w:jc w:val="right"/>
              <w:ind w:right="59"/>
              <w:spacing w:after="0" w:line="98" w:lineRule="exact"/>
              <w:rPr>
                <w:sz w:val="20"/>
                <w:szCs w:val="20"/>
                <w:color w:val="auto"/>
              </w:rPr>
            </w:pPr>
            <w:r>
              <w:rPr>
                <w:rFonts w:ascii="Arial" w:cs="Arial" w:eastAsia="Arial" w:hAnsi="Arial"/>
                <w:sz w:val="10"/>
                <w:szCs w:val="10"/>
                <w:b w:val="1"/>
                <w:bCs w:val="1"/>
                <w:color w:val="auto"/>
              </w:rPr>
              <w:t>2004</w:t>
            </w:r>
          </w:p>
        </w:tc>
        <w:tc>
          <w:tcPr>
            <w:tcW w:w="460" w:type="dxa"/>
            <w:vAlign w:val="bottom"/>
          </w:tcPr>
          <w:p>
            <w:pPr>
              <w:spacing w:after="0"/>
              <w:rPr>
                <w:sz w:val="8"/>
                <w:szCs w:val="8"/>
                <w:color w:val="auto"/>
              </w:rPr>
            </w:pPr>
          </w:p>
        </w:tc>
        <w:tc>
          <w:tcPr>
            <w:tcW w:w="460" w:type="dxa"/>
            <w:vAlign w:val="bottom"/>
            <w:tcBorders>
              <w:bottom w:val="single" w:sz="8" w:color="auto"/>
            </w:tcBorders>
          </w:tcPr>
          <w:p>
            <w:pPr>
              <w:jc w:val="right"/>
              <w:ind w:right="57"/>
              <w:spacing w:after="0" w:line="98" w:lineRule="exact"/>
              <w:rPr>
                <w:sz w:val="20"/>
                <w:szCs w:val="20"/>
                <w:color w:val="auto"/>
              </w:rPr>
            </w:pPr>
            <w:r>
              <w:rPr>
                <w:rFonts w:ascii="Arial" w:cs="Arial" w:eastAsia="Arial" w:hAnsi="Arial"/>
                <w:sz w:val="10"/>
                <w:szCs w:val="10"/>
                <w:b w:val="1"/>
                <w:bCs w:val="1"/>
                <w:color w:val="auto"/>
              </w:rPr>
              <w:t>2003</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20" w:type="dxa"/>
            <w:vAlign w:val="bottom"/>
            <w:vMerge w:val="restart"/>
          </w:tcPr>
          <w:p>
            <w:pPr>
              <w:spacing w:after="0"/>
              <w:rPr>
                <w:sz w:val="2"/>
                <w:szCs w:val="2"/>
                <w:color w:val="auto"/>
              </w:rPr>
            </w:pPr>
          </w:p>
        </w:tc>
        <w:tc>
          <w:tcPr>
            <w:tcW w:w="9060" w:type="dxa"/>
            <w:vAlign w:val="bottom"/>
          </w:tcPr>
          <w:p>
            <w:pPr>
              <w:spacing w:after="0"/>
              <w:rPr>
                <w:sz w:val="2"/>
                <w:szCs w:val="2"/>
                <w:color w:val="auto"/>
              </w:rPr>
            </w:pPr>
          </w:p>
        </w:tc>
        <w:tc>
          <w:tcPr>
            <w:tcW w:w="440" w:type="dxa"/>
            <w:vAlign w:val="bottom"/>
          </w:tcPr>
          <w:p>
            <w:pPr>
              <w:spacing w:after="0"/>
              <w:rPr>
                <w:sz w:val="2"/>
                <w:szCs w:val="2"/>
                <w:color w:val="auto"/>
              </w:rPr>
            </w:pPr>
          </w:p>
        </w:tc>
        <w:tc>
          <w:tcPr>
            <w:tcW w:w="460" w:type="dxa"/>
            <w:vAlign w:val="bottom"/>
          </w:tcPr>
          <w:p>
            <w:pPr>
              <w:spacing w:after="0"/>
              <w:rPr>
                <w:sz w:val="2"/>
                <w:szCs w:val="2"/>
                <w:color w:val="auto"/>
              </w:rPr>
            </w:pPr>
          </w:p>
        </w:tc>
        <w:tc>
          <w:tcPr>
            <w:tcW w:w="460" w:type="dxa"/>
            <w:vAlign w:val="bottom"/>
          </w:tcPr>
          <w:p>
            <w:pPr>
              <w:spacing w:after="0"/>
              <w:rPr>
                <w:sz w:val="2"/>
                <w:szCs w:val="2"/>
                <w:color w:val="auto"/>
              </w:rPr>
            </w:pPr>
          </w:p>
        </w:tc>
        <w:tc>
          <w:tcPr>
            <w:tcW w:w="4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20" w:type="dxa"/>
            <w:vAlign w:val="bottom"/>
            <w:vMerge w:val="continue"/>
          </w:tcPr>
          <w:p>
            <w:pPr>
              <w:spacing w:after="0"/>
              <w:rPr>
                <w:sz w:val="13"/>
                <w:szCs w:val="13"/>
                <w:color w:val="auto"/>
              </w:rPr>
            </w:pPr>
          </w:p>
        </w:tc>
        <w:tc>
          <w:tcPr>
            <w:tcW w:w="9060" w:type="dxa"/>
            <w:vAlign w:val="bottom"/>
            <w:shd w:val="clear" w:color="auto" w:fill="CCEEFF"/>
          </w:tcPr>
          <w:p>
            <w:pPr>
              <w:spacing w:after="0"/>
              <w:rPr>
                <w:sz w:val="20"/>
                <w:szCs w:val="20"/>
                <w:color w:val="auto"/>
              </w:rPr>
            </w:pPr>
            <w:r>
              <w:rPr>
                <w:rFonts w:ascii="Arial" w:cs="Arial" w:eastAsia="Arial" w:hAnsi="Arial"/>
                <w:sz w:val="13"/>
                <w:szCs w:val="13"/>
                <w:color w:val="auto"/>
              </w:rPr>
              <w:t>Expected life (years)</w:t>
            </w:r>
          </w:p>
        </w:tc>
        <w:tc>
          <w:tcPr>
            <w:tcW w:w="900" w:type="dxa"/>
            <w:vAlign w:val="bottom"/>
            <w:gridSpan w:val="2"/>
            <w:shd w:val="clear" w:color="auto" w:fill="CCEEFF"/>
          </w:tcPr>
          <w:p>
            <w:pPr>
              <w:jc w:val="right"/>
              <w:ind w:right="460"/>
              <w:spacing w:after="0"/>
              <w:rPr>
                <w:sz w:val="20"/>
                <w:szCs w:val="20"/>
                <w:color w:val="auto"/>
              </w:rPr>
            </w:pPr>
            <w:r>
              <w:rPr>
                <w:rFonts w:ascii="Arial" w:cs="Arial" w:eastAsia="Arial" w:hAnsi="Arial"/>
                <w:sz w:val="13"/>
                <w:szCs w:val="13"/>
                <w:color w:val="auto"/>
              </w:rPr>
              <w:t>5</w:t>
            </w:r>
          </w:p>
        </w:tc>
        <w:tc>
          <w:tcPr>
            <w:tcW w:w="920" w:type="dxa"/>
            <w:vAlign w:val="bottom"/>
            <w:gridSpan w:val="2"/>
            <w:shd w:val="clear" w:color="auto" w:fill="CCEEFF"/>
          </w:tcPr>
          <w:p>
            <w:pPr>
              <w:jc w:val="right"/>
              <w:ind w:right="460"/>
              <w:spacing w:after="0"/>
              <w:rPr>
                <w:sz w:val="20"/>
                <w:szCs w:val="20"/>
                <w:color w:val="auto"/>
              </w:rPr>
            </w:pPr>
            <w:r>
              <w:rPr>
                <w:rFonts w:ascii="Arial" w:cs="Arial" w:eastAsia="Arial" w:hAnsi="Arial"/>
                <w:sz w:val="13"/>
                <w:szCs w:val="13"/>
                <w:color w:val="auto"/>
              </w:rPr>
              <w:t>5</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9060" w:type="dxa"/>
            <w:vAlign w:val="bottom"/>
          </w:tcPr>
          <w:p>
            <w:pPr>
              <w:spacing w:after="0"/>
              <w:rPr>
                <w:sz w:val="20"/>
                <w:szCs w:val="20"/>
                <w:color w:val="auto"/>
              </w:rPr>
            </w:pPr>
            <w:r>
              <w:rPr>
                <w:rFonts w:ascii="Arial" w:cs="Arial" w:eastAsia="Arial" w:hAnsi="Arial"/>
                <w:sz w:val="13"/>
                <w:szCs w:val="13"/>
                <w:color w:val="auto"/>
              </w:rPr>
              <w:t>Risk-free interest rate</w:t>
            </w:r>
          </w:p>
        </w:tc>
        <w:tc>
          <w:tcPr>
            <w:tcW w:w="900" w:type="dxa"/>
            <w:vAlign w:val="bottom"/>
            <w:gridSpan w:val="2"/>
          </w:tcPr>
          <w:p>
            <w:pPr>
              <w:jc w:val="right"/>
              <w:ind w:right="340"/>
              <w:spacing w:after="0"/>
              <w:rPr>
                <w:sz w:val="20"/>
                <w:szCs w:val="20"/>
                <w:color w:val="auto"/>
              </w:rPr>
            </w:pPr>
            <w:r>
              <w:rPr>
                <w:rFonts w:ascii="Arial" w:cs="Arial" w:eastAsia="Arial" w:hAnsi="Arial"/>
                <w:sz w:val="13"/>
                <w:szCs w:val="13"/>
                <w:color w:val="auto"/>
              </w:rPr>
              <w:t>4.14%</w:t>
            </w:r>
          </w:p>
        </w:tc>
        <w:tc>
          <w:tcPr>
            <w:tcW w:w="920" w:type="dxa"/>
            <w:vAlign w:val="bottom"/>
            <w:gridSpan w:val="2"/>
          </w:tcPr>
          <w:p>
            <w:pPr>
              <w:jc w:val="right"/>
              <w:ind w:right="360"/>
              <w:spacing w:after="0"/>
              <w:rPr>
                <w:sz w:val="20"/>
                <w:szCs w:val="20"/>
                <w:color w:val="auto"/>
              </w:rPr>
            </w:pPr>
            <w:r>
              <w:rPr>
                <w:rFonts w:ascii="Arial" w:cs="Arial" w:eastAsia="Arial" w:hAnsi="Arial"/>
                <w:sz w:val="13"/>
                <w:szCs w:val="13"/>
                <w:color w:val="auto"/>
              </w:rPr>
              <w:t>3.60%</w:t>
            </w:r>
          </w:p>
        </w:tc>
        <w:tc>
          <w:tcPr>
            <w:tcW w:w="560" w:type="dxa"/>
            <w:vAlign w:val="bottom"/>
            <w:gridSpan w:val="2"/>
          </w:tcPr>
          <w:p>
            <w:pPr>
              <w:jc w:val="right"/>
              <w:spacing w:after="0"/>
              <w:rPr>
                <w:sz w:val="20"/>
                <w:szCs w:val="20"/>
                <w:color w:val="auto"/>
              </w:rPr>
            </w:pPr>
            <w:r>
              <w:rPr>
                <w:rFonts w:ascii="Arial" w:cs="Arial" w:eastAsia="Arial" w:hAnsi="Arial"/>
                <w:sz w:val="13"/>
                <w:szCs w:val="13"/>
                <w:color w:val="auto"/>
              </w:rPr>
              <w:t>3.29%</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9060" w:type="dxa"/>
            <w:vAlign w:val="bottom"/>
            <w:shd w:val="clear" w:color="auto" w:fill="CCEEFF"/>
          </w:tcPr>
          <w:p>
            <w:pPr>
              <w:spacing w:after="0"/>
              <w:rPr>
                <w:sz w:val="20"/>
                <w:szCs w:val="20"/>
                <w:color w:val="auto"/>
              </w:rPr>
            </w:pPr>
            <w:r>
              <w:rPr>
                <w:rFonts w:ascii="Arial" w:cs="Arial" w:eastAsia="Arial" w:hAnsi="Arial"/>
                <w:sz w:val="13"/>
                <w:szCs w:val="13"/>
                <w:color w:val="auto"/>
              </w:rPr>
              <w:t>Expected volatility</w:t>
            </w: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100.7%</w:t>
            </w: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111.6%</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121.1%</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9060" w:type="dxa"/>
            <w:vAlign w:val="bottom"/>
          </w:tcPr>
          <w:p>
            <w:pPr>
              <w:spacing w:after="0"/>
              <w:rPr>
                <w:sz w:val="20"/>
                <w:szCs w:val="20"/>
                <w:color w:val="auto"/>
              </w:rPr>
            </w:pPr>
            <w:r>
              <w:rPr>
                <w:rFonts w:ascii="Arial" w:cs="Arial" w:eastAsia="Arial" w:hAnsi="Arial"/>
                <w:sz w:val="13"/>
                <w:szCs w:val="13"/>
                <w:color w:val="auto"/>
              </w:rPr>
              <w:t>Expected dividend yield</w:t>
            </w:r>
          </w:p>
        </w:tc>
        <w:tc>
          <w:tcPr>
            <w:tcW w:w="900" w:type="dxa"/>
            <w:vAlign w:val="bottom"/>
            <w:gridSpan w:val="2"/>
          </w:tcPr>
          <w:p>
            <w:pPr>
              <w:jc w:val="right"/>
              <w:ind w:right="340"/>
              <w:spacing w:after="0"/>
              <w:rPr>
                <w:sz w:val="20"/>
                <w:szCs w:val="20"/>
                <w:color w:val="auto"/>
              </w:rPr>
            </w:pPr>
            <w:r>
              <w:rPr>
                <w:rFonts w:ascii="Arial" w:cs="Arial" w:eastAsia="Arial" w:hAnsi="Arial"/>
                <w:sz w:val="13"/>
                <w:szCs w:val="13"/>
                <w:color w:val="auto"/>
              </w:rPr>
              <w:t>0%</w:t>
            </w:r>
          </w:p>
        </w:tc>
        <w:tc>
          <w:tcPr>
            <w:tcW w:w="920" w:type="dxa"/>
            <w:vAlign w:val="bottom"/>
            <w:gridSpan w:val="2"/>
          </w:tcPr>
          <w:p>
            <w:pPr>
              <w:jc w:val="right"/>
              <w:ind w:right="360"/>
              <w:spacing w:after="0"/>
              <w:rPr>
                <w:sz w:val="20"/>
                <w:szCs w:val="20"/>
                <w:color w:val="auto"/>
              </w:rPr>
            </w:pPr>
            <w:r>
              <w:rPr>
                <w:rFonts w:ascii="Arial" w:cs="Arial" w:eastAsia="Arial" w:hAnsi="Arial"/>
                <w:sz w:val="13"/>
                <w:szCs w:val="13"/>
                <w:color w:val="auto"/>
              </w:rPr>
              <w:t>0%</w:t>
            </w:r>
          </w:p>
        </w:tc>
        <w:tc>
          <w:tcPr>
            <w:tcW w:w="560" w:type="dxa"/>
            <w:vAlign w:val="bottom"/>
            <w:gridSpan w:val="2"/>
          </w:tcPr>
          <w:p>
            <w:pPr>
              <w:jc w:val="right"/>
              <w:spacing w:after="0"/>
              <w:rPr>
                <w:sz w:val="20"/>
                <w:szCs w:val="20"/>
                <w:color w:val="auto"/>
              </w:rPr>
            </w:pPr>
            <w:r>
              <w:rPr>
                <w:rFonts w:ascii="Arial" w:cs="Arial" w:eastAsia="Arial" w:hAnsi="Arial"/>
                <w:sz w:val="13"/>
                <w:szCs w:val="13"/>
                <w:color w:val="auto"/>
              </w:rPr>
              <w:t>0%</w:t>
            </w:r>
          </w:p>
        </w:tc>
        <w:tc>
          <w:tcPr>
            <w:tcW w:w="0" w:type="dxa"/>
            <w:vAlign w:val="bottom"/>
          </w:tcPr>
          <w:p>
            <w:pPr>
              <w:spacing w:after="0"/>
              <w:rPr>
                <w:sz w:val="1"/>
                <w:szCs w:val="1"/>
                <w:color w:val="auto"/>
              </w:rPr>
            </w:pPr>
          </w:p>
        </w:tc>
      </w:tr>
    </w:tbl>
    <w:p>
      <w:pPr>
        <w:spacing w:after="0" w:line="72" w:lineRule="exact"/>
        <w:rPr>
          <w:sz w:val="20"/>
          <w:szCs w:val="20"/>
          <w:color w:val="auto"/>
        </w:rPr>
      </w:pPr>
    </w:p>
    <w:p>
      <w:pPr>
        <w:ind w:left="340"/>
        <w:spacing w:after="0"/>
        <w:rPr>
          <w:sz w:val="20"/>
          <w:szCs w:val="20"/>
          <w:color w:val="auto"/>
        </w:rPr>
      </w:pPr>
      <w:r>
        <w:rPr>
          <w:rFonts w:ascii="Arial" w:cs="Arial" w:eastAsia="Arial" w:hAnsi="Arial"/>
          <w:sz w:val="13"/>
          <w:szCs w:val="13"/>
          <w:color w:val="auto"/>
        </w:rPr>
        <w:t>The Company has neither declared nor paid dividends on any share of its common stock and does not expect to do so in the foreseeable future.</w:t>
      </w: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65" w:name="page66"/>
    <w:bookmarkEnd w:id="65"/>
    <w:tbl>
      <w:tblPr>
        <w:tblLayout w:type="fixed"/>
        <w:tblInd w:w="0" w:type="dxa"/>
        <w:tblCellMar>
          <w:top w:w="0" w:type="dxa"/>
          <w:left w:w="0" w:type="dxa"/>
          <w:bottom w:w="0" w:type="dxa"/>
          <w:right w:w="0" w:type="dxa"/>
        </w:tblCellMar>
      </w:tblPr>
      <w:tr>
        <w:trPr>
          <w:trHeight w:val="149"/>
        </w:trPr>
        <w:tc>
          <w:tcPr>
            <w:tcW w:w="10320" w:type="dxa"/>
            <w:vAlign w:val="bottom"/>
            <w:gridSpan w:val="4"/>
          </w:tcPr>
          <w:p>
            <w:pPr>
              <w:spacing w:after="0"/>
              <w:rPr>
                <w:rFonts w:ascii="Arial" w:cs="Arial" w:eastAsia="Arial" w:hAnsi="Arial"/>
                <w:sz w:val="13"/>
                <w:szCs w:val="13"/>
                <w:b w:val="1"/>
                <w:bCs w:val="1"/>
                <w:color w:val="0000EE"/>
              </w:rPr>
            </w:pPr>
            <w:hyperlink w:anchor="page3">
              <w:r>
                <w:rPr>
                  <w:rFonts w:ascii="Arial" w:cs="Arial" w:eastAsia="Arial" w:hAnsi="Arial"/>
                  <w:sz w:val="13"/>
                  <w:szCs w:val="13"/>
                  <w:b w:val="1"/>
                  <w:bCs w:val="1"/>
                  <w:color w:val="0000EE"/>
                </w:rPr>
                <w:t>Table of Contents</w:t>
              </w:r>
            </w:hyperlink>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1"/>
        </w:trPr>
        <w:tc>
          <w:tcPr>
            <w:tcW w:w="20" w:type="dxa"/>
            <w:vAlign w:val="bottom"/>
          </w:tcPr>
          <w:p>
            <w:pPr>
              <w:spacing w:after="0"/>
              <w:rPr>
                <w:sz w:val="24"/>
                <w:szCs w:val="24"/>
                <w:color w:val="auto"/>
              </w:rPr>
            </w:pPr>
          </w:p>
        </w:tc>
        <w:tc>
          <w:tcPr>
            <w:tcW w:w="96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9280" w:type="dxa"/>
            <w:vAlign w:val="bottom"/>
          </w:tcPr>
          <w:p>
            <w:pPr>
              <w:jc w:val="center"/>
              <w:ind w:left="54"/>
              <w:spacing w:after="0"/>
              <w:rPr>
                <w:sz w:val="20"/>
                <w:szCs w:val="20"/>
                <w:color w:val="auto"/>
              </w:rPr>
            </w:pPr>
            <w:r>
              <w:rPr>
                <w:rFonts w:ascii="Arial" w:cs="Arial" w:eastAsia="Arial" w:hAnsi="Arial"/>
                <w:sz w:val="13"/>
                <w:szCs w:val="13"/>
                <w:b w:val="1"/>
                <w:bCs w:val="1"/>
                <w:color w:val="auto"/>
                <w:w w:val="90"/>
              </w:rPr>
              <w:t>StemCells, Inc.</w:t>
            </w: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9280" w:type="dxa"/>
            <w:vAlign w:val="bottom"/>
          </w:tcPr>
          <w:p>
            <w:pPr>
              <w:jc w:val="center"/>
              <w:ind w:left="34"/>
              <w:spacing w:after="0"/>
              <w:rPr>
                <w:sz w:val="20"/>
                <w:szCs w:val="20"/>
                <w:color w:val="auto"/>
              </w:rPr>
            </w:pPr>
            <w:r>
              <w:rPr>
                <w:rFonts w:ascii="Arial" w:cs="Arial" w:eastAsia="Arial" w:hAnsi="Arial"/>
                <w:sz w:val="13"/>
                <w:szCs w:val="13"/>
                <w:b w:val="1"/>
                <w:bCs w:val="1"/>
                <w:color w:val="auto"/>
                <w:w w:val="90"/>
              </w:rPr>
              <w:t>Notes to Consolidated Financial Statements — (Continued)</w:t>
            </w: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10300" w:type="dxa"/>
            <w:vAlign w:val="bottom"/>
            <w:gridSpan w:val="3"/>
          </w:tcPr>
          <w:p>
            <w:pPr>
              <w:ind w:left="100"/>
              <w:spacing w:after="0"/>
              <w:rPr>
                <w:sz w:val="20"/>
                <w:szCs w:val="20"/>
                <w:color w:val="auto"/>
              </w:rPr>
            </w:pPr>
            <w:r>
              <w:rPr>
                <w:rFonts w:ascii="Arial" w:cs="Arial" w:eastAsia="Arial" w:hAnsi="Arial"/>
                <w:sz w:val="13"/>
                <w:szCs w:val="13"/>
                <w:b w:val="1"/>
                <w:bCs w:val="1"/>
                <w:i w:val="1"/>
                <w:iCs w:val="1"/>
                <w:color w:val="auto"/>
              </w:rPr>
              <w:t>Common Stock Reserved</w:t>
            </w: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10300" w:type="dxa"/>
            <w:vAlign w:val="bottom"/>
            <w:gridSpan w:val="3"/>
          </w:tcPr>
          <w:p>
            <w:pPr>
              <w:ind w:left="320"/>
              <w:spacing w:after="0"/>
              <w:rPr>
                <w:sz w:val="20"/>
                <w:szCs w:val="20"/>
                <w:color w:val="auto"/>
              </w:rPr>
            </w:pPr>
            <w:r>
              <w:rPr>
                <w:rFonts w:ascii="Arial" w:cs="Arial" w:eastAsia="Arial" w:hAnsi="Arial"/>
                <w:sz w:val="13"/>
                <w:szCs w:val="13"/>
                <w:color w:val="auto"/>
                <w:w w:val="96"/>
              </w:rPr>
              <w:t>The Company has the following shares of common stock reserved for the exercise of options, warrants and other contingent issuances of common stock, as of December 31, 2005:</w:t>
            </w: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0"/>
        </w:trPr>
        <w:tc>
          <w:tcPr>
            <w:tcW w:w="20" w:type="dxa"/>
            <w:vAlign w:val="bottom"/>
            <w:vMerge w:val="restart"/>
          </w:tcPr>
          <w:p>
            <w:pPr>
              <w:spacing w:after="0"/>
              <w:rPr>
                <w:sz w:val="8"/>
                <w:szCs w:val="8"/>
                <w:color w:val="auto"/>
              </w:rPr>
            </w:pPr>
          </w:p>
        </w:tc>
        <w:tc>
          <w:tcPr>
            <w:tcW w:w="960" w:type="dxa"/>
            <w:vAlign w:val="bottom"/>
          </w:tcPr>
          <w:p>
            <w:pPr>
              <w:spacing w:after="0"/>
              <w:rPr>
                <w:sz w:val="8"/>
                <w:szCs w:val="8"/>
                <w:color w:val="auto"/>
              </w:rPr>
            </w:pPr>
          </w:p>
        </w:tc>
        <w:tc>
          <w:tcPr>
            <w:tcW w:w="60" w:type="dxa"/>
            <w:vAlign w:val="bottom"/>
          </w:tcPr>
          <w:p>
            <w:pPr>
              <w:spacing w:after="0"/>
              <w:rPr>
                <w:sz w:val="8"/>
                <w:szCs w:val="8"/>
                <w:color w:val="auto"/>
              </w:rPr>
            </w:pPr>
          </w:p>
        </w:tc>
        <w:tc>
          <w:tcPr>
            <w:tcW w:w="92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7"/>
        </w:trPr>
        <w:tc>
          <w:tcPr>
            <w:tcW w:w="20" w:type="dxa"/>
            <w:vAlign w:val="bottom"/>
            <w:vMerge w:val="continue"/>
          </w:tcPr>
          <w:p>
            <w:pPr>
              <w:spacing w:after="0"/>
              <w:rPr>
                <w:sz w:val="13"/>
                <w:szCs w:val="13"/>
                <w:color w:val="auto"/>
              </w:rPr>
            </w:pPr>
          </w:p>
        </w:tc>
        <w:tc>
          <w:tcPr>
            <w:tcW w:w="1030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Shares reserved for exercise of stock options</w:t>
            </w: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8,191,652</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0300" w:type="dxa"/>
            <w:vAlign w:val="bottom"/>
            <w:gridSpan w:val="3"/>
          </w:tcPr>
          <w:p>
            <w:pPr>
              <w:spacing w:after="0"/>
              <w:rPr>
                <w:sz w:val="20"/>
                <w:szCs w:val="20"/>
                <w:color w:val="auto"/>
              </w:rPr>
            </w:pPr>
            <w:r>
              <w:rPr>
                <w:rFonts w:ascii="Arial" w:cs="Arial" w:eastAsia="Arial" w:hAnsi="Arial"/>
                <w:sz w:val="13"/>
                <w:szCs w:val="13"/>
                <w:color w:val="auto"/>
              </w:rPr>
              <w:t>Shares reserved for warrants related to financing transactions</w:t>
            </w:r>
          </w:p>
        </w:tc>
        <w:tc>
          <w:tcPr>
            <w:tcW w:w="1040" w:type="dxa"/>
            <w:vAlign w:val="bottom"/>
          </w:tcPr>
          <w:p>
            <w:pPr>
              <w:jc w:val="right"/>
              <w:spacing w:after="0"/>
              <w:rPr>
                <w:sz w:val="20"/>
                <w:szCs w:val="20"/>
                <w:color w:val="auto"/>
              </w:rPr>
            </w:pPr>
            <w:r>
              <w:rPr>
                <w:rFonts w:ascii="Arial" w:cs="Arial" w:eastAsia="Arial" w:hAnsi="Arial"/>
                <w:sz w:val="13"/>
                <w:szCs w:val="13"/>
                <w:color w:val="auto"/>
              </w:rPr>
              <w:t>2,357,058</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030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Shares reserved for compensation related to external services</w:t>
            </w: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100,000</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0300" w:type="dxa"/>
            <w:vAlign w:val="bottom"/>
            <w:gridSpan w:val="3"/>
          </w:tcPr>
          <w:p>
            <w:pPr>
              <w:spacing w:after="0"/>
              <w:rPr>
                <w:sz w:val="20"/>
                <w:szCs w:val="20"/>
                <w:color w:val="auto"/>
              </w:rPr>
            </w:pPr>
            <w:r>
              <w:rPr>
                <w:rFonts w:ascii="Arial" w:cs="Arial" w:eastAsia="Arial" w:hAnsi="Arial"/>
                <w:sz w:val="13"/>
                <w:szCs w:val="13"/>
                <w:color w:val="auto"/>
              </w:rPr>
              <w:t>Shares reserved for warrants related to previously converted 3% convertible preferred stock</w:t>
            </w:r>
          </w:p>
        </w:tc>
        <w:tc>
          <w:tcPr>
            <w:tcW w:w="1040" w:type="dxa"/>
            <w:vAlign w:val="bottom"/>
          </w:tcPr>
          <w:p>
            <w:pPr>
              <w:jc w:val="right"/>
              <w:spacing w:after="0"/>
              <w:rPr>
                <w:sz w:val="20"/>
                <w:szCs w:val="20"/>
                <w:color w:val="auto"/>
              </w:rPr>
            </w:pPr>
            <w:r>
              <w:rPr>
                <w:rFonts w:ascii="Arial" w:cs="Arial" w:eastAsia="Arial" w:hAnsi="Arial"/>
                <w:sz w:val="13"/>
                <w:szCs w:val="13"/>
                <w:color w:val="auto"/>
              </w:rPr>
              <w:t>514,072</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030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Shelf reserve for possible future issuances of shares(1)</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1,471,962</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0320" w:type="dxa"/>
            <w:vAlign w:val="bottom"/>
            <w:gridSpan w:val="4"/>
          </w:tcPr>
          <w:p>
            <w:pPr>
              <w:spacing w:after="0"/>
              <w:rPr>
                <w:sz w:val="20"/>
                <w:szCs w:val="20"/>
                <w:color w:val="auto"/>
              </w:rPr>
            </w:pPr>
            <w:r>
              <w:rPr>
                <w:rFonts w:ascii="Arial" w:cs="Arial" w:eastAsia="Arial" w:hAnsi="Arial"/>
                <w:sz w:val="13"/>
                <w:szCs w:val="13"/>
                <w:color w:val="auto"/>
              </w:rPr>
              <w:t>Total</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12,634,744</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92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spacing w:after="0"/>
        <w:rPr>
          <w:sz w:val="20"/>
          <w:szCs w:val="20"/>
          <w:color w:val="auto"/>
        </w:rPr>
      </w:pPr>
      <w:r>
        <w:rPr>
          <w:rFonts w:ascii="Arial" w:cs="Arial" w:eastAsia="Arial" w:hAnsi="Arial"/>
          <w:sz w:val="12"/>
          <w:szCs w:val="12"/>
          <w:color w:val="auto"/>
        </w:rPr>
        <w:t>(1) In addition, on October 4, 2005, the Company filed a shelf registration statement providing for the sale of up to $100,000,000 of its common stock; no specific number of shares has been reserved for this purpose.</w:t>
      </w:r>
    </w:p>
    <w:p>
      <w:pPr>
        <w:spacing w:after="0" w:line="182" w:lineRule="exact"/>
        <w:rPr>
          <w:sz w:val="20"/>
          <w:szCs w:val="20"/>
          <w:color w:val="auto"/>
        </w:rPr>
      </w:pPr>
    </w:p>
    <w:p>
      <w:pPr>
        <w:spacing w:after="0"/>
        <w:tabs>
          <w:tab w:leader="none" w:pos="680" w:val="left"/>
        </w:tabs>
        <w:rPr>
          <w:sz w:val="20"/>
          <w:szCs w:val="20"/>
          <w:color w:val="auto"/>
        </w:rPr>
      </w:pPr>
      <w:r>
        <w:rPr>
          <w:rFonts w:ascii="Arial" w:cs="Arial" w:eastAsia="Arial" w:hAnsi="Arial"/>
          <w:sz w:val="13"/>
          <w:szCs w:val="13"/>
          <w:b w:val="1"/>
          <w:bCs w:val="1"/>
          <w:color w:val="auto"/>
        </w:rPr>
        <w:t>Note 11.</w:t>
      </w:r>
      <w:r>
        <w:rPr>
          <w:sz w:val="20"/>
          <w:szCs w:val="20"/>
          <w:color w:val="auto"/>
        </w:rPr>
        <w:tab/>
      </w:r>
      <w:r>
        <w:rPr>
          <w:rFonts w:ascii="Arial" w:cs="Arial" w:eastAsia="Arial" w:hAnsi="Arial"/>
          <w:sz w:val="11"/>
          <w:szCs w:val="11"/>
          <w:b w:val="1"/>
          <w:bCs w:val="1"/>
          <w:color w:val="auto"/>
        </w:rPr>
        <w:t>Research Agreements</w:t>
      </w:r>
    </w:p>
    <w:p>
      <w:pPr>
        <w:spacing w:after="0" w:line="100" w:lineRule="exact"/>
        <w:rPr>
          <w:sz w:val="20"/>
          <w:szCs w:val="20"/>
          <w:color w:val="auto"/>
        </w:rPr>
      </w:pPr>
    </w:p>
    <w:p>
      <w:pPr>
        <w:ind w:right="40" w:firstLine="344"/>
        <w:spacing w:after="0" w:line="264" w:lineRule="auto"/>
        <w:rPr>
          <w:sz w:val="20"/>
          <w:szCs w:val="20"/>
          <w:color w:val="auto"/>
        </w:rPr>
      </w:pPr>
      <w:r>
        <w:rPr>
          <w:rFonts w:ascii="Arial" w:cs="Arial" w:eastAsia="Arial" w:hAnsi="Arial"/>
          <w:sz w:val="13"/>
          <w:szCs w:val="13"/>
          <w:color w:val="auto"/>
        </w:rPr>
        <w:t>The Company has entered various research agreements and collaborations with academic institutions. Under such arrangements, the Company is typically granted rights to the related intellectual property or an option to obtain such rights on terms to be agreed, in exchange for research funding and specified royalties on any resulting product revenue. In addition, StemCells occasionally makes grants to academic institutions to support research of interest to the Company without requesting any intellectual property interests in return.</w:t>
      </w:r>
    </w:p>
    <w:p>
      <w:pPr>
        <w:spacing w:after="0" w:line="67" w:lineRule="exact"/>
        <w:rPr>
          <w:sz w:val="20"/>
          <w:szCs w:val="20"/>
          <w:color w:val="auto"/>
        </w:rPr>
      </w:pPr>
    </w:p>
    <w:p>
      <w:pPr>
        <w:ind w:firstLine="344"/>
        <w:spacing w:after="0" w:line="256" w:lineRule="auto"/>
        <w:rPr>
          <w:sz w:val="20"/>
          <w:szCs w:val="20"/>
          <w:color w:val="auto"/>
        </w:rPr>
      </w:pPr>
      <w:r>
        <w:rPr>
          <w:rFonts w:ascii="Arial" w:cs="Arial" w:eastAsia="Arial" w:hAnsi="Arial"/>
          <w:sz w:val="13"/>
          <w:szCs w:val="13"/>
          <w:color w:val="auto"/>
        </w:rPr>
        <w:t>Under a November 1997 Research Funding and Option Agreement with The Scripps Research Institute (Scripps), StemCells funded certain research in the total amount of approximately $931,000and issued 4,837 shares of the Company’s common stock and a stock option to purchase 9,674 shares of the Company’s Common Stock with an exercise price of $.01 per share upon the achievement of specified milestones. As a result of the agreement, StemCells acquired an exclusive license to certain inventions resulting from the sponsored research, subject to the payment of royalties and certain other amounts, including payments totaling $425,000 on the achievement of certain milestones. The Company has also entered Sponsored Research Agreements and License Agreements with Oregon Health &amp; Science University (OHSU) under which it paid OHSU approximately $295,000, 4,838 shares of the Company’s common stock and issued an option to OHSU to purchase an additional 62,888 shares with an exercise price of $.01 per share. The option has vested as to 9,675 shares for which shares were issued on March 31, 2002; the remaining option was terminated and the Company issued 4,000 shares of its common stock, with a market value of approximately $3,900, to OHSU in January 2003, pursuant to an amendment to the license agreement.</w:t>
      </w:r>
    </w:p>
    <w:p>
      <w:pPr>
        <w:spacing w:after="0" w:line="73" w:lineRule="exact"/>
        <w:rPr>
          <w:sz w:val="20"/>
          <w:szCs w:val="20"/>
          <w:color w:val="auto"/>
        </w:rPr>
      </w:pPr>
    </w:p>
    <w:p>
      <w:pPr>
        <w:ind w:left="340"/>
        <w:spacing w:after="0"/>
        <w:rPr>
          <w:sz w:val="20"/>
          <w:szCs w:val="20"/>
          <w:color w:val="auto"/>
        </w:rPr>
      </w:pPr>
      <w:r>
        <w:rPr>
          <w:rFonts w:ascii="Arial" w:cs="Arial" w:eastAsia="Arial" w:hAnsi="Arial"/>
          <w:sz w:val="13"/>
          <w:szCs w:val="13"/>
          <w:color w:val="auto"/>
        </w:rPr>
        <w:t>In 2005 and 2004, the Company made research grants and gifts to support relevant research totaling approximately $200,000 and $61,000 respectively to academic institutions.</w:t>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334" w:right="219" w:bottom="1440" w:gutter="0" w:footer="0" w:header="0"/>
        </w:sectPr>
      </w:pPr>
    </w:p>
    <w:bookmarkStart w:id="66" w:name="page67"/>
    <w:bookmarkEnd w:id="66"/>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StemCells, Inc.</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175" w:lineRule="exact"/>
        <w:rPr>
          <w:sz w:val="20"/>
          <w:szCs w:val="20"/>
          <w:color w:val="auto"/>
        </w:rPr>
      </w:pPr>
    </w:p>
    <w:p>
      <w:pPr>
        <w:spacing w:after="0"/>
        <w:tabs>
          <w:tab w:leader="none" w:pos="680" w:val="left"/>
        </w:tabs>
        <w:rPr>
          <w:sz w:val="20"/>
          <w:szCs w:val="20"/>
          <w:color w:val="auto"/>
        </w:rPr>
      </w:pPr>
      <w:r>
        <w:rPr>
          <w:rFonts w:ascii="Arial" w:cs="Arial" w:eastAsia="Arial" w:hAnsi="Arial"/>
          <w:sz w:val="13"/>
          <w:szCs w:val="13"/>
          <w:b w:val="1"/>
          <w:bCs w:val="1"/>
          <w:color w:val="auto"/>
        </w:rPr>
        <w:t>Note 12.</w:t>
      </w:r>
      <w:r>
        <w:rPr>
          <w:sz w:val="20"/>
          <w:szCs w:val="20"/>
          <w:color w:val="auto"/>
        </w:rPr>
        <w:tab/>
      </w:r>
      <w:r>
        <w:rPr>
          <w:rFonts w:ascii="Arial" w:cs="Arial" w:eastAsia="Arial" w:hAnsi="Arial"/>
          <w:sz w:val="11"/>
          <w:szCs w:val="11"/>
          <w:b w:val="1"/>
          <w:bCs w:val="1"/>
          <w:color w:val="auto"/>
        </w:rPr>
        <w:t>Income Taxes</w:t>
      </w:r>
    </w:p>
    <w:p>
      <w:pPr>
        <w:spacing w:after="0" w:line="100" w:lineRule="exact"/>
        <w:rPr>
          <w:sz w:val="20"/>
          <w:szCs w:val="20"/>
          <w:color w:val="auto"/>
        </w:rPr>
      </w:pPr>
    </w:p>
    <w:p>
      <w:pPr>
        <w:ind w:left="340"/>
        <w:spacing w:after="0"/>
        <w:rPr>
          <w:sz w:val="20"/>
          <w:szCs w:val="20"/>
          <w:color w:val="auto"/>
        </w:rPr>
      </w:pPr>
      <w:r>
        <w:rPr>
          <w:rFonts w:ascii="Arial" w:cs="Arial" w:eastAsia="Arial" w:hAnsi="Arial"/>
          <w:sz w:val="12"/>
          <w:szCs w:val="12"/>
          <w:color w:val="auto"/>
        </w:rPr>
        <w:t>Deferred income taxes reflect net tax effects of temporary differences between the carrying amounts of assets and liabilities for financial reporting purposes and the amounts used for income tax purposes.</w:t>
      </w:r>
    </w:p>
    <w:p>
      <w:pPr>
        <w:spacing w:after="0" w:line="27" w:lineRule="exact"/>
        <w:rPr>
          <w:sz w:val="20"/>
          <w:szCs w:val="20"/>
          <w:color w:val="auto"/>
        </w:rPr>
      </w:pPr>
    </w:p>
    <w:p>
      <w:pPr>
        <w:spacing w:after="0"/>
        <w:rPr>
          <w:sz w:val="20"/>
          <w:szCs w:val="20"/>
          <w:color w:val="auto"/>
        </w:rPr>
      </w:pPr>
      <w:r>
        <w:rPr>
          <w:rFonts w:ascii="Arial" w:cs="Arial" w:eastAsia="Arial" w:hAnsi="Arial"/>
          <w:sz w:val="13"/>
          <w:szCs w:val="13"/>
          <w:color w:val="auto"/>
        </w:rPr>
        <w:t>Significant components of the Company’s deferred tax assets and liabilities are as follows: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20" w:type="dxa"/>
            <w:vAlign w:val="bottom"/>
          </w:tcPr>
          <w:p>
            <w:pPr>
              <w:spacing w:after="0"/>
              <w:rPr>
                <w:sz w:val="10"/>
                <w:szCs w:val="10"/>
                <w:color w:val="auto"/>
              </w:rPr>
            </w:pPr>
          </w:p>
        </w:tc>
        <w:tc>
          <w:tcPr>
            <w:tcW w:w="8360" w:type="dxa"/>
            <w:vAlign w:val="bottom"/>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720" w:type="dxa"/>
            <w:vAlign w:val="bottom"/>
            <w:tcBorders>
              <w:bottom w:val="single" w:sz="8" w:color="auto"/>
            </w:tcBorders>
            <w:gridSpan w:val="3"/>
          </w:tcPr>
          <w:p>
            <w:pPr>
              <w:jc w:val="right"/>
              <w:ind w:right="171"/>
              <w:spacing w:after="0"/>
              <w:rPr>
                <w:sz w:val="20"/>
                <w:szCs w:val="20"/>
                <w:color w:val="auto"/>
              </w:rPr>
            </w:pPr>
            <w:r>
              <w:rPr>
                <w:rFonts w:ascii="Arial" w:cs="Arial" w:eastAsia="Arial" w:hAnsi="Arial"/>
                <w:sz w:val="10"/>
                <w:szCs w:val="10"/>
                <w:b w:val="1"/>
                <w:bCs w:val="1"/>
                <w:color w:val="auto"/>
              </w:rPr>
              <w:t>December 31,</w:t>
            </w:r>
          </w:p>
        </w:tc>
        <w:tc>
          <w:tcPr>
            <w:tcW w:w="96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836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tcPr>
          <w:p>
            <w:pPr>
              <w:jc w:val="right"/>
              <w:ind w:right="477"/>
              <w:spacing w:after="0" w:line="98" w:lineRule="exact"/>
              <w:rPr>
                <w:sz w:val="20"/>
                <w:szCs w:val="20"/>
                <w:color w:val="auto"/>
              </w:rPr>
            </w:pPr>
            <w:r>
              <w:rPr>
                <w:rFonts w:ascii="Arial" w:cs="Arial" w:eastAsia="Arial" w:hAnsi="Arial"/>
                <w:sz w:val="10"/>
                <w:szCs w:val="10"/>
                <w:b w:val="1"/>
                <w:bCs w:val="1"/>
                <w:color w:val="auto"/>
              </w:rPr>
              <w:t>2005</w:t>
            </w:r>
          </w:p>
        </w:tc>
        <w:tc>
          <w:tcPr>
            <w:tcW w:w="46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tcPr>
          <w:p>
            <w:pPr>
              <w:jc w:val="right"/>
              <w:ind w:right="456"/>
              <w:spacing w:after="0" w:line="98" w:lineRule="exact"/>
              <w:rPr>
                <w:sz w:val="20"/>
                <w:szCs w:val="20"/>
                <w:color w:val="auto"/>
              </w:rPr>
            </w:pPr>
            <w:r>
              <w:rPr>
                <w:rFonts w:ascii="Arial" w:cs="Arial" w:eastAsia="Arial" w:hAnsi="Arial"/>
                <w:sz w:val="10"/>
                <w:szCs w:val="10"/>
                <w:b w:val="1"/>
                <w:bCs w:val="1"/>
                <w:color w:val="auto"/>
              </w:rPr>
              <w:t>2004</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20" w:type="dxa"/>
            <w:vAlign w:val="bottom"/>
            <w:vMerge w:val="restart"/>
          </w:tcPr>
          <w:p>
            <w:pPr>
              <w:spacing w:after="0"/>
              <w:rPr>
                <w:sz w:val="2"/>
                <w:szCs w:val="2"/>
                <w:color w:val="auto"/>
              </w:rPr>
            </w:pPr>
          </w:p>
        </w:tc>
        <w:tc>
          <w:tcPr>
            <w:tcW w:w="8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20" w:type="dxa"/>
            <w:vAlign w:val="bottom"/>
            <w:vMerge w:val="continue"/>
          </w:tcPr>
          <w:p>
            <w:pPr>
              <w:spacing w:after="0"/>
              <w:rPr>
                <w:sz w:val="13"/>
                <w:szCs w:val="13"/>
                <w:color w:val="auto"/>
              </w:rPr>
            </w:pPr>
          </w:p>
        </w:tc>
        <w:tc>
          <w:tcPr>
            <w:tcW w:w="8360" w:type="dxa"/>
            <w:vAlign w:val="bottom"/>
            <w:shd w:val="clear" w:color="auto" w:fill="CCEEFF"/>
          </w:tcPr>
          <w:p>
            <w:pPr>
              <w:spacing w:after="0"/>
              <w:rPr>
                <w:sz w:val="20"/>
                <w:szCs w:val="20"/>
                <w:color w:val="auto"/>
              </w:rPr>
            </w:pPr>
            <w:r>
              <w:rPr>
                <w:rFonts w:ascii="Arial" w:cs="Arial" w:eastAsia="Arial" w:hAnsi="Arial"/>
                <w:sz w:val="13"/>
                <w:szCs w:val="13"/>
                <w:color w:val="auto"/>
              </w:rPr>
              <w:t>Deferred tax assets:</w:t>
            </w:r>
          </w:p>
        </w:tc>
        <w:tc>
          <w:tcPr>
            <w:tcW w:w="30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8360" w:type="dxa"/>
            <w:vAlign w:val="bottom"/>
          </w:tcPr>
          <w:p>
            <w:pPr>
              <w:spacing w:after="0"/>
              <w:rPr>
                <w:sz w:val="20"/>
                <w:szCs w:val="20"/>
                <w:color w:val="auto"/>
              </w:rPr>
            </w:pPr>
            <w:r>
              <w:rPr>
                <w:rFonts w:ascii="Arial" w:cs="Arial" w:eastAsia="Arial" w:hAnsi="Arial"/>
                <w:sz w:val="13"/>
                <w:szCs w:val="13"/>
                <w:color w:val="auto"/>
              </w:rPr>
              <w:t>Net operating losses</w:t>
            </w:r>
          </w:p>
        </w:tc>
        <w:tc>
          <w:tcPr>
            <w:tcW w:w="300" w:type="dxa"/>
            <w:vAlign w:val="bottom"/>
          </w:tcPr>
          <w:p>
            <w:pPr>
              <w:jc w:val="right"/>
              <w:ind w:right="191"/>
              <w:spacing w:after="0"/>
              <w:rPr>
                <w:sz w:val="20"/>
                <w:szCs w:val="20"/>
                <w:color w:val="auto"/>
              </w:rPr>
            </w:pPr>
            <w:r>
              <w:rPr>
                <w:rFonts w:ascii="Arial" w:cs="Arial" w:eastAsia="Arial" w:hAnsi="Arial"/>
                <w:sz w:val="10"/>
                <w:szCs w:val="10"/>
                <w:color w:val="auto"/>
                <w:w w:val="71"/>
              </w:rPr>
              <w:t>$</w:t>
            </w:r>
          </w:p>
        </w:tc>
        <w:tc>
          <w:tcPr>
            <w:tcW w:w="1440" w:type="dxa"/>
            <w:vAlign w:val="bottom"/>
            <w:gridSpan w:val="2"/>
          </w:tcPr>
          <w:p>
            <w:pPr>
              <w:jc w:val="right"/>
              <w:ind w:right="460"/>
              <w:spacing w:after="0"/>
              <w:rPr>
                <w:sz w:val="20"/>
                <w:szCs w:val="20"/>
                <w:color w:val="auto"/>
              </w:rPr>
            </w:pPr>
            <w:r>
              <w:rPr>
                <w:rFonts w:ascii="Arial" w:cs="Arial" w:eastAsia="Arial" w:hAnsi="Arial"/>
                <w:sz w:val="13"/>
                <w:szCs w:val="13"/>
                <w:color w:val="auto"/>
              </w:rPr>
              <w:t>39,894,000</w:t>
            </w:r>
          </w:p>
        </w:tc>
        <w:tc>
          <w:tcPr>
            <w:tcW w:w="280" w:type="dxa"/>
            <w:vAlign w:val="bottom"/>
          </w:tcPr>
          <w:p>
            <w:pPr>
              <w:jc w:val="right"/>
              <w:ind w:right="171"/>
              <w:spacing w:after="0"/>
              <w:rPr>
                <w:sz w:val="20"/>
                <w:szCs w:val="20"/>
                <w:color w:val="auto"/>
              </w:rPr>
            </w:pPr>
            <w:r>
              <w:rPr>
                <w:rFonts w:ascii="Arial" w:cs="Arial" w:eastAsia="Arial" w:hAnsi="Arial"/>
                <w:sz w:val="10"/>
                <w:szCs w:val="10"/>
                <w:color w:val="auto"/>
                <w:w w:val="71"/>
              </w:rPr>
              <w:t>$</w:t>
            </w:r>
          </w:p>
        </w:tc>
        <w:tc>
          <w:tcPr>
            <w:tcW w:w="1060" w:type="dxa"/>
            <w:vAlign w:val="bottom"/>
            <w:gridSpan w:val="2"/>
          </w:tcPr>
          <w:p>
            <w:pPr>
              <w:jc w:val="right"/>
              <w:ind w:right="100"/>
              <w:spacing w:after="0"/>
              <w:rPr>
                <w:sz w:val="20"/>
                <w:szCs w:val="20"/>
                <w:color w:val="auto"/>
              </w:rPr>
            </w:pPr>
            <w:r>
              <w:rPr>
                <w:rFonts w:ascii="Arial" w:cs="Arial" w:eastAsia="Arial" w:hAnsi="Arial"/>
                <w:sz w:val="13"/>
                <w:szCs w:val="13"/>
                <w:color w:val="auto"/>
              </w:rPr>
              <w:t>39,287,000</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8360" w:type="dxa"/>
            <w:vAlign w:val="bottom"/>
            <w:shd w:val="clear" w:color="auto" w:fill="CCEEFF"/>
          </w:tcPr>
          <w:p>
            <w:pPr>
              <w:spacing w:after="0"/>
              <w:rPr>
                <w:sz w:val="20"/>
                <w:szCs w:val="20"/>
                <w:color w:val="auto"/>
              </w:rPr>
            </w:pPr>
            <w:r>
              <w:rPr>
                <w:rFonts w:ascii="Arial" w:cs="Arial" w:eastAsia="Arial" w:hAnsi="Arial"/>
                <w:sz w:val="13"/>
                <w:szCs w:val="13"/>
                <w:color w:val="auto"/>
              </w:rPr>
              <w:t>Capitalized research and development costs</w:t>
            </w:r>
          </w:p>
        </w:tc>
        <w:tc>
          <w:tcPr>
            <w:tcW w:w="300" w:type="dxa"/>
            <w:vAlign w:val="bottom"/>
            <w:shd w:val="clear" w:color="auto" w:fill="CCEEFF"/>
          </w:tcPr>
          <w:p>
            <w:pPr>
              <w:spacing w:after="0"/>
              <w:rPr>
                <w:sz w:val="13"/>
                <w:szCs w:val="13"/>
                <w:color w:val="auto"/>
              </w:rPr>
            </w:pPr>
          </w:p>
        </w:tc>
        <w:tc>
          <w:tcPr>
            <w:tcW w:w="1440" w:type="dxa"/>
            <w:vAlign w:val="bottom"/>
            <w:gridSpan w:val="2"/>
            <w:shd w:val="clear" w:color="auto" w:fill="CCEEFF"/>
          </w:tcPr>
          <w:p>
            <w:pPr>
              <w:jc w:val="right"/>
              <w:ind w:right="460"/>
              <w:spacing w:after="0"/>
              <w:rPr>
                <w:sz w:val="20"/>
                <w:szCs w:val="20"/>
                <w:color w:val="auto"/>
              </w:rPr>
            </w:pPr>
            <w:r>
              <w:rPr>
                <w:rFonts w:ascii="Arial" w:cs="Arial" w:eastAsia="Arial" w:hAnsi="Arial"/>
                <w:sz w:val="13"/>
                <w:szCs w:val="13"/>
                <w:color w:val="auto"/>
              </w:rPr>
              <w:t>19,618,000</w:t>
            </w:r>
          </w:p>
        </w:tc>
        <w:tc>
          <w:tcPr>
            <w:tcW w:w="28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16,046,000</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8360" w:type="dxa"/>
            <w:vAlign w:val="bottom"/>
          </w:tcPr>
          <w:p>
            <w:pPr>
              <w:spacing w:after="0"/>
              <w:rPr>
                <w:sz w:val="20"/>
                <w:szCs w:val="20"/>
                <w:color w:val="auto"/>
              </w:rPr>
            </w:pPr>
            <w:r>
              <w:rPr>
                <w:rFonts w:ascii="Arial" w:cs="Arial" w:eastAsia="Arial" w:hAnsi="Arial"/>
                <w:sz w:val="13"/>
                <w:szCs w:val="13"/>
                <w:color w:val="auto"/>
              </w:rPr>
              <w:t>Research and development credits</w:t>
            </w:r>
          </w:p>
        </w:tc>
        <w:tc>
          <w:tcPr>
            <w:tcW w:w="300" w:type="dxa"/>
            <w:vAlign w:val="bottom"/>
          </w:tcPr>
          <w:p>
            <w:pPr>
              <w:spacing w:after="0"/>
              <w:rPr>
                <w:sz w:val="13"/>
                <w:szCs w:val="13"/>
                <w:color w:val="auto"/>
              </w:rPr>
            </w:pPr>
          </w:p>
        </w:tc>
        <w:tc>
          <w:tcPr>
            <w:tcW w:w="1440" w:type="dxa"/>
            <w:vAlign w:val="bottom"/>
            <w:gridSpan w:val="2"/>
          </w:tcPr>
          <w:p>
            <w:pPr>
              <w:jc w:val="right"/>
              <w:ind w:right="460"/>
              <w:spacing w:after="0"/>
              <w:rPr>
                <w:sz w:val="20"/>
                <w:szCs w:val="20"/>
                <w:color w:val="auto"/>
              </w:rPr>
            </w:pPr>
            <w:r>
              <w:rPr>
                <w:rFonts w:ascii="Arial" w:cs="Arial" w:eastAsia="Arial" w:hAnsi="Arial"/>
                <w:sz w:val="13"/>
                <w:szCs w:val="13"/>
                <w:color w:val="auto"/>
              </w:rPr>
              <w:t>5,130,000</w:t>
            </w:r>
          </w:p>
        </w:tc>
        <w:tc>
          <w:tcPr>
            <w:tcW w:w="28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4,742,000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8360" w:type="dxa"/>
            <w:vAlign w:val="bottom"/>
            <w:shd w:val="clear" w:color="auto" w:fill="CCEEFF"/>
          </w:tcPr>
          <w:p>
            <w:pPr>
              <w:spacing w:after="0"/>
              <w:rPr>
                <w:sz w:val="20"/>
                <w:szCs w:val="20"/>
                <w:color w:val="auto"/>
              </w:rPr>
            </w:pPr>
            <w:r>
              <w:rPr>
                <w:rFonts w:ascii="Arial" w:cs="Arial" w:eastAsia="Arial" w:hAnsi="Arial"/>
                <w:sz w:val="13"/>
                <w:szCs w:val="13"/>
                <w:color w:val="auto"/>
              </w:rPr>
              <w:t>Accrued wind down cost</w:t>
            </w:r>
          </w:p>
        </w:tc>
        <w:tc>
          <w:tcPr>
            <w:tcW w:w="300" w:type="dxa"/>
            <w:vAlign w:val="bottom"/>
            <w:shd w:val="clear" w:color="auto" w:fill="CCEEFF"/>
          </w:tcPr>
          <w:p>
            <w:pPr>
              <w:spacing w:after="0"/>
              <w:rPr>
                <w:sz w:val="13"/>
                <w:szCs w:val="13"/>
                <w:color w:val="auto"/>
              </w:rPr>
            </w:pPr>
          </w:p>
        </w:tc>
        <w:tc>
          <w:tcPr>
            <w:tcW w:w="1440" w:type="dxa"/>
            <w:vAlign w:val="bottom"/>
            <w:gridSpan w:val="2"/>
            <w:shd w:val="clear" w:color="auto" w:fill="CCEEFF"/>
          </w:tcPr>
          <w:p>
            <w:pPr>
              <w:jc w:val="right"/>
              <w:ind w:right="460"/>
              <w:spacing w:after="0"/>
              <w:rPr>
                <w:sz w:val="20"/>
                <w:szCs w:val="20"/>
                <w:color w:val="auto"/>
              </w:rPr>
            </w:pPr>
            <w:r>
              <w:rPr>
                <w:rFonts w:ascii="Arial" w:cs="Arial" w:eastAsia="Arial" w:hAnsi="Arial"/>
                <w:sz w:val="13"/>
                <w:szCs w:val="13"/>
                <w:color w:val="auto"/>
              </w:rPr>
              <w:t>2,439,000</w:t>
            </w:r>
          </w:p>
        </w:tc>
        <w:tc>
          <w:tcPr>
            <w:tcW w:w="280" w:type="dxa"/>
            <w:vAlign w:val="bottom"/>
            <w:shd w:val="clear" w:color="auto" w:fill="CCEEFF"/>
          </w:tcPr>
          <w:p>
            <w:pPr>
              <w:spacing w:after="0"/>
              <w:rPr>
                <w:sz w:val="13"/>
                <w:szCs w:val="1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1,740,000</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8360" w:type="dxa"/>
            <w:vAlign w:val="bottom"/>
          </w:tcPr>
          <w:p>
            <w:pPr>
              <w:spacing w:after="0"/>
              <w:rPr>
                <w:sz w:val="20"/>
                <w:szCs w:val="20"/>
                <w:color w:val="auto"/>
              </w:rPr>
            </w:pPr>
            <w:r>
              <w:rPr>
                <w:rFonts w:ascii="Arial" w:cs="Arial" w:eastAsia="Arial" w:hAnsi="Arial"/>
                <w:sz w:val="13"/>
                <w:szCs w:val="13"/>
                <w:color w:val="auto"/>
              </w:rPr>
              <w:t>Other</w:t>
            </w:r>
          </w:p>
        </w:tc>
        <w:tc>
          <w:tcPr>
            <w:tcW w:w="300" w:type="dxa"/>
            <w:vAlign w:val="bottom"/>
          </w:tcPr>
          <w:p>
            <w:pPr>
              <w:spacing w:after="0"/>
              <w:rPr>
                <w:sz w:val="13"/>
                <w:szCs w:val="13"/>
                <w:color w:val="auto"/>
              </w:rPr>
            </w:pPr>
          </w:p>
        </w:tc>
        <w:tc>
          <w:tcPr>
            <w:tcW w:w="1440" w:type="dxa"/>
            <w:vAlign w:val="bottom"/>
            <w:gridSpan w:val="2"/>
          </w:tcPr>
          <w:p>
            <w:pPr>
              <w:jc w:val="right"/>
              <w:ind w:right="460"/>
              <w:spacing w:after="0"/>
              <w:rPr>
                <w:sz w:val="20"/>
                <w:szCs w:val="20"/>
                <w:color w:val="auto"/>
              </w:rPr>
            </w:pPr>
            <w:r>
              <w:rPr>
                <w:rFonts w:ascii="Arial" w:cs="Arial" w:eastAsia="Arial" w:hAnsi="Arial"/>
                <w:sz w:val="13"/>
                <w:szCs w:val="13"/>
                <w:color w:val="auto"/>
              </w:rPr>
              <w:t>305,000</w:t>
            </w:r>
          </w:p>
        </w:tc>
        <w:tc>
          <w:tcPr>
            <w:tcW w:w="28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544,000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83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440" w:type="dxa"/>
            <w:vAlign w:val="bottom"/>
            <w:gridSpan w:val="2"/>
            <w:shd w:val="clear" w:color="auto" w:fill="CCEEFF"/>
          </w:tcPr>
          <w:p>
            <w:pPr>
              <w:jc w:val="right"/>
              <w:ind w:right="460"/>
              <w:spacing w:after="0"/>
              <w:rPr>
                <w:sz w:val="20"/>
                <w:szCs w:val="20"/>
                <w:color w:val="auto"/>
              </w:rPr>
            </w:pPr>
            <w:r>
              <w:rPr>
                <w:rFonts w:ascii="Arial" w:cs="Arial" w:eastAsia="Arial" w:hAnsi="Arial"/>
                <w:sz w:val="13"/>
                <w:szCs w:val="13"/>
                <w:color w:val="auto"/>
              </w:rPr>
              <w:t>67,386,000</w:t>
            </w:r>
          </w:p>
        </w:tc>
        <w:tc>
          <w:tcPr>
            <w:tcW w:w="28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62,359,000</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8360" w:type="dxa"/>
            <w:vAlign w:val="bottom"/>
          </w:tcPr>
          <w:p>
            <w:pPr>
              <w:spacing w:after="0"/>
              <w:rPr>
                <w:sz w:val="20"/>
                <w:szCs w:val="20"/>
                <w:color w:val="auto"/>
              </w:rPr>
            </w:pPr>
            <w:r>
              <w:rPr>
                <w:rFonts w:ascii="Arial" w:cs="Arial" w:eastAsia="Arial" w:hAnsi="Arial"/>
                <w:sz w:val="13"/>
                <w:szCs w:val="13"/>
                <w:color w:val="auto"/>
              </w:rPr>
              <w:t>Valuation allowance</w:t>
            </w:r>
          </w:p>
        </w:tc>
        <w:tc>
          <w:tcPr>
            <w:tcW w:w="300" w:type="dxa"/>
            <w:vAlign w:val="bottom"/>
          </w:tcPr>
          <w:p>
            <w:pPr>
              <w:spacing w:after="0"/>
              <w:rPr>
                <w:sz w:val="13"/>
                <w:szCs w:val="13"/>
                <w:color w:val="auto"/>
              </w:rPr>
            </w:pPr>
          </w:p>
        </w:tc>
        <w:tc>
          <w:tcPr>
            <w:tcW w:w="1440" w:type="dxa"/>
            <w:vAlign w:val="bottom"/>
            <w:gridSpan w:val="2"/>
          </w:tcPr>
          <w:p>
            <w:pPr>
              <w:jc w:val="right"/>
              <w:ind w:right="420"/>
              <w:spacing w:after="0"/>
              <w:rPr>
                <w:sz w:val="20"/>
                <w:szCs w:val="20"/>
                <w:color w:val="auto"/>
              </w:rPr>
            </w:pPr>
            <w:r>
              <w:rPr>
                <w:rFonts w:ascii="Arial" w:cs="Arial" w:eastAsia="Arial" w:hAnsi="Arial"/>
                <w:sz w:val="13"/>
                <w:szCs w:val="13"/>
                <w:color w:val="auto"/>
              </w:rPr>
              <w:t>(67,386,000)</w:t>
            </w:r>
          </w:p>
        </w:tc>
        <w:tc>
          <w:tcPr>
            <w:tcW w:w="280" w:type="dxa"/>
            <w:vAlign w:val="bottom"/>
          </w:tcPr>
          <w:p>
            <w:pPr>
              <w:spacing w:after="0"/>
              <w:rPr>
                <w:sz w:val="13"/>
                <w:szCs w:val="13"/>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3"/>
                <w:szCs w:val="13"/>
                <w:color w:val="auto"/>
              </w:rPr>
              <w:t>(62,359,000)</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8360" w:type="dxa"/>
            <w:vAlign w:val="bottom"/>
            <w:shd w:val="clear" w:color="auto" w:fill="CCEEFF"/>
          </w:tcPr>
          <w:p>
            <w:pPr>
              <w:spacing w:after="0"/>
              <w:rPr>
                <w:sz w:val="20"/>
                <w:szCs w:val="20"/>
                <w:color w:val="auto"/>
              </w:rPr>
            </w:pPr>
            <w:r>
              <w:rPr>
                <w:rFonts w:ascii="Arial" w:cs="Arial" w:eastAsia="Arial" w:hAnsi="Arial"/>
                <w:sz w:val="13"/>
                <w:szCs w:val="13"/>
                <w:color w:val="auto"/>
              </w:rPr>
              <w:t>Net deferred tax assets</w:t>
            </w:r>
          </w:p>
        </w:tc>
        <w:tc>
          <w:tcPr>
            <w:tcW w:w="300" w:type="dxa"/>
            <w:vAlign w:val="bottom"/>
            <w:shd w:val="clear" w:color="auto" w:fill="CCEEFF"/>
          </w:tcPr>
          <w:p>
            <w:pPr>
              <w:jc w:val="right"/>
              <w:ind w:right="191"/>
              <w:spacing w:after="0"/>
              <w:rPr>
                <w:sz w:val="20"/>
                <w:szCs w:val="20"/>
                <w:color w:val="auto"/>
              </w:rPr>
            </w:pPr>
            <w:r>
              <w:rPr>
                <w:rFonts w:ascii="Arial" w:cs="Arial" w:eastAsia="Arial" w:hAnsi="Arial"/>
                <w:sz w:val="10"/>
                <w:szCs w:val="10"/>
                <w:color w:val="auto"/>
                <w:w w:val="71"/>
              </w:rPr>
              <w:t>$</w:t>
            </w:r>
          </w:p>
        </w:tc>
        <w:tc>
          <w:tcPr>
            <w:tcW w:w="1440" w:type="dxa"/>
            <w:vAlign w:val="bottom"/>
            <w:gridSpan w:val="2"/>
            <w:shd w:val="clear" w:color="auto" w:fill="CCEEFF"/>
          </w:tcPr>
          <w:p>
            <w:pPr>
              <w:jc w:val="right"/>
              <w:ind w:right="460"/>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jc w:val="right"/>
              <w:ind w:right="171"/>
              <w:spacing w:after="0"/>
              <w:rPr>
                <w:sz w:val="20"/>
                <w:szCs w:val="20"/>
                <w:color w:val="auto"/>
              </w:rPr>
            </w:pPr>
            <w:r>
              <w:rPr>
                <w:rFonts w:ascii="Arial" w:cs="Arial" w:eastAsia="Arial" w:hAnsi="Arial"/>
                <w:sz w:val="10"/>
                <w:szCs w:val="10"/>
                <w:color w:val="auto"/>
                <w:w w:val="71"/>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bl>
    <w:p>
      <w:pPr>
        <w:spacing w:after="0" w:line="80" w:lineRule="exact"/>
        <w:rPr>
          <w:sz w:val="20"/>
          <w:szCs w:val="20"/>
          <w:color w:val="auto"/>
        </w:rPr>
      </w:pPr>
    </w:p>
    <w:p>
      <w:pPr>
        <w:jc w:val="both"/>
        <w:ind w:right="40" w:firstLine="344"/>
        <w:spacing w:after="0" w:line="276" w:lineRule="auto"/>
        <w:rPr>
          <w:sz w:val="20"/>
          <w:szCs w:val="20"/>
          <w:color w:val="auto"/>
        </w:rPr>
      </w:pPr>
      <w:r>
        <w:rPr>
          <w:rFonts w:ascii="Arial" w:cs="Arial" w:eastAsia="Arial" w:hAnsi="Arial"/>
          <w:sz w:val="13"/>
          <w:szCs w:val="13"/>
          <w:color w:val="auto"/>
        </w:rPr>
        <w:t>Realization of deferred tax assets is dependent upon future earnings, if any, the timing and amount of which are uncertain. Accordingly, the deferred tax assets have been fully offset by a valuation allowance. The valuation allowance increased by $5,027,000, $1,974,000, and $3,495,000 during 2005, 2004, and 2003 respectively</w:t>
      </w:r>
    </w:p>
    <w:p>
      <w:pPr>
        <w:spacing w:after="0" w:line="59" w:lineRule="exact"/>
        <w:rPr>
          <w:sz w:val="20"/>
          <w:szCs w:val="20"/>
          <w:color w:val="auto"/>
        </w:rPr>
      </w:pPr>
    </w:p>
    <w:p>
      <w:pPr>
        <w:ind w:left="340"/>
        <w:spacing w:after="0"/>
        <w:rPr>
          <w:sz w:val="20"/>
          <w:szCs w:val="20"/>
          <w:color w:val="auto"/>
        </w:rPr>
      </w:pPr>
      <w:r>
        <w:rPr>
          <w:rFonts w:ascii="Arial" w:cs="Arial" w:eastAsia="Arial" w:hAnsi="Arial"/>
          <w:sz w:val="11"/>
          <w:szCs w:val="11"/>
          <w:color w:val="auto"/>
        </w:rPr>
        <w:t>The effective tax rate as a percentage of income before income taxes differs from the statutory federal income tax rate (when applied to income before income taxes) for the years ended December 31, as follows: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20" w:type="dxa"/>
            <w:vAlign w:val="bottom"/>
          </w:tcPr>
          <w:p>
            <w:pPr>
              <w:spacing w:after="0"/>
              <w:rPr>
                <w:sz w:val="10"/>
                <w:szCs w:val="10"/>
                <w:color w:val="auto"/>
              </w:rPr>
            </w:pPr>
          </w:p>
        </w:tc>
        <w:tc>
          <w:tcPr>
            <w:tcW w:w="9260" w:type="dxa"/>
            <w:vAlign w:val="bottom"/>
          </w:tcPr>
          <w:p>
            <w:pPr>
              <w:spacing w:after="0"/>
              <w:rPr>
                <w:sz w:val="10"/>
                <w:szCs w:val="10"/>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2005</w:t>
            </w:r>
          </w:p>
        </w:tc>
        <w:tc>
          <w:tcPr>
            <w:tcW w:w="500" w:type="dxa"/>
            <w:vAlign w:val="bottom"/>
          </w:tcPr>
          <w:p>
            <w:pPr>
              <w:spacing w:after="0"/>
              <w:rPr>
                <w:sz w:val="10"/>
                <w:szCs w:val="10"/>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2004</w:t>
            </w:r>
          </w:p>
        </w:tc>
        <w:tc>
          <w:tcPr>
            <w:tcW w:w="500" w:type="dxa"/>
            <w:vAlign w:val="bottom"/>
          </w:tcPr>
          <w:p>
            <w:pPr>
              <w:spacing w:after="0"/>
              <w:rPr>
                <w:sz w:val="10"/>
                <w:szCs w:val="10"/>
                <w:color w:val="auto"/>
              </w:rPr>
            </w:pPr>
          </w:p>
        </w:tc>
        <w:tc>
          <w:tcPr>
            <w:tcW w:w="360" w:type="dxa"/>
            <w:vAlign w:val="bottom"/>
            <w:tcBorders>
              <w:bottom w:val="single" w:sz="8" w:color="auto"/>
            </w:tcBorders>
          </w:tcPr>
          <w:p>
            <w:pPr>
              <w:jc w:val="right"/>
              <w:ind w:right="17"/>
              <w:spacing w:after="0"/>
              <w:rPr>
                <w:sz w:val="20"/>
                <w:szCs w:val="20"/>
                <w:color w:val="auto"/>
              </w:rPr>
            </w:pPr>
            <w:r>
              <w:rPr>
                <w:rFonts w:ascii="Arial" w:cs="Arial" w:eastAsia="Arial" w:hAnsi="Arial"/>
                <w:sz w:val="10"/>
                <w:szCs w:val="10"/>
                <w:b w:val="1"/>
                <w:bCs w:val="1"/>
                <w:color w:val="auto"/>
              </w:rPr>
              <w:t>2003</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20" w:type="dxa"/>
            <w:vAlign w:val="bottom"/>
            <w:vMerge w:val="restart"/>
          </w:tcPr>
          <w:p>
            <w:pPr>
              <w:spacing w:after="0"/>
              <w:rPr>
                <w:sz w:val="2"/>
                <w:szCs w:val="2"/>
                <w:color w:val="auto"/>
              </w:rPr>
            </w:pPr>
          </w:p>
        </w:tc>
        <w:tc>
          <w:tcPr>
            <w:tcW w:w="9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500" w:type="dxa"/>
            <w:vAlign w:val="bottom"/>
          </w:tcPr>
          <w:p>
            <w:pPr>
              <w:spacing w:after="0"/>
              <w:rPr>
                <w:sz w:val="2"/>
                <w:szCs w:val="2"/>
                <w:color w:val="auto"/>
              </w:rPr>
            </w:pPr>
          </w:p>
        </w:tc>
        <w:tc>
          <w:tcPr>
            <w:tcW w:w="340" w:type="dxa"/>
            <w:vAlign w:val="bottom"/>
          </w:tcPr>
          <w:p>
            <w:pPr>
              <w:spacing w:after="0"/>
              <w:rPr>
                <w:sz w:val="2"/>
                <w:szCs w:val="2"/>
                <w:color w:val="auto"/>
              </w:rPr>
            </w:pPr>
          </w:p>
        </w:tc>
        <w:tc>
          <w:tcPr>
            <w:tcW w:w="5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20" w:type="dxa"/>
            <w:vAlign w:val="bottom"/>
            <w:vMerge w:val="continue"/>
          </w:tcPr>
          <w:p>
            <w:pPr>
              <w:spacing w:after="0"/>
              <w:rPr>
                <w:sz w:val="13"/>
                <w:szCs w:val="13"/>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3"/>
                <w:szCs w:val="13"/>
                <w:color w:val="auto"/>
              </w:rPr>
              <w:t>Statutory federal income tax (benefit) rate</w:t>
            </w: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(34%)</w:t>
            </w: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(34%)</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(34%)</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9260" w:type="dxa"/>
            <w:vAlign w:val="bottom"/>
          </w:tcPr>
          <w:p>
            <w:pPr>
              <w:spacing w:after="0"/>
              <w:rPr>
                <w:sz w:val="20"/>
                <w:szCs w:val="20"/>
                <w:color w:val="auto"/>
              </w:rPr>
            </w:pPr>
            <w:r>
              <w:rPr>
                <w:rFonts w:ascii="Arial" w:cs="Arial" w:eastAsia="Arial" w:hAnsi="Arial"/>
                <w:sz w:val="13"/>
                <w:szCs w:val="13"/>
                <w:color w:val="auto"/>
              </w:rPr>
              <w:t>Increase (decrease) resulting from:</w:t>
            </w:r>
          </w:p>
        </w:tc>
        <w:tc>
          <w:tcPr>
            <w:tcW w:w="3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3"/>
                <w:szCs w:val="13"/>
                <w:color w:val="auto"/>
              </w:rPr>
              <w:t>Expenses not deductible for taxes</w:t>
            </w:r>
          </w:p>
        </w:tc>
        <w:tc>
          <w:tcPr>
            <w:tcW w:w="840" w:type="dxa"/>
            <w:vAlign w:val="bottom"/>
            <w:gridSpan w:val="2"/>
            <w:shd w:val="clear" w:color="auto" w:fill="CCEEFF"/>
          </w:tcPr>
          <w:p>
            <w:pPr>
              <w:jc w:val="right"/>
              <w:ind w:right="500"/>
              <w:spacing w:after="0"/>
              <w:rPr>
                <w:sz w:val="20"/>
                <w:szCs w:val="20"/>
                <w:color w:val="auto"/>
              </w:rPr>
            </w:pPr>
            <w:r>
              <w:rPr>
                <w:rFonts w:ascii="Arial" w:cs="Arial" w:eastAsia="Arial" w:hAnsi="Arial"/>
                <w:sz w:val="13"/>
                <w:szCs w:val="13"/>
                <w:color w:val="auto"/>
              </w:rPr>
              <w:t>2.4</w:t>
            </w:r>
          </w:p>
        </w:tc>
        <w:tc>
          <w:tcPr>
            <w:tcW w:w="840" w:type="dxa"/>
            <w:vAlign w:val="bottom"/>
            <w:gridSpan w:val="2"/>
            <w:shd w:val="clear" w:color="auto" w:fill="CCEEFF"/>
          </w:tcPr>
          <w:p>
            <w:pPr>
              <w:jc w:val="right"/>
              <w:ind w:right="500"/>
              <w:spacing w:after="0"/>
              <w:rPr>
                <w:sz w:val="20"/>
                <w:szCs w:val="20"/>
                <w:color w:val="auto"/>
              </w:rPr>
            </w:pPr>
            <w:r>
              <w:rPr>
                <w:rFonts w:ascii="Arial" w:cs="Arial" w:eastAsia="Arial" w:hAnsi="Arial"/>
                <w:sz w:val="13"/>
                <w:szCs w:val="13"/>
                <w:color w:val="auto"/>
              </w:rPr>
              <w:t>1.9</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(2.1)</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9260" w:type="dxa"/>
            <w:vAlign w:val="bottom"/>
          </w:tcPr>
          <w:p>
            <w:pPr>
              <w:spacing w:after="0"/>
              <w:rPr>
                <w:sz w:val="20"/>
                <w:szCs w:val="20"/>
                <w:color w:val="auto"/>
              </w:rPr>
            </w:pPr>
            <w:r>
              <w:rPr>
                <w:rFonts w:ascii="Arial" w:cs="Arial" w:eastAsia="Arial" w:hAnsi="Arial"/>
                <w:sz w:val="13"/>
                <w:szCs w:val="13"/>
                <w:color w:val="auto"/>
              </w:rPr>
              <w:t>Expiration of State net operating losses</w:t>
            </w:r>
          </w:p>
        </w:tc>
        <w:tc>
          <w:tcPr>
            <w:tcW w:w="840" w:type="dxa"/>
            <w:vAlign w:val="bottom"/>
            <w:gridSpan w:val="2"/>
          </w:tcPr>
          <w:p>
            <w:pPr>
              <w:jc w:val="right"/>
              <w:ind w:right="500"/>
              <w:spacing w:after="0"/>
              <w:rPr>
                <w:sz w:val="20"/>
                <w:szCs w:val="20"/>
                <w:color w:val="auto"/>
              </w:rPr>
            </w:pPr>
            <w:r>
              <w:rPr>
                <w:rFonts w:ascii="Arial" w:cs="Arial" w:eastAsia="Arial" w:hAnsi="Arial"/>
                <w:sz w:val="13"/>
                <w:szCs w:val="13"/>
                <w:color w:val="auto"/>
              </w:rPr>
              <w:t>1.2</w:t>
            </w:r>
          </w:p>
        </w:tc>
        <w:tc>
          <w:tcPr>
            <w:tcW w:w="840" w:type="dxa"/>
            <w:vAlign w:val="bottom"/>
            <w:gridSpan w:val="2"/>
          </w:tcPr>
          <w:p>
            <w:pPr>
              <w:jc w:val="right"/>
              <w:ind w:right="500"/>
              <w:spacing w:after="0"/>
              <w:rPr>
                <w:sz w:val="20"/>
                <w:szCs w:val="20"/>
                <w:color w:val="auto"/>
              </w:rPr>
            </w:pPr>
            <w:r>
              <w:rPr>
                <w:rFonts w:ascii="Arial" w:cs="Arial" w:eastAsia="Arial" w:hAnsi="Arial"/>
                <w:sz w:val="13"/>
                <w:szCs w:val="13"/>
                <w:color w:val="auto"/>
              </w:rPr>
              <w:t>19.2</w:t>
            </w:r>
          </w:p>
        </w:tc>
        <w:tc>
          <w:tcPr>
            <w:tcW w:w="500" w:type="dxa"/>
            <w:vAlign w:val="bottom"/>
            <w:gridSpan w:val="2"/>
          </w:tcPr>
          <w:p>
            <w:pPr>
              <w:jc w:val="right"/>
              <w:ind w:right="140"/>
              <w:spacing w:after="0"/>
              <w:rPr>
                <w:sz w:val="20"/>
                <w:szCs w:val="20"/>
                <w:color w:val="auto"/>
              </w:rPr>
            </w:pPr>
            <w:r>
              <w:rPr>
                <w:rFonts w:ascii="Arial" w:cs="Arial" w:eastAsia="Arial" w:hAnsi="Arial"/>
                <w:sz w:val="13"/>
                <w:szCs w:val="13"/>
                <w:color w:val="auto"/>
              </w:rPr>
              <w:t>7.7</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3"/>
                <w:szCs w:val="13"/>
                <w:color w:val="auto"/>
              </w:rPr>
              <w:t>Increase in valuation allowance</w:t>
            </w:r>
          </w:p>
        </w:tc>
        <w:tc>
          <w:tcPr>
            <w:tcW w:w="840" w:type="dxa"/>
            <w:vAlign w:val="bottom"/>
            <w:gridSpan w:val="2"/>
            <w:shd w:val="clear" w:color="auto" w:fill="CCEEFF"/>
          </w:tcPr>
          <w:p>
            <w:pPr>
              <w:jc w:val="right"/>
              <w:ind w:right="500"/>
              <w:spacing w:after="0"/>
              <w:rPr>
                <w:sz w:val="20"/>
                <w:szCs w:val="20"/>
                <w:color w:val="auto"/>
              </w:rPr>
            </w:pPr>
            <w:r>
              <w:rPr>
                <w:rFonts w:ascii="Arial" w:cs="Arial" w:eastAsia="Arial" w:hAnsi="Arial"/>
                <w:sz w:val="13"/>
                <w:szCs w:val="13"/>
                <w:color w:val="auto"/>
              </w:rPr>
              <w:t>30.4</w:t>
            </w:r>
          </w:p>
        </w:tc>
        <w:tc>
          <w:tcPr>
            <w:tcW w:w="840" w:type="dxa"/>
            <w:vAlign w:val="bottom"/>
            <w:gridSpan w:val="2"/>
            <w:shd w:val="clear" w:color="auto" w:fill="CCEEFF"/>
          </w:tcPr>
          <w:p>
            <w:pPr>
              <w:jc w:val="right"/>
              <w:ind w:right="500"/>
              <w:spacing w:after="0"/>
              <w:rPr>
                <w:sz w:val="20"/>
                <w:szCs w:val="20"/>
                <w:color w:val="auto"/>
              </w:rPr>
            </w:pPr>
            <w:r>
              <w:rPr>
                <w:rFonts w:ascii="Arial" w:cs="Arial" w:eastAsia="Arial" w:hAnsi="Arial"/>
                <w:sz w:val="13"/>
                <w:szCs w:val="13"/>
                <w:color w:val="auto"/>
              </w:rPr>
              <w:t>12.9</w:t>
            </w: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28.4</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9260" w:type="dxa"/>
            <w:vAlign w:val="bottom"/>
          </w:tcPr>
          <w:p>
            <w:pPr>
              <w:spacing w:after="0"/>
              <w:rPr>
                <w:sz w:val="20"/>
                <w:szCs w:val="20"/>
                <w:color w:val="auto"/>
              </w:rPr>
            </w:pPr>
            <w:r>
              <w:rPr>
                <w:rFonts w:ascii="Arial" w:cs="Arial" w:eastAsia="Arial" w:hAnsi="Arial"/>
                <w:sz w:val="13"/>
                <w:szCs w:val="13"/>
                <w:color w:val="auto"/>
              </w:rPr>
              <w:t>Effective tax (benefit) rate</w:t>
            </w:r>
          </w:p>
        </w:tc>
        <w:tc>
          <w:tcPr>
            <w:tcW w:w="840" w:type="dxa"/>
            <w:vAlign w:val="bottom"/>
            <w:gridSpan w:val="2"/>
          </w:tcPr>
          <w:p>
            <w:pPr>
              <w:jc w:val="right"/>
              <w:ind w:right="380"/>
              <w:spacing w:after="0"/>
              <w:rPr>
                <w:sz w:val="20"/>
                <w:szCs w:val="20"/>
                <w:color w:val="auto"/>
              </w:rPr>
            </w:pPr>
            <w:r>
              <w:rPr>
                <w:rFonts w:ascii="Arial" w:cs="Arial" w:eastAsia="Arial" w:hAnsi="Arial"/>
                <w:sz w:val="13"/>
                <w:szCs w:val="13"/>
                <w:color w:val="auto"/>
              </w:rPr>
              <w:t>0%</w:t>
            </w:r>
          </w:p>
        </w:tc>
        <w:tc>
          <w:tcPr>
            <w:tcW w:w="840" w:type="dxa"/>
            <w:vAlign w:val="bottom"/>
            <w:gridSpan w:val="2"/>
          </w:tcPr>
          <w:p>
            <w:pPr>
              <w:jc w:val="right"/>
              <w:ind w:right="380"/>
              <w:spacing w:after="0"/>
              <w:rPr>
                <w:sz w:val="20"/>
                <w:szCs w:val="20"/>
                <w:color w:val="auto"/>
              </w:rPr>
            </w:pPr>
            <w:r>
              <w:rPr>
                <w:rFonts w:ascii="Arial" w:cs="Arial" w:eastAsia="Arial" w:hAnsi="Arial"/>
                <w:sz w:val="13"/>
                <w:szCs w:val="13"/>
                <w:color w:val="auto"/>
              </w:rPr>
              <w:t>0%</w:t>
            </w:r>
          </w:p>
        </w:tc>
        <w:tc>
          <w:tcPr>
            <w:tcW w:w="500" w:type="dxa"/>
            <w:vAlign w:val="bottom"/>
            <w:gridSpan w:val="2"/>
          </w:tcPr>
          <w:p>
            <w:pPr>
              <w:jc w:val="right"/>
              <w:ind w:right="40"/>
              <w:spacing w:after="0"/>
              <w:rPr>
                <w:sz w:val="20"/>
                <w:szCs w:val="20"/>
                <w:color w:val="auto"/>
              </w:rPr>
            </w:pPr>
            <w:r>
              <w:rPr>
                <w:rFonts w:ascii="Arial" w:cs="Arial" w:eastAsia="Arial" w:hAnsi="Arial"/>
                <w:sz w:val="13"/>
                <w:szCs w:val="13"/>
                <w:color w:val="auto"/>
              </w:rPr>
              <w:t>0%</w:t>
            </w:r>
          </w:p>
        </w:tc>
        <w:tc>
          <w:tcPr>
            <w:tcW w:w="0" w:type="dxa"/>
            <w:vAlign w:val="bottom"/>
          </w:tcPr>
          <w:p>
            <w:pPr>
              <w:spacing w:after="0"/>
              <w:rPr>
                <w:sz w:val="1"/>
                <w:szCs w:val="1"/>
                <w:color w:val="auto"/>
              </w:rPr>
            </w:pPr>
          </w:p>
        </w:tc>
      </w:tr>
    </w:tbl>
    <w:p>
      <w:pPr>
        <w:spacing w:after="0" w:line="147" w:lineRule="exact"/>
        <w:rPr>
          <w:sz w:val="20"/>
          <w:szCs w:val="20"/>
          <w:color w:val="auto"/>
        </w:rPr>
      </w:pPr>
    </w:p>
    <w:p>
      <w:pPr>
        <w:spacing w:after="0"/>
        <w:tabs>
          <w:tab w:leader="none" w:pos="680" w:val="left"/>
        </w:tabs>
        <w:rPr>
          <w:sz w:val="20"/>
          <w:szCs w:val="20"/>
          <w:color w:val="auto"/>
        </w:rPr>
      </w:pPr>
      <w:r>
        <w:rPr>
          <w:rFonts w:ascii="Arial" w:cs="Arial" w:eastAsia="Arial" w:hAnsi="Arial"/>
          <w:sz w:val="13"/>
          <w:szCs w:val="13"/>
          <w:b w:val="1"/>
          <w:bCs w:val="1"/>
          <w:color w:val="auto"/>
        </w:rPr>
        <w:t>Note 13.</w:t>
      </w:r>
      <w:r>
        <w:rPr>
          <w:sz w:val="20"/>
          <w:szCs w:val="20"/>
          <w:color w:val="auto"/>
        </w:rPr>
        <w:tab/>
      </w:r>
      <w:r>
        <w:rPr>
          <w:rFonts w:ascii="Arial" w:cs="Arial" w:eastAsia="Arial" w:hAnsi="Arial"/>
          <w:sz w:val="11"/>
          <w:szCs w:val="11"/>
          <w:b w:val="1"/>
          <w:bCs w:val="1"/>
          <w:color w:val="auto"/>
        </w:rPr>
        <w:t>Employee Retirement Plan</w:t>
      </w:r>
    </w:p>
    <w:p>
      <w:pPr>
        <w:spacing w:after="0" w:line="100" w:lineRule="exact"/>
        <w:rPr>
          <w:sz w:val="20"/>
          <w:szCs w:val="20"/>
          <w:color w:val="auto"/>
        </w:rPr>
      </w:pPr>
    </w:p>
    <w:p>
      <w:pPr>
        <w:ind w:firstLine="344"/>
        <w:spacing w:after="0" w:line="264" w:lineRule="auto"/>
        <w:rPr>
          <w:sz w:val="20"/>
          <w:szCs w:val="20"/>
          <w:color w:val="auto"/>
        </w:rPr>
      </w:pPr>
      <w:r>
        <w:rPr>
          <w:rFonts w:ascii="Arial" w:cs="Arial" w:eastAsia="Arial" w:hAnsi="Arial"/>
          <w:sz w:val="13"/>
          <w:szCs w:val="13"/>
          <w:color w:val="auto"/>
        </w:rPr>
        <w:t>The Company has a qualified defined contribution plan covering substantially all employees. Participants are allowed to contribute a fixed percentage of their total annual cash compensation to the plan (subject to the maximums defined by law) and the Company matches 50% of employee contributions, up to a maximum of 6% of the employee’s compensation, with the Company’s common stock. The related expense was $111,000, $78,000, and $60,000 for the years ended December 31, 2005, 2004 and 2003, respectively</w:t>
      </w: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67" w:name="page68"/>
    <w:bookmarkEnd w:id="67"/>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StemCells, Inc.</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580" w:type="dxa"/>
            <w:vAlign w:val="bottom"/>
          </w:tcPr>
          <w:p>
            <w:pPr>
              <w:spacing w:after="0"/>
              <w:rPr>
                <w:sz w:val="20"/>
                <w:szCs w:val="20"/>
                <w:color w:val="auto"/>
              </w:rPr>
            </w:pPr>
            <w:r>
              <w:rPr>
                <w:rFonts w:ascii="Arial" w:cs="Arial" w:eastAsia="Arial" w:hAnsi="Arial"/>
                <w:sz w:val="13"/>
                <w:szCs w:val="13"/>
                <w:b w:val="1"/>
                <w:bCs w:val="1"/>
                <w:color w:val="auto"/>
              </w:rPr>
              <w:t>Note 14.</w:t>
            </w:r>
          </w:p>
        </w:tc>
        <w:tc>
          <w:tcPr>
            <w:tcW w:w="6520" w:type="dxa"/>
            <w:vAlign w:val="bottom"/>
          </w:tcPr>
          <w:p>
            <w:pPr>
              <w:ind w:left="120"/>
              <w:spacing w:after="0"/>
              <w:rPr>
                <w:sz w:val="20"/>
                <w:szCs w:val="20"/>
                <w:color w:val="auto"/>
              </w:rPr>
            </w:pPr>
            <w:r>
              <w:rPr>
                <w:rFonts w:ascii="Arial" w:cs="Arial" w:eastAsia="Arial" w:hAnsi="Arial"/>
                <w:sz w:val="13"/>
                <w:szCs w:val="13"/>
                <w:b w:val="1"/>
                <w:bCs w:val="1"/>
                <w:color w:val="auto"/>
              </w:rPr>
              <w:t>Quarterly Financial Information (unaudited)</w:t>
            </w: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208"/>
        </w:trPr>
        <w:tc>
          <w:tcPr>
            <w:tcW w:w="580" w:type="dxa"/>
            <w:vAlign w:val="bottom"/>
          </w:tcPr>
          <w:p>
            <w:pPr>
              <w:spacing w:after="0"/>
              <w:rPr>
                <w:sz w:val="18"/>
                <w:szCs w:val="18"/>
                <w:color w:val="auto"/>
              </w:rPr>
            </w:pPr>
          </w:p>
        </w:tc>
        <w:tc>
          <w:tcPr>
            <w:tcW w:w="65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ind w:right="28"/>
              <w:spacing w:after="0"/>
              <w:rPr>
                <w:sz w:val="20"/>
                <w:szCs w:val="20"/>
                <w:color w:val="auto"/>
              </w:rPr>
            </w:pPr>
            <w:r>
              <w:rPr>
                <w:rFonts w:ascii="Arial" w:cs="Arial" w:eastAsia="Arial" w:hAnsi="Arial"/>
                <w:sz w:val="10"/>
                <w:szCs w:val="10"/>
                <w:b w:val="1"/>
                <w:bCs w:val="1"/>
                <w:color w:val="auto"/>
              </w:rPr>
              <w:t>Quarter</w:t>
            </w:r>
          </w:p>
        </w:tc>
        <w:tc>
          <w:tcPr>
            <w:tcW w:w="1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r>
      <w:tr>
        <w:trPr>
          <w:trHeight w:val="98"/>
        </w:trPr>
        <w:tc>
          <w:tcPr>
            <w:tcW w:w="580" w:type="dxa"/>
            <w:vAlign w:val="bottom"/>
          </w:tcPr>
          <w:p>
            <w:pPr>
              <w:spacing w:after="0"/>
              <w:rPr>
                <w:sz w:val="8"/>
                <w:szCs w:val="8"/>
                <w:color w:val="auto"/>
              </w:rPr>
            </w:pPr>
          </w:p>
        </w:tc>
        <w:tc>
          <w:tcPr>
            <w:tcW w:w="65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jc w:val="right"/>
              <w:ind w:right="176"/>
              <w:spacing w:after="0" w:line="98" w:lineRule="exact"/>
              <w:rPr>
                <w:sz w:val="20"/>
                <w:szCs w:val="20"/>
                <w:color w:val="auto"/>
              </w:rPr>
            </w:pPr>
            <w:r>
              <w:rPr>
                <w:rFonts w:ascii="Arial" w:cs="Arial" w:eastAsia="Arial" w:hAnsi="Arial"/>
                <w:sz w:val="10"/>
                <w:szCs w:val="10"/>
                <w:b w:val="1"/>
                <w:bCs w:val="1"/>
                <w:color w:val="auto"/>
              </w:rPr>
              <w:t>First</w:t>
            </w:r>
          </w:p>
        </w:tc>
        <w:tc>
          <w:tcPr>
            <w:tcW w:w="3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jc w:val="right"/>
              <w:ind w:right="117"/>
              <w:spacing w:after="0" w:line="98" w:lineRule="exact"/>
              <w:rPr>
                <w:sz w:val="20"/>
                <w:szCs w:val="20"/>
                <w:color w:val="auto"/>
              </w:rPr>
            </w:pPr>
            <w:r>
              <w:rPr>
                <w:rFonts w:ascii="Arial" w:cs="Arial" w:eastAsia="Arial" w:hAnsi="Arial"/>
                <w:sz w:val="10"/>
                <w:szCs w:val="10"/>
                <w:b w:val="1"/>
                <w:bCs w:val="1"/>
                <w:color w:val="auto"/>
              </w:rPr>
              <w:t>Second</w:t>
            </w:r>
          </w:p>
        </w:tc>
        <w:tc>
          <w:tcPr>
            <w:tcW w:w="5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jc w:val="right"/>
              <w:ind w:right="156"/>
              <w:spacing w:after="0" w:line="98" w:lineRule="exact"/>
              <w:rPr>
                <w:sz w:val="20"/>
                <w:szCs w:val="20"/>
                <w:color w:val="auto"/>
              </w:rPr>
            </w:pPr>
            <w:r>
              <w:rPr>
                <w:rFonts w:ascii="Arial" w:cs="Arial" w:eastAsia="Arial" w:hAnsi="Arial"/>
                <w:sz w:val="10"/>
                <w:szCs w:val="10"/>
                <w:b w:val="1"/>
                <w:bCs w:val="1"/>
                <w:color w:val="auto"/>
              </w:rPr>
              <w:t>Third</w:t>
            </w:r>
          </w:p>
        </w:tc>
        <w:tc>
          <w:tcPr>
            <w:tcW w:w="3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jc w:val="right"/>
              <w:ind w:right="116"/>
              <w:spacing w:after="0" w:line="98" w:lineRule="exact"/>
              <w:rPr>
                <w:sz w:val="20"/>
                <w:szCs w:val="20"/>
                <w:color w:val="auto"/>
              </w:rPr>
            </w:pPr>
            <w:r>
              <w:rPr>
                <w:rFonts w:ascii="Arial" w:cs="Arial" w:eastAsia="Arial" w:hAnsi="Arial"/>
                <w:sz w:val="10"/>
                <w:szCs w:val="10"/>
                <w:b w:val="1"/>
                <w:bCs w:val="1"/>
                <w:color w:val="auto"/>
              </w:rPr>
              <w:t>Fourth</w:t>
            </w:r>
          </w:p>
        </w:tc>
        <w:tc>
          <w:tcPr>
            <w:tcW w:w="140" w:type="dxa"/>
            <w:vAlign w:val="bottom"/>
          </w:tcPr>
          <w:p>
            <w:pPr>
              <w:spacing w:after="0"/>
              <w:rPr>
                <w:sz w:val="8"/>
                <w:szCs w:val="8"/>
                <w:color w:val="auto"/>
              </w:rPr>
            </w:pPr>
          </w:p>
        </w:tc>
      </w:tr>
      <w:tr>
        <w:trPr>
          <w:trHeight w:val="125"/>
        </w:trPr>
        <w:tc>
          <w:tcPr>
            <w:tcW w:w="580" w:type="dxa"/>
            <w:vAlign w:val="bottom"/>
          </w:tcPr>
          <w:p>
            <w:pPr>
              <w:spacing w:after="0"/>
              <w:rPr>
                <w:sz w:val="10"/>
                <w:szCs w:val="10"/>
                <w:color w:val="auto"/>
              </w:rPr>
            </w:pPr>
          </w:p>
        </w:tc>
        <w:tc>
          <w:tcPr>
            <w:tcW w:w="6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jc w:val="right"/>
              <w:spacing w:after="0"/>
              <w:rPr>
                <w:sz w:val="20"/>
                <w:szCs w:val="20"/>
                <w:color w:val="auto"/>
              </w:rPr>
            </w:pPr>
            <w:r>
              <w:rPr>
                <w:rFonts w:ascii="Arial" w:cs="Arial" w:eastAsia="Arial" w:hAnsi="Arial"/>
                <w:sz w:val="10"/>
                <w:szCs w:val="10"/>
                <w:b w:val="1"/>
                <w:bCs w:val="1"/>
                <w:color w:val="auto"/>
                <w:w w:val="84"/>
              </w:rPr>
              <w:t>(In thousands,</w:t>
            </w:r>
          </w:p>
        </w:tc>
        <w:tc>
          <w:tcPr>
            <w:tcW w:w="1180" w:type="dxa"/>
            <w:vAlign w:val="bottom"/>
            <w:gridSpan w:val="3"/>
          </w:tcPr>
          <w:p>
            <w:pPr>
              <w:jc w:val="right"/>
              <w:ind w:right="36"/>
              <w:spacing w:after="0"/>
              <w:rPr>
                <w:sz w:val="20"/>
                <w:szCs w:val="20"/>
                <w:color w:val="auto"/>
              </w:rPr>
            </w:pPr>
            <w:r>
              <w:rPr>
                <w:rFonts w:ascii="Arial" w:cs="Arial" w:eastAsia="Arial" w:hAnsi="Arial"/>
                <w:sz w:val="10"/>
                <w:szCs w:val="10"/>
                <w:b w:val="1"/>
                <w:bCs w:val="1"/>
                <w:color w:val="auto"/>
                <w:w w:val="99"/>
              </w:rPr>
              <w:t>except per share data)</w:t>
            </w:r>
          </w:p>
        </w:tc>
        <w:tc>
          <w:tcPr>
            <w:tcW w:w="3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r>
      <w:tr>
        <w:trPr>
          <w:trHeight w:val="169"/>
        </w:trPr>
        <w:tc>
          <w:tcPr>
            <w:tcW w:w="71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Year ended December 31, 2005:</w:t>
            </w:r>
          </w:p>
        </w:tc>
        <w:tc>
          <w:tcPr>
            <w:tcW w:w="1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r>
      <w:tr>
        <w:trPr>
          <w:trHeight w:val="157"/>
        </w:trPr>
        <w:tc>
          <w:tcPr>
            <w:tcW w:w="7100" w:type="dxa"/>
            <w:vAlign w:val="bottom"/>
            <w:gridSpan w:val="2"/>
          </w:tcPr>
          <w:p>
            <w:pPr>
              <w:ind w:left="120"/>
              <w:spacing w:after="0"/>
              <w:rPr>
                <w:sz w:val="20"/>
                <w:szCs w:val="20"/>
                <w:color w:val="auto"/>
              </w:rPr>
            </w:pPr>
            <w:r>
              <w:rPr>
                <w:rFonts w:ascii="Arial" w:cs="Arial" w:eastAsia="Arial" w:hAnsi="Arial"/>
                <w:sz w:val="13"/>
                <w:szCs w:val="13"/>
                <w:color w:val="auto"/>
              </w:rPr>
              <w:t>Total revenue</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860" w:type="dxa"/>
            <w:vAlign w:val="bottom"/>
            <w:gridSpan w:val="2"/>
          </w:tcPr>
          <w:p>
            <w:pPr>
              <w:jc w:val="right"/>
              <w:ind w:right="320"/>
              <w:spacing w:after="0"/>
              <w:rPr>
                <w:sz w:val="20"/>
                <w:szCs w:val="20"/>
                <w:color w:val="auto"/>
              </w:rPr>
            </w:pPr>
            <w:r>
              <w:rPr>
                <w:rFonts w:ascii="Arial" w:cs="Arial" w:eastAsia="Arial" w:hAnsi="Arial"/>
                <w:sz w:val="13"/>
                <w:szCs w:val="13"/>
                <w:color w:val="auto"/>
              </w:rPr>
              <w:t>35</w:t>
            </w:r>
          </w:p>
        </w:tc>
        <w:tc>
          <w:tcPr>
            <w:tcW w:w="26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37</w:t>
            </w:r>
          </w:p>
        </w:tc>
        <w:tc>
          <w:tcPr>
            <w:tcW w:w="500" w:type="dxa"/>
            <w:vAlign w:val="bottom"/>
          </w:tcPr>
          <w:p>
            <w:pPr>
              <w:spacing w:after="0"/>
              <w:rPr>
                <w:sz w:val="13"/>
                <w:szCs w:val="13"/>
                <w:color w:val="auto"/>
              </w:rPr>
            </w:pP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860" w:type="dxa"/>
            <w:vAlign w:val="bottom"/>
            <w:gridSpan w:val="2"/>
          </w:tcPr>
          <w:p>
            <w:pPr>
              <w:jc w:val="right"/>
              <w:ind w:right="320"/>
              <w:spacing w:after="0"/>
              <w:rPr>
                <w:sz w:val="20"/>
                <w:szCs w:val="20"/>
                <w:color w:val="auto"/>
              </w:rPr>
            </w:pPr>
            <w:r>
              <w:rPr>
                <w:rFonts w:ascii="Arial" w:cs="Arial" w:eastAsia="Arial" w:hAnsi="Arial"/>
                <w:sz w:val="13"/>
                <w:szCs w:val="13"/>
                <w:color w:val="auto"/>
              </w:rPr>
              <w:t>91</w:t>
            </w:r>
          </w:p>
        </w:tc>
        <w:tc>
          <w:tcPr>
            <w:tcW w:w="30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140"/>
              <w:spacing w:after="0"/>
              <w:rPr>
                <w:sz w:val="20"/>
                <w:szCs w:val="20"/>
                <w:color w:val="auto"/>
              </w:rPr>
            </w:pPr>
            <w:r>
              <w:rPr>
                <w:rFonts w:ascii="Arial" w:cs="Arial" w:eastAsia="Arial" w:hAnsi="Arial"/>
                <w:sz w:val="13"/>
                <w:szCs w:val="13"/>
                <w:color w:val="auto"/>
              </w:rPr>
              <w:t>43</w:t>
            </w:r>
          </w:p>
        </w:tc>
      </w:tr>
      <w:tr>
        <w:trPr>
          <w:trHeight w:val="157"/>
        </w:trPr>
        <w:tc>
          <w:tcPr>
            <w:tcW w:w="710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Operating expenses</w:t>
            </w:r>
          </w:p>
        </w:tc>
        <w:tc>
          <w:tcPr>
            <w:tcW w:w="14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3,645(1)</w:t>
            </w: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308"/>
              <w:spacing w:after="0"/>
              <w:rPr>
                <w:sz w:val="20"/>
                <w:szCs w:val="20"/>
                <w:color w:val="auto"/>
              </w:rPr>
            </w:pPr>
            <w:r>
              <w:rPr>
                <w:rFonts w:ascii="Arial" w:cs="Arial" w:eastAsia="Arial" w:hAnsi="Arial"/>
                <w:sz w:val="13"/>
                <w:szCs w:val="13"/>
                <w:color w:val="auto"/>
              </w:rPr>
              <w:t>4,121(1)</w:t>
            </w:r>
          </w:p>
        </w:tc>
        <w:tc>
          <w:tcPr>
            <w:tcW w:w="14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4,183(1)</w:t>
            </w: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4,645(1)</w:t>
            </w:r>
          </w:p>
        </w:tc>
      </w:tr>
      <w:tr>
        <w:trPr>
          <w:trHeight w:val="157"/>
        </w:trPr>
        <w:tc>
          <w:tcPr>
            <w:tcW w:w="7100" w:type="dxa"/>
            <w:vAlign w:val="bottom"/>
            <w:gridSpan w:val="2"/>
          </w:tcPr>
          <w:p>
            <w:pPr>
              <w:ind w:left="120"/>
              <w:spacing w:after="0"/>
              <w:rPr>
                <w:sz w:val="20"/>
                <w:szCs w:val="20"/>
                <w:color w:val="auto"/>
              </w:rPr>
            </w:pPr>
            <w:r>
              <w:rPr>
                <w:rFonts w:ascii="Arial" w:cs="Arial" w:eastAsia="Arial" w:hAnsi="Arial"/>
                <w:sz w:val="13"/>
                <w:szCs w:val="13"/>
                <w:color w:val="auto"/>
              </w:rPr>
              <w:t>Other income (expense)</w:t>
            </w:r>
          </w:p>
        </w:tc>
        <w:tc>
          <w:tcPr>
            <w:tcW w:w="140" w:type="dxa"/>
            <w:vAlign w:val="bottom"/>
          </w:tcPr>
          <w:p>
            <w:pPr>
              <w:spacing w:after="0"/>
              <w:rPr>
                <w:sz w:val="13"/>
                <w:szCs w:val="13"/>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3"/>
                <w:szCs w:val="13"/>
                <w:color w:val="auto"/>
              </w:rPr>
              <w:t>161</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gridSpan w:val="2"/>
          </w:tcPr>
          <w:p>
            <w:pPr>
              <w:jc w:val="right"/>
              <w:ind w:right="448"/>
              <w:spacing w:after="0"/>
              <w:rPr>
                <w:sz w:val="20"/>
                <w:szCs w:val="20"/>
                <w:color w:val="auto"/>
              </w:rPr>
            </w:pPr>
            <w:r>
              <w:rPr>
                <w:rFonts w:ascii="Arial" w:cs="Arial" w:eastAsia="Arial" w:hAnsi="Arial"/>
                <w:sz w:val="13"/>
                <w:szCs w:val="13"/>
                <w:color w:val="auto"/>
              </w:rPr>
              <w:t>216</w:t>
            </w:r>
          </w:p>
        </w:tc>
        <w:tc>
          <w:tcPr>
            <w:tcW w:w="140" w:type="dxa"/>
            <w:vAlign w:val="bottom"/>
          </w:tcPr>
          <w:p>
            <w:pPr>
              <w:spacing w:after="0"/>
              <w:rPr>
                <w:sz w:val="13"/>
                <w:szCs w:val="13"/>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3"/>
                <w:szCs w:val="13"/>
                <w:color w:val="auto"/>
              </w:rPr>
              <w:t>3,998(2)</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3"/>
                <w:szCs w:val="13"/>
                <w:color w:val="auto"/>
              </w:rPr>
              <w:t>275</w:t>
            </w:r>
          </w:p>
        </w:tc>
      </w:tr>
      <w:tr>
        <w:trPr>
          <w:trHeight w:val="157"/>
        </w:trPr>
        <w:tc>
          <w:tcPr>
            <w:tcW w:w="710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Net loss applicable to common stockholders</w:t>
            </w:r>
          </w:p>
        </w:tc>
        <w:tc>
          <w:tcPr>
            <w:tcW w:w="14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(3,449)</w:t>
            </w: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408"/>
              <w:spacing w:after="0"/>
              <w:rPr>
                <w:sz w:val="20"/>
                <w:szCs w:val="20"/>
                <w:color w:val="auto"/>
              </w:rPr>
            </w:pPr>
            <w:r>
              <w:rPr>
                <w:rFonts w:ascii="Arial" w:cs="Arial" w:eastAsia="Arial" w:hAnsi="Arial"/>
                <w:sz w:val="13"/>
                <w:szCs w:val="13"/>
                <w:color w:val="auto"/>
              </w:rPr>
              <w:t>(3,868)</w:t>
            </w:r>
          </w:p>
        </w:tc>
        <w:tc>
          <w:tcPr>
            <w:tcW w:w="14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(94)</w:t>
            </w: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(4,327)</w:t>
            </w:r>
          </w:p>
        </w:tc>
      </w:tr>
      <w:tr>
        <w:trPr>
          <w:trHeight w:val="157"/>
        </w:trPr>
        <w:tc>
          <w:tcPr>
            <w:tcW w:w="7100" w:type="dxa"/>
            <w:vAlign w:val="bottom"/>
            <w:gridSpan w:val="2"/>
          </w:tcPr>
          <w:p>
            <w:pPr>
              <w:ind w:left="120"/>
              <w:spacing w:after="0"/>
              <w:rPr>
                <w:sz w:val="20"/>
                <w:szCs w:val="20"/>
                <w:color w:val="auto"/>
              </w:rPr>
            </w:pPr>
            <w:r>
              <w:rPr>
                <w:rFonts w:ascii="Arial" w:cs="Arial" w:eastAsia="Arial" w:hAnsi="Arial"/>
                <w:sz w:val="13"/>
                <w:szCs w:val="13"/>
                <w:color w:val="auto"/>
              </w:rPr>
              <w:t>Basic and diluted (loss) per share applicable to common stockholders</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860" w:type="dxa"/>
            <w:vAlign w:val="bottom"/>
            <w:gridSpan w:val="2"/>
          </w:tcPr>
          <w:p>
            <w:pPr>
              <w:jc w:val="right"/>
              <w:ind w:right="280"/>
              <w:spacing w:after="0"/>
              <w:rPr>
                <w:sz w:val="20"/>
                <w:szCs w:val="20"/>
                <w:color w:val="auto"/>
              </w:rPr>
            </w:pPr>
            <w:r>
              <w:rPr>
                <w:rFonts w:ascii="Arial" w:cs="Arial" w:eastAsia="Arial" w:hAnsi="Arial"/>
                <w:sz w:val="13"/>
                <w:szCs w:val="13"/>
                <w:color w:val="auto"/>
              </w:rPr>
              <w:t>(0.06)</w:t>
            </w:r>
          </w:p>
        </w:tc>
        <w:tc>
          <w:tcPr>
            <w:tcW w:w="26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1100" w:type="dxa"/>
            <w:vAlign w:val="bottom"/>
            <w:gridSpan w:val="2"/>
          </w:tcPr>
          <w:p>
            <w:pPr>
              <w:jc w:val="right"/>
              <w:ind w:right="408"/>
              <w:spacing w:after="0"/>
              <w:rPr>
                <w:sz w:val="20"/>
                <w:szCs w:val="20"/>
                <w:color w:val="auto"/>
              </w:rPr>
            </w:pPr>
            <w:r>
              <w:rPr>
                <w:rFonts w:ascii="Arial" w:cs="Arial" w:eastAsia="Arial" w:hAnsi="Arial"/>
                <w:sz w:val="13"/>
                <w:szCs w:val="13"/>
                <w:color w:val="auto"/>
              </w:rPr>
              <w:t>(0.06)</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860" w:type="dxa"/>
            <w:vAlign w:val="bottom"/>
            <w:gridSpan w:val="2"/>
          </w:tcPr>
          <w:p>
            <w:pPr>
              <w:jc w:val="right"/>
              <w:ind w:right="280"/>
              <w:spacing w:after="0"/>
              <w:rPr>
                <w:sz w:val="20"/>
                <w:szCs w:val="20"/>
                <w:color w:val="auto"/>
              </w:rPr>
            </w:pPr>
            <w:r>
              <w:rPr>
                <w:rFonts w:ascii="Arial" w:cs="Arial" w:eastAsia="Arial" w:hAnsi="Arial"/>
                <w:sz w:val="13"/>
                <w:szCs w:val="13"/>
                <w:color w:val="auto"/>
              </w:rPr>
              <w:t>(0.00)</w:t>
            </w:r>
          </w:p>
        </w:tc>
        <w:tc>
          <w:tcPr>
            <w:tcW w:w="30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(0.07)</w:t>
            </w:r>
          </w:p>
        </w:tc>
      </w:tr>
      <w:tr>
        <w:trPr>
          <w:trHeight w:val="157"/>
        </w:trPr>
        <w:tc>
          <w:tcPr>
            <w:tcW w:w="71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Year ended December 31, 2004:</w:t>
            </w:r>
          </w:p>
        </w:tc>
        <w:tc>
          <w:tcPr>
            <w:tcW w:w="1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r>
      <w:tr>
        <w:trPr>
          <w:trHeight w:val="157"/>
        </w:trPr>
        <w:tc>
          <w:tcPr>
            <w:tcW w:w="7100" w:type="dxa"/>
            <w:vAlign w:val="bottom"/>
            <w:gridSpan w:val="2"/>
          </w:tcPr>
          <w:p>
            <w:pPr>
              <w:ind w:left="120"/>
              <w:spacing w:after="0"/>
              <w:rPr>
                <w:sz w:val="20"/>
                <w:szCs w:val="20"/>
                <w:color w:val="auto"/>
              </w:rPr>
            </w:pPr>
            <w:r>
              <w:rPr>
                <w:rFonts w:ascii="Arial" w:cs="Arial" w:eastAsia="Arial" w:hAnsi="Arial"/>
                <w:sz w:val="13"/>
                <w:szCs w:val="13"/>
                <w:color w:val="auto"/>
              </w:rPr>
              <w:t>Total revenue</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860" w:type="dxa"/>
            <w:vAlign w:val="bottom"/>
            <w:gridSpan w:val="2"/>
          </w:tcPr>
          <w:p>
            <w:pPr>
              <w:jc w:val="right"/>
              <w:ind w:right="320"/>
              <w:spacing w:after="0"/>
              <w:rPr>
                <w:sz w:val="20"/>
                <w:szCs w:val="20"/>
                <w:color w:val="auto"/>
              </w:rPr>
            </w:pPr>
            <w:r>
              <w:rPr>
                <w:rFonts w:ascii="Arial" w:cs="Arial" w:eastAsia="Arial" w:hAnsi="Arial"/>
                <w:sz w:val="13"/>
                <w:szCs w:val="13"/>
                <w:color w:val="auto"/>
              </w:rPr>
              <w:t>93</w:t>
            </w:r>
          </w:p>
        </w:tc>
        <w:tc>
          <w:tcPr>
            <w:tcW w:w="26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1100" w:type="dxa"/>
            <w:vAlign w:val="bottom"/>
            <w:gridSpan w:val="2"/>
          </w:tcPr>
          <w:p>
            <w:pPr>
              <w:jc w:val="right"/>
              <w:ind w:right="448"/>
              <w:spacing w:after="0"/>
              <w:rPr>
                <w:sz w:val="20"/>
                <w:szCs w:val="20"/>
                <w:color w:val="auto"/>
              </w:rPr>
            </w:pPr>
            <w:r>
              <w:rPr>
                <w:rFonts w:ascii="Arial" w:cs="Arial" w:eastAsia="Arial" w:hAnsi="Arial"/>
                <w:sz w:val="13"/>
                <w:szCs w:val="13"/>
                <w:color w:val="auto"/>
              </w:rPr>
              <w:t>6</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860" w:type="dxa"/>
            <w:vAlign w:val="bottom"/>
            <w:gridSpan w:val="2"/>
          </w:tcPr>
          <w:p>
            <w:pPr>
              <w:jc w:val="right"/>
              <w:ind w:right="320"/>
              <w:spacing w:after="0"/>
              <w:rPr>
                <w:sz w:val="20"/>
                <w:szCs w:val="20"/>
                <w:color w:val="auto"/>
              </w:rPr>
            </w:pPr>
            <w:r>
              <w:rPr>
                <w:rFonts w:ascii="Arial" w:cs="Arial" w:eastAsia="Arial" w:hAnsi="Arial"/>
                <w:sz w:val="13"/>
                <w:szCs w:val="13"/>
                <w:color w:val="auto"/>
              </w:rPr>
              <w:t>4</w:t>
            </w:r>
          </w:p>
        </w:tc>
        <w:tc>
          <w:tcPr>
            <w:tcW w:w="30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140"/>
              <w:spacing w:after="0"/>
              <w:rPr>
                <w:sz w:val="20"/>
                <w:szCs w:val="20"/>
                <w:color w:val="auto"/>
              </w:rPr>
            </w:pPr>
            <w:r>
              <w:rPr>
                <w:rFonts w:ascii="Arial" w:cs="Arial" w:eastAsia="Arial" w:hAnsi="Arial"/>
                <w:sz w:val="13"/>
                <w:szCs w:val="13"/>
                <w:color w:val="auto"/>
              </w:rPr>
              <w:t>38</w:t>
            </w:r>
          </w:p>
        </w:tc>
      </w:tr>
      <w:tr>
        <w:trPr>
          <w:trHeight w:val="157"/>
        </w:trPr>
        <w:tc>
          <w:tcPr>
            <w:tcW w:w="710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Operating expenses</w:t>
            </w:r>
          </w:p>
        </w:tc>
        <w:tc>
          <w:tcPr>
            <w:tcW w:w="14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2,862(1)</w:t>
            </w: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308"/>
              <w:spacing w:after="0"/>
              <w:rPr>
                <w:sz w:val="20"/>
                <w:szCs w:val="20"/>
                <w:color w:val="auto"/>
              </w:rPr>
            </w:pPr>
            <w:r>
              <w:rPr>
                <w:rFonts w:ascii="Arial" w:cs="Arial" w:eastAsia="Arial" w:hAnsi="Arial"/>
                <w:sz w:val="13"/>
                <w:szCs w:val="13"/>
                <w:color w:val="auto"/>
              </w:rPr>
              <w:t>3,284(1)</w:t>
            </w:r>
          </w:p>
        </w:tc>
        <w:tc>
          <w:tcPr>
            <w:tcW w:w="14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4,325(1)</w:t>
            </w: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5,070(1)</w:t>
            </w:r>
          </w:p>
        </w:tc>
      </w:tr>
      <w:tr>
        <w:trPr>
          <w:trHeight w:val="157"/>
        </w:trPr>
        <w:tc>
          <w:tcPr>
            <w:tcW w:w="7100" w:type="dxa"/>
            <w:vAlign w:val="bottom"/>
            <w:gridSpan w:val="2"/>
          </w:tcPr>
          <w:p>
            <w:pPr>
              <w:ind w:left="120"/>
              <w:spacing w:after="0"/>
              <w:rPr>
                <w:sz w:val="20"/>
                <w:szCs w:val="20"/>
                <w:color w:val="auto"/>
              </w:rPr>
            </w:pPr>
            <w:r>
              <w:rPr>
                <w:rFonts w:ascii="Arial" w:cs="Arial" w:eastAsia="Arial" w:hAnsi="Arial"/>
                <w:sz w:val="13"/>
                <w:szCs w:val="13"/>
                <w:color w:val="auto"/>
              </w:rPr>
              <w:t>Other income (expense)</w:t>
            </w:r>
          </w:p>
        </w:tc>
        <w:tc>
          <w:tcPr>
            <w:tcW w:w="140" w:type="dxa"/>
            <w:vAlign w:val="bottom"/>
          </w:tcPr>
          <w:p>
            <w:pPr>
              <w:spacing w:after="0"/>
              <w:rPr>
                <w:sz w:val="13"/>
                <w:szCs w:val="13"/>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3"/>
                <w:szCs w:val="13"/>
                <w:color w:val="auto"/>
              </w:rPr>
              <w:t>(1)</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gridSpan w:val="2"/>
          </w:tcPr>
          <w:p>
            <w:pPr>
              <w:jc w:val="right"/>
              <w:ind w:right="408"/>
              <w:spacing w:after="0"/>
              <w:rPr>
                <w:sz w:val="20"/>
                <w:szCs w:val="20"/>
                <w:color w:val="auto"/>
              </w:rPr>
            </w:pPr>
            <w:r>
              <w:rPr>
                <w:rFonts w:ascii="Arial" w:cs="Arial" w:eastAsia="Arial" w:hAnsi="Arial"/>
                <w:sz w:val="13"/>
                <w:szCs w:val="13"/>
                <w:color w:val="auto"/>
              </w:rPr>
              <w:t>(25)</w:t>
            </w:r>
          </w:p>
        </w:tc>
        <w:tc>
          <w:tcPr>
            <w:tcW w:w="140" w:type="dxa"/>
            <w:vAlign w:val="bottom"/>
          </w:tcPr>
          <w:p>
            <w:pPr>
              <w:spacing w:after="0"/>
              <w:rPr>
                <w:sz w:val="13"/>
                <w:szCs w:val="13"/>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3"/>
                <w:szCs w:val="13"/>
                <w:color w:val="auto"/>
              </w:rPr>
              <w:t>(17)</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3"/>
                <w:szCs w:val="13"/>
                <w:color w:val="auto"/>
              </w:rPr>
              <w:t>113</w:t>
            </w:r>
          </w:p>
        </w:tc>
      </w:tr>
      <w:tr>
        <w:trPr>
          <w:trHeight w:val="157"/>
        </w:trPr>
        <w:tc>
          <w:tcPr>
            <w:tcW w:w="710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Net loss applicable to common stockholders</w:t>
            </w:r>
          </w:p>
        </w:tc>
        <w:tc>
          <w:tcPr>
            <w:tcW w:w="14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(2,770)</w:t>
            </w: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408"/>
              <w:spacing w:after="0"/>
              <w:rPr>
                <w:sz w:val="20"/>
                <w:szCs w:val="20"/>
                <w:color w:val="auto"/>
              </w:rPr>
            </w:pPr>
            <w:r>
              <w:rPr>
                <w:rFonts w:ascii="Arial" w:cs="Arial" w:eastAsia="Arial" w:hAnsi="Arial"/>
                <w:sz w:val="13"/>
                <w:szCs w:val="13"/>
                <w:color w:val="auto"/>
              </w:rPr>
              <w:t>(3,303)</w:t>
            </w:r>
          </w:p>
        </w:tc>
        <w:tc>
          <w:tcPr>
            <w:tcW w:w="14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(4,338)</w:t>
            </w: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(4,919)</w:t>
            </w:r>
          </w:p>
        </w:tc>
      </w:tr>
      <w:tr>
        <w:trPr>
          <w:trHeight w:val="165"/>
        </w:trPr>
        <w:tc>
          <w:tcPr>
            <w:tcW w:w="7100" w:type="dxa"/>
            <w:vAlign w:val="bottom"/>
            <w:gridSpan w:val="2"/>
          </w:tcPr>
          <w:p>
            <w:pPr>
              <w:ind w:left="120"/>
              <w:spacing w:after="0"/>
              <w:rPr>
                <w:sz w:val="20"/>
                <w:szCs w:val="20"/>
                <w:color w:val="auto"/>
              </w:rPr>
            </w:pPr>
            <w:r>
              <w:rPr>
                <w:rFonts w:ascii="Arial" w:cs="Arial" w:eastAsia="Arial" w:hAnsi="Arial"/>
                <w:sz w:val="13"/>
                <w:szCs w:val="13"/>
                <w:color w:val="auto"/>
              </w:rPr>
              <w:t>Basic and diluted (loss) per share applicable to common stockholders</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860" w:type="dxa"/>
            <w:vAlign w:val="bottom"/>
            <w:gridSpan w:val="2"/>
          </w:tcPr>
          <w:p>
            <w:pPr>
              <w:jc w:val="right"/>
              <w:ind w:right="280"/>
              <w:spacing w:after="0"/>
              <w:rPr>
                <w:sz w:val="20"/>
                <w:szCs w:val="20"/>
                <w:color w:val="auto"/>
              </w:rPr>
            </w:pPr>
            <w:r>
              <w:rPr>
                <w:rFonts w:ascii="Arial" w:cs="Arial" w:eastAsia="Arial" w:hAnsi="Arial"/>
                <w:sz w:val="13"/>
                <w:szCs w:val="13"/>
                <w:color w:val="auto"/>
              </w:rPr>
              <w:t>(0.07)</w:t>
            </w:r>
          </w:p>
        </w:tc>
        <w:tc>
          <w:tcPr>
            <w:tcW w:w="26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1100" w:type="dxa"/>
            <w:vAlign w:val="bottom"/>
            <w:gridSpan w:val="2"/>
          </w:tcPr>
          <w:p>
            <w:pPr>
              <w:jc w:val="right"/>
              <w:ind w:right="408"/>
              <w:spacing w:after="0"/>
              <w:rPr>
                <w:sz w:val="20"/>
                <w:szCs w:val="20"/>
                <w:color w:val="auto"/>
              </w:rPr>
            </w:pPr>
            <w:r>
              <w:rPr>
                <w:rFonts w:ascii="Arial" w:cs="Arial" w:eastAsia="Arial" w:hAnsi="Arial"/>
                <w:sz w:val="13"/>
                <w:szCs w:val="13"/>
                <w:color w:val="auto"/>
              </w:rPr>
              <w:t>(0.08)</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860" w:type="dxa"/>
            <w:vAlign w:val="bottom"/>
            <w:gridSpan w:val="2"/>
          </w:tcPr>
          <w:p>
            <w:pPr>
              <w:jc w:val="right"/>
              <w:ind w:right="280"/>
              <w:spacing w:after="0"/>
              <w:rPr>
                <w:sz w:val="20"/>
                <w:szCs w:val="20"/>
                <w:color w:val="auto"/>
              </w:rPr>
            </w:pPr>
            <w:r>
              <w:rPr>
                <w:rFonts w:ascii="Arial" w:cs="Arial" w:eastAsia="Arial" w:hAnsi="Arial"/>
                <w:sz w:val="13"/>
                <w:szCs w:val="13"/>
                <w:color w:val="auto"/>
              </w:rPr>
              <w:t>(0.08)</w:t>
            </w:r>
          </w:p>
        </w:tc>
        <w:tc>
          <w:tcPr>
            <w:tcW w:w="30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(0.08)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57785</wp:posOffset>
            </wp:positionV>
            <wp:extent cx="655320" cy="635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55320" cy="6350"/>
                    </a:xfrm>
                    <a:prstGeom prst="rect">
                      <a:avLst/>
                    </a:prstGeom>
                    <a:noFill/>
                  </pic:spPr>
                </pic:pic>
              </a:graphicData>
            </a:graphic>
          </wp:anchor>
        </w:drawing>
      </w:r>
    </w:p>
    <w:p>
      <w:pPr>
        <w:spacing w:after="0" w:line="121" w:lineRule="exact"/>
        <w:rPr>
          <w:sz w:val="20"/>
          <w:szCs w:val="20"/>
          <w:color w:val="auto"/>
        </w:rPr>
      </w:pPr>
    </w:p>
    <w:p>
      <w:pPr>
        <w:ind w:left="260" w:hanging="257"/>
        <w:spacing w:after="0"/>
        <w:tabs>
          <w:tab w:leader="none" w:pos="260" w:val="left"/>
        </w:tabs>
        <w:numPr>
          <w:ilvl w:val="0"/>
          <w:numId w:val="31"/>
        </w:numPr>
        <w:rPr>
          <w:rFonts w:ascii="Arial" w:cs="Arial" w:eastAsia="Arial" w:hAnsi="Arial"/>
          <w:sz w:val="13"/>
          <w:szCs w:val="13"/>
          <w:color w:val="auto"/>
        </w:rPr>
      </w:pPr>
      <w:r>
        <w:rPr>
          <w:rFonts w:ascii="Arial" w:cs="Arial" w:eastAsia="Arial" w:hAnsi="Arial"/>
          <w:sz w:val="13"/>
          <w:szCs w:val="13"/>
          <w:color w:val="auto"/>
        </w:rPr>
        <w:t>Includes adjustment of wind-down accrual — see note 8.</w:t>
      </w:r>
    </w:p>
    <w:p>
      <w:pPr>
        <w:spacing w:after="0" w:line="47" w:lineRule="exact"/>
        <w:rPr>
          <w:rFonts w:ascii="Arial" w:cs="Arial" w:eastAsia="Arial" w:hAnsi="Arial"/>
          <w:sz w:val="13"/>
          <w:szCs w:val="13"/>
          <w:color w:val="auto"/>
        </w:rPr>
      </w:pPr>
    </w:p>
    <w:p>
      <w:pPr>
        <w:ind w:left="260" w:hanging="257"/>
        <w:spacing w:after="0"/>
        <w:tabs>
          <w:tab w:leader="none" w:pos="260" w:val="left"/>
        </w:tabs>
        <w:numPr>
          <w:ilvl w:val="0"/>
          <w:numId w:val="31"/>
        </w:numPr>
        <w:rPr>
          <w:rFonts w:ascii="Arial" w:cs="Arial" w:eastAsia="Arial" w:hAnsi="Arial"/>
          <w:sz w:val="13"/>
          <w:szCs w:val="13"/>
          <w:color w:val="auto"/>
        </w:rPr>
      </w:pPr>
      <w:r>
        <w:rPr>
          <w:rFonts w:ascii="Arial" w:cs="Arial" w:eastAsia="Arial" w:hAnsi="Arial"/>
          <w:sz w:val="13"/>
          <w:szCs w:val="13"/>
          <w:color w:val="auto"/>
        </w:rPr>
        <w:t>Includes income recognized on receipt of shares received from ReNeuron — see note 2.</w:t>
      </w:r>
    </w:p>
    <w:p>
      <w:pPr>
        <w:spacing w:after="0" w:line="171" w:lineRule="exact"/>
        <w:rPr>
          <w:sz w:val="20"/>
          <w:szCs w:val="20"/>
          <w:color w:val="auto"/>
        </w:rPr>
      </w:pPr>
    </w:p>
    <w:p>
      <w:pPr>
        <w:spacing w:after="0"/>
        <w:tabs>
          <w:tab w:leader="none" w:pos="680" w:val="left"/>
        </w:tabs>
        <w:rPr>
          <w:sz w:val="20"/>
          <w:szCs w:val="20"/>
          <w:color w:val="auto"/>
        </w:rPr>
      </w:pPr>
      <w:r>
        <w:rPr>
          <w:rFonts w:ascii="Arial" w:cs="Arial" w:eastAsia="Arial" w:hAnsi="Arial"/>
          <w:sz w:val="13"/>
          <w:szCs w:val="13"/>
          <w:b w:val="1"/>
          <w:bCs w:val="1"/>
          <w:color w:val="auto"/>
        </w:rPr>
        <w:t>Note 15.</w:t>
      </w:r>
      <w:r>
        <w:rPr>
          <w:sz w:val="20"/>
          <w:szCs w:val="20"/>
          <w:color w:val="auto"/>
        </w:rPr>
        <w:tab/>
      </w:r>
      <w:r>
        <w:rPr>
          <w:rFonts w:ascii="Arial" w:cs="Arial" w:eastAsia="Arial" w:hAnsi="Arial"/>
          <w:sz w:val="11"/>
          <w:szCs w:val="11"/>
          <w:b w:val="1"/>
          <w:bCs w:val="1"/>
          <w:color w:val="auto"/>
        </w:rPr>
        <w:t>Subsequent Events</w:t>
      </w:r>
    </w:p>
    <w:p>
      <w:pPr>
        <w:spacing w:after="0" w:line="100" w:lineRule="exact"/>
        <w:rPr>
          <w:sz w:val="20"/>
          <w:szCs w:val="20"/>
          <w:color w:val="auto"/>
        </w:rPr>
      </w:pPr>
    </w:p>
    <w:p>
      <w:pPr>
        <w:ind w:right="140" w:firstLine="344"/>
        <w:spacing w:after="0" w:line="264" w:lineRule="auto"/>
        <w:rPr>
          <w:sz w:val="20"/>
          <w:szCs w:val="20"/>
          <w:color w:val="auto"/>
        </w:rPr>
      </w:pPr>
      <w:r>
        <w:rPr>
          <w:rFonts w:ascii="Arial" w:cs="Arial" w:eastAsia="Arial" w:hAnsi="Arial"/>
          <w:sz w:val="13"/>
          <w:szCs w:val="13"/>
          <w:color w:val="auto"/>
        </w:rPr>
        <w:t>In March 2006, StemCells received approval from the Institutional Review Board of the Oregon Health &amp; Science University to begin its Phase I clinical trial at OHSU Doernbecher Children’s Hospital in Portland. Also in March 2006, the Company entered an agreement to gain access to additional GMP cell manufacturing and processing space to manufacture products for anticipated clinical trials and for research and development purposes.</w:t>
      </w: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68" w:name="page69"/>
    <w:bookmarkEnd w:id="68"/>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spacing w:after="0"/>
        <w:tabs>
          <w:tab w:leader="none" w:pos="680" w:val="left"/>
        </w:tabs>
        <w:rPr>
          <w:sz w:val="20"/>
          <w:szCs w:val="20"/>
          <w:color w:val="auto"/>
        </w:rPr>
      </w:pPr>
      <w:r>
        <w:rPr>
          <w:rFonts w:ascii="Arial" w:cs="Arial" w:eastAsia="Arial" w:hAnsi="Arial"/>
          <w:sz w:val="13"/>
          <w:szCs w:val="13"/>
          <w:b w:val="1"/>
          <w:bCs w:val="1"/>
          <w:color w:val="auto"/>
        </w:rPr>
        <w:t>ITEM 9.</w:t>
      </w:r>
      <w:r>
        <w:rPr>
          <w:sz w:val="20"/>
          <w:szCs w:val="20"/>
          <w:color w:val="auto"/>
        </w:rPr>
        <w:tab/>
      </w:r>
      <w:r>
        <w:rPr>
          <w:rFonts w:ascii="Arial" w:cs="Arial" w:eastAsia="Arial" w:hAnsi="Arial"/>
          <w:sz w:val="12"/>
          <w:szCs w:val="12"/>
          <w:b w:val="1"/>
          <w:bCs w:val="1"/>
          <w:i w:val="1"/>
          <w:iCs w:val="1"/>
          <w:color w:val="auto"/>
        </w:rPr>
        <w:t>CHANGES IN AND DISAGREEMENTS WITH ACCOUNTANTS ON ACCOUNTING AND FINANCIAL DISCLOSURE</w:t>
      </w:r>
    </w:p>
    <w:p>
      <w:pPr>
        <w:spacing w:after="0" w:line="100" w:lineRule="exact"/>
        <w:rPr>
          <w:sz w:val="20"/>
          <w:szCs w:val="20"/>
          <w:color w:val="auto"/>
        </w:rPr>
      </w:pPr>
    </w:p>
    <w:p>
      <w:pPr>
        <w:ind w:left="340"/>
        <w:spacing w:after="0"/>
        <w:rPr>
          <w:sz w:val="20"/>
          <w:szCs w:val="20"/>
          <w:color w:val="auto"/>
        </w:rPr>
      </w:pPr>
      <w:r>
        <w:rPr>
          <w:rFonts w:ascii="Arial" w:cs="Arial" w:eastAsia="Arial" w:hAnsi="Arial"/>
          <w:sz w:val="13"/>
          <w:szCs w:val="13"/>
          <w:color w:val="auto"/>
        </w:rPr>
        <w:t>None.</w:t>
      </w:r>
    </w:p>
    <w:p>
      <w:pPr>
        <w:spacing w:after="0" w:line="171" w:lineRule="exact"/>
        <w:rPr>
          <w:sz w:val="20"/>
          <w:szCs w:val="20"/>
          <w:color w:val="auto"/>
        </w:rPr>
      </w:pPr>
    </w:p>
    <w:p>
      <w:pPr>
        <w:spacing w:after="0"/>
        <w:tabs>
          <w:tab w:leader="none" w:pos="780" w:val="left"/>
        </w:tabs>
        <w:rPr>
          <w:sz w:val="20"/>
          <w:szCs w:val="20"/>
          <w:color w:val="auto"/>
        </w:rPr>
      </w:pPr>
      <w:r>
        <w:rPr>
          <w:rFonts w:ascii="Arial" w:cs="Arial" w:eastAsia="Arial" w:hAnsi="Arial"/>
          <w:sz w:val="13"/>
          <w:szCs w:val="13"/>
          <w:b w:val="1"/>
          <w:bCs w:val="1"/>
          <w:color w:val="auto"/>
        </w:rPr>
        <w:t>ITEM 9A.</w:t>
      </w:r>
      <w:r>
        <w:rPr>
          <w:sz w:val="20"/>
          <w:szCs w:val="20"/>
          <w:color w:val="auto"/>
        </w:rPr>
        <w:tab/>
      </w:r>
      <w:r>
        <w:rPr>
          <w:rFonts w:ascii="Arial" w:cs="Arial" w:eastAsia="Arial" w:hAnsi="Arial"/>
          <w:sz w:val="12"/>
          <w:szCs w:val="12"/>
          <w:b w:val="1"/>
          <w:bCs w:val="1"/>
          <w:i w:val="1"/>
          <w:iCs w:val="1"/>
          <w:color w:val="auto"/>
        </w:rPr>
        <w:t>CONTROLS AND PROCEDURES</w:t>
      </w:r>
    </w:p>
    <w:p>
      <w:pPr>
        <w:spacing w:after="0" w:line="9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Evaluation of Disclosure Controls and Procedures</w:t>
      </w:r>
    </w:p>
    <w:p>
      <w:pPr>
        <w:spacing w:after="0" w:line="100" w:lineRule="exact"/>
        <w:rPr>
          <w:sz w:val="20"/>
          <w:szCs w:val="20"/>
          <w:color w:val="auto"/>
        </w:rPr>
      </w:pPr>
    </w:p>
    <w:p>
      <w:pPr>
        <w:ind w:firstLine="344"/>
        <w:spacing w:after="0" w:line="285" w:lineRule="auto"/>
        <w:rPr>
          <w:sz w:val="20"/>
          <w:szCs w:val="20"/>
          <w:color w:val="auto"/>
        </w:rPr>
      </w:pPr>
      <w:r>
        <w:rPr>
          <w:rFonts w:ascii="Arial" w:cs="Arial" w:eastAsia="Arial" w:hAnsi="Arial"/>
          <w:sz w:val="12"/>
          <w:szCs w:val="12"/>
          <w:color w:val="auto"/>
        </w:rPr>
        <w:t>The Company’s management, with the participation of its chief executive officer and chief financial officer, evaluated the effectiveness of the design and operation of its disclosure controls and procedures (as defined in Rules 13a-15(e) and 15d-15(e) under the Securities Exchange Act of 1934, as amended) as of the end of the period covered by this annual report. Based on this evaluation, the Company’s principal executive officer and principal financial officer concluded that these disclosure controls and procedures are effective to ensure that the information required to be disclosed in our reports filed or submitted under the Securities Exchange Act of 1934 is recorded, processed, summarized and reported within the requisite time periods, and to provide reasonable assurance that information required to be disclosed by the Company in such reports is accumulated and communicated to the Company’s management, including its chief executive officer and chief financial officer, as appropriate to allow timely decisions regarding required disclosure.</w:t>
      </w:r>
    </w:p>
    <w:p>
      <w:pPr>
        <w:spacing w:after="0" w:line="13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Changes in Internal Controls</w:t>
      </w:r>
    </w:p>
    <w:p>
      <w:pPr>
        <w:spacing w:after="0" w:line="100" w:lineRule="exact"/>
        <w:rPr>
          <w:sz w:val="20"/>
          <w:szCs w:val="20"/>
          <w:color w:val="auto"/>
        </w:rPr>
      </w:pPr>
    </w:p>
    <w:p>
      <w:pPr>
        <w:ind w:right="60" w:firstLine="344"/>
        <w:spacing w:after="0" w:line="276" w:lineRule="auto"/>
        <w:rPr>
          <w:sz w:val="20"/>
          <w:szCs w:val="20"/>
          <w:color w:val="auto"/>
        </w:rPr>
      </w:pPr>
      <w:r>
        <w:rPr>
          <w:rFonts w:ascii="Arial" w:cs="Arial" w:eastAsia="Arial" w:hAnsi="Arial"/>
          <w:sz w:val="13"/>
          <w:szCs w:val="13"/>
          <w:color w:val="auto"/>
        </w:rPr>
        <w:t>There have been no changes in the Company’s internal control over financial reporting during the quarter ended December 31, 2005, that have materially affected, or are reasonably likely to materially affect, the Company’s internal control over financial reporting.</w:t>
      </w:r>
    </w:p>
    <w:p>
      <w:pPr>
        <w:spacing w:after="0" w:line="13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Management’s Report on Internal Control Over Financial Reporting</w:t>
      </w:r>
    </w:p>
    <w:p>
      <w:pPr>
        <w:spacing w:after="0" w:line="100" w:lineRule="exact"/>
        <w:rPr>
          <w:sz w:val="20"/>
          <w:szCs w:val="20"/>
          <w:color w:val="auto"/>
        </w:rPr>
      </w:pPr>
    </w:p>
    <w:p>
      <w:pPr>
        <w:ind w:firstLine="344"/>
        <w:spacing w:after="0" w:line="264" w:lineRule="auto"/>
        <w:rPr>
          <w:sz w:val="20"/>
          <w:szCs w:val="20"/>
          <w:color w:val="auto"/>
        </w:rPr>
      </w:pPr>
      <w:r>
        <w:rPr>
          <w:rFonts w:ascii="Arial" w:cs="Arial" w:eastAsia="Arial" w:hAnsi="Arial"/>
          <w:sz w:val="13"/>
          <w:szCs w:val="13"/>
          <w:color w:val="auto"/>
        </w:rPr>
        <w:t>Management of the Company is responsible for establishing and maintaining adequate internal control over financial reporting. The Company’s management, including its principal executive officer and principal financial officer, assessed the effectiveness of its internal control over financial reporting based on the framework issued by the Committee of Sponsoring Organizations of the Treadway Commission (COSO). The evaluation of the design and operating effectiveness of internal controls over financial reporting include among others those policies and procedures that:</w:t>
      </w:r>
    </w:p>
    <w:p>
      <w:pPr>
        <w:spacing w:after="0" w:line="67" w:lineRule="exact"/>
        <w:rPr>
          <w:sz w:val="20"/>
          <w:szCs w:val="20"/>
          <w:color w:val="auto"/>
        </w:rPr>
      </w:pPr>
    </w:p>
    <w:p>
      <w:pPr>
        <w:ind w:left="460" w:hanging="108"/>
        <w:spacing w:after="0"/>
        <w:tabs>
          <w:tab w:leader="none" w:pos="460" w:val="left"/>
        </w:tabs>
        <w:numPr>
          <w:ilvl w:val="0"/>
          <w:numId w:val="32"/>
        </w:numPr>
        <w:rPr>
          <w:rFonts w:ascii="Arial" w:cs="Arial" w:eastAsia="Arial" w:hAnsi="Arial"/>
          <w:sz w:val="13"/>
          <w:szCs w:val="13"/>
          <w:color w:val="auto"/>
        </w:rPr>
      </w:pPr>
      <w:r>
        <w:rPr>
          <w:rFonts w:ascii="Arial" w:cs="Arial" w:eastAsia="Arial" w:hAnsi="Arial"/>
          <w:sz w:val="13"/>
          <w:szCs w:val="13"/>
          <w:color w:val="auto"/>
        </w:rPr>
        <w:t>Pertain to the maintenance of records that in reasonable detail accurately and fairly reflect the transactions and dispositions of the assets of the Company;</w:t>
      </w:r>
    </w:p>
    <w:p>
      <w:pPr>
        <w:spacing w:after="0" w:line="86" w:lineRule="exact"/>
        <w:rPr>
          <w:rFonts w:ascii="Arial" w:cs="Arial" w:eastAsia="Arial" w:hAnsi="Arial"/>
          <w:sz w:val="13"/>
          <w:szCs w:val="13"/>
          <w:color w:val="auto"/>
        </w:rPr>
      </w:pPr>
    </w:p>
    <w:p>
      <w:pPr>
        <w:ind w:left="460" w:right="480" w:hanging="108"/>
        <w:spacing w:after="0" w:line="276" w:lineRule="auto"/>
        <w:tabs>
          <w:tab w:leader="none" w:pos="460" w:val="left"/>
        </w:tabs>
        <w:numPr>
          <w:ilvl w:val="0"/>
          <w:numId w:val="32"/>
        </w:numPr>
        <w:rPr>
          <w:rFonts w:ascii="Arial" w:cs="Arial" w:eastAsia="Arial" w:hAnsi="Arial"/>
          <w:sz w:val="13"/>
          <w:szCs w:val="13"/>
          <w:color w:val="auto"/>
        </w:rPr>
      </w:pPr>
      <w:r>
        <w:rPr>
          <w:rFonts w:ascii="Arial" w:cs="Arial" w:eastAsia="Arial" w:hAnsi="Arial"/>
          <w:sz w:val="13"/>
          <w:szCs w:val="13"/>
          <w:color w:val="auto"/>
        </w:rPr>
        <w:t>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w:t>
      </w:r>
    </w:p>
    <w:p>
      <w:pPr>
        <w:spacing w:after="0" w:line="49" w:lineRule="exact"/>
        <w:rPr>
          <w:rFonts w:ascii="Arial" w:cs="Arial" w:eastAsia="Arial" w:hAnsi="Arial"/>
          <w:sz w:val="13"/>
          <w:szCs w:val="13"/>
          <w:color w:val="auto"/>
        </w:rPr>
      </w:pPr>
    </w:p>
    <w:p>
      <w:pPr>
        <w:ind w:left="460" w:hanging="108"/>
        <w:spacing w:after="0"/>
        <w:tabs>
          <w:tab w:leader="none" w:pos="460" w:val="left"/>
        </w:tabs>
        <w:numPr>
          <w:ilvl w:val="0"/>
          <w:numId w:val="32"/>
        </w:numPr>
        <w:rPr>
          <w:rFonts w:ascii="Arial" w:cs="Arial" w:eastAsia="Arial" w:hAnsi="Arial"/>
          <w:sz w:val="12"/>
          <w:szCs w:val="12"/>
          <w:color w:val="auto"/>
        </w:rPr>
      </w:pPr>
      <w:r>
        <w:rPr>
          <w:rFonts w:ascii="Arial" w:cs="Arial" w:eastAsia="Arial" w:hAnsi="Arial"/>
          <w:sz w:val="12"/>
          <w:szCs w:val="12"/>
          <w:color w:val="auto"/>
        </w:rPr>
        <w:t>Provide reasonable assurance regarding prevention or timely detection of unauthorized acquisition, use or disposition of the Company’s assets that could have a material effect on the financial statements.</w:t>
      </w:r>
    </w:p>
    <w:p>
      <w:pPr>
        <w:spacing w:after="0" w:line="108" w:lineRule="exact"/>
        <w:rPr>
          <w:sz w:val="20"/>
          <w:szCs w:val="20"/>
          <w:color w:val="auto"/>
        </w:rPr>
      </w:pPr>
    </w:p>
    <w:p>
      <w:pPr>
        <w:ind w:right="40" w:firstLine="344"/>
        <w:spacing w:after="0" w:line="257" w:lineRule="auto"/>
        <w:rPr>
          <w:sz w:val="20"/>
          <w:szCs w:val="20"/>
          <w:color w:val="auto"/>
        </w:rPr>
      </w:pPr>
      <w:r>
        <w:rPr>
          <w:rFonts w:ascii="Arial" w:cs="Arial" w:eastAsia="Arial" w:hAnsi="Arial"/>
          <w:sz w:val="13"/>
          <w:szCs w:val="13"/>
          <w:color w:val="auto"/>
        </w:rPr>
        <w:t>During the fiscal year 2005, the Company periodically tested the design and operating effectiveness of its internal controls. Among other matters, the Company sought in its evaluation to determine whether there were any “significant deficiencies” or “material weakness” in its internal control over financial reporting, or whether it had identified any acts of fraud involving management or other employees. The Company’s evaluation of its internal controls over financial reporting as of December 31, 2004, led to the conclusion that inadequate segregation of duties resulted in significant deficiencies, which, in aggregate, amounted to a material weakness. The Company’s hiring of a chief financial officer and a senior accountant, and the enhanced policies and procedures implemented with these additional resources in 2005, have remedied these significant deficiencies related to the segregation of duties. Additional significant deficiencies in human resources and stock administration functions were identified at December 31, 2004, but were not alone or in aggregate deemed a material weakness. These deficiencies are remedied as of December 31, 2005.</w:t>
      </w:r>
    </w:p>
    <w:p>
      <w:pPr>
        <w:spacing w:after="0" w:line="278"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0"/>
          </w:cols>
          <w:pgMar w:left="220" w:top="343" w:right="239" w:bottom="1440" w:gutter="0" w:footer="0" w:header="0"/>
        </w:sectPr>
      </w:pPr>
    </w:p>
    <w:bookmarkStart w:id="69" w:name="page70"/>
    <w:bookmarkEnd w:id="69"/>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firstLine="344"/>
        <w:spacing w:after="0" w:line="289" w:lineRule="auto"/>
        <w:rPr>
          <w:sz w:val="20"/>
          <w:szCs w:val="20"/>
          <w:color w:val="auto"/>
        </w:rPr>
      </w:pPr>
      <w:r>
        <w:rPr>
          <w:rFonts w:ascii="Arial" w:cs="Arial" w:eastAsia="Arial" w:hAnsi="Arial"/>
          <w:sz w:val="12"/>
          <w:szCs w:val="12"/>
          <w:color w:val="auto"/>
        </w:rPr>
        <w:t>Based on the above evaluation, the Company’s chief executive officer and chief financial officer have assessed that as of December 31, 2005, the Company’s internal controls over financial reporting were effective. Nonetheless, it is important to acknowledge that due to its inherent limitations, internal control over financial reporting may not prevent or detect all misstatements. Therefore, even systems determined to be effective can provide only reasonable assurance with respect to financial statement preparation and presentation. Projections of any evaluation of effectiveness to future periods are subject to the risk that controls may become inadequate because of changes in conditions, or that the degree of compliance with the policies or procedures may deteriorate.</w:t>
      </w:r>
    </w:p>
    <w:p>
      <w:pPr>
        <w:spacing w:after="0" w:line="53" w:lineRule="exact"/>
        <w:rPr>
          <w:sz w:val="20"/>
          <w:szCs w:val="20"/>
          <w:color w:val="auto"/>
        </w:rPr>
      </w:pPr>
    </w:p>
    <w:p>
      <w:pPr>
        <w:ind w:right="180" w:firstLine="344"/>
        <w:spacing w:after="0" w:line="276" w:lineRule="auto"/>
        <w:rPr>
          <w:sz w:val="20"/>
          <w:szCs w:val="20"/>
          <w:color w:val="auto"/>
        </w:rPr>
      </w:pPr>
      <w:r>
        <w:rPr>
          <w:rFonts w:ascii="Arial" w:cs="Arial" w:eastAsia="Arial" w:hAnsi="Arial"/>
          <w:sz w:val="13"/>
          <w:szCs w:val="13"/>
          <w:color w:val="auto"/>
        </w:rPr>
        <w:t>Management’s assessment of the effectiveness of the Company’s internal control over financial reporting as of December 31, 2005 has been audited by Grant Thornton LLP, an independent registered public accounting firm, as stated in their report which appears herein.</w:t>
      </w:r>
    </w:p>
    <w:p>
      <w:pPr>
        <w:spacing w:after="0" w:line="134" w:lineRule="exact"/>
        <w:rPr>
          <w:sz w:val="20"/>
          <w:szCs w:val="20"/>
          <w:color w:val="auto"/>
        </w:rPr>
      </w:pPr>
    </w:p>
    <w:p>
      <w:pPr>
        <w:spacing w:after="0"/>
        <w:tabs>
          <w:tab w:leader="none" w:pos="780" w:val="left"/>
        </w:tabs>
        <w:rPr>
          <w:sz w:val="20"/>
          <w:szCs w:val="20"/>
          <w:color w:val="auto"/>
        </w:rPr>
      </w:pPr>
      <w:r>
        <w:rPr>
          <w:rFonts w:ascii="Arial" w:cs="Arial" w:eastAsia="Arial" w:hAnsi="Arial"/>
          <w:sz w:val="13"/>
          <w:szCs w:val="13"/>
          <w:b w:val="1"/>
          <w:bCs w:val="1"/>
          <w:color w:val="auto"/>
        </w:rPr>
        <w:t>ITEM 9B.</w:t>
      </w:r>
      <w:r>
        <w:rPr>
          <w:sz w:val="20"/>
          <w:szCs w:val="20"/>
          <w:color w:val="auto"/>
        </w:rPr>
        <w:tab/>
      </w:r>
      <w:r>
        <w:rPr>
          <w:rFonts w:ascii="Arial" w:cs="Arial" w:eastAsia="Arial" w:hAnsi="Arial"/>
          <w:sz w:val="13"/>
          <w:szCs w:val="13"/>
          <w:b w:val="1"/>
          <w:bCs w:val="1"/>
          <w:i w:val="1"/>
          <w:iCs w:val="1"/>
          <w:color w:val="auto"/>
        </w:rPr>
        <w:t>OTHER INFORMATION</w:t>
      </w:r>
    </w:p>
    <w:p>
      <w:pPr>
        <w:spacing w:after="0" w:line="96" w:lineRule="exact"/>
        <w:rPr>
          <w:sz w:val="20"/>
          <w:szCs w:val="20"/>
          <w:color w:val="auto"/>
        </w:rPr>
      </w:pPr>
    </w:p>
    <w:p>
      <w:pPr>
        <w:ind w:left="340"/>
        <w:spacing w:after="0"/>
        <w:rPr>
          <w:sz w:val="20"/>
          <w:szCs w:val="20"/>
          <w:color w:val="auto"/>
        </w:rPr>
      </w:pPr>
      <w:r>
        <w:rPr>
          <w:rFonts w:ascii="Arial" w:cs="Arial" w:eastAsia="Arial" w:hAnsi="Arial"/>
          <w:sz w:val="13"/>
          <w:szCs w:val="13"/>
          <w:b w:val="1"/>
          <w:bCs w:val="1"/>
          <w:color w:val="auto"/>
        </w:rPr>
        <w:t>None</w:t>
      </w:r>
    </w:p>
    <w:p>
      <w:pPr>
        <w:spacing w:after="0" w:line="254" w:lineRule="exact"/>
        <w:rPr>
          <w:sz w:val="20"/>
          <w:szCs w:val="20"/>
          <w:color w:val="auto"/>
        </w:rPr>
      </w:pPr>
    </w:p>
    <w:p>
      <w:pPr>
        <w:jc w:val="center"/>
        <w:ind w:right="-139"/>
        <w:spacing w:after="0"/>
        <w:rPr>
          <w:sz w:val="20"/>
          <w:szCs w:val="20"/>
          <w:color w:val="auto"/>
        </w:rPr>
      </w:pPr>
      <w:r>
        <w:rPr>
          <w:rFonts w:ascii="Arial" w:cs="Arial" w:eastAsia="Arial" w:hAnsi="Arial"/>
          <w:sz w:val="13"/>
          <w:szCs w:val="13"/>
          <w:b w:val="1"/>
          <w:bCs w:val="1"/>
          <w:color w:val="auto"/>
        </w:rPr>
        <w:t>PART III</w:t>
      </w:r>
    </w:p>
    <w:p>
      <w:pPr>
        <w:spacing w:after="0" w:line="175" w:lineRule="exact"/>
        <w:rPr>
          <w:sz w:val="20"/>
          <w:szCs w:val="20"/>
          <w:color w:val="auto"/>
        </w:rPr>
      </w:pPr>
    </w:p>
    <w:p>
      <w:pPr>
        <w:spacing w:after="0"/>
        <w:tabs>
          <w:tab w:leader="none" w:pos="780" w:val="left"/>
        </w:tabs>
        <w:rPr>
          <w:sz w:val="20"/>
          <w:szCs w:val="20"/>
          <w:color w:val="auto"/>
        </w:rPr>
      </w:pPr>
      <w:r>
        <w:rPr>
          <w:rFonts w:ascii="Arial" w:cs="Arial" w:eastAsia="Arial" w:hAnsi="Arial"/>
          <w:sz w:val="13"/>
          <w:szCs w:val="13"/>
          <w:b w:val="1"/>
          <w:bCs w:val="1"/>
          <w:color w:val="auto"/>
        </w:rPr>
        <w:t>ITEM 10.</w:t>
      </w:r>
      <w:r>
        <w:rPr>
          <w:sz w:val="20"/>
          <w:szCs w:val="20"/>
          <w:color w:val="auto"/>
        </w:rPr>
        <w:tab/>
      </w:r>
      <w:r>
        <w:rPr>
          <w:rFonts w:ascii="Arial" w:cs="Arial" w:eastAsia="Arial" w:hAnsi="Arial"/>
          <w:sz w:val="12"/>
          <w:szCs w:val="12"/>
          <w:b w:val="1"/>
          <w:bCs w:val="1"/>
          <w:i w:val="1"/>
          <w:iCs w:val="1"/>
          <w:color w:val="auto"/>
        </w:rPr>
        <w:t>DIRECTORS AND EXECUTIVE OFFICERS OF THE REGISTRANT</w:t>
      </w:r>
    </w:p>
    <w:p>
      <w:pPr>
        <w:spacing w:after="0" w:line="100" w:lineRule="exact"/>
        <w:rPr>
          <w:sz w:val="20"/>
          <w:szCs w:val="20"/>
          <w:color w:val="auto"/>
        </w:rPr>
      </w:pPr>
    </w:p>
    <w:p>
      <w:pPr>
        <w:ind w:left="340"/>
        <w:spacing w:after="0"/>
        <w:rPr>
          <w:sz w:val="20"/>
          <w:szCs w:val="20"/>
          <w:color w:val="auto"/>
        </w:rPr>
      </w:pPr>
      <w:r>
        <w:rPr>
          <w:rFonts w:ascii="Arial" w:cs="Arial" w:eastAsia="Arial" w:hAnsi="Arial"/>
          <w:sz w:val="13"/>
          <w:szCs w:val="13"/>
          <w:color w:val="auto"/>
        </w:rPr>
        <w:t>The information required by this Item is incorporated by reference from our Proxy Statement for the 2006 Annual Meeting of Shareholders.</w:t>
      </w:r>
    </w:p>
    <w:p>
      <w:pPr>
        <w:spacing w:after="0" w:line="171" w:lineRule="exact"/>
        <w:rPr>
          <w:sz w:val="20"/>
          <w:szCs w:val="20"/>
          <w:color w:val="auto"/>
        </w:rPr>
      </w:pPr>
    </w:p>
    <w:p>
      <w:pPr>
        <w:spacing w:after="0"/>
        <w:tabs>
          <w:tab w:leader="none" w:pos="780" w:val="left"/>
        </w:tabs>
        <w:rPr>
          <w:sz w:val="20"/>
          <w:szCs w:val="20"/>
          <w:color w:val="auto"/>
        </w:rPr>
      </w:pPr>
      <w:r>
        <w:rPr>
          <w:rFonts w:ascii="Arial" w:cs="Arial" w:eastAsia="Arial" w:hAnsi="Arial"/>
          <w:sz w:val="13"/>
          <w:szCs w:val="13"/>
          <w:b w:val="1"/>
          <w:bCs w:val="1"/>
          <w:color w:val="auto"/>
        </w:rPr>
        <w:t>ITEM 11.</w:t>
      </w:r>
      <w:r>
        <w:rPr>
          <w:sz w:val="20"/>
          <w:szCs w:val="20"/>
          <w:color w:val="auto"/>
        </w:rPr>
        <w:tab/>
      </w:r>
      <w:r>
        <w:rPr>
          <w:rFonts w:ascii="Arial" w:cs="Arial" w:eastAsia="Arial" w:hAnsi="Arial"/>
          <w:sz w:val="12"/>
          <w:szCs w:val="12"/>
          <w:b w:val="1"/>
          <w:bCs w:val="1"/>
          <w:i w:val="1"/>
          <w:iCs w:val="1"/>
          <w:color w:val="auto"/>
        </w:rPr>
        <w:t>EXECUTIVE COMPENSATION</w:t>
      </w:r>
    </w:p>
    <w:p>
      <w:pPr>
        <w:spacing w:after="0" w:line="100" w:lineRule="exact"/>
        <w:rPr>
          <w:sz w:val="20"/>
          <w:szCs w:val="20"/>
          <w:color w:val="auto"/>
        </w:rPr>
      </w:pPr>
    </w:p>
    <w:p>
      <w:pPr>
        <w:ind w:left="340"/>
        <w:spacing w:after="0"/>
        <w:rPr>
          <w:sz w:val="20"/>
          <w:szCs w:val="20"/>
          <w:color w:val="auto"/>
        </w:rPr>
      </w:pPr>
      <w:r>
        <w:rPr>
          <w:rFonts w:ascii="Arial" w:cs="Arial" w:eastAsia="Arial" w:hAnsi="Arial"/>
          <w:sz w:val="13"/>
          <w:szCs w:val="13"/>
          <w:color w:val="auto"/>
        </w:rPr>
        <w:t>The information required by this Item is incorporated by reference from Item 5 of this Annual Report on Form 10-K and our Proxy Statement for the 2006 Annual Meeting of Shareholders.</w:t>
      </w:r>
    </w:p>
    <w:p>
      <w:pPr>
        <w:spacing w:after="0" w:line="171" w:lineRule="exact"/>
        <w:rPr>
          <w:sz w:val="20"/>
          <w:szCs w:val="20"/>
          <w:color w:val="auto"/>
        </w:rPr>
      </w:pPr>
    </w:p>
    <w:p>
      <w:pPr>
        <w:spacing w:after="0"/>
        <w:tabs>
          <w:tab w:leader="none" w:pos="780" w:val="left"/>
        </w:tabs>
        <w:rPr>
          <w:sz w:val="20"/>
          <w:szCs w:val="20"/>
          <w:color w:val="auto"/>
        </w:rPr>
      </w:pPr>
      <w:r>
        <w:rPr>
          <w:rFonts w:ascii="Arial" w:cs="Arial" w:eastAsia="Arial" w:hAnsi="Arial"/>
          <w:sz w:val="13"/>
          <w:szCs w:val="13"/>
          <w:b w:val="1"/>
          <w:bCs w:val="1"/>
          <w:color w:val="auto"/>
        </w:rPr>
        <w:t>ITEM 12.</w:t>
      </w:r>
      <w:r>
        <w:rPr>
          <w:sz w:val="20"/>
          <w:szCs w:val="20"/>
          <w:color w:val="auto"/>
        </w:rPr>
        <w:tab/>
      </w:r>
      <w:r>
        <w:rPr>
          <w:rFonts w:ascii="Arial" w:cs="Arial" w:eastAsia="Arial" w:hAnsi="Arial"/>
          <w:sz w:val="12"/>
          <w:szCs w:val="12"/>
          <w:b w:val="1"/>
          <w:bCs w:val="1"/>
          <w:i w:val="1"/>
          <w:iCs w:val="1"/>
          <w:color w:val="auto"/>
        </w:rPr>
        <w:t>SECURITY OWNERSHIP OF CERTAIN BENEFICIAL OWNERS AND MANAGEMENT AND RELATED STOCKHOLDER MATTERS</w:t>
      </w:r>
    </w:p>
    <w:p>
      <w:pPr>
        <w:spacing w:after="0" w:line="100" w:lineRule="exact"/>
        <w:rPr>
          <w:sz w:val="20"/>
          <w:szCs w:val="20"/>
          <w:color w:val="auto"/>
        </w:rPr>
      </w:pPr>
    </w:p>
    <w:p>
      <w:pPr>
        <w:ind w:left="340"/>
        <w:spacing w:after="0"/>
        <w:rPr>
          <w:sz w:val="20"/>
          <w:szCs w:val="20"/>
          <w:color w:val="auto"/>
        </w:rPr>
      </w:pPr>
      <w:r>
        <w:rPr>
          <w:rFonts w:ascii="Arial" w:cs="Arial" w:eastAsia="Arial" w:hAnsi="Arial"/>
          <w:sz w:val="13"/>
          <w:szCs w:val="13"/>
          <w:color w:val="auto"/>
        </w:rPr>
        <w:t>The information required by this Item is incorporated by reference from our Proxy Statement for the 2006 Annual Meeting of Shareholders.</w:t>
      </w:r>
    </w:p>
    <w:p>
      <w:pPr>
        <w:spacing w:after="0" w:line="171" w:lineRule="exact"/>
        <w:rPr>
          <w:sz w:val="20"/>
          <w:szCs w:val="20"/>
          <w:color w:val="auto"/>
        </w:rPr>
      </w:pPr>
    </w:p>
    <w:p>
      <w:pPr>
        <w:spacing w:after="0"/>
        <w:tabs>
          <w:tab w:leader="none" w:pos="780" w:val="left"/>
        </w:tabs>
        <w:rPr>
          <w:sz w:val="20"/>
          <w:szCs w:val="20"/>
          <w:color w:val="auto"/>
        </w:rPr>
      </w:pPr>
      <w:r>
        <w:rPr>
          <w:rFonts w:ascii="Arial" w:cs="Arial" w:eastAsia="Arial" w:hAnsi="Arial"/>
          <w:sz w:val="13"/>
          <w:szCs w:val="13"/>
          <w:b w:val="1"/>
          <w:bCs w:val="1"/>
          <w:color w:val="auto"/>
        </w:rPr>
        <w:t>ITEM 13.</w:t>
      </w:r>
      <w:r>
        <w:rPr>
          <w:sz w:val="20"/>
          <w:szCs w:val="20"/>
          <w:color w:val="auto"/>
        </w:rPr>
        <w:tab/>
      </w:r>
      <w:r>
        <w:rPr>
          <w:rFonts w:ascii="Arial" w:cs="Arial" w:eastAsia="Arial" w:hAnsi="Arial"/>
          <w:sz w:val="12"/>
          <w:szCs w:val="12"/>
          <w:b w:val="1"/>
          <w:bCs w:val="1"/>
          <w:i w:val="1"/>
          <w:iCs w:val="1"/>
          <w:color w:val="auto"/>
        </w:rPr>
        <w:t>CERTAIN RELATIONSHIPS AND RELATED TRANSACTIONS</w:t>
      </w:r>
    </w:p>
    <w:p>
      <w:pPr>
        <w:spacing w:after="0" w:line="100" w:lineRule="exact"/>
        <w:rPr>
          <w:sz w:val="20"/>
          <w:szCs w:val="20"/>
          <w:color w:val="auto"/>
        </w:rPr>
      </w:pPr>
    </w:p>
    <w:p>
      <w:pPr>
        <w:ind w:left="340"/>
        <w:spacing w:after="0"/>
        <w:rPr>
          <w:sz w:val="20"/>
          <w:szCs w:val="20"/>
          <w:color w:val="auto"/>
        </w:rPr>
      </w:pPr>
      <w:r>
        <w:rPr>
          <w:rFonts w:ascii="Arial" w:cs="Arial" w:eastAsia="Arial" w:hAnsi="Arial"/>
          <w:sz w:val="13"/>
          <w:szCs w:val="13"/>
          <w:color w:val="auto"/>
        </w:rPr>
        <w:t>The information required by this Item is incorporated by reference from our Proxy Statement for the 2006 Annual Meeting of Shareholders.</w:t>
      </w:r>
    </w:p>
    <w:p>
      <w:pPr>
        <w:spacing w:after="0" w:line="171" w:lineRule="exact"/>
        <w:rPr>
          <w:sz w:val="20"/>
          <w:szCs w:val="20"/>
          <w:color w:val="auto"/>
        </w:rPr>
      </w:pPr>
    </w:p>
    <w:p>
      <w:pPr>
        <w:spacing w:after="0"/>
        <w:tabs>
          <w:tab w:leader="none" w:pos="780" w:val="left"/>
        </w:tabs>
        <w:rPr>
          <w:sz w:val="20"/>
          <w:szCs w:val="20"/>
          <w:color w:val="auto"/>
        </w:rPr>
      </w:pPr>
      <w:r>
        <w:rPr>
          <w:rFonts w:ascii="Arial" w:cs="Arial" w:eastAsia="Arial" w:hAnsi="Arial"/>
          <w:sz w:val="13"/>
          <w:szCs w:val="13"/>
          <w:b w:val="1"/>
          <w:bCs w:val="1"/>
          <w:color w:val="auto"/>
        </w:rPr>
        <w:t>ITEM 14.</w:t>
      </w:r>
      <w:r>
        <w:rPr>
          <w:sz w:val="20"/>
          <w:szCs w:val="20"/>
          <w:color w:val="auto"/>
        </w:rPr>
        <w:tab/>
      </w:r>
      <w:r>
        <w:rPr>
          <w:rFonts w:ascii="Arial" w:cs="Arial" w:eastAsia="Arial" w:hAnsi="Arial"/>
          <w:sz w:val="12"/>
          <w:szCs w:val="12"/>
          <w:b w:val="1"/>
          <w:bCs w:val="1"/>
          <w:i w:val="1"/>
          <w:iCs w:val="1"/>
          <w:color w:val="auto"/>
        </w:rPr>
        <w:t>PRINCIPAL ACCOUNTANT FEES AND SERVICES</w:t>
      </w:r>
    </w:p>
    <w:p>
      <w:pPr>
        <w:spacing w:after="0" w:line="100" w:lineRule="exact"/>
        <w:rPr>
          <w:sz w:val="20"/>
          <w:szCs w:val="20"/>
          <w:color w:val="auto"/>
        </w:rPr>
      </w:pPr>
    </w:p>
    <w:p>
      <w:pPr>
        <w:ind w:left="340"/>
        <w:spacing w:after="0"/>
        <w:rPr>
          <w:sz w:val="20"/>
          <w:szCs w:val="20"/>
          <w:color w:val="auto"/>
        </w:rPr>
      </w:pPr>
      <w:r>
        <w:rPr>
          <w:rFonts w:ascii="Arial" w:cs="Arial" w:eastAsia="Arial" w:hAnsi="Arial"/>
          <w:sz w:val="13"/>
          <w:szCs w:val="13"/>
          <w:color w:val="auto"/>
        </w:rPr>
        <w:t>The information required by this Item is incorporated by reference from our Proxy Statement for the 2006 Annual Meeting of Shareholders.</w:t>
      </w:r>
    </w:p>
    <w:p>
      <w:pPr>
        <w:spacing w:after="0" w:line="250" w:lineRule="exact"/>
        <w:rPr>
          <w:sz w:val="20"/>
          <w:szCs w:val="20"/>
          <w:color w:val="auto"/>
        </w:rPr>
      </w:pPr>
    </w:p>
    <w:p>
      <w:pPr>
        <w:jc w:val="center"/>
        <w:ind w:right="-139"/>
        <w:spacing w:after="0"/>
        <w:rPr>
          <w:sz w:val="20"/>
          <w:szCs w:val="20"/>
          <w:color w:val="auto"/>
        </w:rPr>
      </w:pPr>
      <w:r>
        <w:rPr>
          <w:rFonts w:ascii="Arial" w:cs="Arial" w:eastAsia="Arial" w:hAnsi="Arial"/>
          <w:sz w:val="13"/>
          <w:szCs w:val="13"/>
          <w:b w:val="1"/>
          <w:bCs w:val="1"/>
          <w:color w:val="auto"/>
        </w:rPr>
        <w:t>PART IV</w:t>
      </w:r>
    </w:p>
    <w:p>
      <w:pPr>
        <w:spacing w:after="0" w:line="175" w:lineRule="exact"/>
        <w:rPr>
          <w:sz w:val="20"/>
          <w:szCs w:val="20"/>
          <w:color w:val="auto"/>
        </w:rPr>
      </w:pPr>
    </w:p>
    <w:p>
      <w:pPr>
        <w:spacing w:after="0"/>
        <w:tabs>
          <w:tab w:leader="none" w:pos="780" w:val="left"/>
        </w:tabs>
        <w:rPr>
          <w:sz w:val="20"/>
          <w:szCs w:val="20"/>
          <w:color w:val="auto"/>
        </w:rPr>
      </w:pPr>
      <w:r>
        <w:rPr>
          <w:rFonts w:ascii="Arial" w:cs="Arial" w:eastAsia="Arial" w:hAnsi="Arial"/>
          <w:sz w:val="13"/>
          <w:szCs w:val="13"/>
          <w:b w:val="1"/>
          <w:bCs w:val="1"/>
          <w:color w:val="auto"/>
        </w:rPr>
        <w:t>ITEM 15.</w:t>
      </w:r>
      <w:r>
        <w:rPr>
          <w:sz w:val="20"/>
          <w:szCs w:val="20"/>
          <w:color w:val="auto"/>
        </w:rPr>
        <w:tab/>
      </w:r>
      <w:r>
        <w:rPr>
          <w:rFonts w:ascii="Arial" w:cs="Arial" w:eastAsia="Arial" w:hAnsi="Arial"/>
          <w:sz w:val="12"/>
          <w:szCs w:val="12"/>
          <w:b w:val="1"/>
          <w:bCs w:val="1"/>
          <w:i w:val="1"/>
          <w:iCs w:val="1"/>
          <w:color w:val="auto"/>
        </w:rPr>
        <w:t>EXHIBITS AND FINANCIAL STATEMENT SCHEDULES</w:t>
      </w:r>
    </w:p>
    <w:p>
      <w:pPr>
        <w:spacing w:after="0" w:line="100" w:lineRule="exact"/>
        <w:rPr>
          <w:sz w:val="20"/>
          <w:szCs w:val="20"/>
          <w:color w:val="auto"/>
        </w:rPr>
      </w:pPr>
    </w:p>
    <w:p>
      <w:pPr>
        <w:ind w:left="520" w:hanging="177"/>
        <w:spacing w:after="0"/>
        <w:tabs>
          <w:tab w:leader="none" w:pos="520" w:val="left"/>
        </w:tabs>
        <w:numPr>
          <w:ilvl w:val="0"/>
          <w:numId w:val="33"/>
        </w:numPr>
        <w:rPr>
          <w:rFonts w:ascii="Arial" w:cs="Arial" w:eastAsia="Arial" w:hAnsi="Arial"/>
          <w:sz w:val="13"/>
          <w:szCs w:val="13"/>
          <w:color w:val="auto"/>
        </w:rPr>
      </w:pPr>
      <w:r>
        <w:rPr>
          <w:rFonts w:ascii="Arial" w:cs="Arial" w:eastAsia="Arial" w:hAnsi="Arial"/>
          <w:sz w:val="13"/>
          <w:szCs w:val="13"/>
          <w:color w:val="auto"/>
        </w:rPr>
        <w:t>DOCUMENTS FILED AS PART OF THIS FORM 10-K.</w:t>
      </w:r>
    </w:p>
    <w:p>
      <w:pPr>
        <w:spacing w:after="0" w:line="96" w:lineRule="exact"/>
        <w:rPr>
          <w:rFonts w:ascii="Arial" w:cs="Arial" w:eastAsia="Arial" w:hAnsi="Arial"/>
          <w:sz w:val="13"/>
          <w:szCs w:val="13"/>
          <w:color w:val="auto"/>
        </w:rPr>
      </w:pPr>
    </w:p>
    <w:p>
      <w:pPr>
        <w:ind w:left="860" w:hanging="184"/>
        <w:spacing w:after="0"/>
        <w:tabs>
          <w:tab w:leader="none" w:pos="860" w:val="left"/>
        </w:tabs>
        <w:numPr>
          <w:ilvl w:val="1"/>
          <w:numId w:val="33"/>
        </w:numPr>
        <w:rPr>
          <w:rFonts w:ascii="Arial" w:cs="Arial" w:eastAsia="Arial" w:hAnsi="Arial"/>
          <w:sz w:val="13"/>
          <w:szCs w:val="13"/>
          <w:color w:val="auto"/>
        </w:rPr>
      </w:pPr>
      <w:r>
        <w:rPr>
          <w:rFonts w:ascii="Arial" w:cs="Arial" w:eastAsia="Arial" w:hAnsi="Arial"/>
          <w:sz w:val="13"/>
          <w:szCs w:val="13"/>
          <w:color w:val="auto"/>
        </w:rPr>
        <w:t>Financial Statements:</w:t>
      </w:r>
    </w:p>
    <w:p>
      <w:pPr>
        <w:spacing w:after="0" w:line="96" w:lineRule="exact"/>
        <w:rPr>
          <w:sz w:val="20"/>
          <w:szCs w:val="20"/>
          <w:color w:val="auto"/>
        </w:rPr>
      </w:pPr>
    </w:p>
    <w:p>
      <w:pPr>
        <w:ind w:left="680"/>
        <w:spacing w:after="0"/>
        <w:rPr>
          <w:sz w:val="20"/>
          <w:szCs w:val="20"/>
          <w:color w:val="auto"/>
        </w:rPr>
      </w:pPr>
      <w:r>
        <w:rPr>
          <w:rFonts w:ascii="Arial" w:cs="Arial" w:eastAsia="Arial" w:hAnsi="Arial"/>
          <w:sz w:val="13"/>
          <w:szCs w:val="13"/>
          <w:color w:val="auto"/>
        </w:rPr>
        <w:t>The financial statements filed as part of this Report are listed and indexed under Item 8 above.</w:t>
      </w:r>
    </w:p>
    <w:p>
      <w:pPr>
        <w:spacing w:after="0" w:line="96" w:lineRule="exact"/>
        <w:rPr>
          <w:sz w:val="20"/>
          <w:szCs w:val="20"/>
          <w:color w:val="auto"/>
        </w:rPr>
      </w:pPr>
    </w:p>
    <w:p>
      <w:pPr>
        <w:ind w:left="680"/>
        <w:spacing w:after="0"/>
        <w:rPr>
          <w:sz w:val="20"/>
          <w:szCs w:val="20"/>
          <w:color w:val="auto"/>
        </w:rPr>
      </w:pPr>
      <w:r>
        <w:rPr>
          <w:rFonts w:ascii="Arial" w:cs="Arial" w:eastAsia="Arial" w:hAnsi="Arial"/>
          <w:sz w:val="13"/>
          <w:szCs w:val="13"/>
          <w:color w:val="auto"/>
        </w:rPr>
        <w:t>(2) Financial Statement Schedules:</w:t>
      </w:r>
    </w:p>
    <w:p>
      <w:pPr>
        <w:spacing w:after="0" w:line="96" w:lineRule="exact"/>
        <w:rPr>
          <w:sz w:val="20"/>
          <w:szCs w:val="20"/>
          <w:color w:val="auto"/>
        </w:rPr>
      </w:pPr>
    </w:p>
    <w:p>
      <w:pPr>
        <w:ind w:left="680"/>
        <w:spacing w:after="0"/>
        <w:rPr>
          <w:sz w:val="20"/>
          <w:szCs w:val="20"/>
          <w:color w:val="auto"/>
        </w:rPr>
      </w:pPr>
      <w:r>
        <w:rPr>
          <w:rFonts w:ascii="Arial" w:cs="Arial" w:eastAsia="Arial" w:hAnsi="Arial"/>
          <w:sz w:val="13"/>
          <w:szCs w:val="13"/>
          <w:color w:val="auto"/>
        </w:rPr>
        <w:t>Schedules are not included herein because they are not applicable or the required information appears in the Financial Statements or Notes thereto.</w:t>
      </w:r>
    </w:p>
    <w:p>
      <w:pPr>
        <w:spacing w:after="0" w:line="303" w:lineRule="exact"/>
        <w:rPr>
          <w:sz w:val="20"/>
          <w:szCs w:val="20"/>
          <w:color w:val="auto"/>
        </w:rPr>
      </w:pPr>
    </w:p>
    <w:p>
      <w:pPr>
        <w:jc w:val="center"/>
        <w:ind w:right="-139"/>
        <w:spacing w:after="0"/>
        <w:rPr>
          <w:sz w:val="20"/>
          <w:szCs w:val="20"/>
          <w:color w:val="auto"/>
        </w:rPr>
      </w:pPr>
      <w:r>
        <w:rPr>
          <w:rFonts w:ascii="Arial" w:cs="Arial" w:eastAsia="Arial" w:hAnsi="Arial"/>
          <w:sz w:val="13"/>
          <w:szCs w:val="13"/>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320"/>
          </w:cols>
          <w:pgMar w:left="220" w:top="343" w:right="359" w:bottom="1440" w:gutter="0" w:footer="0" w:header="0"/>
        </w:sectPr>
      </w:pPr>
    </w:p>
    <w:bookmarkStart w:id="70" w:name="page71"/>
    <w:bookmarkEnd w:id="70"/>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(b) Exhibits.</w:t>
      </w:r>
    </w:p>
    <w:p>
      <w:pPr>
        <w:spacing w:after="0" w:line="91" w:lineRule="exact"/>
        <w:rPr>
          <w:sz w:val="20"/>
          <w:szCs w:val="20"/>
          <w:color w:val="auto"/>
        </w:rPr>
      </w:pPr>
    </w:p>
    <w:tbl>
      <w:tblPr>
        <w:tblLayout w:type="fixed"/>
        <w:tblInd w:w="1180" w:type="dxa"/>
        <w:tblCellMar>
          <w:top w:w="0" w:type="dxa"/>
          <w:left w:w="0" w:type="dxa"/>
          <w:bottom w:w="0" w:type="dxa"/>
          <w:right w:w="0" w:type="dxa"/>
        </w:tblCellMar>
      </w:tblPr>
      <w:tr>
        <w:trPr>
          <w:trHeight w:val="115"/>
        </w:trPr>
        <w:tc>
          <w:tcPr>
            <w:tcW w:w="900" w:type="dxa"/>
            <w:vAlign w:val="bottom"/>
          </w:tcPr>
          <w:p>
            <w:pPr>
              <w:spacing w:after="0"/>
              <w:rPr>
                <w:sz w:val="20"/>
                <w:szCs w:val="20"/>
                <w:color w:val="auto"/>
              </w:rPr>
            </w:pPr>
            <w:r>
              <w:rPr>
                <w:rFonts w:ascii="Arial" w:cs="Arial" w:eastAsia="Arial" w:hAnsi="Arial"/>
                <w:sz w:val="10"/>
                <w:szCs w:val="10"/>
                <w:b w:val="1"/>
                <w:bCs w:val="1"/>
                <w:color w:val="auto"/>
              </w:rPr>
              <w:t>Exhibit</w:t>
            </w:r>
          </w:p>
        </w:tc>
        <w:tc>
          <w:tcPr>
            <w:tcW w:w="4300" w:type="dxa"/>
            <w:vAlign w:val="bottom"/>
            <w:vMerge w:val="restart"/>
          </w:tcPr>
          <w:p>
            <w:pPr>
              <w:spacing w:after="0"/>
              <w:rPr>
                <w:sz w:val="10"/>
                <w:szCs w:val="10"/>
                <w:color w:val="auto"/>
              </w:rPr>
            </w:pPr>
          </w:p>
        </w:tc>
        <w:tc>
          <w:tcPr>
            <w:tcW w:w="394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Title or Description</w:t>
            </w:r>
          </w:p>
        </w:tc>
        <w:tc>
          <w:tcPr>
            <w:tcW w:w="0" w:type="dxa"/>
            <w:vAlign w:val="bottom"/>
          </w:tcPr>
          <w:p>
            <w:pPr>
              <w:spacing w:after="0"/>
              <w:rPr>
                <w:sz w:val="1"/>
                <w:szCs w:val="1"/>
                <w:color w:val="auto"/>
              </w:rPr>
            </w:pPr>
          </w:p>
        </w:tc>
      </w:tr>
      <w:tr>
        <w:trPr>
          <w:trHeight w:val="135"/>
        </w:trPr>
        <w:tc>
          <w:tcPr>
            <w:tcW w:w="900" w:type="dxa"/>
            <w:vAlign w:val="bottom"/>
          </w:tcPr>
          <w:p>
            <w:pPr>
              <w:ind w:left="160"/>
              <w:spacing w:after="0"/>
              <w:rPr>
                <w:sz w:val="20"/>
                <w:szCs w:val="20"/>
                <w:color w:val="auto"/>
              </w:rPr>
            </w:pPr>
            <w:r>
              <w:rPr>
                <w:rFonts w:ascii="Arial" w:cs="Arial" w:eastAsia="Arial" w:hAnsi="Arial"/>
                <w:sz w:val="10"/>
                <w:szCs w:val="10"/>
                <w:b w:val="1"/>
                <w:bCs w:val="1"/>
                <w:color w:val="auto"/>
              </w:rPr>
              <w:t>No.</w:t>
            </w:r>
          </w:p>
        </w:tc>
        <w:tc>
          <w:tcPr>
            <w:tcW w:w="4300" w:type="dxa"/>
            <w:vAlign w:val="bottom"/>
            <w:vMerge w:val="continue"/>
          </w:tcPr>
          <w:p>
            <w:pPr>
              <w:spacing w:after="0"/>
              <w:rPr>
                <w:sz w:val="11"/>
                <w:szCs w:val="11"/>
                <w:color w:val="auto"/>
              </w:rPr>
            </w:pPr>
          </w:p>
        </w:tc>
        <w:tc>
          <w:tcPr>
            <w:tcW w:w="394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8"/>
        </w:trPr>
        <w:tc>
          <w:tcPr>
            <w:tcW w:w="900" w:type="dxa"/>
            <w:vAlign w:val="bottom"/>
          </w:tcPr>
          <w:p>
            <w:pPr>
              <w:ind w:left="160"/>
              <w:spacing w:after="0"/>
              <w:rPr>
                <w:sz w:val="20"/>
                <w:szCs w:val="20"/>
                <w:color w:val="auto"/>
              </w:rPr>
            </w:pPr>
            <w:r>
              <w:rPr>
                <w:rFonts w:ascii="Arial" w:cs="Arial" w:eastAsia="Arial" w:hAnsi="Arial"/>
                <w:sz w:val="13"/>
                <w:szCs w:val="13"/>
                <w:color w:val="auto"/>
              </w:rPr>
              <w:t>3.1*</w:t>
            </w:r>
          </w:p>
        </w:tc>
        <w:tc>
          <w:tcPr>
            <w:tcW w:w="4300" w:type="dxa"/>
            <w:vAlign w:val="bottom"/>
          </w:tcPr>
          <w:p>
            <w:pPr>
              <w:ind w:left="120"/>
              <w:spacing w:after="0"/>
              <w:rPr>
                <w:sz w:val="20"/>
                <w:szCs w:val="20"/>
                <w:color w:val="auto"/>
              </w:rPr>
            </w:pPr>
            <w:r>
              <w:rPr>
                <w:rFonts w:ascii="Arial" w:cs="Arial" w:eastAsia="Arial" w:hAnsi="Arial"/>
                <w:sz w:val="13"/>
                <w:szCs w:val="13"/>
                <w:color w:val="auto"/>
              </w:rPr>
              <w:t>Restated Certificate of Incorporation of the Registrant</w:t>
            </w:r>
          </w:p>
        </w:tc>
        <w:tc>
          <w:tcPr>
            <w:tcW w:w="80" w:type="dxa"/>
            <w:vAlign w:val="bottom"/>
            <w:tcBorders>
              <w:top w:val="single" w:sz="8" w:color="auto"/>
            </w:tcBorders>
          </w:tcPr>
          <w:p>
            <w:pPr>
              <w:spacing w:after="0"/>
              <w:rPr>
                <w:sz w:val="15"/>
                <w:szCs w:val="15"/>
                <w:color w:val="auto"/>
              </w:rPr>
            </w:pPr>
          </w:p>
        </w:tc>
        <w:tc>
          <w:tcPr>
            <w:tcW w:w="3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7"/>
        </w:trPr>
        <w:tc>
          <w:tcPr>
            <w:tcW w:w="900" w:type="dxa"/>
            <w:vAlign w:val="bottom"/>
          </w:tcPr>
          <w:p>
            <w:pPr>
              <w:ind w:left="160"/>
              <w:spacing w:after="0"/>
              <w:rPr>
                <w:sz w:val="20"/>
                <w:szCs w:val="20"/>
                <w:color w:val="auto"/>
              </w:rPr>
            </w:pPr>
            <w:r>
              <w:rPr>
                <w:rFonts w:ascii="Arial" w:cs="Arial" w:eastAsia="Arial" w:hAnsi="Arial"/>
                <w:sz w:val="13"/>
                <w:szCs w:val="13"/>
                <w:color w:val="auto"/>
              </w:rPr>
              <w:t>3.2++</w:t>
            </w:r>
          </w:p>
        </w:tc>
        <w:tc>
          <w:tcPr>
            <w:tcW w:w="8240" w:type="dxa"/>
            <w:vAlign w:val="bottom"/>
            <w:gridSpan w:val="3"/>
          </w:tcPr>
          <w:p>
            <w:pPr>
              <w:ind w:left="120"/>
              <w:spacing w:after="0"/>
              <w:rPr>
                <w:sz w:val="20"/>
                <w:szCs w:val="20"/>
                <w:color w:val="auto"/>
              </w:rPr>
            </w:pPr>
            <w:r>
              <w:rPr>
                <w:rFonts w:ascii="Arial" w:cs="Arial" w:eastAsia="Arial" w:hAnsi="Arial"/>
                <w:sz w:val="13"/>
                <w:szCs w:val="13"/>
                <w:color w:val="auto"/>
              </w:rPr>
              <w:t>Amended and Restated By-Laws of the Registrant.</w:t>
            </w:r>
          </w:p>
        </w:tc>
        <w:tc>
          <w:tcPr>
            <w:tcW w:w="0" w:type="dxa"/>
            <w:vAlign w:val="bottom"/>
          </w:tcPr>
          <w:p>
            <w:pPr>
              <w:spacing w:after="0"/>
              <w:rPr>
                <w:sz w:val="1"/>
                <w:szCs w:val="1"/>
                <w:color w:val="auto"/>
              </w:rPr>
            </w:pPr>
          </w:p>
        </w:tc>
      </w:tr>
      <w:tr>
        <w:trPr>
          <w:trHeight w:val="165"/>
        </w:trPr>
        <w:tc>
          <w:tcPr>
            <w:tcW w:w="900" w:type="dxa"/>
            <w:vAlign w:val="bottom"/>
          </w:tcPr>
          <w:p>
            <w:pPr>
              <w:ind w:left="160"/>
              <w:spacing w:after="0"/>
              <w:rPr>
                <w:sz w:val="20"/>
                <w:szCs w:val="20"/>
                <w:color w:val="auto"/>
              </w:rPr>
            </w:pPr>
            <w:r>
              <w:rPr>
                <w:rFonts w:ascii="Arial" w:cs="Arial" w:eastAsia="Arial" w:hAnsi="Arial"/>
                <w:sz w:val="13"/>
                <w:szCs w:val="13"/>
                <w:color w:val="auto"/>
              </w:rPr>
              <w:t>3.3{***}</w:t>
            </w:r>
          </w:p>
        </w:tc>
        <w:tc>
          <w:tcPr>
            <w:tcW w:w="8240" w:type="dxa"/>
            <w:vAlign w:val="bottom"/>
            <w:gridSpan w:val="3"/>
          </w:tcPr>
          <w:p>
            <w:pPr>
              <w:ind w:left="120"/>
              <w:spacing w:after="0"/>
              <w:rPr>
                <w:sz w:val="20"/>
                <w:szCs w:val="20"/>
                <w:color w:val="auto"/>
              </w:rPr>
            </w:pPr>
            <w:r>
              <w:rPr>
                <w:rFonts w:ascii="Arial" w:cs="Arial" w:eastAsia="Arial" w:hAnsi="Arial"/>
                <w:sz w:val="13"/>
                <w:szCs w:val="13"/>
                <w:color w:val="auto"/>
              </w:rPr>
              <w:t>Certificate of Amendment to the Restated Certificate of Incorporation of the Registrant.</w:t>
            </w:r>
          </w:p>
        </w:tc>
        <w:tc>
          <w:tcPr>
            <w:tcW w:w="0" w:type="dxa"/>
            <w:vAlign w:val="bottom"/>
          </w:tcPr>
          <w:p>
            <w:pPr>
              <w:spacing w:after="0"/>
              <w:rPr>
                <w:sz w:val="1"/>
                <w:szCs w:val="1"/>
                <w:color w:val="auto"/>
              </w:rPr>
            </w:pPr>
          </w:p>
        </w:tc>
      </w:tr>
      <w:tr>
        <w:trPr>
          <w:trHeight w:val="442"/>
        </w:trPr>
        <w:tc>
          <w:tcPr>
            <w:tcW w:w="900" w:type="dxa"/>
            <w:vAlign w:val="bottom"/>
          </w:tcPr>
          <w:p>
            <w:pPr>
              <w:ind w:left="160"/>
              <w:spacing w:after="0"/>
              <w:rPr>
                <w:sz w:val="20"/>
                <w:szCs w:val="20"/>
                <w:color w:val="auto"/>
              </w:rPr>
            </w:pPr>
            <w:r>
              <w:rPr>
                <w:rFonts w:ascii="Arial" w:cs="Arial" w:eastAsia="Arial" w:hAnsi="Arial"/>
                <w:sz w:val="13"/>
                <w:szCs w:val="13"/>
                <w:color w:val="auto"/>
              </w:rPr>
              <w:t>3.4ˆ</w:t>
            </w:r>
          </w:p>
        </w:tc>
        <w:tc>
          <w:tcPr>
            <w:tcW w:w="8240" w:type="dxa"/>
            <w:vAlign w:val="bottom"/>
            <w:gridSpan w:val="3"/>
          </w:tcPr>
          <w:p>
            <w:pPr>
              <w:ind w:left="120"/>
              <w:spacing w:after="0"/>
              <w:rPr>
                <w:sz w:val="20"/>
                <w:szCs w:val="20"/>
                <w:color w:val="auto"/>
              </w:rPr>
            </w:pPr>
            <w:r>
              <w:rPr>
                <w:rFonts w:ascii="Arial" w:cs="Arial" w:eastAsia="Arial" w:hAnsi="Arial"/>
                <w:sz w:val="13"/>
                <w:szCs w:val="13"/>
                <w:color w:val="auto"/>
              </w:rPr>
              <w:t>Certificate of Amendment of the Restated Certificate of Incorporation of the Registrant.</w:t>
            </w:r>
          </w:p>
        </w:tc>
        <w:tc>
          <w:tcPr>
            <w:tcW w:w="0" w:type="dxa"/>
            <w:vAlign w:val="bottom"/>
          </w:tcPr>
          <w:p>
            <w:pPr>
              <w:spacing w:after="0"/>
              <w:rPr>
                <w:sz w:val="1"/>
                <w:szCs w:val="1"/>
                <w:color w:val="auto"/>
              </w:rPr>
            </w:pPr>
          </w:p>
        </w:tc>
      </w:tr>
      <w:tr>
        <w:trPr>
          <w:trHeight w:val="442"/>
        </w:trPr>
        <w:tc>
          <w:tcPr>
            <w:tcW w:w="900" w:type="dxa"/>
            <w:vAlign w:val="bottom"/>
          </w:tcPr>
          <w:p>
            <w:pPr>
              <w:ind w:left="160"/>
              <w:spacing w:after="0"/>
              <w:rPr>
                <w:sz w:val="20"/>
                <w:szCs w:val="20"/>
                <w:color w:val="auto"/>
              </w:rPr>
            </w:pPr>
            <w:r>
              <w:rPr>
                <w:rFonts w:ascii="Arial" w:cs="Arial" w:eastAsia="Arial" w:hAnsi="Arial"/>
                <w:sz w:val="13"/>
                <w:szCs w:val="13"/>
                <w:color w:val="auto"/>
              </w:rPr>
              <w:t>4.1ˆˆ</w:t>
            </w:r>
          </w:p>
        </w:tc>
        <w:tc>
          <w:tcPr>
            <w:tcW w:w="8240" w:type="dxa"/>
            <w:vAlign w:val="bottom"/>
            <w:gridSpan w:val="3"/>
          </w:tcPr>
          <w:p>
            <w:pPr>
              <w:ind w:left="120"/>
              <w:spacing w:after="0"/>
              <w:rPr>
                <w:sz w:val="20"/>
                <w:szCs w:val="20"/>
                <w:color w:val="auto"/>
              </w:rPr>
            </w:pPr>
            <w:r>
              <w:rPr>
                <w:rFonts w:ascii="Arial" w:cs="Arial" w:eastAsia="Arial" w:hAnsi="Arial"/>
                <w:sz w:val="13"/>
                <w:szCs w:val="13"/>
                <w:color w:val="auto"/>
              </w:rPr>
              <w:t>Specimen Common Stock Certificate.</w:t>
            </w:r>
          </w:p>
        </w:tc>
        <w:tc>
          <w:tcPr>
            <w:tcW w:w="0" w:type="dxa"/>
            <w:vAlign w:val="bottom"/>
          </w:tcPr>
          <w:p>
            <w:pPr>
              <w:spacing w:after="0"/>
              <w:rPr>
                <w:sz w:val="1"/>
                <w:szCs w:val="1"/>
                <w:color w:val="auto"/>
              </w:rPr>
            </w:pPr>
          </w:p>
        </w:tc>
      </w:tr>
      <w:tr>
        <w:trPr>
          <w:trHeight w:val="442"/>
        </w:trPr>
        <w:tc>
          <w:tcPr>
            <w:tcW w:w="900" w:type="dxa"/>
            <w:vAlign w:val="bottom"/>
          </w:tcPr>
          <w:p>
            <w:pPr>
              <w:ind w:left="160"/>
              <w:spacing w:after="0"/>
              <w:rPr>
                <w:sz w:val="20"/>
                <w:szCs w:val="20"/>
                <w:color w:val="auto"/>
              </w:rPr>
            </w:pPr>
            <w:r>
              <w:rPr>
                <w:rFonts w:ascii="Arial" w:cs="Arial" w:eastAsia="Arial" w:hAnsi="Arial"/>
                <w:sz w:val="13"/>
                <w:szCs w:val="13"/>
                <w:color w:val="auto"/>
              </w:rPr>
              <w:t>4.2++++</w:t>
            </w:r>
          </w:p>
        </w:tc>
        <w:tc>
          <w:tcPr>
            <w:tcW w:w="8240" w:type="dxa"/>
            <w:vAlign w:val="bottom"/>
            <w:gridSpan w:val="3"/>
          </w:tcPr>
          <w:p>
            <w:pPr>
              <w:ind w:left="120"/>
              <w:spacing w:after="0"/>
              <w:rPr>
                <w:sz w:val="20"/>
                <w:szCs w:val="20"/>
                <w:color w:val="auto"/>
              </w:rPr>
            </w:pPr>
            <w:r>
              <w:rPr>
                <w:rFonts w:ascii="Arial" w:cs="Arial" w:eastAsia="Arial" w:hAnsi="Arial"/>
                <w:sz w:val="13"/>
                <w:szCs w:val="13"/>
                <w:color w:val="auto"/>
              </w:rPr>
              <w:t>Form of Warrant Certificate issued to a certain purchaser of the Registrant’s Common Stock in April 1995.</w:t>
            </w:r>
          </w:p>
        </w:tc>
        <w:tc>
          <w:tcPr>
            <w:tcW w:w="0" w:type="dxa"/>
            <w:vAlign w:val="bottom"/>
          </w:tcPr>
          <w:p>
            <w:pPr>
              <w:spacing w:after="0"/>
              <w:rPr>
                <w:sz w:val="1"/>
                <w:szCs w:val="1"/>
                <w:color w:val="auto"/>
              </w:rPr>
            </w:pPr>
          </w:p>
        </w:tc>
      </w:tr>
      <w:tr>
        <w:trPr>
          <w:trHeight w:val="442"/>
        </w:trPr>
        <w:tc>
          <w:tcPr>
            <w:tcW w:w="900" w:type="dxa"/>
            <w:vAlign w:val="bottom"/>
          </w:tcPr>
          <w:p>
            <w:pPr>
              <w:ind w:left="160"/>
              <w:spacing w:after="0"/>
              <w:rPr>
                <w:sz w:val="20"/>
                <w:szCs w:val="20"/>
                <w:color w:val="auto"/>
              </w:rPr>
            </w:pPr>
            <w:r>
              <w:rPr>
                <w:rFonts w:ascii="Arial" w:cs="Arial" w:eastAsia="Arial" w:hAnsi="Arial"/>
                <w:sz w:val="13"/>
                <w:szCs w:val="13"/>
                <w:color w:val="auto"/>
              </w:rPr>
              <w:t>4.3X</w:t>
            </w:r>
          </w:p>
        </w:tc>
        <w:tc>
          <w:tcPr>
            <w:tcW w:w="8240" w:type="dxa"/>
            <w:vAlign w:val="bottom"/>
            <w:gridSpan w:val="3"/>
          </w:tcPr>
          <w:p>
            <w:pPr>
              <w:ind w:left="120"/>
              <w:spacing w:after="0"/>
              <w:rPr>
                <w:sz w:val="20"/>
                <w:szCs w:val="20"/>
                <w:color w:val="auto"/>
              </w:rPr>
            </w:pPr>
            <w:r>
              <w:rPr>
                <w:rFonts w:ascii="Arial" w:cs="Arial" w:eastAsia="Arial" w:hAnsi="Arial"/>
                <w:sz w:val="13"/>
                <w:szCs w:val="13"/>
                <w:color w:val="auto"/>
              </w:rPr>
              <w:t>Common Stock Purchase Warrant</w:t>
            </w:r>
          </w:p>
        </w:tc>
        <w:tc>
          <w:tcPr>
            <w:tcW w:w="0" w:type="dxa"/>
            <w:vAlign w:val="bottom"/>
          </w:tcPr>
          <w:p>
            <w:pPr>
              <w:spacing w:after="0"/>
              <w:rPr>
                <w:sz w:val="1"/>
                <w:szCs w:val="1"/>
                <w:color w:val="auto"/>
              </w:rPr>
            </w:pPr>
          </w:p>
        </w:tc>
      </w:tr>
      <w:tr>
        <w:trPr>
          <w:trHeight w:val="442"/>
        </w:trPr>
        <w:tc>
          <w:tcPr>
            <w:tcW w:w="900" w:type="dxa"/>
            <w:vAlign w:val="bottom"/>
          </w:tcPr>
          <w:p>
            <w:pPr>
              <w:ind w:left="160"/>
              <w:spacing w:after="0"/>
              <w:rPr>
                <w:sz w:val="20"/>
                <w:szCs w:val="20"/>
                <w:color w:val="auto"/>
              </w:rPr>
            </w:pPr>
            <w:r>
              <w:rPr>
                <w:rFonts w:ascii="Arial" w:cs="Arial" w:eastAsia="Arial" w:hAnsi="Arial"/>
                <w:sz w:val="13"/>
                <w:szCs w:val="13"/>
                <w:color w:val="auto"/>
              </w:rPr>
              <w:t>4.4X</w:t>
            </w:r>
          </w:p>
        </w:tc>
        <w:tc>
          <w:tcPr>
            <w:tcW w:w="8240" w:type="dxa"/>
            <w:vAlign w:val="bottom"/>
            <w:gridSpan w:val="3"/>
          </w:tcPr>
          <w:p>
            <w:pPr>
              <w:ind w:left="120"/>
              <w:spacing w:after="0"/>
              <w:rPr>
                <w:sz w:val="20"/>
                <w:szCs w:val="20"/>
                <w:color w:val="auto"/>
              </w:rPr>
            </w:pPr>
            <w:r>
              <w:rPr>
                <w:rFonts w:ascii="Arial" w:cs="Arial" w:eastAsia="Arial" w:hAnsi="Arial"/>
                <w:sz w:val="13"/>
                <w:szCs w:val="13"/>
                <w:color w:val="auto"/>
              </w:rPr>
              <w:t>Callable Warrant</w:t>
            </w:r>
          </w:p>
        </w:tc>
        <w:tc>
          <w:tcPr>
            <w:tcW w:w="0" w:type="dxa"/>
            <w:vAlign w:val="bottom"/>
          </w:tcPr>
          <w:p>
            <w:pPr>
              <w:spacing w:after="0"/>
              <w:rPr>
                <w:sz w:val="1"/>
                <w:szCs w:val="1"/>
                <w:color w:val="auto"/>
              </w:rPr>
            </w:pPr>
          </w:p>
        </w:tc>
      </w:tr>
      <w:tr>
        <w:trPr>
          <w:trHeight w:val="442"/>
        </w:trPr>
        <w:tc>
          <w:tcPr>
            <w:tcW w:w="900" w:type="dxa"/>
            <w:vAlign w:val="bottom"/>
          </w:tcPr>
          <w:p>
            <w:pPr>
              <w:ind w:left="160"/>
              <w:spacing w:after="0"/>
              <w:rPr>
                <w:sz w:val="20"/>
                <w:szCs w:val="20"/>
                <w:color w:val="auto"/>
              </w:rPr>
            </w:pPr>
            <w:r>
              <w:rPr>
                <w:rFonts w:ascii="Arial" w:cs="Arial" w:eastAsia="Arial" w:hAnsi="Arial"/>
                <w:sz w:val="13"/>
                <w:szCs w:val="13"/>
                <w:color w:val="auto"/>
              </w:rPr>
              <w:t>4.5XXX</w:t>
            </w:r>
          </w:p>
        </w:tc>
        <w:tc>
          <w:tcPr>
            <w:tcW w:w="8240" w:type="dxa"/>
            <w:vAlign w:val="bottom"/>
            <w:gridSpan w:val="3"/>
          </w:tcPr>
          <w:p>
            <w:pPr>
              <w:ind w:left="120"/>
              <w:spacing w:after="0"/>
              <w:rPr>
                <w:sz w:val="20"/>
                <w:szCs w:val="20"/>
                <w:color w:val="auto"/>
              </w:rPr>
            </w:pPr>
            <w:r>
              <w:rPr>
                <w:rFonts w:ascii="Arial" w:cs="Arial" w:eastAsia="Arial" w:hAnsi="Arial"/>
                <w:sz w:val="13"/>
                <w:szCs w:val="13"/>
                <w:color w:val="auto"/>
              </w:rPr>
              <w:t>Registration Rights Agreement dated as of May 10, 2001 between the Registrant and Sativum Investments Limited.</w:t>
            </w:r>
          </w:p>
        </w:tc>
        <w:tc>
          <w:tcPr>
            <w:tcW w:w="0" w:type="dxa"/>
            <w:vAlign w:val="bottom"/>
          </w:tcPr>
          <w:p>
            <w:pPr>
              <w:spacing w:after="0"/>
              <w:rPr>
                <w:sz w:val="1"/>
                <w:szCs w:val="1"/>
                <w:color w:val="auto"/>
              </w:rPr>
            </w:pPr>
          </w:p>
        </w:tc>
      </w:tr>
      <w:tr>
        <w:trPr>
          <w:trHeight w:val="442"/>
        </w:trPr>
        <w:tc>
          <w:tcPr>
            <w:tcW w:w="900" w:type="dxa"/>
            <w:vAlign w:val="bottom"/>
          </w:tcPr>
          <w:p>
            <w:pPr>
              <w:ind w:left="160"/>
              <w:spacing w:after="0"/>
              <w:rPr>
                <w:sz w:val="20"/>
                <w:szCs w:val="20"/>
                <w:color w:val="auto"/>
              </w:rPr>
            </w:pPr>
            <w:r>
              <w:rPr>
                <w:rFonts w:ascii="Arial" w:cs="Arial" w:eastAsia="Arial" w:hAnsi="Arial"/>
                <w:sz w:val="13"/>
                <w:szCs w:val="13"/>
                <w:color w:val="auto"/>
              </w:rPr>
              <w:t>4.6XXX</w:t>
            </w:r>
          </w:p>
        </w:tc>
        <w:tc>
          <w:tcPr>
            <w:tcW w:w="8240" w:type="dxa"/>
            <w:vAlign w:val="bottom"/>
            <w:gridSpan w:val="3"/>
          </w:tcPr>
          <w:p>
            <w:pPr>
              <w:ind w:left="120"/>
              <w:spacing w:after="0"/>
              <w:rPr>
                <w:sz w:val="20"/>
                <w:szCs w:val="20"/>
                <w:color w:val="auto"/>
              </w:rPr>
            </w:pPr>
            <w:r>
              <w:rPr>
                <w:rFonts w:ascii="Arial" w:cs="Arial" w:eastAsia="Arial" w:hAnsi="Arial"/>
                <w:sz w:val="13"/>
                <w:szCs w:val="13"/>
                <w:color w:val="auto"/>
              </w:rPr>
              <w:t>Callable Warrant, dated June 21, 2001, issued to Millennium Partners, L.P.</w:t>
            </w:r>
          </w:p>
        </w:tc>
        <w:tc>
          <w:tcPr>
            <w:tcW w:w="0" w:type="dxa"/>
            <w:vAlign w:val="bottom"/>
          </w:tcPr>
          <w:p>
            <w:pPr>
              <w:spacing w:after="0"/>
              <w:rPr>
                <w:sz w:val="1"/>
                <w:szCs w:val="1"/>
                <w:color w:val="auto"/>
              </w:rPr>
            </w:pPr>
          </w:p>
        </w:tc>
      </w:tr>
      <w:tr>
        <w:trPr>
          <w:trHeight w:val="442"/>
        </w:trPr>
        <w:tc>
          <w:tcPr>
            <w:tcW w:w="900" w:type="dxa"/>
            <w:vAlign w:val="bottom"/>
          </w:tcPr>
          <w:p>
            <w:pPr>
              <w:ind w:left="160"/>
              <w:spacing w:after="0"/>
              <w:rPr>
                <w:sz w:val="20"/>
                <w:szCs w:val="20"/>
                <w:color w:val="auto"/>
              </w:rPr>
            </w:pPr>
            <w:r>
              <w:rPr>
                <w:rFonts w:ascii="Arial" w:cs="Arial" w:eastAsia="Arial" w:hAnsi="Arial"/>
                <w:sz w:val="13"/>
                <w:szCs w:val="13"/>
                <w:color w:val="auto"/>
              </w:rPr>
              <w:t>4.7XXX</w:t>
            </w:r>
          </w:p>
        </w:tc>
        <w:tc>
          <w:tcPr>
            <w:tcW w:w="8240" w:type="dxa"/>
            <w:vAlign w:val="bottom"/>
            <w:gridSpan w:val="3"/>
          </w:tcPr>
          <w:p>
            <w:pPr>
              <w:ind w:left="120"/>
              <w:spacing w:after="0"/>
              <w:rPr>
                <w:sz w:val="20"/>
                <w:szCs w:val="20"/>
                <w:color w:val="auto"/>
              </w:rPr>
            </w:pPr>
            <w:r>
              <w:rPr>
                <w:rFonts w:ascii="Arial" w:cs="Arial" w:eastAsia="Arial" w:hAnsi="Arial"/>
                <w:sz w:val="13"/>
                <w:szCs w:val="13"/>
                <w:color w:val="auto"/>
              </w:rPr>
              <w:t>Common Stock Purchase Warrant, Class A, dated June 21, 2001, issued to Millennium Partners, L.P.</w:t>
            </w:r>
          </w:p>
        </w:tc>
        <w:tc>
          <w:tcPr>
            <w:tcW w:w="0" w:type="dxa"/>
            <w:vAlign w:val="bottom"/>
          </w:tcPr>
          <w:p>
            <w:pPr>
              <w:spacing w:after="0"/>
              <w:rPr>
                <w:sz w:val="1"/>
                <w:szCs w:val="1"/>
                <w:color w:val="auto"/>
              </w:rPr>
            </w:pPr>
          </w:p>
        </w:tc>
      </w:tr>
      <w:tr>
        <w:trPr>
          <w:trHeight w:val="435"/>
        </w:trPr>
        <w:tc>
          <w:tcPr>
            <w:tcW w:w="900" w:type="dxa"/>
            <w:vAlign w:val="bottom"/>
          </w:tcPr>
          <w:p>
            <w:pPr>
              <w:ind w:left="160"/>
              <w:spacing w:after="0"/>
              <w:rPr>
                <w:sz w:val="20"/>
                <w:szCs w:val="20"/>
                <w:color w:val="auto"/>
              </w:rPr>
            </w:pPr>
            <w:r>
              <w:rPr>
                <w:rFonts w:ascii="Arial" w:cs="Arial" w:eastAsia="Arial" w:hAnsi="Arial"/>
                <w:sz w:val="13"/>
                <w:szCs w:val="13"/>
                <w:color w:val="auto"/>
              </w:rPr>
              <w:t>4.8{**}</w:t>
            </w:r>
          </w:p>
        </w:tc>
        <w:tc>
          <w:tcPr>
            <w:tcW w:w="8240" w:type="dxa"/>
            <w:vAlign w:val="bottom"/>
            <w:gridSpan w:val="3"/>
          </w:tcPr>
          <w:p>
            <w:pPr>
              <w:ind w:left="120"/>
              <w:spacing w:after="0"/>
              <w:rPr>
                <w:sz w:val="20"/>
                <w:szCs w:val="20"/>
                <w:color w:val="auto"/>
              </w:rPr>
            </w:pPr>
            <w:r>
              <w:rPr>
                <w:rFonts w:ascii="Arial" w:cs="Arial" w:eastAsia="Arial" w:hAnsi="Arial"/>
                <w:sz w:val="13"/>
                <w:szCs w:val="13"/>
                <w:color w:val="auto"/>
                <w:w w:val="91"/>
              </w:rPr>
              <w:t>Certificate of Designations of the Powers, Preferences and Relative, Participating, Optional and other Special Rights of Preferred Stock and Qualifications,</w:t>
            </w:r>
          </w:p>
        </w:tc>
        <w:tc>
          <w:tcPr>
            <w:tcW w:w="0" w:type="dxa"/>
            <w:vAlign w:val="bottom"/>
          </w:tcPr>
          <w:p>
            <w:pPr>
              <w:spacing w:after="0"/>
              <w:rPr>
                <w:sz w:val="1"/>
                <w:szCs w:val="1"/>
                <w:color w:val="auto"/>
              </w:rPr>
            </w:pPr>
          </w:p>
        </w:tc>
      </w:tr>
      <w:tr>
        <w:trPr>
          <w:trHeight w:val="165"/>
        </w:trPr>
        <w:tc>
          <w:tcPr>
            <w:tcW w:w="900" w:type="dxa"/>
            <w:vAlign w:val="bottom"/>
          </w:tcPr>
          <w:p>
            <w:pPr>
              <w:spacing w:after="0"/>
              <w:rPr>
                <w:sz w:val="14"/>
                <w:szCs w:val="14"/>
                <w:color w:val="auto"/>
              </w:rPr>
            </w:pPr>
          </w:p>
        </w:tc>
        <w:tc>
          <w:tcPr>
            <w:tcW w:w="8240" w:type="dxa"/>
            <w:vAlign w:val="bottom"/>
            <w:gridSpan w:val="3"/>
          </w:tcPr>
          <w:p>
            <w:pPr>
              <w:ind w:left="120"/>
              <w:spacing w:after="0"/>
              <w:rPr>
                <w:sz w:val="20"/>
                <w:szCs w:val="20"/>
                <w:color w:val="auto"/>
              </w:rPr>
            </w:pPr>
            <w:r>
              <w:rPr>
                <w:rFonts w:ascii="Arial" w:cs="Arial" w:eastAsia="Arial" w:hAnsi="Arial"/>
                <w:sz w:val="13"/>
                <w:szCs w:val="13"/>
                <w:color w:val="auto"/>
              </w:rPr>
              <w:t>Limitations and Restrictions Thereof of 3% Cumulative Convertible Preferred Stock for StemCells, Inc.</w:t>
            </w:r>
          </w:p>
        </w:tc>
        <w:tc>
          <w:tcPr>
            <w:tcW w:w="0" w:type="dxa"/>
            <w:vAlign w:val="bottom"/>
          </w:tcPr>
          <w:p>
            <w:pPr>
              <w:spacing w:after="0"/>
              <w:rPr>
                <w:sz w:val="1"/>
                <w:szCs w:val="1"/>
                <w:color w:val="auto"/>
              </w:rPr>
            </w:pPr>
          </w:p>
        </w:tc>
      </w:tr>
      <w:tr>
        <w:trPr>
          <w:trHeight w:val="442"/>
        </w:trPr>
        <w:tc>
          <w:tcPr>
            <w:tcW w:w="900" w:type="dxa"/>
            <w:vAlign w:val="bottom"/>
          </w:tcPr>
          <w:p>
            <w:pPr>
              <w:ind w:left="160"/>
              <w:spacing w:after="0"/>
              <w:rPr>
                <w:sz w:val="20"/>
                <w:szCs w:val="20"/>
                <w:color w:val="auto"/>
              </w:rPr>
            </w:pPr>
            <w:r>
              <w:rPr>
                <w:rFonts w:ascii="Arial" w:cs="Arial" w:eastAsia="Arial" w:hAnsi="Arial"/>
                <w:sz w:val="13"/>
                <w:szCs w:val="13"/>
                <w:color w:val="auto"/>
              </w:rPr>
              <w:t>4.9{**}</w:t>
            </w:r>
          </w:p>
        </w:tc>
        <w:tc>
          <w:tcPr>
            <w:tcW w:w="8240" w:type="dxa"/>
            <w:vAlign w:val="bottom"/>
            <w:gridSpan w:val="3"/>
          </w:tcPr>
          <w:p>
            <w:pPr>
              <w:ind w:left="120"/>
              <w:spacing w:after="0"/>
              <w:rPr>
                <w:sz w:val="20"/>
                <w:szCs w:val="20"/>
                <w:color w:val="auto"/>
              </w:rPr>
            </w:pPr>
            <w:r>
              <w:rPr>
                <w:rFonts w:ascii="Arial" w:cs="Arial" w:eastAsia="Arial" w:hAnsi="Arial"/>
                <w:sz w:val="13"/>
                <w:szCs w:val="13"/>
                <w:color w:val="auto"/>
              </w:rPr>
              <w:t>Warrant to Purchase Common Stock — Riverview Group, LLC</w:t>
            </w:r>
          </w:p>
        </w:tc>
        <w:tc>
          <w:tcPr>
            <w:tcW w:w="0" w:type="dxa"/>
            <w:vAlign w:val="bottom"/>
          </w:tcPr>
          <w:p>
            <w:pPr>
              <w:spacing w:after="0"/>
              <w:rPr>
                <w:sz w:val="1"/>
                <w:szCs w:val="1"/>
                <w:color w:val="auto"/>
              </w:rPr>
            </w:pPr>
          </w:p>
        </w:tc>
      </w:tr>
      <w:tr>
        <w:trPr>
          <w:trHeight w:val="442"/>
        </w:trPr>
        <w:tc>
          <w:tcPr>
            <w:tcW w:w="900" w:type="dxa"/>
            <w:vAlign w:val="bottom"/>
          </w:tcPr>
          <w:p>
            <w:pPr>
              <w:ind w:left="160"/>
              <w:spacing w:after="0"/>
              <w:rPr>
                <w:sz w:val="20"/>
                <w:szCs w:val="20"/>
                <w:color w:val="auto"/>
              </w:rPr>
            </w:pPr>
            <w:r>
              <w:rPr>
                <w:rFonts w:ascii="Arial" w:cs="Arial" w:eastAsia="Arial" w:hAnsi="Arial"/>
                <w:sz w:val="13"/>
                <w:szCs w:val="13"/>
                <w:color w:val="auto"/>
              </w:rPr>
              <w:t>4.10XXXX</w:t>
            </w:r>
          </w:p>
        </w:tc>
        <w:tc>
          <w:tcPr>
            <w:tcW w:w="8240" w:type="dxa"/>
            <w:vAlign w:val="bottom"/>
            <w:gridSpan w:val="3"/>
          </w:tcPr>
          <w:p>
            <w:pPr>
              <w:ind w:left="120"/>
              <w:spacing w:after="0"/>
              <w:rPr>
                <w:sz w:val="20"/>
                <w:szCs w:val="20"/>
                <w:color w:val="auto"/>
              </w:rPr>
            </w:pPr>
            <w:r>
              <w:rPr>
                <w:rFonts w:ascii="Arial" w:cs="Arial" w:eastAsia="Arial" w:hAnsi="Arial"/>
                <w:sz w:val="13"/>
                <w:szCs w:val="13"/>
                <w:color w:val="auto"/>
              </w:rPr>
              <w:t>Warrant to Purchase Common Stock — Cantor Fitzgerald &amp; Co.</w:t>
            </w:r>
          </w:p>
        </w:tc>
        <w:tc>
          <w:tcPr>
            <w:tcW w:w="0" w:type="dxa"/>
            <w:vAlign w:val="bottom"/>
          </w:tcPr>
          <w:p>
            <w:pPr>
              <w:spacing w:after="0"/>
              <w:rPr>
                <w:sz w:val="1"/>
                <w:szCs w:val="1"/>
                <w:color w:val="auto"/>
              </w:rPr>
            </w:pPr>
          </w:p>
        </w:tc>
      </w:tr>
      <w:tr>
        <w:trPr>
          <w:trHeight w:val="442"/>
        </w:trPr>
        <w:tc>
          <w:tcPr>
            <w:tcW w:w="900" w:type="dxa"/>
            <w:vAlign w:val="bottom"/>
          </w:tcPr>
          <w:p>
            <w:pPr>
              <w:ind w:left="160"/>
              <w:spacing w:after="0"/>
              <w:rPr>
                <w:sz w:val="20"/>
                <w:szCs w:val="20"/>
                <w:color w:val="auto"/>
              </w:rPr>
            </w:pPr>
            <w:r>
              <w:rPr>
                <w:rFonts w:ascii="Arial" w:cs="Arial" w:eastAsia="Arial" w:hAnsi="Arial"/>
                <w:sz w:val="13"/>
                <w:szCs w:val="13"/>
                <w:color w:val="auto"/>
              </w:rPr>
              <w:t>4.11&amp;&amp;</w:t>
            </w:r>
          </w:p>
        </w:tc>
        <w:tc>
          <w:tcPr>
            <w:tcW w:w="8240" w:type="dxa"/>
            <w:vAlign w:val="bottom"/>
            <w:gridSpan w:val="3"/>
          </w:tcPr>
          <w:p>
            <w:pPr>
              <w:ind w:left="120"/>
              <w:spacing w:after="0"/>
              <w:rPr>
                <w:sz w:val="20"/>
                <w:szCs w:val="20"/>
                <w:color w:val="auto"/>
              </w:rPr>
            </w:pPr>
            <w:r>
              <w:rPr>
                <w:rFonts w:ascii="Arial" w:cs="Arial" w:eastAsia="Arial" w:hAnsi="Arial"/>
                <w:sz w:val="13"/>
                <w:szCs w:val="13"/>
                <w:color w:val="auto"/>
              </w:rPr>
              <w:t>Warrant to Purchase Common Stock — Riverview Group, LLC</w:t>
            </w:r>
          </w:p>
        </w:tc>
        <w:tc>
          <w:tcPr>
            <w:tcW w:w="0" w:type="dxa"/>
            <w:vAlign w:val="bottom"/>
          </w:tcPr>
          <w:p>
            <w:pPr>
              <w:spacing w:after="0"/>
              <w:rPr>
                <w:sz w:val="1"/>
                <w:szCs w:val="1"/>
                <w:color w:val="auto"/>
              </w:rPr>
            </w:pPr>
          </w:p>
        </w:tc>
      </w:tr>
      <w:tr>
        <w:trPr>
          <w:trHeight w:val="442"/>
        </w:trPr>
        <w:tc>
          <w:tcPr>
            <w:tcW w:w="900" w:type="dxa"/>
            <w:vAlign w:val="bottom"/>
          </w:tcPr>
          <w:p>
            <w:pPr>
              <w:ind w:left="100"/>
              <w:spacing w:after="0"/>
              <w:rPr>
                <w:sz w:val="20"/>
                <w:szCs w:val="20"/>
                <w:color w:val="auto"/>
              </w:rPr>
            </w:pPr>
            <w:r>
              <w:rPr>
                <w:rFonts w:ascii="Arial" w:cs="Arial" w:eastAsia="Arial" w:hAnsi="Arial"/>
                <w:sz w:val="13"/>
                <w:szCs w:val="13"/>
                <w:color w:val="auto"/>
              </w:rPr>
              <w:t>10.1XX</w:t>
            </w:r>
          </w:p>
        </w:tc>
        <w:tc>
          <w:tcPr>
            <w:tcW w:w="8240" w:type="dxa"/>
            <w:vAlign w:val="bottom"/>
            <w:gridSpan w:val="3"/>
          </w:tcPr>
          <w:p>
            <w:pPr>
              <w:ind w:left="120"/>
              <w:spacing w:after="0"/>
              <w:rPr>
                <w:sz w:val="20"/>
                <w:szCs w:val="20"/>
                <w:color w:val="auto"/>
              </w:rPr>
            </w:pPr>
            <w:r>
              <w:rPr>
                <w:rFonts w:ascii="Arial" w:cs="Arial" w:eastAsia="Arial" w:hAnsi="Arial"/>
                <w:sz w:val="13"/>
                <w:szCs w:val="13"/>
                <w:color w:val="auto"/>
                <w:w w:val="94"/>
              </w:rPr>
              <w:t>Side Letter, dated March 17, 2001, between the Company and Oleh S. Hnatiuk, regarding NeuroSphere License Agreement dated October 30, 2000.</w:t>
            </w:r>
          </w:p>
        </w:tc>
        <w:tc>
          <w:tcPr>
            <w:tcW w:w="0" w:type="dxa"/>
            <w:vAlign w:val="bottom"/>
          </w:tcPr>
          <w:p>
            <w:pPr>
              <w:spacing w:after="0"/>
              <w:rPr>
                <w:sz w:val="1"/>
                <w:szCs w:val="1"/>
                <w:color w:val="auto"/>
              </w:rPr>
            </w:pPr>
          </w:p>
        </w:tc>
      </w:tr>
      <w:tr>
        <w:trPr>
          <w:trHeight w:val="442"/>
        </w:trPr>
        <w:tc>
          <w:tcPr>
            <w:tcW w:w="900" w:type="dxa"/>
            <w:vAlign w:val="bottom"/>
          </w:tcPr>
          <w:p>
            <w:pPr>
              <w:ind w:left="100"/>
              <w:spacing w:after="0"/>
              <w:rPr>
                <w:sz w:val="20"/>
                <w:szCs w:val="20"/>
                <w:color w:val="auto"/>
              </w:rPr>
            </w:pPr>
            <w:r>
              <w:rPr>
                <w:rFonts w:ascii="Arial" w:cs="Arial" w:eastAsia="Arial" w:hAnsi="Arial"/>
                <w:sz w:val="13"/>
                <w:szCs w:val="13"/>
                <w:color w:val="auto"/>
              </w:rPr>
              <w:t>10.2*</w:t>
            </w:r>
          </w:p>
        </w:tc>
        <w:tc>
          <w:tcPr>
            <w:tcW w:w="8240" w:type="dxa"/>
            <w:vAlign w:val="bottom"/>
            <w:gridSpan w:val="3"/>
          </w:tcPr>
          <w:p>
            <w:pPr>
              <w:ind w:left="120"/>
              <w:spacing w:after="0"/>
              <w:rPr>
                <w:sz w:val="20"/>
                <w:szCs w:val="20"/>
                <w:color w:val="auto"/>
              </w:rPr>
            </w:pPr>
            <w:r>
              <w:rPr>
                <w:rFonts w:ascii="Arial" w:cs="Arial" w:eastAsia="Arial" w:hAnsi="Arial"/>
                <w:sz w:val="13"/>
                <w:szCs w:val="13"/>
                <w:color w:val="auto"/>
              </w:rPr>
              <w:t>Form of at-will Employment Agreement between the Registrant and most of its employees.</w:t>
            </w:r>
          </w:p>
        </w:tc>
        <w:tc>
          <w:tcPr>
            <w:tcW w:w="0" w:type="dxa"/>
            <w:vAlign w:val="bottom"/>
          </w:tcPr>
          <w:p>
            <w:pPr>
              <w:spacing w:after="0"/>
              <w:rPr>
                <w:sz w:val="1"/>
                <w:szCs w:val="1"/>
                <w:color w:val="auto"/>
              </w:rPr>
            </w:pPr>
          </w:p>
        </w:tc>
      </w:tr>
      <w:tr>
        <w:trPr>
          <w:trHeight w:val="442"/>
        </w:trPr>
        <w:tc>
          <w:tcPr>
            <w:tcW w:w="900" w:type="dxa"/>
            <w:vAlign w:val="bottom"/>
          </w:tcPr>
          <w:p>
            <w:pPr>
              <w:ind w:left="100"/>
              <w:spacing w:after="0"/>
              <w:rPr>
                <w:sz w:val="20"/>
                <w:szCs w:val="20"/>
                <w:color w:val="auto"/>
              </w:rPr>
            </w:pPr>
            <w:r>
              <w:rPr>
                <w:rFonts w:ascii="Arial" w:cs="Arial" w:eastAsia="Arial" w:hAnsi="Arial"/>
                <w:sz w:val="13"/>
                <w:szCs w:val="13"/>
                <w:color w:val="auto"/>
              </w:rPr>
              <w:t>10.3*</w:t>
            </w:r>
          </w:p>
        </w:tc>
        <w:tc>
          <w:tcPr>
            <w:tcW w:w="8240" w:type="dxa"/>
            <w:vAlign w:val="bottom"/>
            <w:gridSpan w:val="3"/>
          </w:tcPr>
          <w:p>
            <w:pPr>
              <w:ind w:left="120"/>
              <w:spacing w:after="0"/>
              <w:rPr>
                <w:sz w:val="20"/>
                <w:szCs w:val="20"/>
                <w:color w:val="auto"/>
              </w:rPr>
            </w:pPr>
            <w:r>
              <w:rPr>
                <w:rFonts w:ascii="Arial" w:cs="Arial" w:eastAsia="Arial" w:hAnsi="Arial"/>
                <w:sz w:val="13"/>
                <w:szCs w:val="13"/>
                <w:color w:val="auto"/>
              </w:rPr>
              <w:t>Form of Agreement for Consulting Services between the Registrant and members of its Scientific Advisory Board.</w:t>
            </w:r>
          </w:p>
        </w:tc>
        <w:tc>
          <w:tcPr>
            <w:tcW w:w="0" w:type="dxa"/>
            <w:vAlign w:val="bottom"/>
          </w:tcPr>
          <w:p>
            <w:pPr>
              <w:spacing w:after="0"/>
              <w:rPr>
                <w:sz w:val="1"/>
                <w:szCs w:val="1"/>
                <w:color w:val="auto"/>
              </w:rPr>
            </w:pPr>
          </w:p>
        </w:tc>
      </w:tr>
      <w:tr>
        <w:trPr>
          <w:trHeight w:val="442"/>
        </w:trPr>
        <w:tc>
          <w:tcPr>
            <w:tcW w:w="900" w:type="dxa"/>
            <w:vAlign w:val="bottom"/>
          </w:tcPr>
          <w:p>
            <w:pPr>
              <w:ind w:left="100"/>
              <w:spacing w:after="0"/>
              <w:rPr>
                <w:sz w:val="20"/>
                <w:szCs w:val="20"/>
                <w:color w:val="auto"/>
              </w:rPr>
            </w:pPr>
            <w:r>
              <w:rPr>
                <w:rFonts w:ascii="Arial" w:cs="Arial" w:eastAsia="Arial" w:hAnsi="Arial"/>
                <w:sz w:val="13"/>
                <w:szCs w:val="13"/>
                <w:color w:val="auto"/>
              </w:rPr>
              <w:t>10.4*</w:t>
            </w:r>
          </w:p>
        </w:tc>
        <w:tc>
          <w:tcPr>
            <w:tcW w:w="8240" w:type="dxa"/>
            <w:vAlign w:val="bottom"/>
            <w:gridSpan w:val="3"/>
          </w:tcPr>
          <w:p>
            <w:pPr>
              <w:ind w:left="120"/>
              <w:spacing w:after="0"/>
              <w:rPr>
                <w:sz w:val="20"/>
                <w:szCs w:val="20"/>
                <w:color w:val="auto"/>
              </w:rPr>
            </w:pPr>
            <w:r>
              <w:rPr>
                <w:rFonts w:ascii="Arial" w:cs="Arial" w:eastAsia="Arial" w:hAnsi="Arial"/>
                <w:sz w:val="13"/>
                <w:szCs w:val="13"/>
                <w:color w:val="auto"/>
              </w:rPr>
              <w:t>Form of Nondisclosure Agreement between the Registrant and its Contractors.</w:t>
            </w:r>
          </w:p>
        </w:tc>
        <w:tc>
          <w:tcPr>
            <w:tcW w:w="0" w:type="dxa"/>
            <w:vAlign w:val="bottom"/>
          </w:tcPr>
          <w:p>
            <w:pPr>
              <w:spacing w:after="0"/>
              <w:rPr>
                <w:sz w:val="1"/>
                <w:szCs w:val="1"/>
                <w:color w:val="auto"/>
              </w:rPr>
            </w:pPr>
          </w:p>
        </w:tc>
      </w:tr>
      <w:tr>
        <w:trPr>
          <w:trHeight w:val="442"/>
        </w:trPr>
        <w:tc>
          <w:tcPr>
            <w:tcW w:w="900" w:type="dxa"/>
            <w:vAlign w:val="bottom"/>
          </w:tcPr>
          <w:p>
            <w:pPr>
              <w:ind w:left="100"/>
              <w:spacing w:after="0"/>
              <w:rPr>
                <w:sz w:val="20"/>
                <w:szCs w:val="20"/>
                <w:color w:val="auto"/>
              </w:rPr>
            </w:pPr>
            <w:r>
              <w:rPr>
                <w:rFonts w:ascii="Arial" w:cs="Arial" w:eastAsia="Arial" w:hAnsi="Arial"/>
                <w:sz w:val="13"/>
                <w:szCs w:val="13"/>
                <w:color w:val="auto"/>
              </w:rPr>
              <w:t>10.5*</w:t>
            </w:r>
          </w:p>
        </w:tc>
        <w:tc>
          <w:tcPr>
            <w:tcW w:w="8240" w:type="dxa"/>
            <w:vAlign w:val="bottom"/>
            <w:gridSpan w:val="3"/>
          </w:tcPr>
          <w:p>
            <w:pPr>
              <w:ind w:left="120"/>
              <w:spacing w:after="0"/>
              <w:rPr>
                <w:sz w:val="20"/>
                <w:szCs w:val="20"/>
                <w:color w:val="auto"/>
              </w:rPr>
            </w:pPr>
            <w:r>
              <w:rPr>
                <w:rFonts w:ascii="Arial" w:cs="Arial" w:eastAsia="Arial" w:hAnsi="Arial"/>
                <w:sz w:val="13"/>
                <w:szCs w:val="13"/>
                <w:color w:val="auto"/>
              </w:rPr>
              <w:t>1988 Stock Option Plan.</w:t>
            </w:r>
          </w:p>
        </w:tc>
        <w:tc>
          <w:tcPr>
            <w:tcW w:w="0" w:type="dxa"/>
            <w:vAlign w:val="bottom"/>
          </w:tcPr>
          <w:p>
            <w:pPr>
              <w:spacing w:after="0"/>
              <w:rPr>
                <w:sz w:val="1"/>
                <w:szCs w:val="1"/>
                <w:color w:val="auto"/>
              </w:rPr>
            </w:pPr>
          </w:p>
        </w:tc>
      </w:tr>
      <w:tr>
        <w:trPr>
          <w:trHeight w:val="442"/>
        </w:trPr>
        <w:tc>
          <w:tcPr>
            <w:tcW w:w="900" w:type="dxa"/>
            <w:vAlign w:val="bottom"/>
          </w:tcPr>
          <w:p>
            <w:pPr>
              <w:ind w:left="100"/>
              <w:spacing w:after="0"/>
              <w:rPr>
                <w:sz w:val="20"/>
                <w:szCs w:val="20"/>
                <w:color w:val="auto"/>
              </w:rPr>
            </w:pPr>
            <w:r>
              <w:rPr>
                <w:rFonts w:ascii="Arial" w:cs="Arial" w:eastAsia="Arial" w:hAnsi="Arial"/>
                <w:sz w:val="13"/>
                <w:szCs w:val="13"/>
                <w:color w:val="auto"/>
              </w:rPr>
              <w:t>10.6*</w:t>
            </w:r>
          </w:p>
        </w:tc>
        <w:tc>
          <w:tcPr>
            <w:tcW w:w="8240" w:type="dxa"/>
            <w:vAlign w:val="bottom"/>
            <w:gridSpan w:val="3"/>
          </w:tcPr>
          <w:p>
            <w:pPr>
              <w:ind w:left="120"/>
              <w:spacing w:after="0"/>
              <w:rPr>
                <w:sz w:val="20"/>
                <w:szCs w:val="20"/>
                <w:color w:val="auto"/>
              </w:rPr>
            </w:pPr>
            <w:r>
              <w:rPr>
                <w:rFonts w:ascii="Arial" w:cs="Arial" w:eastAsia="Arial" w:hAnsi="Arial"/>
                <w:sz w:val="13"/>
                <w:szCs w:val="13"/>
                <w:color w:val="auto"/>
              </w:rPr>
              <w:t>1992 Equity Incentive Plan.</w:t>
            </w:r>
          </w:p>
        </w:tc>
        <w:tc>
          <w:tcPr>
            <w:tcW w:w="0" w:type="dxa"/>
            <w:vAlign w:val="bottom"/>
          </w:tcPr>
          <w:p>
            <w:pPr>
              <w:spacing w:after="0"/>
              <w:rPr>
                <w:sz w:val="1"/>
                <w:szCs w:val="1"/>
                <w:color w:val="auto"/>
              </w:rPr>
            </w:pPr>
          </w:p>
        </w:tc>
      </w:tr>
      <w:tr>
        <w:trPr>
          <w:trHeight w:val="442"/>
        </w:trPr>
        <w:tc>
          <w:tcPr>
            <w:tcW w:w="900" w:type="dxa"/>
            <w:vAlign w:val="bottom"/>
          </w:tcPr>
          <w:p>
            <w:pPr>
              <w:ind w:left="100"/>
              <w:spacing w:after="0"/>
              <w:rPr>
                <w:sz w:val="20"/>
                <w:szCs w:val="20"/>
                <w:color w:val="auto"/>
              </w:rPr>
            </w:pPr>
            <w:r>
              <w:rPr>
                <w:rFonts w:ascii="Arial" w:cs="Arial" w:eastAsia="Arial" w:hAnsi="Arial"/>
                <w:sz w:val="13"/>
                <w:szCs w:val="13"/>
                <w:color w:val="auto"/>
              </w:rPr>
              <w:t>10.7*</w:t>
            </w:r>
          </w:p>
        </w:tc>
        <w:tc>
          <w:tcPr>
            <w:tcW w:w="8240" w:type="dxa"/>
            <w:vAlign w:val="bottom"/>
            <w:gridSpan w:val="3"/>
          </w:tcPr>
          <w:p>
            <w:pPr>
              <w:ind w:left="120"/>
              <w:spacing w:after="0"/>
              <w:rPr>
                <w:sz w:val="20"/>
                <w:szCs w:val="20"/>
                <w:color w:val="auto"/>
              </w:rPr>
            </w:pPr>
            <w:r>
              <w:rPr>
                <w:rFonts w:ascii="Arial" w:cs="Arial" w:eastAsia="Arial" w:hAnsi="Arial"/>
                <w:sz w:val="13"/>
                <w:szCs w:val="13"/>
                <w:color w:val="auto"/>
              </w:rPr>
              <w:t>1992 Stock Option Plan for Non-Employee Directors.</w:t>
            </w:r>
          </w:p>
        </w:tc>
        <w:tc>
          <w:tcPr>
            <w:tcW w:w="0" w:type="dxa"/>
            <w:vAlign w:val="bottom"/>
          </w:tcPr>
          <w:p>
            <w:pPr>
              <w:spacing w:after="0"/>
              <w:rPr>
                <w:sz w:val="1"/>
                <w:szCs w:val="1"/>
                <w:color w:val="auto"/>
              </w:rPr>
            </w:pPr>
          </w:p>
        </w:tc>
      </w:tr>
      <w:tr>
        <w:trPr>
          <w:trHeight w:val="442"/>
        </w:trPr>
        <w:tc>
          <w:tcPr>
            <w:tcW w:w="900" w:type="dxa"/>
            <w:vAlign w:val="bottom"/>
          </w:tcPr>
          <w:p>
            <w:pPr>
              <w:ind w:left="100"/>
              <w:spacing w:after="0"/>
              <w:rPr>
                <w:sz w:val="20"/>
                <w:szCs w:val="20"/>
                <w:color w:val="auto"/>
              </w:rPr>
            </w:pPr>
            <w:r>
              <w:rPr>
                <w:rFonts w:ascii="Arial" w:cs="Arial" w:eastAsia="Arial" w:hAnsi="Arial"/>
                <w:sz w:val="13"/>
                <w:szCs w:val="13"/>
                <w:color w:val="auto"/>
              </w:rPr>
              <w:t>10.8**!!!!</w:t>
            </w:r>
          </w:p>
        </w:tc>
        <w:tc>
          <w:tcPr>
            <w:tcW w:w="8240" w:type="dxa"/>
            <w:vAlign w:val="bottom"/>
            <w:gridSpan w:val="3"/>
          </w:tcPr>
          <w:p>
            <w:pPr>
              <w:ind w:left="120"/>
              <w:spacing w:after="0"/>
              <w:rPr>
                <w:sz w:val="20"/>
                <w:szCs w:val="20"/>
                <w:color w:val="auto"/>
              </w:rPr>
            </w:pPr>
            <w:r>
              <w:rPr>
                <w:rFonts w:ascii="Arial" w:cs="Arial" w:eastAsia="Arial" w:hAnsi="Arial"/>
                <w:sz w:val="13"/>
                <w:szCs w:val="13"/>
                <w:color w:val="auto"/>
              </w:rPr>
              <w:t>1992 Employee Stock Purchase Plan.</w:t>
            </w:r>
          </w:p>
        </w:tc>
        <w:tc>
          <w:tcPr>
            <w:tcW w:w="0" w:type="dxa"/>
            <w:vAlign w:val="bottom"/>
          </w:tcPr>
          <w:p>
            <w:pPr>
              <w:spacing w:after="0"/>
              <w:rPr>
                <w:sz w:val="1"/>
                <w:szCs w:val="1"/>
                <w:color w:val="auto"/>
              </w:rPr>
            </w:pPr>
          </w:p>
        </w:tc>
      </w:tr>
      <w:tr>
        <w:trPr>
          <w:trHeight w:val="442"/>
        </w:trPr>
        <w:tc>
          <w:tcPr>
            <w:tcW w:w="900" w:type="dxa"/>
            <w:vAlign w:val="bottom"/>
          </w:tcPr>
          <w:p>
            <w:pPr>
              <w:ind w:left="100"/>
              <w:spacing w:after="0"/>
              <w:rPr>
                <w:sz w:val="20"/>
                <w:szCs w:val="20"/>
                <w:color w:val="auto"/>
              </w:rPr>
            </w:pPr>
            <w:r>
              <w:rPr>
                <w:rFonts w:ascii="Arial" w:cs="Arial" w:eastAsia="Arial" w:hAnsi="Arial"/>
                <w:sz w:val="13"/>
                <w:szCs w:val="13"/>
                <w:color w:val="auto"/>
              </w:rPr>
              <w:t>10.9++</w:t>
            </w:r>
          </w:p>
        </w:tc>
        <w:tc>
          <w:tcPr>
            <w:tcW w:w="8240" w:type="dxa"/>
            <w:vAlign w:val="bottom"/>
            <w:gridSpan w:val="3"/>
          </w:tcPr>
          <w:p>
            <w:pPr>
              <w:ind w:left="120"/>
              <w:spacing w:after="0"/>
              <w:rPr>
                <w:sz w:val="20"/>
                <w:szCs w:val="20"/>
                <w:color w:val="auto"/>
              </w:rPr>
            </w:pPr>
            <w:r>
              <w:rPr>
                <w:rFonts w:ascii="Arial" w:cs="Arial" w:eastAsia="Arial" w:hAnsi="Arial"/>
                <w:sz w:val="13"/>
                <w:szCs w:val="13"/>
                <w:color w:val="auto"/>
              </w:rPr>
              <w:t>Research Agreement dated as of March 16, 1994 between NeuroSpheres, Ltd. and Registrant.</w:t>
            </w:r>
          </w:p>
        </w:tc>
        <w:tc>
          <w:tcPr>
            <w:tcW w:w="0" w:type="dxa"/>
            <w:vAlign w:val="bottom"/>
          </w:tcPr>
          <w:p>
            <w:pPr>
              <w:spacing w:after="0"/>
              <w:rPr>
                <w:sz w:val="1"/>
                <w:szCs w:val="1"/>
                <w:color w:val="auto"/>
              </w:rPr>
            </w:pPr>
          </w:p>
        </w:tc>
      </w:tr>
      <w:tr>
        <w:trPr>
          <w:trHeight w:val="442"/>
        </w:trPr>
        <w:tc>
          <w:tcPr>
            <w:tcW w:w="900" w:type="dxa"/>
            <w:vAlign w:val="bottom"/>
          </w:tcPr>
          <w:p>
            <w:pPr>
              <w:ind w:left="100"/>
              <w:spacing w:after="0"/>
              <w:rPr>
                <w:sz w:val="20"/>
                <w:szCs w:val="20"/>
                <w:color w:val="auto"/>
              </w:rPr>
            </w:pPr>
            <w:r>
              <w:rPr>
                <w:rFonts w:ascii="Arial" w:cs="Arial" w:eastAsia="Arial" w:hAnsi="Arial"/>
                <w:sz w:val="13"/>
                <w:szCs w:val="13"/>
                <w:color w:val="auto"/>
              </w:rPr>
              <w:t>10.10++</w:t>
            </w:r>
          </w:p>
        </w:tc>
        <w:tc>
          <w:tcPr>
            <w:tcW w:w="8240" w:type="dxa"/>
            <w:vAlign w:val="bottom"/>
            <w:gridSpan w:val="3"/>
          </w:tcPr>
          <w:p>
            <w:pPr>
              <w:ind w:left="120"/>
              <w:spacing w:after="0"/>
              <w:rPr>
                <w:sz w:val="20"/>
                <w:szCs w:val="20"/>
                <w:color w:val="auto"/>
              </w:rPr>
            </w:pPr>
            <w:r>
              <w:rPr>
                <w:rFonts w:ascii="Arial" w:cs="Arial" w:eastAsia="Arial" w:hAnsi="Arial"/>
                <w:sz w:val="13"/>
                <w:szCs w:val="13"/>
                <w:color w:val="auto"/>
              </w:rPr>
              <w:t>Lease Agreement between the Registrant and Rhode Island Industrial Facilities Corporation, dated as of August 1, 1992.</w:t>
            </w:r>
          </w:p>
        </w:tc>
        <w:tc>
          <w:tcPr>
            <w:tcW w:w="0" w:type="dxa"/>
            <w:vAlign w:val="bottom"/>
          </w:tcPr>
          <w:p>
            <w:pPr>
              <w:spacing w:after="0"/>
              <w:rPr>
                <w:sz w:val="1"/>
                <w:szCs w:val="1"/>
                <w:color w:val="auto"/>
              </w:rPr>
            </w:pPr>
          </w:p>
        </w:tc>
      </w:tr>
      <w:tr>
        <w:trPr>
          <w:trHeight w:val="442"/>
        </w:trPr>
        <w:tc>
          <w:tcPr>
            <w:tcW w:w="900" w:type="dxa"/>
            <w:vAlign w:val="bottom"/>
          </w:tcPr>
          <w:p>
            <w:pPr>
              <w:ind w:left="100"/>
              <w:spacing w:after="0"/>
              <w:rPr>
                <w:sz w:val="20"/>
                <w:szCs w:val="20"/>
                <w:color w:val="auto"/>
              </w:rPr>
            </w:pPr>
            <w:r>
              <w:rPr>
                <w:rFonts w:ascii="Arial" w:cs="Arial" w:eastAsia="Arial" w:hAnsi="Arial"/>
                <w:sz w:val="13"/>
                <w:szCs w:val="13"/>
                <w:color w:val="auto"/>
              </w:rPr>
              <w:t>10.11++</w:t>
            </w:r>
          </w:p>
        </w:tc>
        <w:tc>
          <w:tcPr>
            <w:tcW w:w="8240" w:type="dxa"/>
            <w:vAlign w:val="bottom"/>
            <w:gridSpan w:val="3"/>
          </w:tcPr>
          <w:p>
            <w:pPr>
              <w:ind w:left="120"/>
              <w:spacing w:after="0"/>
              <w:rPr>
                <w:sz w:val="20"/>
                <w:szCs w:val="20"/>
                <w:color w:val="auto"/>
              </w:rPr>
            </w:pPr>
            <w:r>
              <w:rPr>
                <w:rFonts w:ascii="Arial" w:cs="Arial" w:eastAsia="Arial" w:hAnsi="Arial"/>
                <w:sz w:val="13"/>
                <w:szCs w:val="13"/>
                <w:color w:val="auto"/>
                <w:w w:val="96"/>
              </w:rPr>
              <w:t>First Amendment to Lease Agreement between Registrant and The Rhode Island Industrial Facilities Corporation dated as of September 15, 1994.</w:t>
            </w:r>
          </w:p>
        </w:tc>
        <w:tc>
          <w:tcPr>
            <w:tcW w:w="0" w:type="dxa"/>
            <w:vAlign w:val="bottom"/>
          </w:tcPr>
          <w:p>
            <w:pPr>
              <w:spacing w:after="0"/>
              <w:rPr>
                <w:sz w:val="1"/>
                <w:szCs w:val="1"/>
                <w:color w:val="auto"/>
              </w:rPr>
            </w:pPr>
          </w:p>
        </w:tc>
      </w:tr>
      <w:tr>
        <w:trPr>
          <w:trHeight w:val="442"/>
        </w:trPr>
        <w:tc>
          <w:tcPr>
            <w:tcW w:w="900" w:type="dxa"/>
            <w:vAlign w:val="bottom"/>
          </w:tcPr>
          <w:p>
            <w:pPr>
              <w:ind w:left="100"/>
              <w:spacing w:after="0"/>
              <w:rPr>
                <w:sz w:val="20"/>
                <w:szCs w:val="20"/>
                <w:color w:val="auto"/>
              </w:rPr>
            </w:pPr>
            <w:r>
              <w:rPr>
                <w:rFonts w:ascii="Arial" w:cs="Arial" w:eastAsia="Arial" w:hAnsi="Arial"/>
                <w:sz w:val="13"/>
                <w:szCs w:val="13"/>
                <w:color w:val="auto"/>
              </w:rPr>
              <w:t>10.12+++</w:t>
            </w:r>
          </w:p>
        </w:tc>
        <w:tc>
          <w:tcPr>
            <w:tcW w:w="8240" w:type="dxa"/>
            <w:vAlign w:val="bottom"/>
            <w:gridSpan w:val="3"/>
          </w:tcPr>
          <w:p>
            <w:pPr>
              <w:ind w:left="120"/>
              <w:spacing w:after="0"/>
              <w:rPr>
                <w:sz w:val="20"/>
                <w:szCs w:val="20"/>
                <w:color w:val="auto"/>
              </w:rPr>
            </w:pPr>
            <w:r>
              <w:rPr>
                <w:rFonts w:ascii="Arial" w:cs="Arial" w:eastAsia="Arial" w:hAnsi="Arial"/>
                <w:sz w:val="13"/>
                <w:szCs w:val="13"/>
                <w:color w:val="auto"/>
                <w:w w:val="98"/>
              </w:rPr>
              <w:t>Form of Common Stock Purchase Agreement to be executed among the Registrant and certain purchasers of the Registrant’s Common Stock.</w:t>
            </w:r>
          </w:p>
        </w:tc>
        <w:tc>
          <w:tcPr>
            <w:tcW w:w="0" w:type="dxa"/>
            <w:vAlign w:val="bottom"/>
          </w:tcPr>
          <w:p>
            <w:pPr>
              <w:spacing w:after="0"/>
              <w:rPr>
                <w:sz w:val="1"/>
                <w:szCs w:val="1"/>
                <w:color w:val="auto"/>
              </w:rPr>
            </w:pPr>
          </w:p>
        </w:tc>
      </w:tr>
      <w:tr>
        <w:trPr>
          <w:trHeight w:val="442"/>
        </w:trPr>
        <w:tc>
          <w:tcPr>
            <w:tcW w:w="900" w:type="dxa"/>
            <w:vAlign w:val="bottom"/>
          </w:tcPr>
          <w:p>
            <w:pPr>
              <w:ind w:left="100"/>
              <w:spacing w:after="0"/>
              <w:rPr>
                <w:sz w:val="20"/>
                <w:szCs w:val="20"/>
                <w:color w:val="auto"/>
              </w:rPr>
            </w:pPr>
            <w:r>
              <w:rPr>
                <w:rFonts w:ascii="Arial" w:cs="Arial" w:eastAsia="Arial" w:hAnsi="Arial"/>
                <w:sz w:val="13"/>
                <w:szCs w:val="13"/>
                <w:color w:val="auto"/>
              </w:rPr>
              <w:t>10.13###</w:t>
            </w:r>
          </w:p>
        </w:tc>
        <w:tc>
          <w:tcPr>
            <w:tcW w:w="8240" w:type="dxa"/>
            <w:vAlign w:val="bottom"/>
            <w:gridSpan w:val="3"/>
          </w:tcPr>
          <w:p>
            <w:pPr>
              <w:ind w:left="120"/>
              <w:spacing w:after="0"/>
              <w:rPr>
                <w:sz w:val="20"/>
                <w:szCs w:val="20"/>
                <w:color w:val="auto"/>
              </w:rPr>
            </w:pPr>
            <w:r>
              <w:rPr>
                <w:rFonts w:ascii="Arial" w:cs="Arial" w:eastAsia="Arial" w:hAnsi="Arial"/>
                <w:sz w:val="13"/>
                <w:szCs w:val="13"/>
                <w:color w:val="auto"/>
                <w:w w:val="97"/>
              </w:rPr>
              <w:t>Lease Agreement dated as of November 21, 1997 by and between Hub RI Properties Trust, as Landlord, and CytoTherapeutics, Inc., as Tenant.</w:t>
            </w:r>
          </w:p>
        </w:tc>
        <w:tc>
          <w:tcPr>
            <w:tcW w:w="0" w:type="dxa"/>
            <w:vAlign w:val="bottom"/>
          </w:tcPr>
          <w:p>
            <w:pPr>
              <w:spacing w:after="0"/>
              <w:rPr>
                <w:sz w:val="1"/>
                <w:szCs w:val="1"/>
                <w:color w:val="auto"/>
              </w:rPr>
            </w:pPr>
          </w:p>
        </w:tc>
      </w:tr>
      <w:tr>
        <w:trPr>
          <w:trHeight w:val="442"/>
        </w:trPr>
        <w:tc>
          <w:tcPr>
            <w:tcW w:w="900" w:type="dxa"/>
            <w:vAlign w:val="bottom"/>
          </w:tcPr>
          <w:p>
            <w:pPr>
              <w:ind w:left="100"/>
              <w:spacing w:after="0"/>
              <w:rPr>
                <w:sz w:val="20"/>
                <w:szCs w:val="20"/>
                <w:color w:val="auto"/>
              </w:rPr>
            </w:pPr>
            <w:r>
              <w:rPr>
                <w:rFonts w:ascii="Arial" w:cs="Arial" w:eastAsia="Arial" w:hAnsi="Arial"/>
                <w:sz w:val="13"/>
                <w:szCs w:val="13"/>
                <w:color w:val="auto"/>
              </w:rPr>
              <w:t>10.14!!</w:t>
            </w:r>
          </w:p>
        </w:tc>
        <w:tc>
          <w:tcPr>
            <w:tcW w:w="8240" w:type="dxa"/>
            <w:vAlign w:val="bottom"/>
            <w:gridSpan w:val="3"/>
          </w:tcPr>
          <w:p>
            <w:pPr>
              <w:ind w:left="120"/>
              <w:spacing w:after="0"/>
              <w:rPr>
                <w:sz w:val="20"/>
                <w:szCs w:val="20"/>
                <w:color w:val="auto"/>
              </w:rPr>
            </w:pPr>
            <w:r>
              <w:rPr>
                <w:rFonts w:ascii="Arial" w:cs="Arial" w:eastAsia="Arial" w:hAnsi="Arial"/>
                <w:sz w:val="13"/>
                <w:szCs w:val="13"/>
                <w:color w:val="auto"/>
              </w:rPr>
              <w:t>CTI individual stockholders option agreement dated as of July 10, 1996 among the Company and the individuals listed therein.</w:t>
            </w:r>
          </w:p>
        </w:tc>
        <w:tc>
          <w:tcPr>
            <w:tcW w:w="0" w:type="dxa"/>
            <w:vAlign w:val="bottom"/>
          </w:tcPr>
          <w:p>
            <w:pPr>
              <w:spacing w:after="0"/>
              <w:rPr>
                <w:sz w:val="1"/>
                <w:szCs w:val="1"/>
                <w:color w:val="auto"/>
              </w:rPr>
            </w:pPr>
          </w:p>
        </w:tc>
      </w:tr>
      <w:tr>
        <w:trPr>
          <w:trHeight w:val="442"/>
        </w:trPr>
        <w:tc>
          <w:tcPr>
            <w:tcW w:w="900" w:type="dxa"/>
            <w:vAlign w:val="bottom"/>
          </w:tcPr>
          <w:p>
            <w:pPr>
              <w:ind w:left="100"/>
              <w:spacing w:after="0"/>
              <w:rPr>
                <w:sz w:val="20"/>
                <w:szCs w:val="20"/>
                <w:color w:val="auto"/>
              </w:rPr>
            </w:pPr>
            <w:r>
              <w:rPr>
                <w:rFonts w:ascii="Arial" w:cs="Arial" w:eastAsia="Arial" w:hAnsi="Arial"/>
                <w:sz w:val="13"/>
                <w:szCs w:val="13"/>
                <w:color w:val="auto"/>
              </w:rPr>
              <w:t>10.15***</w:t>
            </w:r>
          </w:p>
        </w:tc>
        <w:tc>
          <w:tcPr>
            <w:tcW w:w="8240" w:type="dxa"/>
            <w:vAlign w:val="bottom"/>
            <w:gridSpan w:val="3"/>
          </w:tcPr>
          <w:p>
            <w:pPr>
              <w:ind w:left="120"/>
              <w:spacing w:after="0"/>
              <w:rPr>
                <w:sz w:val="20"/>
                <w:szCs w:val="20"/>
                <w:color w:val="auto"/>
              </w:rPr>
            </w:pPr>
            <w:r>
              <w:rPr>
                <w:rFonts w:ascii="Arial" w:cs="Arial" w:eastAsia="Arial" w:hAnsi="Arial"/>
                <w:sz w:val="13"/>
                <w:szCs w:val="13"/>
                <w:color w:val="auto"/>
              </w:rPr>
              <w:t>Agreement and Plan of Merger dated as of August 13, 1997 among StemCells, Inc., the Registrant and CTI Acquisition Corp.</w:t>
            </w:r>
          </w:p>
        </w:tc>
        <w:tc>
          <w:tcPr>
            <w:tcW w:w="0" w:type="dxa"/>
            <w:vAlign w:val="bottom"/>
          </w:tcPr>
          <w:p>
            <w:pPr>
              <w:spacing w:after="0"/>
              <w:rPr>
                <w:sz w:val="1"/>
                <w:szCs w:val="1"/>
                <w:color w:val="auto"/>
              </w:rPr>
            </w:pPr>
          </w:p>
        </w:tc>
      </w:tr>
      <w:tr>
        <w:trPr>
          <w:trHeight w:val="442"/>
        </w:trPr>
        <w:tc>
          <w:tcPr>
            <w:tcW w:w="900" w:type="dxa"/>
            <w:vAlign w:val="bottom"/>
          </w:tcPr>
          <w:p>
            <w:pPr>
              <w:ind w:left="100"/>
              <w:spacing w:after="0"/>
              <w:rPr>
                <w:sz w:val="20"/>
                <w:szCs w:val="20"/>
                <w:color w:val="auto"/>
              </w:rPr>
            </w:pPr>
            <w:r>
              <w:rPr>
                <w:rFonts w:ascii="Arial" w:cs="Arial" w:eastAsia="Arial" w:hAnsi="Arial"/>
                <w:sz w:val="13"/>
                <w:szCs w:val="13"/>
                <w:color w:val="auto"/>
              </w:rPr>
              <w:t>10.16***</w:t>
            </w:r>
          </w:p>
        </w:tc>
        <w:tc>
          <w:tcPr>
            <w:tcW w:w="8240" w:type="dxa"/>
            <w:vAlign w:val="bottom"/>
            <w:gridSpan w:val="3"/>
          </w:tcPr>
          <w:p>
            <w:pPr>
              <w:ind w:left="120"/>
              <w:spacing w:after="0"/>
              <w:rPr>
                <w:sz w:val="20"/>
                <w:szCs w:val="20"/>
                <w:color w:val="auto"/>
              </w:rPr>
            </w:pPr>
            <w:r>
              <w:rPr>
                <w:rFonts w:ascii="Arial" w:cs="Arial" w:eastAsia="Arial" w:hAnsi="Arial"/>
                <w:sz w:val="13"/>
                <w:szCs w:val="13"/>
                <w:color w:val="auto"/>
              </w:rPr>
              <w:t>Consulting Agreement dated as of September 25, 1997 between Dr. Irving Weissman and the Registrant.</w:t>
            </w:r>
          </w:p>
        </w:tc>
        <w:tc>
          <w:tcPr>
            <w:tcW w:w="0" w:type="dxa"/>
            <w:vAlign w:val="bottom"/>
          </w:tcPr>
          <w:p>
            <w:pPr>
              <w:spacing w:after="0"/>
              <w:rPr>
                <w:sz w:val="1"/>
                <w:szCs w:val="1"/>
                <w:color w:val="auto"/>
              </w:rPr>
            </w:pPr>
          </w:p>
        </w:tc>
      </w:tr>
      <w:tr>
        <w:trPr>
          <w:trHeight w:val="442"/>
        </w:trPr>
        <w:tc>
          <w:tcPr>
            <w:tcW w:w="900" w:type="dxa"/>
            <w:vAlign w:val="bottom"/>
          </w:tcPr>
          <w:p>
            <w:pPr>
              <w:ind w:left="100"/>
              <w:spacing w:after="0"/>
              <w:rPr>
                <w:sz w:val="20"/>
                <w:szCs w:val="20"/>
                <w:color w:val="auto"/>
              </w:rPr>
            </w:pPr>
            <w:r>
              <w:rPr>
                <w:rFonts w:ascii="Arial" w:cs="Arial" w:eastAsia="Arial" w:hAnsi="Arial"/>
                <w:sz w:val="13"/>
                <w:szCs w:val="13"/>
                <w:color w:val="auto"/>
              </w:rPr>
              <w:t>10.17###</w:t>
            </w:r>
          </w:p>
        </w:tc>
        <w:tc>
          <w:tcPr>
            <w:tcW w:w="8240" w:type="dxa"/>
            <w:vAlign w:val="bottom"/>
            <w:gridSpan w:val="3"/>
          </w:tcPr>
          <w:p>
            <w:pPr>
              <w:ind w:left="120"/>
              <w:spacing w:after="0"/>
              <w:rPr>
                <w:sz w:val="20"/>
                <w:szCs w:val="20"/>
                <w:color w:val="auto"/>
              </w:rPr>
            </w:pPr>
            <w:r>
              <w:rPr>
                <w:rFonts w:ascii="Arial" w:cs="Arial" w:eastAsia="Arial" w:hAnsi="Arial"/>
                <w:sz w:val="13"/>
                <w:szCs w:val="13"/>
                <w:color w:val="auto"/>
              </w:rPr>
              <w:t>Letter Agreement among each of Dr. Irving Weissman and Dr. Fred H. Gage and the Registrant.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847725</wp:posOffset>
            </wp:positionH>
            <wp:positionV relativeFrom="paragraph">
              <wp:posOffset>-8574405</wp:posOffset>
            </wp:positionV>
            <wp:extent cx="6350" cy="635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350" cy="6350"/>
                    </a:xfrm>
                    <a:prstGeom prst="rect">
                      <a:avLst/>
                    </a:prstGeom>
                    <a:noFill/>
                  </pic:spPr>
                </pic:pic>
              </a:graphicData>
            </a:graphic>
          </wp:anchor>
        </w:drawing>
      </w:r>
    </w:p>
    <w:p>
      <w:pPr>
        <w:sectPr>
          <w:pgSz w:w="11900" w:h="16838" w:orient="portrait"/>
          <w:cols w:equalWidth="0" w:num="1">
            <w:col w:w="10320"/>
          </w:cols>
          <w:pgMar w:left="220" w:top="343" w:right="1359" w:bottom="999" w:gutter="0" w:footer="0" w:header="0"/>
        </w:sectPr>
      </w:pPr>
    </w:p>
    <w:p>
      <w:pPr>
        <w:spacing w:after="0" w:line="200" w:lineRule="exact"/>
        <w:rPr>
          <w:sz w:val="20"/>
          <w:szCs w:val="20"/>
          <w:color w:val="auto"/>
        </w:rPr>
      </w:pPr>
    </w:p>
    <w:p>
      <w:pPr>
        <w:spacing w:after="0" w:line="245" w:lineRule="exact"/>
        <w:rPr>
          <w:sz w:val="20"/>
          <w:szCs w:val="20"/>
          <w:color w:val="auto"/>
        </w:rPr>
      </w:pPr>
    </w:p>
    <w:p>
      <w:pPr>
        <w:ind w:left="5620"/>
        <w:spacing w:after="0"/>
        <w:rPr>
          <w:sz w:val="20"/>
          <w:szCs w:val="20"/>
          <w:color w:val="auto"/>
        </w:rPr>
      </w:pPr>
      <w:r>
        <w:rPr>
          <w:rFonts w:ascii="Arial" w:cs="Arial" w:eastAsia="Arial" w:hAnsi="Arial"/>
          <w:sz w:val="10"/>
          <w:szCs w:val="10"/>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128905</wp:posOffset>
            </wp:positionV>
            <wp:extent cx="7290435" cy="1905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320"/>
          </w:cols>
          <w:pgMar w:left="220" w:top="343" w:right="1359" w:bottom="999" w:gutter="0" w:footer="0" w:header="0"/>
          <w:type w:val="continuous"/>
        </w:sectPr>
      </w:pPr>
    </w:p>
    <w:bookmarkStart w:id="71" w:name="page72"/>
    <w:bookmarkEnd w:id="7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2100" w:type="dxa"/>
            <w:vAlign w:val="bottom"/>
          </w:tcPr>
          <w:p>
            <w:pPr>
              <w:ind w:left="1180"/>
              <w:spacing w:after="0"/>
              <w:rPr>
                <w:sz w:val="20"/>
                <w:szCs w:val="20"/>
                <w:color w:val="auto"/>
              </w:rPr>
            </w:pPr>
            <w:r>
              <w:rPr>
                <w:rFonts w:ascii="Arial" w:cs="Arial" w:eastAsia="Arial" w:hAnsi="Arial"/>
                <w:sz w:val="10"/>
                <w:szCs w:val="10"/>
                <w:b w:val="1"/>
                <w:bCs w:val="1"/>
                <w:color w:val="auto"/>
              </w:rPr>
              <w:t>Exhibit</w:t>
            </w:r>
          </w:p>
        </w:tc>
        <w:tc>
          <w:tcPr>
            <w:tcW w:w="4280" w:type="dxa"/>
            <w:vAlign w:val="bottom"/>
          </w:tcPr>
          <w:p>
            <w:pPr>
              <w:spacing w:after="0"/>
              <w:rPr>
                <w:sz w:val="10"/>
                <w:szCs w:val="10"/>
                <w:color w:val="auto"/>
              </w:rPr>
            </w:pPr>
          </w:p>
        </w:tc>
        <w:tc>
          <w:tcPr>
            <w:tcW w:w="5080" w:type="dxa"/>
            <w:vAlign w:val="bottom"/>
            <w:gridSpan w:val="2"/>
            <w:vMerge w:val="restart"/>
          </w:tcPr>
          <w:p>
            <w:pPr>
              <w:ind w:left="20"/>
              <w:spacing w:after="0"/>
              <w:rPr>
                <w:sz w:val="20"/>
                <w:szCs w:val="20"/>
                <w:color w:val="auto"/>
              </w:rPr>
            </w:pPr>
            <w:r>
              <w:rPr>
                <w:rFonts w:ascii="Arial" w:cs="Arial" w:eastAsia="Arial" w:hAnsi="Arial"/>
                <w:sz w:val="10"/>
                <w:szCs w:val="10"/>
                <w:b w:val="1"/>
                <w:bCs w:val="1"/>
                <w:color w:val="auto"/>
              </w:rPr>
              <w:t>Title or Description</w:t>
            </w:r>
          </w:p>
        </w:tc>
        <w:tc>
          <w:tcPr>
            <w:tcW w:w="0" w:type="dxa"/>
            <w:vAlign w:val="bottom"/>
          </w:tcPr>
          <w:p>
            <w:pPr>
              <w:spacing w:after="0"/>
              <w:rPr>
                <w:sz w:val="1"/>
                <w:szCs w:val="1"/>
                <w:color w:val="auto"/>
              </w:rPr>
            </w:pPr>
          </w:p>
        </w:tc>
      </w:tr>
      <w:tr>
        <w:trPr>
          <w:trHeight w:val="135"/>
        </w:trPr>
        <w:tc>
          <w:tcPr>
            <w:tcW w:w="2100" w:type="dxa"/>
            <w:vAlign w:val="bottom"/>
          </w:tcPr>
          <w:p>
            <w:pPr>
              <w:ind w:left="1340"/>
              <w:spacing w:after="0"/>
              <w:rPr>
                <w:sz w:val="20"/>
                <w:szCs w:val="20"/>
                <w:color w:val="auto"/>
              </w:rPr>
            </w:pPr>
            <w:r>
              <w:rPr>
                <w:rFonts w:ascii="Arial" w:cs="Arial" w:eastAsia="Arial" w:hAnsi="Arial"/>
                <w:sz w:val="10"/>
                <w:szCs w:val="10"/>
                <w:b w:val="1"/>
                <w:bCs w:val="1"/>
                <w:color w:val="auto"/>
              </w:rPr>
              <w:t>No.</w:t>
            </w:r>
          </w:p>
        </w:tc>
        <w:tc>
          <w:tcPr>
            <w:tcW w:w="4280" w:type="dxa"/>
            <w:vAlign w:val="bottom"/>
          </w:tcPr>
          <w:p>
            <w:pPr>
              <w:spacing w:after="0"/>
              <w:rPr>
                <w:sz w:val="11"/>
                <w:szCs w:val="11"/>
                <w:color w:val="auto"/>
              </w:rPr>
            </w:pPr>
          </w:p>
        </w:tc>
        <w:tc>
          <w:tcPr>
            <w:tcW w:w="508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2100" w:type="dxa"/>
            <w:vAlign w:val="bottom"/>
          </w:tcPr>
          <w:p>
            <w:pPr>
              <w:ind w:left="1280"/>
              <w:spacing w:after="0"/>
              <w:rPr>
                <w:sz w:val="20"/>
                <w:szCs w:val="20"/>
                <w:color w:val="auto"/>
              </w:rPr>
            </w:pPr>
            <w:r>
              <w:rPr>
                <w:rFonts w:ascii="Arial" w:cs="Arial" w:eastAsia="Arial" w:hAnsi="Arial"/>
                <w:sz w:val="13"/>
                <w:szCs w:val="13"/>
                <w:color w:val="auto"/>
              </w:rPr>
              <w:t>10.18****</w:t>
            </w:r>
          </w:p>
        </w:tc>
        <w:tc>
          <w:tcPr>
            <w:tcW w:w="4280" w:type="dxa"/>
            <w:vAlign w:val="bottom"/>
          </w:tcPr>
          <w:p>
            <w:pPr>
              <w:ind w:left="100"/>
              <w:spacing w:after="0"/>
              <w:rPr>
                <w:sz w:val="20"/>
                <w:szCs w:val="20"/>
                <w:color w:val="auto"/>
              </w:rPr>
            </w:pPr>
            <w:r>
              <w:rPr>
                <w:rFonts w:ascii="Arial" w:cs="Arial" w:eastAsia="Arial" w:hAnsi="Arial"/>
                <w:sz w:val="13"/>
                <w:szCs w:val="13"/>
                <w:color w:val="auto"/>
              </w:rPr>
              <w:t>StemCells, Inc. 1996 Stock Option Plan.</w:t>
            </w:r>
          </w:p>
        </w:tc>
        <w:tc>
          <w:tcPr>
            <w:tcW w:w="100" w:type="dxa"/>
            <w:vAlign w:val="bottom"/>
            <w:tcBorders>
              <w:top w:val="single" w:sz="8" w:color="auto"/>
            </w:tcBorders>
          </w:tcPr>
          <w:p>
            <w:pPr>
              <w:spacing w:after="0"/>
              <w:rPr>
                <w:sz w:val="16"/>
                <w:szCs w:val="16"/>
                <w:color w:val="auto"/>
              </w:rPr>
            </w:pPr>
          </w:p>
        </w:tc>
        <w:tc>
          <w:tcPr>
            <w:tcW w:w="4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2"/>
        </w:trPr>
        <w:tc>
          <w:tcPr>
            <w:tcW w:w="2100" w:type="dxa"/>
            <w:vAlign w:val="bottom"/>
          </w:tcPr>
          <w:p>
            <w:pPr>
              <w:ind w:left="1280"/>
              <w:spacing w:after="0"/>
              <w:rPr>
                <w:sz w:val="20"/>
                <w:szCs w:val="20"/>
                <w:color w:val="auto"/>
              </w:rPr>
            </w:pPr>
            <w:r>
              <w:rPr>
                <w:rFonts w:ascii="Arial" w:cs="Arial" w:eastAsia="Arial" w:hAnsi="Arial"/>
                <w:sz w:val="13"/>
                <w:szCs w:val="13"/>
                <w:color w:val="auto"/>
              </w:rPr>
              <w:t>10.19****</w:t>
            </w:r>
          </w:p>
        </w:tc>
        <w:tc>
          <w:tcPr>
            <w:tcW w:w="9360" w:type="dxa"/>
            <w:vAlign w:val="bottom"/>
            <w:gridSpan w:val="3"/>
          </w:tcPr>
          <w:p>
            <w:pPr>
              <w:ind w:left="100"/>
              <w:spacing w:after="0"/>
              <w:rPr>
                <w:sz w:val="20"/>
                <w:szCs w:val="20"/>
                <w:color w:val="auto"/>
              </w:rPr>
            </w:pPr>
            <w:r>
              <w:rPr>
                <w:rFonts w:ascii="Arial" w:cs="Arial" w:eastAsia="Arial" w:hAnsi="Arial"/>
                <w:sz w:val="13"/>
                <w:szCs w:val="13"/>
                <w:color w:val="auto"/>
              </w:rPr>
              <w:t>1997 StemCells Research Stock Option Plan (the “1997 Plan”)</w:t>
            </w:r>
          </w:p>
        </w:tc>
        <w:tc>
          <w:tcPr>
            <w:tcW w:w="0" w:type="dxa"/>
            <w:vAlign w:val="bottom"/>
          </w:tcPr>
          <w:p>
            <w:pPr>
              <w:spacing w:after="0"/>
              <w:rPr>
                <w:sz w:val="1"/>
                <w:szCs w:val="1"/>
                <w:color w:val="auto"/>
              </w:rPr>
            </w:pPr>
          </w:p>
        </w:tc>
      </w:tr>
      <w:tr>
        <w:trPr>
          <w:trHeight w:val="442"/>
        </w:trPr>
        <w:tc>
          <w:tcPr>
            <w:tcW w:w="2100" w:type="dxa"/>
            <w:vAlign w:val="bottom"/>
          </w:tcPr>
          <w:p>
            <w:pPr>
              <w:ind w:left="1280"/>
              <w:spacing w:after="0"/>
              <w:rPr>
                <w:sz w:val="20"/>
                <w:szCs w:val="20"/>
                <w:color w:val="auto"/>
              </w:rPr>
            </w:pPr>
            <w:r>
              <w:rPr>
                <w:rFonts w:ascii="Arial" w:cs="Arial" w:eastAsia="Arial" w:hAnsi="Arial"/>
                <w:sz w:val="13"/>
                <w:szCs w:val="13"/>
                <w:color w:val="auto"/>
              </w:rPr>
              <w:t>10.20****</w:t>
            </w:r>
          </w:p>
        </w:tc>
        <w:tc>
          <w:tcPr>
            <w:tcW w:w="9360" w:type="dxa"/>
            <w:vAlign w:val="bottom"/>
            <w:gridSpan w:val="3"/>
          </w:tcPr>
          <w:p>
            <w:pPr>
              <w:ind w:left="100"/>
              <w:spacing w:after="0"/>
              <w:rPr>
                <w:sz w:val="20"/>
                <w:szCs w:val="20"/>
                <w:color w:val="auto"/>
              </w:rPr>
            </w:pPr>
            <w:r>
              <w:rPr>
                <w:rFonts w:ascii="Arial" w:cs="Arial" w:eastAsia="Arial" w:hAnsi="Arial"/>
                <w:sz w:val="13"/>
                <w:szCs w:val="13"/>
                <w:color w:val="auto"/>
              </w:rPr>
              <w:t>Form of Performance-Based Incentive Option Agreement issued under the 1997 Plan.</w:t>
            </w:r>
          </w:p>
        </w:tc>
        <w:tc>
          <w:tcPr>
            <w:tcW w:w="0" w:type="dxa"/>
            <w:vAlign w:val="bottom"/>
          </w:tcPr>
          <w:p>
            <w:pPr>
              <w:spacing w:after="0"/>
              <w:rPr>
                <w:sz w:val="1"/>
                <w:szCs w:val="1"/>
                <w:color w:val="auto"/>
              </w:rPr>
            </w:pPr>
          </w:p>
        </w:tc>
      </w:tr>
      <w:tr>
        <w:trPr>
          <w:trHeight w:val="442"/>
        </w:trPr>
        <w:tc>
          <w:tcPr>
            <w:tcW w:w="2100" w:type="dxa"/>
            <w:vAlign w:val="bottom"/>
          </w:tcPr>
          <w:p>
            <w:pPr>
              <w:ind w:left="1280"/>
              <w:spacing w:after="0"/>
              <w:rPr>
                <w:sz w:val="20"/>
                <w:szCs w:val="20"/>
                <w:color w:val="auto"/>
              </w:rPr>
            </w:pPr>
            <w:r>
              <w:rPr>
                <w:rFonts w:ascii="Arial" w:cs="Arial" w:eastAsia="Arial" w:hAnsi="Arial"/>
                <w:sz w:val="13"/>
                <w:szCs w:val="13"/>
                <w:color w:val="auto"/>
              </w:rPr>
              <w:t>10.21{*}</w:t>
            </w:r>
          </w:p>
        </w:tc>
        <w:tc>
          <w:tcPr>
            <w:tcW w:w="9360" w:type="dxa"/>
            <w:vAlign w:val="bottom"/>
            <w:gridSpan w:val="3"/>
          </w:tcPr>
          <w:p>
            <w:pPr>
              <w:ind w:left="100"/>
              <w:spacing w:after="0"/>
              <w:rPr>
                <w:sz w:val="20"/>
                <w:szCs w:val="20"/>
                <w:color w:val="auto"/>
              </w:rPr>
            </w:pPr>
            <w:r>
              <w:rPr>
                <w:rFonts w:ascii="Arial" w:cs="Arial" w:eastAsia="Arial" w:hAnsi="Arial"/>
                <w:sz w:val="13"/>
                <w:szCs w:val="13"/>
                <w:color w:val="auto"/>
              </w:rPr>
              <w:t>Rights Agreement, dated as of July 27, 1998 between Bank Boston, N.A. as Rights Agent and the Registrant.</w:t>
            </w:r>
          </w:p>
        </w:tc>
        <w:tc>
          <w:tcPr>
            <w:tcW w:w="0" w:type="dxa"/>
            <w:vAlign w:val="bottom"/>
          </w:tcPr>
          <w:p>
            <w:pPr>
              <w:spacing w:after="0"/>
              <w:rPr>
                <w:sz w:val="1"/>
                <w:szCs w:val="1"/>
                <w:color w:val="auto"/>
              </w:rPr>
            </w:pPr>
          </w:p>
        </w:tc>
      </w:tr>
      <w:tr>
        <w:trPr>
          <w:trHeight w:val="442"/>
        </w:trPr>
        <w:tc>
          <w:tcPr>
            <w:tcW w:w="2100" w:type="dxa"/>
            <w:vAlign w:val="bottom"/>
          </w:tcPr>
          <w:p>
            <w:pPr>
              <w:ind w:left="1280"/>
              <w:spacing w:after="0"/>
              <w:rPr>
                <w:sz w:val="20"/>
                <w:szCs w:val="20"/>
                <w:color w:val="auto"/>
              </w:rPr>
            </w:pPr>
            <w:r>
              <w:rPr>
                <w:rFonts w:ascii="Arial" w:cs="Arial" w:eastAsia="Arial" w:hAnsi="Arial"/>
                <w:sz w:val="13"/>
                <w:szCs w:val="13"/>
                <w:color w:val="auto"/>
              </w:rPr>
              <w:t>10.22$**</w:t>
            </w:r>
          </w:p>
        </w:tc>
        <w:tc>
          <w:tcPr>
            <w:tcW w:w="9360" w:type="dxa"/>
            <w:vAlign w:val="bottom"/>
            <w:gridSpan w:val="3"/>
          </w:tcPr>
          <w:p>
            <w:pPr>
              <w:ind w:left="100"/>
              <w:spacing w:after="0"/>
              <w:rPr>
                <w:sz w:val="20"/>
                <w:szCs w:val="20"/>
                <w:color w:val="auto"/>
              </w:rPr>
            </w:pPr>
            <w:r>
              <w:rPr>
                <w:rFonts w:ascii="Arial" w:cs="Arial" w:eastAsia="Arial" w:hAnsi="Arial"/>
                <w:sz w:val="13"/>
                <w:szCs w:val="13"/>
                <w:color w:val="auto"/>
              </w:rPr>
              <w:t>License Agreement dated as of October 27, 1998 between The Scripps Research Institute and the Registrant.</w:t>
            </w:r>
          </w:p>
        </w:tc>
        <w:tc>
          <w:tcPr>
            <w:tcW w:w="0" w:type="dxa"/>
            <w:vAlign w:val="bottom"/>
          </w:tcPr>
          <w:p>
            <w:pPr>
              <w:spacing w:after="0"/>
              <w:rPr>
                <w:sz w:val="1"/>
                <w:szCs w:val="1"/>
                <w:color w:val="auto"/>
              </w:rPr>
            </w:pPr>
          </w:p>
        </w:tc>
      </w:tr>
      <w:tr>
        <w:trPr>
          <w:trHeight w:val="442"/>
        </w:trPr>
        <w:tc>
          <w:tcPr>
            <w:tcW w:w="2100" w:type="dxa"/>
            <w:vAlign w:val="bottom"/>
          </w:tcPr>
          <w:p>
            <w:pPr>
              <w:ind w:left="1280"/>
              <w:spacing w:after="0"/>
              <w:rPr>
                <w:sz w:val="20"/>
                <w:szCs w:val="20"/>
                <w:color w:val="auto"/>
              </w:rPr>
            </w:pPr>
            <w:r>
              <w:rPr>
                <w:rFonts w:ascii="Arial" w:cs="Arial" w:eastAsia="Arial" w:hAnsi="Arial"/>
                <w:sz w:val="13"/>
                <w:szCs w:val="13"/>
                <w:color w:val="auto"/>
              </w:rPr>
              <w:t>10.23$**</w:t>
            </w:r>
          </w:p>
        </w:tc>
        <w:tc>
          <w:tcPr>
            <w:tcW w:w="9360" w:type="dxa"/>
            <w:vAlign w:val="bottom"/>
            <w:gridSpan w:val="3"/>
          </w:tcPr>
          <w:p>
            <w:pPr>
              <w:ind w:left="100"/>
              <w:spacing w:after="0"/>
              <w:rPr>
                <w:sz w:val="20"/>
                <w:szCs w:val="20"/>
                <w:color w:val="auto"/>
              </w:rPr>
            </w:pPr>
            <w:r>
              <w:rPr>
                <w:rFonts w:ascii="Arial" w:cs="Arial" w:eastAsia="Arial" w:hAnsi="Arial"/>
                <w:sz w:val="13"/>
                <w:szCs w:val="13"/>
                <w:color w:val="auto"/>
              </w:rPr>
              <w:t>License Agreement dated as of October 27, 1998 between The Scripps Research Institute and the Registrant.</w:t>
            </w:r>
          </w:p>
        </w:tc>
        <w:tc>
          <w:tcPr>
            <w:tcW w:w="0" w:type="dxa"/>
            <w:vAlign w:val="bottom"/>
          </w:tcPr>
          <w:p>
            <w:pPr>
              <w:spacing w:after="0"/>
              <w:rPr>
                <w:sz w:val="1"/>
                <w:szCs w:val="1"/>
                <w:color w:val="auto"/>
              </w:rPr>
            </w:pPr>
          </w:p>
        </w:tc>
      </w:tr>
      <w:tr>
        <w:trPr>
          <w:trHeight w:val="442"/>
        </w:trPr>
        <w:tc>
          <w:tcPr>
            <w:tcW w:w="2100" w:type="dxa"/>
            <w:vAlign w:val="bottom"/>
          </w:tcPr>
          <w:p>
            <w:pPr>
              <w:ind w:left="1280"/>
              <w:spacing w:after="0"/>
              <w:rPr>
                <w:sz w:val="20"/>
                <w:szCs w:val="20"/>
                <w:color w:val="auto"/>
              </w:rPr>
            </w:pPr>
            <w:r>
              <w:rPr>
                <w:rFonts w:ascii="Arial" w:cs="Arial" w:eastAsia="Arial" w:hAnsi="Arial"/>
                <w:sz w:val="13"/>
                <w:szCs w:val="13"/>
                <w:color w:val="auto"/>
              </w:rPr>
              <w:t>10.24$**</w:t>
            </w:r>
          </w:p>
        </w:tc>
        <w:tc>
          <w:tcPr>
            <w:tcW w:w="9360" w:type="dxa"/>
            <w:vAlign w:val="bottom"/>
            <w:gridSpan w:val="3"/>
          </w:tcPr>
          <w:p>
            <w:pPr>
              <w:ind w:left="100"/>
              <w:spacing w:after="0"/>
              <w:rPr>
                <w:sz w:val="20"/>
                <w:szCs w:val="20"/>
                <w:color w:val="auto"/>
              </w:rPr>
            </w:pPr>
            <w:r>
              <w:rPr>
                <w:rFonts w:ascii="Arial" w:cs="Arial" w:eastAsia="Arial" w:hAnsi="Arial"/>
                <w:sz w:val="13"/>
                <w:szCs w:val="13"/>
                <w:color w:val="auto"/>
              </w:rPr>
              <w:t>License Agreement dated as of November 20, 1998 between The Scripps Research Institute and the Registrant.</w:t>
            </w:r>
          </w:p>
        </w:tc>
        <w:tc>
          <w:tcPr>
            <w:tcW w:w="0" w:type="dxa"/>
            <w:vAlign w:val="bottom"/>
          </w:tcPr>
          <w:p>
            <w:pPr>
              <w:spacing w:after="0"/>
              <w:rPr>
                <w:sz w:val="1"/>
                <w:szCs w:val="1"/>
                <w:color w:val="auto"/>
              </w:rPr>
            </w:pPr>
          </w:p>
        </w:tc>
      </w:tr>
      <w:tr>
        <w:trPr>
          <w:trHeight w:val="442"/>
        </w:trPr>
        <w:tc>
          <w:tcPr>
            <w:tcW w:w="2100" w:type="dxa"/>
            <w:vAlign w:val="bottom"/>
          </w:tcPr>
          <w:p>
            <w:pPr>
              <w:ind w:left="1280"/>
              <w:spacing w:after="0"/>
              <w:rPr>
                <w:sz w:val="20"/>
                <w:szCs w:val="20"/>
                <w:color w:val="auto"/>
              </w:rPr>
            </w:pPr>
            <w:r>
              <w:rPr>
                <w:rFonts w:ascii="Arial" w:cs="Arial" w:eastAsia="Arial" w:hAnsi="Arial"/>
                <w:sz w:val="13"/>
                <w:szCs w:val="13"/>
                <w:color w:val="auto"/>
              </w:rPr>
              <w:t>10.25$$**</w:t>
            </w:r>
          </w:p>
        </w:tc>
        <w:tc>
          <w:tcPr>
            <w:tcW w:w="9360" w:type="dxa"/>
            <w:vAlign w:val="bottom"/>
            <w:gridSpan w:val="3"/>
          </w:tcPr>
          <w:p>
            <w:pPr>
              <w:ind w:left="100"/>
              <w:spacing w:after="0"/>
              <w:rPr>
                <w:sz w:val="20"/>
                <w:szCs w:val="20"/>
                <w:color w:val="auto"/>
              </w:rPr>
            </w:pPr>
            <w:r>
              <w:rPr>
                <w:rFonts w:ascii="Arial" w:cs="Arial" w:eastAsia="Arial" w:hAnsi="Arial"/>
                <w:sz w:val="13"/>
                <w:szCs w:val="13"/>
                <w:color w:val="auto"/>
              </w:rPr>
              <w:t>Purchase Agreement and License Agreement dated as of December 29, 1999 between Neurotech S.A. and the Registrant.</w:t>
            </w:r>
          </w:p>
        </w:tc>
        <w:tc>
          <w:tcPr>
            <w:tcW w:w="0" w:type="dxa"/>
            <w:vAlign w:val="bottom"/>
          </w:tcPr>
          <w:p>
            <w:pPr>
              <w:spacing w:after="0"/>
              <w:rPr>
                <w:sz w:val="1"/>
                <w:szCs w:val="1"/>
                <w:color w:val="auto"/>
              </w:rPr>
            </w:pPr>
          </w:p>
        </w:tc>
      </w:tr>
      <w:tr>
        <w:trPr>
          <w:trHeight w:val="442"/>
        </w:trPr>
        <w:tc>
          <w:tcPr>
            <w:tcW w:w="2100" w:type="dxa"/>
            <w:vAlign w:val="bottom"/>
          </w:tcPr>
          <w:p>
            <w:pPr>
              <w:ind w:left="1280"/>
              <w:spacing w:after="0"/>
              <w:rPr>
                <w:sz w:val="20"/>
                <w:szCs w:val="20"/>
                <w:color w:val="auto"/>
              </w:rPr>
            </w:pPr>
            <w:r>
              <w:rPr>
                <w:rFonts w:ascii="Arial" w:cs="Arial" w:eastAsia="Arial" w:hAnsi="Arial"/>
                <w:sz w:val="13"/>
                <w:szCs w:val="13"/>
                <w:color w:val="auto"/>
              </w:rPr>
              <w:t>10.26++++**</w:t>
            </w:r>
          </w:p>
        </w:tc>
        <w:tc>
          <w:tcPr>
            <w:tcW w:w="9360" w:type="dxa"/>
            <w:vAlign w:val="bottom"/>
            <w:gridSpan w:val="3"/>
          </w:tcPr>
          <w:p>
            <w:pPr>
              <w:ind w:left="100"/>
              <w:spacing w:after="0"/>
              <w:rPr>
                <w:sz w:val="20"/>
                <w:szCs w:val="20"/>
                <w:color w:val="auto"/>
              </w:rPr>
            </w:pPr>
            <w:r>
              <w:rPr>
                <w:rFonts w:ascii="Arial" w:cs="Arial" w:eastAsia="Arial" w:hAnsi="Arial"/>
                <w:sz w:val="13"/>
                <w:szCs w:val="13"/>
                <w:color w:val="auto"/>
              </w:rPr>
              <w:t>License Agreement dated as of June 1999 between The Scripps Research Institute and the Registrant.</w:t>
            </w:r>
          </w:p>
        </w:tc>
        <w:tc>
          <w:tcPr>
            <w:tcW w:w="0" w:type="dxa"/>
            <w:vAlign w:val="bottom"/>
          </w:tcPr>
          <w:p>
            <w:pPr>
              <w:spacing w:after="0"/>
              <w:rPr>
                <w:sz w:val="1"/>
                <w:szCs w:val="1"/>
                <w:color w:val="auto"/>
              </w:rPr>
            </w:pPr>
          </w:p>
        </w:tc>
      </w:tr>
      <w:tr>
        <w:trPr>
          <w:trHeight w:val="442"/>
        </w:trPr>
        <w:tc>
          <w:tcPr>
            <w:tcW w:w="2100" w:type="dxa"/>
            <w:vAlign w:val="bottom"/>
          </w:tcPr>
          <w:p>
            <w:pPr>
              <w:ind w:left="1280"/>
              <w:spacing w:after="0"/>
              <w:rPr>
                <w:sz w:val="20"/>
                <w:szCs w:val="20"/>
                <w:color w:val="auto"/>
              </w:rPr>
            </w:pPr>
            <w:r>
              <w:rPr>
                <w:rFonts w:ascii="Arial" w:cs="Arial" w:eastAsia="Arial" w:hAnsi="Arial"/>
                <w:sz w:val="13"/>
                <w:szCs w:val="13"/>
                <w:color w:val="auto"/>
              </w:rPr>
              <w:t>10.27++++**</w:t>
            </w:r>
          </w:p>
        </w:tc>
        <w:tc>
          <w:tcPr>
            <w:tcW w:w="9360" w:type="dxa"/>
            <w:vAlign w:val="bottom"/>
            <w:gridSpan w:val="3"/>
          </w:tcPr>
          <w:p>
            <w:pPr>
              <w:ind w:left="100"/>
              <w:spacing w:after="0"/>
              <w:rPr>
                <w:sz w:val="20"/>
                <w:szCs w:val="20"/>
                <w:color w:val="auto"/>
              </w:rPr>
            </w:pPr>
            <w:r>
              <w:rPr>
                <w:rFonts w:ascii="Arial" w:cs="Arial" w:eastAsia="Arial" w:hAnsi="Arial"/>
                <w:sz w:val="13"/>
                <w:szCs w:val="13"/>
                <w:color w:val="auto"/>
              </w:rPr>
              <w:t>License Agreement dated as of June 1999 between The Scripps Research Institute and the Registrant.</w:t>
            </w:r>
          </w:p>
        </w:tc>
        <w:tc>
          <w:tcPr>
            <w:tcW w:w="0" w:type="dxa"/>
            <w:vAlign w:val="bottom"/>
          </w:tcPr>
          <w:p>
            <w:pPr>
              <w:spacing w:after="0"/>
              <w:rPr>
                <w:sz w:val="1"/>
                <w:szCs w:val="1"/>
                <w:color w:val="auto"/>
              </w:rPr>
            </w:pPr>
          </w:p>
        </w:tc>
      </w:tr>
      <w:tr>
        <w:trPr>
          <w:trHeight w:val="442"/>
        </w:trPr>
        <w:tc>
          <w:tcPr>
            <w:tcW w:w="2100" w:type="dxa"/>
            <w:vAlign w:val="bottom"/>
          </w:tcPr>
          <w:p>
            <w:pPr>
              <w:ind w:left="1280"/>
              <w:spacing w:after="0"/>
              <w:rPr>
                <w:sz w:val="20"/>
                <w:szCs w:val="20"/>
                <w:color w:val="auto"/>
              </w:rPr>
            </w:pPr>
            <w:r>
              <w:rPr>
                <w:rFonts w:ascii="Arial" w:cs="Arial" w:eastAsia="Arial" w:hAnsi="Arial"/>
                <w:sz w:val="13"/>
                <w:szCs w:val="13"/>
                <w:color w:val="auto"/>
              </w:rPr>
              <w:t>10.28X</w:t>
            </w:r>
          </w:p>
        </w:tc>
        <w:tc>
          <w:tcPr>
            <w:tcW w:w="9360" w:type="dxa"/>
            <w:vAlign w:val="bottom"/>
            <w:gridSpan w:val="3"/>
          </w:tcPr>
          <w:p>
            <w:pPr>
              <w:ind w:left="100"/>
              <w:spacing w:after="0"/>
              <w:rPr>
                <w:sz w:val="20"/>
                <w:szCs w:val="20"/>
                <w:color w:val="auto"/>
              </w:rPr>
            </w:pPr>
            <w:r>
              <w:rPr>
                <w:rFonts w:ascii="Arial" w:cs="Arial" w:eastAsia="Arial" w:hAnsi="Arial"/>
                <w:sz w:val="13"/>
                <w:szCs w:val="13"/>
                <w:color w:val="auto"/>
              </w:rPr>
              <w:t>Form of Registration Rights Agreement dated as of July 31, 2000 between the Registrant and investors.</w:t>
            </w:r>
          </w:p>
        </w:tc>
        <w:tc>
          <w:tcPr>
            <w:tcW w:w="0" w:type="dxa"/>
            <w:vAlign w:val="bottom"/>
          </w:tcPr>
          <w:p>
            <w:pPr>
              <w:spacing w:after="0"/>
              <w:rPr>
                <w:sz w:val="1"/>
                <w:szCs w:val="1"/>
                <w:color w:val="auto"/>
              </w:rPr>
            </w:pPr>
          </w:p>
        </w:tc>
      </w:tr>
      <w:tr>
        <w:trPr>
          <w:trHeight w:val="442"/>
        </w:trPr>
        <w:tc>
          <w:tcPr>
            <w:tcW w:w="2100" w:type="dxa"/>
            <w:vAlign w:val="bottom"/>
          </w:tcPr>
          <w:p>
            <w:pPr>
              <w:ind w:left="1280"/>
              <w:spacing w:after="0"/>
              <w:rPr>
                <w:sz w:val="20"/>
                <w:szCs w:val="20"/>
                <w:color w:val="auto"/>
              </w:rPr>
            </w:pPr>
            <w:r>
              <w:rPr>
                <w:rFonts w:ascii="Arial" w:cs="Arial" w:eastAsia="Arial" w:hAnsi="Arial"/>
                <w:sz w:val="13"/>
                <w:szCs w:val="13"/>
                <w:color w:val="auto"/>
              </w:rPr>
              <w:t>10.29X</w:t>
            </w:r>
          </w:p>
        </w:tc>
        <w:tc>
          <w:tcPr>
            <w:tcW w:w="9360" w:type="dxa"/>
            <w:vAlign w:val="bottom"/>
            <w:gridSpan w:val="3"/>
          </w:tcPr>
          <w:p>
            <w:pPr>
              <w:ind w:left="100"/>
              <w:spacing w:after="0"/>
              <w:rPr>
                <w:sz w:val="20"/>
                <w:szCs w:val="20"/>
                <w:color w:val="auto"/>
              </w:rPr>
            </w:pPr>
            <w:r>
              <w:rPr>
                <w:rFonts w:ascii="Arial" w:cs="Arial" w:eastAsia="Arial" w:hAnsi="Arial"/>
                <w:sz w:val="13"/>
                <w:szCs w:val="13"/>
                <w:color w:val="auto"/>
              </w:rPr>
              <w:t>Subscription Agreement dated as of July 31, 2000 between the Registrant and Millennium Partners, L.P.</w:t>
            </w:r>
          </w:p>
        </w:tc>
        <w:tc>
          <w:tcPr>
            <w:tcW w:w="0" w:type="dxa"/>
            <w:vAlign w:val="bottom"/>
          </w:tcPr>
          <w:p>
            <w:pPr>
              <w:spacing w:after="0"/>
              <w:rPr>
                <w:sz w:val="1"/>
                <w:szCs w:val="1"/>
                <w:color w:val="auto"/>
              </w:rPr>
            </w:pPr>
          </w:p>
        </w:tc>
      </w:tr>
      <w:tr>
        <w:trPr>
          <w:trHeight w:val="442"/>
        </w:trPr>
        <w:tc>
          <w:tcPr>
            <w:tcW w:w="2100" w:type="dxa"/>
            <w:vAlign w:val="bottom"/>
          </w:tcPr>
          <w:p>
            <w:pPr>
              <w:ind w:left="1280"/>
              <w:spacing w:after="0"/>
              <w:rPr>
                <w:sz w:val="20"/>
                <w:szCs w:val="20"/>
                <w:color w:val="auto"/>
              </w:rPr>
            </w:pPr>
            <w:r>
              <w:rPr>
                <w:rFonts w:ascii="Arial" w:cs="Arial" w:eastAsia="Arial" w:hAnsi="Arial"/>
                <w:sz w:val="13"/>
                <w:szCs w:val="13"/>
                <w:color w:val="auto"/>
              </w:rPr>
              <w:t>10.30XX</w:t>
            </w:r>
          </w:p>
        </w:tc>
        <w:tc>
          <w:tcPr>
            <w:tcW w:w="9360" w:type="dxa"/>
            <w:vAlign w:val="bottom"/>
            <w:gridSpan w:val="3"/>
          </w:tcPr>
          <w:p>
            <w:pPr>
              <w:ind w:left="100"/>
              <w:spacing w:after="0"/>
              <w:rPr>
                <w:sz w:val="20"/>
                <w:szCs w:val="20"/>
                <w:color w:val="auto"/>
              </w:rPr>
            </w:pPr>
            <w:r>
              <w:rPr>
                <w:rFonts w:ascii="Arial" w:cs="Arial" w:eastAsia="Arial" w:hAnsi="Arial"/>
                <w:sz w:val="13"/>
                <w:szCs w:val="13"/>
                <w:color w:val="auto"/>
              </w:rPr>
              <w:t>License Agreement, dated as of October 30, 2000, between the Registrant and NeuroSpheres Ltd.</w:t>
            </w:r>
          </w:p>
        </w:tc>
        <w:tc>
          <w:tcPr>
            <w:tcW w:w="0" w:type="dxa"/>
            <w:vAlign w:val="bottom"/>
          </w:tcPr>
          <w:p>
            <w:pPr>
              <w:spacing w:after="0"/>
              <w:rPr>
                <w:sz w:val="1"/>
                <w:szCs w:val="1"/>
                <w:color w:val="auto"/>
              </w:rPr>
            </w:pPr>
          </w:p>
        </w:tc>
      </w:tr>
      <w:tr>
        <w:trPr>
          <w:trHeight w:val="442"/>
        </w:trPr>
        <w:tc>
          <w:tcPr>
            <w:tcW w:w="2100" w:type="dxa"/>
            <w:vAlign w:val="bottom"/>
          </w:tcPr>
          <w:p>
            <w:pPr>
              <w:ind w:left="1280"/>
              <w:spacing w:after="0"/>
              <w:rPr>
                <w:sz w:val="20"/>
                <w:szCs w:val="20"/>
                <w:color w:val="auto"/>
              </w:rPr>
            </w:pPr>
            <w:r>
              <w:rPr>
                <w:rFonts w:ascii="Arial" w:cs="Arial" w:eastAsia="Arial" w:hAnsi="Arial"/>
                <w:sz w:val="13"/>
                <w:szCs w:val="13"/>
                <w:color w:val="auto"/>
              </w:rPr>
              <w:t>10.31XX</w:t>
            </w:r>
          </w:p>
        </w:tc>
        <w:tc>
          <w:tcPr>
            <w:tcW w:w="9360" w:type="dxa"/>
            <w:vAlign w:val="bottom"/>
            <w:gridSpan w:val="3"/>
          </w:tcPr>
          <w:p>
            <w:pPr>
              <w:ind w:left="100"/>
              <w:spacing w:after="0"/>
              <w:rPr>
                <w:sz w:val="20"/>
                <w:szCs w:val="20"/>
                <w:color w:val="auto"/>
              </w:rPr>
            </w:pPr>
            <w:r>
              <w:rPr>
                <w:rFonts w:ascii="Arial" w:cs="Arial" w:eastAsia="Arial" w:hAnsi="Arial"/>
                <w:sz w:val="13"/>
                <w:szCs w:val="13"/>
                <w:color w:val="auto"/>
              </w:rPr>
              <w:t>Letter Agreement, dated January 2, 2001, between the Registrant and Martin McGlynn</w:t>
            </w:r>
          </w:p>
        </w:tc>
        <w:tc>
          <w:tcPr>
            <w:tcW w:w="0" w:type="dxa"/>
            <w:vAlign w:val="bottom"/>
          </w:tcPr>
          <w:p>
            <w:pPr>
              <w:spacing w:after="0"/>
              <w:rPr>
                <w:sz w:val="1"/>
                <w:szCs w:val="1"/>
                <w:color w:val="auto"/>
              </w:rPr>
            </w:pPr>
          </w:p>
        </w:tc>
      </w:tr>
      <w:tr>
        <w:trPr>
          <w:trHeight w:val="442"/>
        </w:trPr>
        <w:tc>
          <w:tcPr>
            <w:tcW w:w="2100" w:type="dxa"/>
            <w:vAlign w:val="bottom"/>
          </w:tcPr>
          <w:p>
            <w:pPr>
              <w:ind w:left="1280"/>
              <w:spacing w:after="0"/>
              <w:rPr>
                <w:sz w:val="20"/>
                <w:szCs w:val="20"/>
                <w:color w:val="auto"/>
              </w:rPr>
            </w:pPr>
            <w:r>
              <w:rPr>
                <w:rFonts w:ascii="Arial" w:cs="Arial" w:eastAsia="Arial" w:hAnsi="Arial"/>
                <w:sz w:val="13"/>
                <w:szCs w:val="13"/>
                <w:color w:val="auto"/>
              </w:rPr>
              <w:t>10.32XX</w:t>
            </w:r>
          </w:p>
        </w:tc>
        <w:tc>
          <w:tcPr>
            <w:tcW w:w="9360" w:type="dxa"/>
            <w:vAlign w:val="bottom"/>
            <w:gridSpan w:val="3"/>
          </w:tcPr>
          <w:p>
            <w:pPr>
              <w:ind w:left="100"/>
              <w:spacing w:after="0"/>
              <w:rPr>
                <w:sz w:val="20"/>
                <w:szCs w:val="20"/>
                <w:color w:val="auto"/>
              </w:rPr>
            </w:pPr>
            <w:r>
              <w:rPr>
                <w:rFonts w:ascii="Arial" w:cs="Arial" w:eastAsia="Arial" w:hAnsi="Arial"/>
                <w:sz w:val="13"/>
                <w:szCs w:val="13"/>
                <w:color w:val="auto"/>
              </w:rPr>
              <w:t>Lease, dated February 1, 2001, between the Board of Trustees of Stanford University and the Registrant.</w:t>
            </w:r>
          </w:p>
        </w:tc>
        <w:tc>
          <w:tcPr>
            <w:tcW w:w="0" w:type="dxa"/>
            <w:vAlign w:val="bottom"/>
          </w:tcPr>
          <w:p>
            <w:pPr>
              <w:spacing w:after="0"/>
              <w:rPr>
                <w:sz w:val="1"/>
                <w:szCs w:val="1"/>
                <w:color w:val="auto"/>
              </w:rPr>
            </w:pPr>
          </w:p>
        </w:tc>
      </w:tr>
      <w:tr>
        <w:trPr>
          <w:trHeight w:val="442"/>
        </w:trPr>
        <w:tc>
          <w:tcPr>
            <w:tcW w:w="2100" w:type="dxa"/>
            <w:vAlign w:val="bottom"/>
          </w:tcPr>
          <w:p>
            <w:pPr>
              <w:ind w:left="1280"/>
              <w:spacing w:after="0"/>
              <w:rPr>
                <w:sz w:val="20"/>
                <w:szCs w:val="20"/>
                <w:color w:val="auto"/>
              </w:rPr>
            </w:pPr>
            <w:r>
              <w:rPr>
                <w:rFonts w:ascii="Arial" w:cs="Arial" w:eastAsia="Arial" w:hAnsi="Arial"/>
                <w:sz w:val="13"/>
                <w:szCs w:val="13"/>
                <w:color w:val="auto"/>
              </w:rPr>
              <w:t>10.33XXX</w:t>
            </w:r>
          </w:p>
        </w:tc>
        <w:tc>
          <w:tcPr>
            <w:tcW w:w="9360" w:type="dxa"/>
            <w:vAlign w:val="bottom"/>
            <w:gridSpan w:val="3"/>
          </w:tcPr>
          <w:p>
            <w:pPr>
              <w:ind w:left="100"/>
              <w:spacing w:after="0"/>
              <w:rPr>
                <w:sz w:val="20"/>
                <w:szCs w:val="20"/>
                <w:color w:val="auto"/>
              </w:rPr>
            </w:pPr>
            <w:r>
              <w:rPr>
                <w:rFonts w:ascii="Arial" w:cs="Arial" w:eastAsia="Arial" w:hAnsi="Arial"/>
                <w:sz w:val="13"/>
                <w:szCs w:val="13"/>
                <w:color w:val="auto"/>
              </w:rPr>
              <w:t>Registration Rights Agreement, dated as of June 21, 2001, by and between the Registrant and Millennium Partners, L.P.</w:t>
            </w:r>
          </w:p>
        </w:tc>
        <w:tc>
          <w:tcPr>
            <w:tcW w:w="0" w:type="dxa"/>
            <w:vAlign w:val="bottom"/>
          </w:tcPr>
          <w:p>
            <w:pPr>
              <w:spacing w:after="0"/>
              <w:rPr>
                <w:sz w:val="1"/>
                <w:szCs w:val="1"/>
                <w:color w:val="auto"/>
              </w:rPr>
            </w:pPr>
          </w:p>
        </w:tc>
      </w:tr>
      <w:tr>
        <w:trPr>
          <w:trHeight w:val="442"/>
        </w:trPr>
        <w:tc>
          <w:tcPr>
            <w:tcW w:w="2100" w:type="dxa"/>
            <w:vAlign w:val="bottom"/>
          </w:tcPr>
          <w:p>
            <w:pPr>
              <w:ind w:left="1280"/>
              <w:spacing w:after="0"/>
              <w:rPr>
                <w:sz w:val="20"/>
                <w:szCs w:val="20"/>
                <w:color w:val="auto"/>
              </w:rPr>
            </w:pPr>
            <w:r>
              <w:rPr>
                <w:rFonts w:ascii="Arial" w:cs="Arial" w:eastAsia="Arial" w:hAnsi="Arial"/>
                <w:sz w:val="13"/>
                <w:szCs w:val="13"/>
                <w:color w:val="auto"/>
              </w:rPr>
              <w:t>10.34XXX</w:t>
            </w:r>
          </w:p>
        </w:tc>
        <w:tc>
          <w:tcPr>
            <w:tcW w:w="9360" w:type="dxa"/>
            <w:vAlign w:val="bottom"/>
            <w:gridSpan w:val="3"/>
          </w:tcPr>
          <w:p>
            <w:pPr>
              <w:ind w:left="100"/>
              <w:spacing w:after="0"/>
              <w:rPr>
                <w:sz w:val="20"/>
                <w:szCs w:val="20"/>
                <w:color w:val="auto"/>
              </w:rPr>
            </w:pPr>
            <w:r>
              <w:rPr>
                <w:rFonts w:ascii="Arial" w:cs="Arial" w:eastAsia="Arial" w:hAnsi="Arial"/>
                <w:sz w:val="13"/>
                <w:szCs w:val="13"/>
                <w:color w:val="auto"/>
              </w:rPr>
              <w:t>Subscription Agreement, dated as of June 21, 2001, by and between the Registrant and Millennium Partners, L.P.</w:t>
            </w:r>
          </w:p>
        </w:tc>
        <w:tc>
          <w:tcPr>
            <w:tcW w:w="0" w:type="dxa"/>
            <w:vAlign w:val="bottom"/>
          </w:tcPr>
          <w:p>
            <w:pPr>
              <w:spacing w:after="0"/>
              <w:rPr>
                <w:sz w:val="1"/>
                <w:szCs w:val="1"/>
                <w:color w:val="auto"/>
              </w:rPr>
            </w:pPr>
          </w:p>
        </w:tc>
      </w:tr>
      <w:tr>
        <w:trPr>
          <w:trHeight w:val="442"/>
        </w:trPr>
        <w:tc>
          <w:tcPr>
            <w:tcW w:w="2100" w:type="dxa"/>
            <w:vAlign w:val="bottom"/>
          </w:tcPr>
          <w:p>
            <w:pPr>
              <w:ind w:left="1280"/>
              <w:spacing w:after="0"/>
              <w:rPr>
                <w:sz w:val="20"/>
                <w:szCs w:val="20"/>
                <w:color w:val="auto"/>
              </w:rPr>
            </w:pPr>
            <w:r>
              <w:rPr>
                <w:rFonts w:ascii="Arial" w:cs="Arial" w:eastAsia="Arial" w:hAnsi="Arial"/>
                <w:sz w:val="13"/>
                <w:szCs w:val="13"/>
                <w:color w:val="auto"/>
              </w:rPr>
              <w:t>10.35$$$</w:t>
            </w:r>
          </w:p>
        </w:tc>
        <w:tc>
          <w:tcPr>
            <w:tcW w:w="9360" w:type="dxa"/>
            <w:vAlign w:val="bottom"/>
            <w:gridSpan w:val="3"/>
          </w:tcPr>
          <w:p>
            <w:pPr>
              <w:ind w:left="100"/>
              <w:spacing w:after="0"/>
              <w:rPr>
                <w:sz w:val="20"/>
                <w:szCs w:val="20"/>
                <w:color w:val="auto"/>
              </w:rPr>
            </w:pPr>
            <w:r>
              <w:rPr>
                <w:rFonts w:ascii="Arial" w:cs="Arial" w:eastAsia="Arial" w:hAnsi="Arial"/>
                <w:sz w:val="13"/>
                <w:szCs w:val="13"/>
                <w:color w:val="auto"/>
              </w:rPr>
              <w:t>2001 Equity Incentive Plan</w:t>
            </w:r>
          </w:p>
        </w:tc>
        <w:tc>
          <w:tcPr>
            <w:tcW w:w="0" w:type="dxa"/>
            <w:vAlign w:val="bottom"/>
          </w:tcPr>
          <w:p>
            <w:pPr>
              <w:spacing w:after="0"/>
              <w:rPr>
                <w:sz w:val="1"/>
                <w:szCs w:val="1"/>
                <w:color w:val="auto"/>
              </w:rPr>
            </w:pPr>
          </w:p>
        </w:tc>
      </w:tr>
      <w:tr>
        <w:trPr>
          <w:trHeight w:val="442"/>
        </w:trPr>
        <w:tc>
          <w:tcPr>
            <w:tcW w:w="2100" w:type="dxa"/>
            <w:vAlign w:val="bottom"/>
          </w:tcPr>
          <w:p>
            <w:pPr>
              <w:ind w:left="1280"/>
              <w:spacing w:after="0"/>
              <w:rPr>
                <w:sz w:val="20"/>
                <w:szCs w:val="20"/>
                <w:color w:val="auto"/>
              </w:rPr>
            </w:pPr>
            <w:r>
              <w:rPr>
                <w:rFonts w:ascii="Arial" w:cs="Arial" w:eastAsia="Arial" w:hAnsi="Arial"/>
                <w:sz w:val="13"/>
                <w:szCs w:val="13"/>
                <w:color w:val="auto"/>
              </w:rPr>
              <w:t>10.36{**}</w:t>
            </w:r>
          </w:p>
        </w:tc>
        <w:tc>
          <w:tcPr>
            <w:tcW w:w="9360" w:type="dxa"/>
            <w:vAlign w:val="bottom"/>
            <w:gridSpan w:val="3"/>
          </w:tcPr>
          <w:p>
            <w:pPr>
              <w:ind w:left="100"/>
              <w:spacing w:after="0"/>
              <w:rPr>
                <w:sz w:val="20"/>
                <w:szCs w:val="20"/>
                <w:color w:val="auto"/>
              </w:rPr>
            </w:pPr>
            <w:r>
              <w:rPr>
                <w:rFonts w:ascii="Arial" w:cs="Arial" w:eastAsia="Arial" w:hAnsi="Arial"/>
                <w:sz w:val="13"/>
                <w:szCs w:val="13"/>
                <w:color w:val="auto"/>
              </w:rPr>
              <w:t>Subscription Agreement, dated as of December 4, 2001 between the Registrant and Riverview Group, L.L.C.</w:t>
            </w:r>
          </w:p>
        </w:tc>
        <w:tc>
          <w:tcPr>
            <w:tcW w:w="0" w:type="dxa"/>
            <w:vAlign w:val="bottom"/>
          </w:tcPr>
          <w:p>
            <w:pPr>
              <w:spacing w:after="0"/>
              <w:rPr>
                <w:sz w:val="1"/>
                <w:szCs w:val="1"/>
                <w:color w:val="auto"/>
              </w:rPr>
            </w:pPr>
          </w:p>
        </w:tc>
      </w:tr>
      <w:tr>
        <w:trPr>
          <w:trHeight w:val="442"/>
        </w:trPr>
        <w:tc>
          <w:tcPr>
            <w:tcW w:w="2100" w:type="dxa"/>
            <w:vAlign w:val="bottom"/>
          </w:tcPr>
          <w:p>
            <w:pPr>
              <w:ind w:left="1280"/>
              <w:spacing w:after="0"/>
              <w:rPr>
                <w:sz w:val="20"/>
                <w:szCs w:val="20"/>
                <w:color w:val="auto"/>
              </w:rPr>
            </w:pPr>
            <w:r>
              <w:rPr>
                <w:rFonts w:ascii="Arial" w:cs="Arial" w:eastAsia="Arial" w:hAnsi="Arial"/>
                <w:sz w:val="13"/>
                <w:szCs w:val="13"/>
                <w:color w:val="auto"/>
              </w:rPr>
              <w:t>10.37{**}</w:t>
            </w:r>
          </w:p>
        </w:tc>
        <w:tc>
          <w:tcPr>
            <w:tcW w:w="9360" w:type="dxa"/>
            <w:vAlign w:val="bottom"/>
            <w:gridSpan w:val="3"/>
          </w:tcPr>
          <w:p>
            <w:pPr>
              <w:ind w:left="100"/>
              <w:spacing w:after="0"/>
              <w:rPr>
                <w:sz w:val="20"/>
                <w:szCs w:val="20"/>
                <w:color w:val="auto"/>
              </w:rPr>
            </w:pPr>
            <w:r>
              <w:rPr>
                <w:rFonts w:ascii="Arial" w:cs="Arial" w:eastAsia="Arial" w:hAnsi="Arial"/>
                <w:sz w:val="13"/>
                <w:szCs w:val="13"/>
                <w:color w:val="auto"/>
              </w:rPr>
              <w:t>Registration Rights Agreement, dated as of December 4, 2001 between the Registrant and Riverview Group, L.L.C.</w:t>
            </w:r>
          </w:p>
        </w:tc>
        <w:tc>
          <w:tcPr>
            <w:tcW w:w="0" w:type="dxa"/>
            <w:vAlign w:val="bottom"/>
          </w:tcPr>
          <w:p>
            <w:pPr>
              <w:spacing w:after="0"/>
              <w:rPr>
                <w:sz w:val="1"/>
                <w:szCs w:val="1"/>
                <w:color w:val="auto"/>
              </w:rPr>
            </w:pPr>
          </w:p>
        </w:tc>
      </w:tr>
      <w:tr>
        <w:trPr>
          <w:trHeight w:val="442"/>
        </w:trPr>
        <w:tc>
          <w:tcPr>
            <w:tcW w:w="2100" w:type="dxa"/>
            <w:vAlign w:val="bottom"/>
          </w:tcPr>
          <w:p>
            <w:pPr>
              <w:ind w:left="1280"/>
              <w:spacing w:after="0"/>
              <w:rPr>
                <w:sz w:val="20"/>
                <w:szCs w:val="20"/>
                <w:color w:val="auto"/>
              </w:rPr>
            </w:pPr>
            <w:r>
              <w:rPr>
                <w:rFonts w:ascii="Arial" w:cs="Arial" w:eastAsia="Arial" w:hAnsi="Arial"/>
                <w:sz w:val="13"/>
                <w:szCs w:val="13"/>
                <w:color w:val="auto"/>
              </w:rPr>
              <w:t>10.38{**}</w:t>
            </w:r>
          </w:p>
        </w:tc>
        <w:tc>
          <w:tcPr>
            <w:tcW w:w="9360" w:type="dxa"/>
            <w:vAlign w:val="bottom"/>
            <w:gridSpan w:val="3"/>
          </w:tcPr>
          <w:p>
            <w:pPr>
              <w:ind w:left="100"/>
              <w:spacing w:after="0"/>
              <w:rPr>
                <w:sz w:val="20"/>
                <w:szCs w:val="20"/>
                <w:color w:val="auto"/>
              </w:rPr>
            </w:pPr>
            <w:r>
              <w:rPr>
                <w:rFonts w:ascii="Arial" w:cs="Arial" w:eastAsia="Arial" w:hAnsi="Arial"/>
                <w:sz w:val="13"/>
                <w:szCs w:val="13"/>
                <w:color w:val="auto"/>
              </w:rPr>
              <w:t>Agreement dated as of December 4, 2001 between the Registrant and Millennium Partners, L.P.</w:t>
            </w:r>
          </w:p>
        </w:tc>
        <w:tc>
          <w:tcPr>
            <w:tcW w:w="0" w:type="dxa"/>
            <w:vAlign w:val="bottom"/>
          </w:tcPr>
          <w:p>
            <w:pPr>
              <w:spacing w:after="0"/>
              <w:rPr>
                <w:sz w:val="1"/>
                <w:szCs w:val="1"/>
                <w:color w:val="auto"/>
              </w:rPr>
            </w:pPr>
          </w:p>
        </w:tc>
      </w:tr>
      <w:tr>
        <w:trPr>
          <w:trHeight w:val="442"/>
        </w:trPr>
        <w:tc>
          <w:tcPr>
            <w:tcW w:w="2100" w:type="dxa"/>
            <w:vAlign w:val="bottom"/>
          </w:tcPr>
          <w:p>
            <w:pPr>
              <w:ind w:left="1280"/>
              <w:spacing w:after="0"/>
              <w:rPr>
                <w:sz w:val="20"/>
                <w:szCs w:val="20"/>
                <w:color w:val="auto"/>
              </w:rPr>
            </w:pPr>
            <w:r>
              <w:rPr>
                <w:rFonts w:ascii="Arial" w:cs="Arial" w:eastAsia="Arial" w:hAnsi="Arial"/>
                <w:sz w:val="13"/>
                <w:szCs w:val="13"/>
                <w:color w:val="auto"/>
              </w:rPr>
              <w:t>10.39{**}</w:t>
            </w:r>
          </w:p>
        </w:tc>
        <w:tc>
          <w:tcPr>
            <w:tcW w:w="9360" w:type="dxa"/>
            <w:vAlign w:val="bottom"/>
            <w:gridSpan w:val="3"/>
          </w:tcPr>
          <w:p>
            <w:pPr>
              <w:ind w:left="100"/>
              <w:spacing w:after="0"/>
              <w:rPr>
                <w:sz w:val="20"/>
                <w:szCs w:val="20"/>
                <w:color w:val="auto"/>
              </w:rPr>
            </w:pPr>
            <w:r>
              <w:rPr>
                <w:rFonts w:ascii="Arial" w:cs="Arial" w:eastAsia="Arial" w:hAnsi="Arial"/>
                <w:sz w:val="13"/>
                <w:szCs w:val="13"/>
                <w:color w:val="auto"/>
              </w:rPr>
              <w:t>Agreement dated as of December 4, 2001 among the Registrant, Millennium Partners, L.P. and Riverview Group, L.L.C.</w:t>
            </w:r>
          </w:p>
        </w:tc>
        <w:tc>
          <w:tcPr>
            <w:tcW w:w="0" w:type="dxa"/>
            <w:vAlign w:val="bottom"/>
          </w:tcPr>
          <w:p>
            <w:pPr>
              <w:spacing w:after="0"/>
              <w:rPr>
                <w:sz w:val="1"/>
                <w:szCs w:val="1"/>
                <w:color w:val="auto"/>
              </w:rPr>
            </w:pPr>
          </w:p>
        </w:tc>
      </w:tr>
      <w:tr>
        <w:trPr>
          <w:trHeight w:val="442"/>
        </w:trPr>
        <w:tc>
          <w:tcPr>
            <w:tcW w:w="2100" w:type="dxa"/>
            <w:vAlign w:val="bottom"/>
          </w:tcPr>
          <w:p>
            <w:pPr>
              <w:ind w:left="1280"/>
              <w:spacing w:after="0"/>
              <w:rPr>
                <w:sz w:val="20"/>
                <w:szCs w:val="20"/>
                <w:color w:val="auto"/>
              </w:rPr>
            </w:pPr>
            <w:r>
              <w:rPr>
                <w:rFonts w:ascii="Arial" w:cs="Arial" w:eastAsia="Arial" w:hAnsi="Arial"/>
                <w:sz w:val="13"/>
                <w:szCs w:val="13"/>
                <w:color w:val="auto"/>
              </w:rPr>
              <w:t>10.40&amp;</w:t>
            </w:r>
          </w:p>
        </w:tc>
        <w:tc>
          <w:tcPr>
            <w:tcW w:w="9360" w:type="dxa"/>
            <w:vAlign w:val="bottom"/>
            <w:gridSpan w:val="3"/>
          </w:tcPr>
          <w:p>
            <w:pPr>
              <w:ind w:left="100"/>
              <w:spacing w:after="0"/>
              <w:rPr>
                <w:sz w:val="20"/>
                <w:szCs w:val="20"/>
                <w:color w:val="auto"/>
              </w:rPr>
            </w:pPr>
            <w:r>
              <w:rPr>
                <w:rFonts w:ascii="Arial" w:cs="Arial" w:eastAsia="Arial" w:hAnsi="Arial"/>
                <w:sz w:val="13"/>
                <w:szCs w:val="13"/>
                <w:color w:val="auto"/>
              </w:rPr>
              <w:t>Agreement, dated as of April 9, 2003, between the Registrant and Riverview Group, L.L.C.</w:t>
            </w:r>
          </w:p>
        </w:tc>
        <w:tc>
          <w:tcPr>
            <w:tcW w:w="0" w:type="dxa"/>
            <w:vAlign w:val="bottom"/>
          </w:tcPr>
          <w:p>
            <w:pPr>
              <w:spacing w:after="0"/>
              <w:rPr>
                <w:sz w:val="1"/>
                <w:szCs w:val="1"/>
                <w:color w:val="auto"/>
              </w:rPr>
            </w:pPr>
          </w:p>
        </w:tc>
      </w:tr>
      <w:tr>
        <w:trPr>
          <w:trHeight w:val="442"/>
        </w:trPr>
        <w:tc>
          <w:tcPr>
            <w:tcW w:w="2100" w:type="dxa"/>
            <w:vAlign w:val="bottom"/>
          </w:tcPr>
          <w:p>
            <w:pPr>
              <w:ind w:left="1280"/>
              <w:spacing w:after="0"/>
              <w:rPr>
                <w:sz w:val="20"/>
                <w:szCs w:val="20"/>
                <w:color w:val="auto"/>
              </w:rPr>
            </w:pPr>
            <w:r>
              <w:rPr>
                <w:rFonts w:ascii="Arial" w:cs="Arial" w:eastAsia="Arial" w:hAnsi="Arial"/>
                <w:sz w:val="13"/>
                <w:szCs w:val="13"/>
                <w:color w:val="auto"/>
              </w:rPr>
              <w:t>10.41&amp;&amp;</w:t>
            </w:r>
          </w:p>
        </w:tc>
        <w:tc>
          <w:tcPr>
            <w:tcW w:w="9360" w:type="dxa"/>
            <w:vAlign w:val="bottom"/>
            <w:gridSpan w:val="3"/>
          </w:tcPr>
          <w:p>
            <w:pPr>
              <w:ind w:left="100"/>
              <w:spacing w:after="0"/>
              <w:rPr>
                <w:sz w:val="20"/>
                <w:szCs w:val="20"/>
                <w:color w:val="auto"/>
              </w:rPr>
            </w:pPr>
            <w:r>
              <w:rPr>
                <w:rFonts w:ascii="Arial" w:cs="Arial" w:eastAsia="Arial" w:hAnsi="Arial"/>
                <w:sz w:val="13"/>
                <w:szCs w:val="13"/>
                <w:color w:val="auto"/>
              </w:rPr>
              <w:t>Form of Registration Rights Agreement between the Registrant and Riverview Group, L.L.C.</w:t>
            </w:r>
          </w:p>
        </w:tc>
        <w:tc>
          <w:tcPr>
            <w:tcW w:w="0" w:type="dxa"/>
            <w:vAlign w:val="bottom"/>
          </w:tcPr>
          <w:p>
            <w:pPr>
              <w:spacing w:after="0"/>
              <w:rPr>
                <w:sz w:val="1"/>
                <w:szCs w:val="1"/>
                <w:color w:val="auto"/>
              </w:rPr>
            </w:pPr>
          </w:p>
        </w:tc>
      </w:tr>
      <w:tr>
        <w:trPr>
          <w:trHeight w:val="442"/>
        </w:trPr>
        <w:tc>
          <w:tcPr>
            <w:tcW w:w="2100" w:type="dxa"/>
            <w:vAlign w:val="bottom"/>
          </w:tcPr>
          <w:p>
            <w:pPr>
              <w:ind w:left="1280"/>
              <w:spacing w:after="0"/>
              <w:rPr>
                <w:sz w:val="20"/>
                <w:szCs w:val="20"/>
                <w:color w:val="auto"/>
              </w:rPr>
            </w:pPr>
            <w:r>
              <w:rPr>
                <w:rFonts w:ascii="Arial" w:cs="Arial" w:eastAsia="Arial" w:hAnsi="Arial"/>
                <w:sz w:val="13"/>
                <w:szCs w:val="13"/>
                <w:color w:val="auto"/>
              </w:rPr>
              <w:t>10.42&amp;&amp;&amp;</w:t>
            </w:r>
          </w:p>
        </w:tc>
        <w:tc>
          <w:tcPr>
            <w:tcW w:w="9360" w:type="dxa"/>
            <w:vAlign w:val="bottom"/>
            <w:gridSpan w:val="3"/>
          </w:tcPr>
          <w:p>
            <w:pPr>
              <w:ind w:left="100"/>
              <w:spacing w:after="0"/>
              <w:rPr>
                <w:sz w:val="20"/>
                <w:szCs w:val="20"/>
                <w:color w:val="auto"/>
              </w:rPr>
            </w:pPr>
            <w:r>
              <w:rPr>
                <w:rFonts w:ascii="Arial" w:cs="Arial" w:eastAsia="Arial" w:hAnsi="Arial"/>
                <w:sz w:val="13"/>
                <w:szCs w:val="13"/>
                <w:color w:val="auto"/>
              </w:rPr>
              <w:t>Securities Purchase Agreement, dated as of May 7, 2003, between the Registrant and Riverview Group, L.L.C.</w:t>
            </w:r>
          </w:p>
        </w:tc>
        <w:tc>
          <w:tcPr>
            <w:tcW w:w="0" w:type="dxa"/>
            <w:vAlign w:val="bottom"/>
          </w:tcPr>
          <w:p>
            <w:pPr>
              <w:spacing w:after="0"/>
              <w:rPr>
                <w:sz w:val="1"/>
                <w:szCs w:val="1"/>
                <w:color w:val="auto"/>
              </w:rPr>
            </w:pPr>
          </w:p>
        </w:tc>
      </w:tr>
      <w:tr>
        <w:trPr>
          <w:trHeight w:val="442"/>
        </w:trPr>
        <w:tc>
          <w:tcPr>
            <w:tcW w:w="2100" w:type="dxa"/>
            <w:vAlign w:val="bottom"/>
          </w:tcPr>
          <w:p>
            <w:pPr>
              <w:ind w:left="1280"/>
              <w:spacing w:after="0"/>
              <w:rPr>
                <w:sz w:val="20"/>
                <w:szCs w:val="20"/>
                <w:color w:val="auto"/>
              </w:rPr>
            </w:pPr>
            <w:r>
              <w:rPr>
                <w:rFonts w:ascii="Arial" w:cs="Arial" w:eastAsia="Arial" w:hAnsi="Arial"/>
                <w:sz w:val="13"/>
                <w:szCs w:val="13"/>
                <w:color w:val="auto"/>
              </w:rPr>
              <w:t>10.43%</w:t>
            </w:r>
          </w:p>
        </w:tc>
        <w:tc>
          <w:tcPr>
            <w:tcW w:w="9360" w:type="dxa"/>
            <w:vAlign w:val="bottom"/>
            <w:gridSpan w:val="3"/>
          </w:tcPr>
          <w:p>
            <w:pPr>
              <w:ind w:left="100"/>
              <w:spacing w:after="0"/>
              <w:rPr>
                <w:sz w:val="20"/>
                <w:szCs w:val="20"/>
                <w:color w:val="auto"/>
              </w:rPr>
            </w:pPr>
            <w:r>
              <w:rPr>
                <w:rFonts w:ascii="Arial" w:cs="Arial" w:eastAsia="Arial" w:hAnsi="Arial"/>
                <w:sz w:val="13"/>
                <w:szCs w:val="13"/>
                <w:color w:val="auto"/>
              </w:rPr>
              <w:t>Securities Purchase Agreement dated as of December 9, 2003, between the Registrant and Riverview Group, L.L.C.</w:t>
            </w:r>
          </w:p>
        </w:tc>
        <w:tc>
          <w:tcPr>
            <w:tcW w:w="0" w:type="dxa"/>
            <w:vAlign w:val="bottom"/>
          </w:tcPr>
          <w:p>
            <w:pPr>
              <w:spacing w:after="0"/>
              <w:rPr>
                <w:sz w:val="1"/>
                <w:szCs w:val="1"/>
                <w:color w:val="auto"/>
              </w:rPr>
            </w:pPr>
          </w:p>
        </w:tc>
      </w:tr>
      <w:tr>
        <w:trPr>
          <w:trHeight w:val="442"/>
        </w:trPr>
        <w:tc>
          <w:tcPr>
            <w:tcW w:w="2100" w:type="dxa"/>
            <w:vAlign w:val="bottom"/>
          </w:tcPr>
          <w:p>
            <w:pPr>
              <w:ind w:left="1280"/>
              <w:spacing w:after="0"/>
              <w:rPr>
                <w:sz w:val="20"/>
                <w:szCs w:val="20"/>
                <w:color w:val="auto"/>
              </w:rPr>
            </w:pPr>
            <w:r>
              <w:rPr>
                <w:rFonts w:ascii="Arial" w:cs="Arial" w:eastAsia="Arial" w:hAnsi="Arial"/>
                <w:sz w:val="13"/>
                <w:szCs w:val="13"/>
                <w:color w:val="auto"/>
              </w:rPr>
              <w:t>10.44ˆˆˆ</w:t>
            </w:r>
          </w:p>
        </w:tc>
        <w:tc>
          <w:tcPr>
            <w:tcW w:w="9360" w:type="dxa"/>
            <w:vAlign w:val="bottom"/>
            <w:gridSpan w:val="3"/>
          </w:tcPr>
          <w:p>
            <w:pPr>
              <w:ind w:left="100"/>
              <w:spacing w:after="0"/>
              <w:rPr>
                <w:sz w:val="20"/>
                <w:szCs w:val="20"/>
                <w:color w:val="auto"/>
              </w:rPr>
            </w:pPr>
            <w:r>
              <w:rPr>
                <w:rFonts w:ascii="Arial" w:cs="Arial" w:eastAsia="Arial" w:hAnsi="Arial"/>
                <w:sz w:val="13"/>
                <w:szCs w:val="13"/>
                <w:color w:val="auto"/>
              </w:rPr>
              <w:t>Form of Securities Purchase Agreement dated as of June 16, 2004 between the Registrant and certain Purchasers parties thereto.</w:t>
            </w:r>
          </w:p>
        </w:tc>
        <w:tc>
          <w:tcPr>
            <w:tcW w:w="0" w:type="dxa"/>
            <w:vAlign w:val="bottom"/>
          </w:tcPr>
          <w:p>
            <w:pPr>
              <w:spacing w:after="0"/>
              <w:rPr>
                <w:sz w:val="1"/>
                <w:szCs w:val="1"/>
                <w:color w:val="auto"/>
              </w:rPr>
            </w:pPr>
          </w:p>
        </w:tc>
      </w:tr>
      <w:tr>
        <w:trPr>
          <w:trHeight w:val="442"/>
        </w:trPr>
        <w:tc>
          <w:tcPr>
            <w:tcW w:w="2100" w:type="dxa"/>
            <w:vAlign w:val="bottom"/>
          </w:tcPr>
          <w:p>
            <w:pPr>
              <w:ind w:left="1280"/>
              <w:spacing w:after="0"/>
              <w:rPr>
                <w:sz w:val="20"/>
                <w:szCs w:val="20"/>
                <w:color w:val="auto"/>
              </w:rPr>
            </w:pPr>
            <w:r>
              <w:rPr>
                <w:rFonts w:ascii="Arial" w:cs="Arial" w:eastAsia="Arial" w:hAnsi="Arial"/>
                <w:sz w:val="13"/>
                <w:szCs w:val="13"/>
                <w:color w:val="auto"/>
              </w:rPr>
              <w:t>10.45ˆˆˆ</w:t>
            </w:r>
          </w:p>
        </w:tc>
        <w:tc>
          <w:tcPr>
            <w:tcW w:w="9360" w:type="dxa"/>
            <w:vAlign w:val="bottom"/>
            <w:gridSpan w:val="3"/>
          </w:tcPr>
          <w:p>
            <w:pPr>
              <w:ind w:left="100"/>
              <w:spacing w:after="0"/>
              <w:rPr>
                <w:sz w:val="20"/>
                <w:szCs w:val="20"/>
                <w:color w:val="auto"/>
              </w:rPr>
            </w:pPr>
            <w:r>
              <w:rPr>
                <w:rFonts w:ascii="Arial" w:cs="Arial" w:eastAsia="Arial" w:hAnsi="Arial"/>
                <w:sz w:val="13"/>
                <w:szCs w:val="13"/>
                <w:color w:val="auto"/>
              </w:rPr>
              <w:t>Form of Warrant.</w:t>
            </w:r>
          </w:p>
        </w:tc>
        <w:tc>
          <w:tcPr>
            <w:tcW w:w="0" w:type="dxa"/>
            <w:vAlign w:val="bottom"/>
          </w:tcPr>
          <w:p>
            <w:pPr>
              <w:spacing w:after="0"/>
              <w:rPr>
                <w:sz w:val="1"/>
                <w:szCs w:val="1"/>
                <w:color w:val="auto"/>
              </w:rPr>
            </w:pPr>
          </w:p>
        </w:tc>
      </w:tr>
      <w:tr>
        <w:trPr>
          <w:trHeight w:val="442"/>
        </w:trPr>
        <w:tc>
          <w:tcPr>
            <w:tcW w:w="2100" w:type="dxa"/>
            <w:vAlign w:val="bottom"/>
          </w:tcPr>
          <w:p>
            <w:pPr>
              <w:ind w:left="1280"/>
              <w:spacing w:after="0"/>
              <w:rPr>
                <w:sz w:val="20"/>
                <w:szCs w:val="20"/>
                <w:color w:val="auto"/>
              </w:rPr>
            </w:pPr>
            <w:r>
              <w:rPr>
                <w:rFonts w:ascii="Arial" w:cs="Arial" w:eastAsia="Arial" w:hAnsi="Arial"/>
                <w:sz w:val="13"/>
                <w:szCs w:val="13"/>
                <w:color w:val="auto"/>
              </w:rPr>
              <w:t>10.46ˆˆˆˆ</w:t>
            </w:r>
          </w:p>
        </w:tc>
        <w:tc>
          <w:tcPr>
            <w:tcW w:w="9360" w:type="dxa"/>
            <w:vAlign w:val="bottom"/>
            <w:gridSpan w:val="3"/>
          </w:tcPr>
          <w:p>
            <w:pPr>
              <w:ind w:left="100"/>
              <w:spacing w:after="0"/>
              <w:rPr>
                <w:sz w:val="20"/>
                <w:szCs w:val="20"/>
                <w:color w:val="auto"/>
              </w:rPr>
            </w:pPr>
            <w:r>
              <w:rPr>
                <w:rFonts w:ascii="Arial" w:cs="Arial" w:eastAsia="Arial" w:hAnsi="Arial"/>
                <w:sz w:val="13"/>
                <w:szCs w:val="13"/>
                <w:color w:val="auto"/>
              </w:rPr>
              <w:t>Amended and Restated 2004 Equity Incentive Plan of the Registrant.</w:t>
            </w:r>
          </w:p>
        </w:tc>
        <w:tc>
          <w:tcPr>
            <w:tcW w:w="0" w:type="dxa"/>
            <w:vAlign w:val="bottom"/>
          </w:tcPr>
          <w:p>
            <w:pPr>
              <w:spacing w:after="0"/>
              <w:rPr>
                <w:sz w:val="1"/>
                <w:szCs w:val="1"/>
                <w:color w:val="auto"/>
              </w:rPr>
            </w:pPr>
          </w:p>
        </w:tc>
      </w:tr>
      <w:tr>
        <w:trPr>
          <w:trHeight w:val="452"/>
        </w:trPr>
        <w:tc>
          <w:tcPr>
            <w:tcW w:w="2100" w:type="dxa"/>
            <w:vAlign w:val="bottom"/>
          </w:tcPr>
          <w:p>
            <w:pPr>
              <w:spacing w:after="0"/>
              <w:rPr>
                <w:sz w:val="24"/>
                <w:szCs w:val="24"/>
                <w:color w:val="auto"/>
              </w:rPr>
            </w:pPr>
          </w:p>
        </w:tc>
        <w:tc>
          <w:tcPr>
            <w:tcW w:w="4280" w:type="dxa"/>
            <w:vAlign w:val="bottom"/>
          </w:tcPr>
          <w:p>
            <w:pPr>
              <w:ind w:left="3520"/>
              <w:spacing w:after="0"/>
              <w:rPr>
                <w:sz w:val="20"/>
                <w:szCs w:val="20"/>
                <w:color w:val="auto"/>
              </w:rPr>
            </w:pPr>
            <w:r>
              <w:rPr>
                <w:rFonts w:ascii="Arial" w:cs="Arial" w:eastAsia="Arial" w:hAnsi="Arial"/>
                <w:sz w:val="13"/>
                <w:szCs w:val="13"/>
                <w:color w:val="auto"/>
              </w:rPr>
              <w:t>70</w:t>
            </w:r>
          </w:p>
        </w:tc>
        <w:tc>
          <w:tcPr>
            <w:tcW w:w="100" w:type="dxa"/>
            <w:vAlign w:val="bottom"/>
          </w:tcPr>
          <w:p>
            <w:pPr>
              <w:spacing w:after="0"/>
              <w:rPr>
                <w:sz w:val="24"/>
                <w:szCs w:val="24"/>
                <w:color w:val="auto"/>
              </w:rPr>
            </w:pPr>
          </w:p>
        </w:tc>
        <w:tc>
          <w:tcPr>
            <w:tcW w:w="4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2100" w:type="dxa"/>
            <w:vAlign w:val="bottom"/>
            <w:tcBorders>
              <w:bottom w:val="single" w:sz="8" w:color="808080"/>
            </w:tcBorders>
          </w:tcPr>
          <w:p>
            <w:pPr>
              <w:spacing w:after="0"/>
              <w:rPr>
                <w:sz w:val="14"/>
                <w:szCs w:val="14"/>
                <w:color w:val="auto"/>
              </w:rPr>
            </w:pPr>
          </w:p>
        </w:tc>
        <w:tc>
          <w:tcPr>
            <w:tcW w:w="428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498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847725</wp:posOffset>
            </wp:positionH>
            <wp:positionV relativeFrom="paragraph">
              <wp:posOffset>-8397240</wp:posOffset>
            </wp:positionV>
            <wp:extent cx="12700" cy="635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72" w:name="page73"/>
    <w:bookmarkEnd w:id="72"/>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2" w:lineRule="exact"/>
        <w:rPr>
          <w:sz w:val="20"/>
          <w:szCs w:val="20"/>
          <w:color w:val="auto"/>
        </w:rPr>
      </w:pPr>
    </w:p>
    <w:tbl>
      <w:tblPr>
        <w:tblLayout w:type="fixed"/>
        <w:tblInd w:w="1180" w:type="dxa"/>
        <w:tblCellMar>
          <w:top w:w="0" w:type="dxa"/>
          <w:left w:w="0" w:type="dxa"/>
          <w:bottom w:w="0" w:type="dxa"/>
          <w:right w:w="0" w:type="dxa"/>
        </w:tblCellMar>
      </w:tblPr>
      <w:tr>
        <w:trPr>
          <w:trHeight w:val="115"/>
        </w:trPr>
        <w:tc>
          <w:tcPr>
            <w:tcW w:w="780" w:type="dxa"/>
            <w:vAlign w:val="bottom"/>
          </w:tcPr>
          <w:p>
            <w:pPr>
              <w:spacing w:after="0"/>
              <w:rPr>
                <w:sz w:val="20"/>
                <w:szCs w:val="20"/>
                <w:color w:val="auto"/>
              </w:rPr>
            </w:pPr>
            <w:r>
              <w:rPr>
                <w:rFonts w:ascii="Arial" w:cs="Arial" w:eastAsia="Arial" w:hAnsi="Arial"/>
                <w:sz w:val="10"/>
                <w:szCs w:val="10"/>
                <w:b w:val="1"/>
                <w:bCs w:val="1"/>
                <w:color w:val="auto"/>
              </w:rPr>
              <w:t>Exhibit</w:t>
            </w:r>
          </w:p>
        </w:tc>
        <w:tc>
          <w:tcPr>
            <w:tcW w:w="4420" w:type="dxa"/>
            <w:vAlign w:val="bottom"/>
          </w:tcPr>
          <w:p>
            <w:pPr>
              <w:spacing w:after="0"/>
              <w:rPr>
                <w:sz w:val="10"/>
                <w:szCs w:val="10"/>
                <w:color w:val="auto"/>
              </w:rPr>
            </w:pPr>
          </w:p>
        </w:tc>
        <w:tc>
          <w:tcPr>
            <w:tcW w:w="422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Title or Description</w:t>
            </w:r>
          </w:p>
        </w:tc>
        <w:tc>
          <w:tcPr>
            <w:tcW w:w="0" w:type="dxa"/>
            <w:vAlign w:val="bottom"/>
          </w:tcPr>
          <w:p>
            <w:pPr>
              <w:spacing w:after="0"/>
              <w:rPr>
                <w:sz w:val="1"/>
                <w:szCs w:val="1"/>
                <w:color w:val="auto"/>
              </w:rPr>
            </w:pPr>
          </w:p>
        </w:tc>
      </w:tr>
      <w:tr>
        <w:trPr>
          <w:trHeight w:val="135"/>
        </w:trPr>
        <w:tc>
          <w:tcPr>
            <w:tcW w:w="780" w:type="dxa"/>
            <w:vAlign w:val="bottom"/>
          </w:tcPr>
          <w:p>
            <w:pPr>
              <w:ind w:left="160"/>
              <w:spacing w:after="0"/>
              <w:rPr>
                <w:sz w:val="20"/>
                <w:szCs w:val="20"/>
                <w:color w:val="auto"/>
              </w:rPr>
            </w:pPr>
            <w:r>
              <w:rPr>
                <w:rFonts w:ascii="Arial" w:cs="Arial" w:eastAsia="Arial" w:hAnsi="Arial"/>
                <w:sz w:val="10"/>
                <w:szCs w:val="10"/>
                <w:b w:val="1"/>
                <w:bCs w:val="1"/>
                <w:color w:val="auto"/>
              </w:rPr>
              <w:t>No.</w:t>
            </w:r>
          </w:p>
        </w:tc>
        <w:tc>
          <w:tcPr>
            <w:tcW w:w="4420" w:type="dxa"/>
            <w:vAlign w:val="bottom"/>
          </w:tcPr>
          <w:p>
            <w:pPr>
              <w:spacing w:after="0"/>
              <w:rPr>
                <w:sz w:val="11"/>
                <w:szCs w:val="11"/>
                <w:color w:val="auto"/>
              </w:rPr>
            </w:pPr>
          </w:p>
        </w:tc>
        <w:tc>
          <w:tcPr>
            <w:tcW w:w="42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780" w:type="dxa"/>
            <w:vAlign w:val="bottom"/>
          </w:tcPr>
          <w:p>
            <w:pPr>
              <w:ind w:left="100"/>
              <w:spacing w:after="0"/>
              <w:rPr>
                <w:sz w:val="20"/>
                <w:szCs w:val="20"/>
                <w:color w:val="auto"/>
              </w:rPr>
            </w:pPr>
            <w:r>
              <w:rPr>
                <w:rFonts w:ascii="Arial" w:cs="Arial" w:eastAsia="Arial" w:hAnsi="Arial"/>
                <w:sz w:val="13"/>
                <w:szCs w:val="13"/>
                <w:color w:val="auto"/>
              </w:rPr>
              <w:t>10.47§</w:t>
            </w:r>
          </w:p>
        </w:tc>
        <w:tc>
          <w:tcPr>
            <w:tcW w:w="8640" w:type="dxa"/>
            <w:vAlign w:val="bottom"/>
            <w:gridSpan w:val="3"/>
          </w:tcPr>
          <w:p>
            <w:pPr>
              <w:ind w:left="240"/>
              <w:spacing w:after="0"/>
              <w:rPr>
                <w:sz w:val="20"/>
                <w:szCs w:val="20"/>
                <w:color w:val="auto"/>
              </w:rPr>
            </w:pPr>
            <w:r>
              <w:rPr>
                <w:rFonts w:ascii="Arial" w:cs="Arial" w:eastAsia="Arial" w:hAnsi="Arial"/>
                <w:sz w:val="13"/>
                <w:szCs w:val="13"/>
                <w:color w:val="auto"/>
              </w:rPr>
              <w:t>License Agreement dated as of July 1, 2005 between the Registrant and ReNeuron Limited</w:t>
            </w:r>
          </w:p>
        </w:tc>
        <w:tc>
          <w:tcPr>
            <w:tcW w:w="0" w:type="dxa"/>
            <w:vAlign w:val="bottom"/>
          </w:tcPr>
          <w:p>
            <w:pPr>
              <w:spacing w:after="0"/>
              <w:rPr>
                <w:sz w:val="1"/>
                <w:szCs w:val="1"/>
                <w:color w:val="auto"/>
              </w:rPr>
            </w:pPr>
          </w:p>
        </w:tc>
      </w:tr>
      <w:tr>
        <w:trPr>
          <w:trHeight w:val="442"/>
        </w:trPr>
        <w:tc>
          <w:tcPr>
            <w:tcW w:w="780" w:type="dxa"/>
            <w:vAlign w:val="bottom"/>
          </w:tcPr>
          <w:p>
            <w:pPr>
              <w:ind w:left="100"/>
              <w:spacing w:after="0"/>
              <w:rPr>
                <w:sz w:val="20"/>
                <w:szCs w:val="20"/>
                <w:color w:val="auto"/>
              </w:rPr>
            </w:pPr>
            <w:r>
              <w:rPr>
                <w:rFonts w:ascii="Arial" w:cs="Arial" w:eastAsia="Arial" w:hAnsi="Arial"/>
                <w:sz w:val="13"/>
                <w:szCs w:val="13"/>
                <w:color w:val="auto"/>
              </w:rPr>
              <w:t>10.48§§</w:t>
            </w:r>
          </w:p>
        </w:tc>
        <w:tc>
          <w:tcPr>
            <w:tcW w:w="8640" w:type="dxa"/>
            <w:vAlign w:val="bottom"/>
            <w:gridSpan w:val="3"/>
          </w:tcPr>
          <w:p>
            <w:pPr>
              <w:ind w:left="240"/>
              <w:spacing w:after="0"/>
              <w:rPr>
                <w:sz w:val="20"/>
                <w:szCs w:val="20"/>
                <w:color w:val="auto"/>
              </w:rPr>
            </w:pPr>
            <w:r>
              <w:rPr>
                <w:rFonts w:ascii="Arial" w:cs="Arial" w:eastAsia="Arial" w:hAnsi="Arial"/>
                <w:sz w:val="13"/>
                <w:szCs w:val="13"/>
                <w:color w:val="auto"/>
              </w:rPr>
              <w:t>Letter Agreement effective as of September 6, 2005, between the Registrant and Rodney K.B. Young</w:t>
            </w:r>
          </w:p>
        </w:tc>
        <w:tc>
          <w:tcPr>
            <w:tcW w:w="0" w:type="dxa"/>
            <w:vAlign w:val="bottom"/>
          </w:tcPr>
          <w:p>
            <w:pPr>
              <w:spacing w:after="0"/>
              <w:rPr>
                <w:sz w:val="1"/>
                <w:szCs w:val="1"/>
                <w:color w:val="auto"/>
              </w:rPr>
            </w:pPr>
          </w:p>
        </w:tc>
      </w:tr>
      <w:tr>
        <w:trPr>
          <w:trHeight w:val="442"/>
        </w:trPr>
        <w:tc>
          <w:tcPr>
            <w:tcW w:w="780" w:type="dxa"/>
            <w:vAlign w:val="bottom"/>
          </w:tcPr>
          <w:p>
            <w:pPr>
              <w:ind w:left="100"/>
              <w:spacing w:after="0"/>
              <w:rPr>
                <w:sz w:val="20"/>
                <w:szCs w:val="20"/>
                <w:color w:val="auto"/>
              </w:rPr>
            </w:pPr>
            <w:r>
              <w:rPr>
                <w:rFonts w:ascii="Arial" w:cs="Arial" w:eastAsia="Arial" w:hAnsi="Arial"/>
                <w:sz w:val="13"/>
                <w:szCs w:val="13"/>
                <w:color w:val="auto"/>
              </w:rPr>
              <w:t>10.49§§</w:t>
            </w:r>
          </w:p>
        </w:tc>
        <w:tc>
          <w:tcPr>
            <w:tcW w:w="8640" w:type="dxa"/>
            <w:vAlign w:val="bottom"/>
            <w:gridSpan w:val="3"/>
          </w:tcPr>
          <w:p>
            <w:pPr>
              <w:ind w:left="240"/>
              <w:spacing w:after="0"/>
              <w:rPr>
                <w:sz w:val="20"/>
                <w:szCs w:val="20"/>
                <w:color w:val="auto"/>
              </w:rPr>
            </w:pPr>
            <w:r>
              <w:rPr>
                <w:rFonts w:ascii="Arial" w:cs="Arial" w:eastAsia="Arial" w:hAnsi="Arial"/>
                <w:sz w:val="13"/>
                <w:szCs w:val="13"/>
                <w:color w:val="auto"/>
              </w:rPr>
              <w:t>Consulting Agreement effective as of September 6, 2005 between the Registrant and Judi R. Lum</w:t>
            </w:r>
          </w:p>
        </w:tc>
        <w:tc>
          <w:tcPr>
            <w:tcW w:w="0" w:type="dxa"/>
            <w:vAlign w:val="bottom"/>
          </w:tcPr>
          <w:p>
            <w:pPr>
              <w:spacing w:after="0"/>
              <w:rPr>
                <w:sz w:val="1"/>
                <w:szCs w:val="1"/>
                <w:color w:val="auto"/>
              </w:rPr>
            </w:pPr>
          </w:p>
        </w:tc>
      </w:tr>
      <w:tr>
        <w:trPr>
          <w:trHeight w:val="442"/>
        </w:trPr>
        <w:tc>
          <w:tcPr>
            <w:tcW w:w="780" w:type="dxa"/>
            <w:vAlign w:val="bottom"/>
          </w:tcPr>
          <w:p>
            <w:pPr>
              <w:ind w:left="100"/>
              <w:spacing w:after="0"/>
              <w:rPr>
                <w:sz w:val="20"/>
                <w:szCs w:val="20"/>
                <w:color w:val="auto"/>
              </w:rPr>
            </w:pPr>
            <w:r>
              <w:rPr>
                <w:rFonts w:ascii="Arial" w:cs="Arial" w:eastAsia="Arial" w:hAnsi="Arial"/>
                <w:sz w:val="13"/>
                <w:szCs w:val="13"/>
                <w:color w:val="auto"/>
              </w:rPr>
              <w:t>14.1%%</w:t>
            </w:r>
          </w:p>
        </w:tc>
        <w:tc>
          <w:tcPr>
            <w:tcW w:w="8640" w:type="dxa"/>
            <w:vAlign w:val="bottom"/>
            <w:gridSpan w:val="3"/>
          </w:tcPr>
          <w:p>
            <w:pPr>
              <w:ind w:left="240"/>
              <w:spacing w:after="0"/>
              <w:rPr>
                <w:sz w:val="20"/>
                <w:szCs w:val="20"/>
                <w:color w:val="auto"/>
              </w:rPr>
            </w:pPr>
            <w:r>
              <w:rPr>
                <w:rFonts w:ascii="Arial" w:cs="Arial" w:eastAsia="Arial" w:hAnsi="Arial"/>
                <w:sz w:val="13"/>
                <w:szCs w:val="13"/>
                <w:color w:val="auto"/>
              </w:rPr>
              <w:t>Code of Ethics</w:t>
            </w:r>
          </w:p>
        </w:tc>
        <w:tc>
          <w:tcPr>
            <w:tcW w:w="0" w:type="dxa"/>
            <w:vAlign w:val="bottom"/>
          </w:tcPr>
          <w:p>
            <w:pPr>
              <w:spacing w:after="0"/>
              <w:rPr>
                <w:sz w:val="1"/>
                <w:szCs w:val="1"/>
                <w:color w:val="auto"/>
              </w:rPr>
            </w:pPr>
          </w:p>
        </w:tc>
      </w:tr>
      <w:tr>
        <w:trPr>
          <w:trHeight w:val="442"/>
        </w:trPr>
        <w:tc>
          <w:tcPr>
            <w:tcW w:w="780" w:type="dxa"/>
            <w:vAlign w:val="bottom"/>
          </w:tcPr>
          <w:p>
            <w:pPr>
              <w:ind w:left="100"/>
              <w:spacing w:after="0"/>
              <w:rPr>
                <w:sz w:val="20"/>
                <w:szCs w:val="20"/>
                <w:color w:val="auto"/>
              </w:rPr>
            </w:pPr>
            <w:r>
              <w:rPr>
                <w:rFonts w:ascii="Arial" w:cs="Arial" w:eastAsia="Arial" w:hAnsi="Arial"/>
                <w:sz w:val="13"/>
                <w:szCs w:val="13"/>
                <w:color w:val="auto"/>
              </w:rPr>
              <w:t>21X</w:t>
            </w:r>
          </w:p>
        </w:tc>
        <w:tc>
          <w:tcPr>
            <w:tcW w:w="8640" w:type="dxa"/>
            <w:vAlign w:val="bottom"/>
            <w:gridSpan w:val="3"/>
          </w:tcPr>
          <w:p>
            <w:pPr>
              <w:ind w:left="240"/>
              <w:spacing w:after="0"/>
              <w:rPr>
                <w:sz w:val="20"/>
                <w:szCs w:val="20"/>
                <w:color w:val="auto"/>
              </w:rPr>
            </w:pPr>
            <w:r>
              <w:rPr>
                <w:rFonts w:ascii="Arial" w:cs="Arial" w:eastAsia="Arial" w:hAnsi="Arial"/>
                <w:sz w:val="13"/>
                <w:szCs w:val="13"/>
                <w:color w:val="auto"/>
              </w:rPr>
              <w:t>Subsidiaries of the Registrant.</w:t>
            </w:r>
          </w:p>
        </w:tc>
        <w:tc>
          <w:tcPr>
            <w:tcW w:w="0" w:type="dxa"/>
            <w:vAlign w:val="bottom"/>
          </w:tcPr>
          <w:p>
            <w:pPr>
              <w:spacing w:after="0"/>
              <w:rPr>
                <w:sz w:val="1"/>
                <w:szCs w:val="1"/>
                <w:color w:val="auto"/>
              </w:rPr>
            </w:pPr>
          </w:p>
        </w:tc>
      </w:tr>
      <w:tr>
        <w:trPr>
          <w:trHeight w:val="442"/>
        </w:trPr>
        <w:tc>
          <w:tcPr>
            <w:tcW w:w="780" w:type="dxa"/>
            <w:vAlign w:val="bottom"/>
          </w:tcPr>
          <w:p>
            <w:pPr>
              <w:ind w:left="100"/>
              <w:spacing w:after="0"/>
              <w:rPr>
                <w:sz w:val="20"/>
                <w:szCs w:val="20"/>
                <w:color w:val="auto"/>
              </w:rPr>
            </w:pPr>
            <w:r>
              <w:rPr>
                <w:rFonts w:ascii="Arial" w:cs="Arial" w:eastAsia="Arial" w:hAnsi="Arial"/>
                <w:sz w:val="13"/>
                <w:szCs w:val="13"/>
                <w:color w:val="auto"/>
              </w:rPr>
              <w:t>23.1</w:t>
            </w:r>
          </w:p>
        </w:tc>
        <w:tc>
          <w:tcPr>
            <w:tcW w:w="8640" w:type="dxa"/>
            <w:vAlign w:val="bottom"/>
            <w:gridSpan w:val="3"/>
          </w:tcPr>
          <w:p>
            <w:pPr>
              <w:ind w:left="240"/>
              <w:spacing w:after="0"/>
              <w:rPr>
                <w:sz w:val="20"/>
                <w:szCs w:val="20"/>
                <w:color w:val="auto"/>
              </w:rPr>
            </w:pPr>
            <w:r>
              <w:rPr>
                <w:rFonts w:ascii="Arial" w:cs="Arial" w:eastAsia="Arial" w:hAnsi="Arial"/>
                <w:sz w:val="13"/>
                <w:szCs w:val="13"/>
                <w:color w:val="auto"/>
              </w:rPr>
              <w:t>Consent of Grant Thornton, LLP , Independent Registered Public Accounting Firm.</w:t>
            </w:r>
          </w:p>
        </w:tc>
        <w:tc>
          <w:tcPr>
            <w:tcW w:w="0" w:type="dxa"/>
            <w:vAlign w:val="bottom"/>
          </w:tcPr>
          <w:p>
            <w:pPr>
              <w:spacing w:after="0"/>
              <w:rPr>
                <w:sz w:val="1"/>
                <w:szCs w:val="1"/>
                <w:color w:val="auto"/>
              </w:rPr>
            </w:pPr>
          </w:p>
        </w:tc>
      </w:tr>
      <w:tr>
        <w:trPr>
          <w:trHeight w:val="435"/>
        </w:trPr>
        <w:tc>
          <w:tcPr>
            <w:tcW w:w="780" w:type="dxa"/>
            <w:vAlign w:val="bottom"/>
          </w:tcPr>
          <w:p>
            <w:pPr>
              <w:ind w:left="100"/>
              <w:spacing w:after="0"/>
              <w:rPr>
                <w:sz w:val="20"/>
                <w:szCs w:val="20"/>
                <w:color w:val="auto"/>
              </w:rPr>
            </w:pPr>
            <w:r>
              <w:rPr>
                <w:rFonts w:ascii="Arial" w:cs="Arial" w:eastAsia="Arial" w:hAnsi="Arial"/>
                <w:sz w:val="13"/>
                <w:szCs w:val="13"/>
                <w:color w:val="auto"/>
              </w:rPr>
              <w:t>31.1</w:t>
            </w:r>
          </w:p>
        </w:tc>
        <w:tc>
          <w:tcPr>
            <w:tcW w:w="8640" w:type="dxa"/>
            <w:vAlign w:val="bottom"/>
            <w:gridSpan w:val="3"/>
          </w:tcPr>
          <w:p>
            <w:pPr>
              <w:ind w:left="240"/>
              <w:spacing w:after="0"/>
              <w:rPr>
                <w:sz w:val="20"/>
                <w:szCs w:val="20"/>
                <w:color w:val="auto"/>
              </w:rPr>
            </w:pPr>
            <w:r>
              <w:rPr>
                <w:rFonts w:ascii="Arial" w:cs="Arial" w:eastAsia="Arial" w:hAnsi="Arial"/>
                <w:sz w:val="13"/>
                <w:szCs w:val="13"/>
                <w:color w:val="auto"/>
                <w:w w:val="92"/>
              </w:rPr>
              <w:t>Certification Pursuant to Securities Exchange Act Rule 13(a)-14(a), as Adopted Pursuant to Section 302 of the Sarbanes-Oxley Act of 2002 (Martin McGlynn,</w:t>
            </w:r>
          </w:p>
        </w:tc>
        <w:tc>
          <w:tcPr>
            <w:tcW w:w="0" w:type="dxa"/>
            <w:vAlign w:val="bottom"/>
          </w:tcPr>
          <w:p>
            <w:pPr>
              <w:spacing w:after="0"/>
              <w:rPr>
                <w:sz w:val="1"/>
                <w:szCs w:val="1"/>
                <w:color w:val="auto"/>
              </w:rPr>
            </w:pPr>
          </w:p>
        </w:tc>
      </w:tr>
      <w:tr>
        <w:trPr>
          <w:trHeight w:val="165"/>
        </w:trPr>
        <w:tc>
          <w:tcPr>
            <w:tcW w:w="780" w:type="dxa"/>
            <w:vAlign w:val="bottom"/>
          </w:tcPr>
          <w:p>
            <w:pPr>
              <w:spacing w:after="0"/>
              <w:rPr>
                <w:sz w:val="14"/>
                <w:szCs w:val="14"/>
                <w:color w:val="auto"/>
              </w:rPr>
            </w:pPr>
          </w:p>
        </w:tc>
        <w:tc>
          <w:tcPr>
            <w:tcW w:w="8640" w:type="dxa"/>
            <w:vAlign w:val="bottom"/>
            <w:gridSpan w:val="3"/>
          </w:tcPr>
          <w:p>
            <w:pPr>
              <w:ind w:left="240"/>
              <w:spacing w:after="0"/>
              <w:rPr>
                <w:sz w:val="20"/>
                <w:szCs w:val="20"/>
                <w:color w:val="auto"/>
              </w:rPr>
            </w:pPr>
            <w:r>
              <w:rPr>
                <w:rFonts w:ascii="Arial" w:cs="Arial" w:eastAsia="Arial" w:hAnsi="Arial"/>
                <w:sz w:val="13"/>
                <w:szCs w:val="13"/>
                <w:color w:val="auto"/>
              </w:rPr>
              <w:t>Chief Executive Officer).</w:t>
            </w:r>
          </w:p>
        </w:tc>
        <w:tc>
          <w:tcPr>
            <w:tcW w:w="0" w:type="dxa"/>
            <w:vAlign w:val="bottom"/>
          </w:tcPr>
          <w:p>
            <w:pPr>
              <w:spacing w:after="0"/>
              <w:rPr>
                <w:sz w:val="1"/>
                <w:szCs w:val="1"/>
                <w:color w:val="auto"/>
              </w:rPr>
            </w:pPr>
          </w:p>
        </w:tc>
      </w:tr>
      <w:tr>
        <w:trPr>
          <w:trHeight w:val="435"/>
        </w:trPr>
        <w:tc>
          <w:tcPr>
            <w:tcW w:w="780" w:type="dxa"/>
            <w:vAlign w:val="bottom"/>
          </w:tcPr>
          <w:p>
            <w:pPr>
              <w:ind w:left="100"/>
              <w:spacing w:after="0"/>
              <w:rPr>
                <w:sz w:val="20"/>
                <w:szCs w:val="20"/>
                <w:color w:val="auto"/>
              </w:rPr>
            </w:pPr>
            <w:r>
              <w:rPr>
                <w:rFonts w:ascii="Arial" w:cs="Arial" w:eastAsia="Arial" w:hAnsi="Arial"/>
                <w:sz w:val="13"/>
                <w:szCs w:val="13"/>
                <w:color w:val="auto"/>
              </w:rPr>
              <w:t>31.2</w:t>
            </w:r>
          </w:p>
        </w:tc>
        <w:tc>
          <w:tcPr>
            <w:tcW w:w="8640" w:type="dxa"/>
            <w:vAlign w:val="bottom"/>
            <w:gridSpan w:val="3"/>
          </w:tcPr>
          <w:p>
            <w:pPr>
              <w:ind w:left="240"/>
              <w:spacing w:after="0"/>
              <w:rPr>
                <w:sz w:val="20"/>
                <w:szCs w:val="20"/>
                <w:color w:val="auto"/>
              </w:rPr>
            </w:pPr>
            <w:r>
              <w:rPr>
                <w:rFonts w:ascii="Arial" w:cs="Arial" w:eastAsia="Arial" w:hAnsi="Arial"/>
                <w:sz w:val="13"/>
                <w:szCs w:val="13"/>
                <w:color w:val="auto"/>
                <w:w w:val="95"/>
              </w:rPr>
              <w:t>Certification Pursuant to Securities Exchange Act Rule 13(a)-14(a), as Adopted Pursuant to Section 302 of the Sarbanes-Oxley Act of 2002 (Rodney K.B.</w:t>
            </w:r>
          </w:p>
        </w:tc>
        <w:tc>
          <w:tcPr>
            <w:tcW w:w="0" w:type="dxa"/>
            <w:vAlign w:val="bottom"/>
          </w:tcPr>
          <w:p>
            <w:pPr>
              <w:spacing w:after="0"/>
              <w:rPr>
                <w:sz w:val="1"/>
                <w:szCs w:val="1"/>
                <w:color w:val="auto"/>
              </w:rPr>
            </w:pPr>
          </w:p>
        </w:tc>
      </w:tr>
      <w:tr>
        <w:trPr>
          <w:trHeight w:val="165"/>
        </w:trPr>
        <w:tc>
          <w:tcPr>
            <w:tcW w:w="780" w:type="dxa"/>
            <w:vAlign w:val="bottom"/>
          </w:tcPr>
          <w:p>
            <w:pPr>
              <w:spacing w:after="0"/>
              <w:rPr>
                <w:sz w:val="14"/>
                <w:szCs w:val="14"/>
                <w:color w:val="auto"/>
              </w:rPr>
            </w:pPr>
          </w:p>
        </w:tc>
        <w:tc>
          <w:tcPr>
            <w:tcW w:w="8640" w:type="dxa"/>
            <w:vAlign w:val="bottom"/>
            <w:gridSpan w:val="3"/>
          </w:tcPr>
          <w:p>
            <w:pPr>
              <w:ind w:left="240"/>
              <w:spacing w:after="0"/>
              <w:rPr>
                <w:sz w:val="20"/>
                <w:szCs w:val="20"/>
                <w:color w:val="auto"/>
              </w:rPr>
            </w:pPr>
            <w:r>
              <w:rPr>
                <w:rFonts w:ascii="Arial" w:cs="Arial" w:eastAsia="Arial" w:hAnsi="Arial"/>
                <w:sz w:val="13"/>
                <w:szCs w:val="13"/>
                <w:color w:val="auto"/>
              </w:rPr>
              <w:t>Young, Chief Financial Officer).</w:t>
            </w:r>
          </w:p>
        </w:tc>
        <w:tc>
          <w:tcPr>
            <w:tcW w:w="0" w:type="dxa"/>
            <w:vAlign w:val="bottom"/>
          </w:tcPr>
          <w:p>
            <w:pPr>
              <w:spacing w:after="0"/>
              <w:rPr>
                <w:sz w:val="1"/>
                <w:szCs w:val="1"/>
                <w:color w:val="auto"/>
              </w:rPr>
            </w:pPr>
          </w:p>
        </w:tc>
      </w:tr>
      <w:tr>
        <w:trPr>
          <w:trHeight w:val="435"/>
        </w:trPr>
        <w:tc>
          <w:tcPr>
            <w:tcW w:w="780" w:type="dxa"/>
            <w:vAlign w:val="bottom"/>
          </w:tcPr>
          <w:p>
            <w:pPr>
              <w:ind w:left="100"/>
              <w:spacing w:after="0"/>
              <w:rPr>
                <w:sz w:val="20"/>
                <w:szCs w:val="20"/>
                <w:color w:val="auto"/>
              </w:rPr>
            </w:pPr>
            <w:r>
              <w:rPr>
                <w:rFonts w:ascii="Arial" w:cs="Arial" w:eastAsia="Arial" w:hAnsi="Arial"/>
                <w:sz w:val="13"/>
                <w:szCs w:val="13"/>
                <w:color w:val="auto"/>
              </w:rPr>
              <w:t>32.1</w:t>
            </w:r>
          </w:p>
        </w:tc>
        <w:tc>
          <w:tcPr>
            <w:tcW w:w="8640" w:type="dxa"/>
            <w:vAlign w:val="bottom"/>
            <w:gridSpan w:val="3"/>
          </w:tcPr>
          <w:p>
            <w:pPr>
              <w:ind w:left="240"/>
              <w:spacing w:after="0"/>
              <w:rPr>
                <w:sz w:val="20"/>
                <w:szCs w:val="20"/>
                <w:color w:val="auto"/>
              </w:rPr>
            </w:pPr>
            <w:r>
              <w:rPr>
                <w:rFonts w:ascii="Arial" w:cs="Arial" w:eastAsia="Arial" w:hAnsi="Arial"/>
                <w:sz w:val="13"/>
                <w:szCs w:val="13"/>
                <w:color w:val="auto"/>
                <w:w w:val="93"/>
              </w:rPr>
              <w:t>Certification Pursuant to 18 U.S.C. Section 1350, As Adopted Pursuant to Section 906 of the Sarbanes-Oxley Act of 2002 (Martin McGlynn, Chief Executive</w:t>
            </w:r>
          </w:p>
        </w:tc>
        <w:tc>
          <w:tcPr>
            <w:tcW w:w="0" w:type="dxa"/>
            <w:vAlign w:val="bottom"/>
          </w:tcPr>
          <w:p>
            <w:pPr>
              <w:spacing w:after="0"/>
              <w:rPr>
                <w:sz w:val="1"/>
                <w:szCs w:val="1"/>
                <w:color w:val="auto"/>
              </w:rPr>
            </w:pPr>
          </w:p>
        </w:tc>
      </w:tr>
      <w:tr>
        <w:trPr>
          <w:trHeight w:val="165"/>
        </w:trPr>
        <w:tc>
          <w:tcPr>
            <w:tcW w:w="780" w:type="dxa"/>
            <w:vAlign w:val="bottom"/>
          </w:tcPr>
          <w:p>
            <w:pPr>
              <w:spacing w:after="0"/>
              <w:rPr>
                <w:sz w:val="14"/>
                <w:szCs w:val="14"/>
                <w:color w:val="auto"/>
              </w:rPr>
            </w:pPr>
          </w:p>
        </w:tc>
        <w:tc>
          <w:tcPr>
            <w:tcW w:w="8640" w:type="dxa"/>
            <w:vAlign w:val="bottom"/>
            <w:gridSpan w:val="3"/>
          </w:tcPr>
          <w:p>
            <w:pPr>
              <w:ind w:left="240"/>
              <w:spacing w:after="0"/>
              <w:rPr>
                <w:sz w:val="20"/>
                <w:szCs w:val="20"/>
                <w:color w:val="auto"/>
              </w:rPr>
            </w:pPr>
            <w:r>
              <w:rPr>
                <w:rFonts w:ascii="Arial" w:cs="Arial" w:eastAsia="Arial" w:hAnsi="Arial"/>
                <w:sz w:val="13"/>
                <w:szCs w:val="13"/>
                <w:color w:val="auto"/>
              </w:rPr>
              <w:t>Officer)</w:t>
            </w:r>
          </w:p>
        </w:tc>
        <w:tc>
          <w:tcPr>
            <w:tcW w:w="0" w:type="dxa"/>
            <w:vAlign w:val="bottom"/>
          </w:tcPr>
          <w:p>
            <w:pPr>
              <w:spacing w:after="0"/>
              <w:rPr>
                <w:sz w:val="1"/>
                <w:szCs w:val="1"/>
                <w:color w:val="auto"/>
              </w:rPr>
            </w:pPr>
          </w:p>
        </w:tc>
      </w:tr>
      <w:tr>
        <w:trPr>
          <w:trHeight w:val="435"/>
        </w:trPr>
        <w:tc>
          <w:tcPr>
            <w:tcW w:w="780" w:type="dxa"/>
            <w:vAlign w:val="bottom"/>
          </w:tcPr>
          <w:p>
            <w:pPr>
              <w:ind w:left="100"/>
              <w:spacing w:after="0"/>
              <w:rPr>
                <w:sz w:val="20"/>
                <w:szCs w:val="20"/>
                <w:color w:val="auto"/>
              </w:rPr>
            </w:pPr>
            <w:r>
              <w:rPr>
                <w:rFonts w:ascii="Arial" w:cs="Arial" w:eastAsia="Arial" w:hAnsi="Arial"/>
                <w:sz w:val="13"/>
                <w:szCs w:val="13"/>
                <w:color w:val="auto"/>
              </w:rPr>
              <w:t>32.2</w:t>
            </w:r>
          </w:p>
        </w:tc>
        <w:tc>
          <w:tcPr>
            <w:tcW w:w="8640" w:type="dxa"/>
            <w:vAlign w:val="bottom"/>
            <w:gridSpan w:val="3"/>
          </w:tcPr>
          <w:p>
            <w:pPr>
              <w:ind w:left="240"/>
              <w:spacing w:after="0"/>
              <w:rPr>
                <w:sz w:val="20"/>
                <w:szCs w:val="20"/>
                <w:color w:val="auto"/>
              </w:rPr>
            </w:pPr>
            <w:r>
              <w:rPr>
                <w:rFonts w:ascii="Arial" w:cs="Arial" w:eastAsia="Arial" w:hAnsi="Arial"/>
                <w:sz w:val="13"/>
                <w:szCs w:val="13"/>
                <w:color w:val="auto"/>
                <w:w w:val="91"/>
              </w:rPr>
              <w:t>Certification Pursuant to 18 U.S.C. Section 1350, As Adopted Pursuant to Section 906 of the Sarbanes-Oxley Act of 2002 (Rodney K.B. Young, Chief Financial</w:t>
            </w:r>
          </w:p>
        </w:tc>
        <w:tc>
          <w:tcPr>
            <w:tcW w:w="0" w:type="dxa"/>
            <w:vAlign w:val="bottom"/>
          </w:tcPr>
          <w:p>
            <w:pPr>
              <w:spacing w:after="0"/>
              <w:rPr>
                <w:sz w:val="1"/>
                <w:szCs w:val="1"/>
                <w:color w:val="auto"/>
              </w:rPr>
            </w:pPr>
          </w:p>
        </w:tc>
      </w:tr>
      <w:tr>
        <w:trPr>
          <w:trHeight w:val="165"/>
        </w:trPr>
        <w:tc>
          <w:tcPr>
            <w:tcW w:w="780" w:type="dxa"/>
            <w:vAlign w:val="bottom"/>
          </w:tcPr>
          <w:p>
            <w:pPr>
              <w:spacing w:after="0"/>
              <w:rPr>
                <w:sz w:val="14"/>
                <w:szCs w:val="14"/>
                <w:color w:val="auto"/>
              </w:rPr>
            </w:pPr>
          </w:p>
        </w:tc>
        <w:tc>
          <w:tcPr>
            <w:tcW w:w="8640" w:type="dxa"/>
            <w:vAlign w:val="bottom"/>
            <w:gridSpan w:val="3"/>
          </w:tcPr>
          <w:p>
            <w:pPr>
              <w:ind w:left="240"/>
              <w:spacing w:after="0"/>
              <w:rPr>
                <w:sz w:val="20"/>
                <w:szCs w:val="20"/>
                <w:color w:val="auto"/>
              </w:rPr>
            </w:pPr>
            <w:r>
              <w:rPr>
                <w:rFonts w:ascii="Arial" w:cs="Arial" w:eastAsia="Arial" w:hAnsi="Arial"/>
                <w:sz w:val="13"/>
                <w:szCs w:val="13"/>
                <w:color w:val="auto"/>
              </w:rPr>
              <w:t>Officer)</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847725</wp:posOffset>
            </wp:positionH>
            <wp:positionV relativeFrom="paragraph">
              <wp:posOffset>-3056890</wp:posOffset>
            </wp:positionV>
            <wp:extent cx="6350" cy="635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436245</wp:posOffset>
            </wp:positionH>
            <wp:positionV relativeFrom="paragraph">
              <wp:posOffset>63500</wp:posOffset>
            </wp:positionV>
            <wp:extent cx="823595" cy="635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823595" cy="6350"/>
                    </a:xfrm>
                    <a:prstGeom prst="rect">
                      <a:avLst/>
                    </a:prstGeom>
                    <a:noFill/>
                  </pic:spPr>
                </pic:pic>
              </a:graphicData>
            </a:graphic>
          </wp:anchor>
        </w:drawing>
      </w:r>
    </w:p>
    <w:p>
      <w:pPr>
        <w:spacing w:after="0" w:line="130" w:lineRule="exact"/>
        <w:rPr>
          <w:sz w:val="20"/>
          <w:szCs w:val="20"/>
          <w:color w:val="auto"/>
        </w:rPr>
      </w:pPr>
    </w:p>
    <w:p>
      <w:pPr>
        <w:ind w:left="1400" w:hanging="713"/>
        <w:spacing w:after="0"/>
        <w:tabs>
          <w:tab w:leader="none" w:pos="1400" w:val="left"/>
        </w:tabs>
        <w:numPr>
          <w:ilvl w:val="0"/>
          <w:numId w:val="34"/>
        </w:numPr>
        <w:rPr>
          <w:rFonts w:ascii="Arial" w:cs="Arial" w:eastAsia="Arial" w:hAnsi="Arial"/>
          <w:sz w:val="12"/>
          <w:szCs w:val="12"/>
          <w:color w:val="auto"/>
        </w:rPr>
      </w:pPr>
      <w:r>
        <w:rPr>
          <w:rFonts w:ascii="Arial" w:cs="Arial" w:eastAsia="Arial" w:hAnsi="Arial"/>
          <w:sz w:val="12"/>
          <w:szCs w:val="12"/>
          <w:color w:val="auto"/>
        </w:rPr>
        <w:t>Previously filed with the Commission as Exhibits to, and incorporated herein by reference to, the Registrant’s Registration Statement on Form S-1, File No. 33-85494.</w:t>
      </w:r>
    </w:p>
    <w:p>
      <w:pPr>
        <w:spacing w:after="0" w:line="59" w:lineRule="exact"/>
        <w:rPr>
          <w:sz w:val="20"/>
          <w:szCs w:val="20"/>
          <w:color w:val="auto"/>
        </w:rPr>
      </w:pPr>
    </w:p>
    <w:p>
      <w:pPr>
        <w:ind w:left="1400" w:hanging="713"/>
        <w:spacing w:after="0"/>
        <w:tabs>
          <w:tab w:leader="none" w:pos="1400" w:val="left"/>
        </w:tabs>
        <w:numPr>
          <w:ilvl w:val="0"/>
          <w:numId w:val="35"/>
        </w:numPr>
        <w:rPr>
          <w:rFonts w:ascii="Arial" w:cs="Arial" w:eastAsia="Arial" w:hAnsi="Arial"/>
          <w:sz w:val="12"/>
          <w:szCs w:val="12"/>
          <w:color w:val="auto"/>
        </w:rPr>
      </w:pPr>
      <w:r>
        <w:rPr>
          <w:rFonts w:ascii="Arial" w:cs="Arial" w:eastAsia="Arial" w:hAnsi="Arial"/>
          <w:sz w:val="12"/>
          <w:szCs w:val="12"/>
          <w:color w:val="auto"/>
        </w:rPr>
        <w:t>Previously filed with the Commission as Exhibits to, and incorporated herein by reference to, the Registrant’s Registration Statement on Form S-3, File No. 33-97272.</w:t>
      </w:r>
    </w:p>
    <w:p>
      <w:pPr>
        <w:spacing w:after="0" w:line="58" w:lineRule="exact"/>
        <w:rPr>
          <w:rFonts w:ascii="Arial" w:cs="Arial" w:eastAsia="Arial" w:hAnsi="Arial"/>
          <w:sz w:val="12"/>
          <w:szCs w:val="12"/>
          <w:color w:val="auto"/>
        </w:rPr>
      </w:pPr>
    </w:p>
    <w:p>
      <w:pPr>
        <w:ind w:left="680"/>
        <w:spacing w:after="0"/>
        <w:rPr>
          <w:rFonts w:ascii="Arial" w:cs="Arial" w:eastAsia="Arial" w:hAnsi="Arial"/>
          <w:sz w:val="12"/>
          <w:szCs w:val="12"/>
          <w:color w:val="auto"/>
        </w:rPr>
      </w:pPr>
      <w:r>
        <w:rPr>
          <w:rFonts w:ascii="Arial" w:cs="Arial" w:eastAsia="Arial" w:hAnsi="Arial"/>
          <w:sz w:val="13"/>
          <w:szCs w:val="13"/>
          <w:color w:val="auto"/>
        </w:rPr>
        <w:t>++++</w:t>
      </w:r>
      <w:r>
        <w:rPr>
          <w:rFonts w:ascii="Arial" w:cs="Arial" w:eastAsia="Arial" w:hAnsi="Arial"/>
          <w:sz w:val="11"/>
          <w:szCs w:val="11"/>
          <w:color w:val="auto"/>
        </w:rPr>
        <w:t>Previously filed with the Commission as Exhibits to, and incorporated herein by reference to, the Registrant’s Registration Statement on Form S-1, File No. 33-91228.</w:t>
      </w:r>
    </w:p>
    <w:p>
      <w:pPr>
        <w:spacing w:after="0" w:line="47" w:lineRule="exact"/>
        <w:rPr>
          <w:sz w:val="20"/>
          <w:szCs w:val="20"/>
          <w:color w:val="auto"/>
        </w:rPr>
      </w:pPr>
    </w:p>
    <w:p>
      <w:pPr>
        <w:ind w:left="1400" w:hanging="713"/>
        <w:spacing w:after="0"/>
        <w:tabs>
          <w:tab w:leader="none" w:pos="1400" w:val="left"/>
        </w:tabs>
        <w:numPr>
          <w:ilvl w:val="0"/>
          <w:numId w:val="36"/>
        </w:numPr>
        <w:rPr>
          <w:rFonts w:ascii="Arial" w:cs="Arial" w:eastAsia="Arial" w:hAnsi="Arial"/>
          <w:sz w:val="13"/>
          <w:szCs w:val="13"/>
          <w:color w:val="auto"/>
        </w:rPr>
      </w:pPr>
      <w:r>
        <w:rPr>
          <w:rFonts w:ascii="Arial" w:cs="Arial" w:eastAsia="Arial" w:hAnsi="Arial"/>
          <w:sz w:val="13"/>
          <w:szCs w:val="13"/>
          <w:color w:val="auto"/>
        </w:rPr>
        <w:t>Previously filed with the Commission as Exhibits to, and incorporated herein by reference to, Registration Statement on Form S-1, File No. 33-45739.</w:t>
      </w:r>
    </w:p>
    <w:p>
      <w:pPr>
        <w:spacing w:after="0" w:line="47" w:lineRule="exact"/>
        <w:rPr>
          <w:sz w:val="20"/>
          <w:szCs w:val="20"/>
          <w:color w:val="auto"/>
        </w:rPr>
      </w:pPr>
    </w:p>
    <w:p>
      <w:pPr>
        <w:ind w:left="1400" w:hanging="713"/>
        <w:spacing w:after="0" w:line="276" w:lineRule="auto"/>
        <w:tabs>
          <w:tab w:leader="none" w:pos="1400" w:val="left"/>
        </w:tabs>
        <w:numPr>
          <w:ilvl w:val="0"/>
          <w:numId w:val="37"/>
        </w:numPr>
        <w:rPr>
          <w:rFonts w:ascii="Arial" w:cs="Arial" w:eastAsia="Arial" w:hAnsi="Arial"/>
          <w:sz w:val="13"/>
          <w:szCs w:val="13"/>
          <w:color w:val="auto"/>
        </w:rPr>
      </w:pPr>
      <w:r>
        <w:rPr>
          <w:rFonts w:ascii="Arial" w:cs="Arial" w:eastAsia="Arial" w:hAnsi="Arial"/>
          <w:sz w:val="13"/>
          <w:szCs w:val="13"/>
          <w:color w:val="auto"/>
        </w:rPr>
        <w:t>Previously filed with the Commission as Exhibits to, and incorporated herein by reference to, the Registrant’s Annual Report on Form 10-K for fiscal year ended December 31, 1992 and filed March 30, 1993.</w:t>
      </w:r>
    </w:p>
    <w:p>
      <w:pPr>
        <w:spacing w:after="0" w:line="10" w:lineRule="exact"/>
        <w:rPr>
          <w:sz w:val="20"/>
          <w:szCs w:val="20"/>
          <w:color w:val="auto"/>
        </w:rPr>
      </w:pPr>
    </w:p>
    <w:p>
      <w:pPr>
        <w:ind w:left="1400" w:right="100" w:hanging="713"/>
        <w:spacing w:after="0" w:line="276" w:lineRule="auto"/>
        <w:tabs>
          <w:tab w:leader="none" w:pos="1400" w:val="left"/>
        </w:tabs>
        <w:numPr>
          <w:ilvl w:val="0"/>
          <w:numId w:val="38"/>
        </w:numPr>
        <w:rPr>
          <w:rFonts w:ascii="Arial" w:cs="Arial" w:eastAsia="Arial" w:hAnsi="Arial"/>
          <w:sz w:val="13"/>
          <w:szCs w:val="13"/>
          <w:color w:val="auto"/>
        </w:rPr>
      </w:pPr>
      <w:r>
        <w:rPr>
          <w:rFonts w:ascii="Arial" w:cs="Arial" w:eastAsia="Arial" w:hAnsi="Arial"/>
          <w:sz w:val="13"/>
          <w:szCs w:val="13"/>
          <w:color w:val="auto"/>
        </w:rPr>
        <w:t>Confidential treatment requested as to certain portions. The term “confidential treatment” and the mark “**” as used throughout the indicated Exhibits mean that material has been omitted and separately filed with the Commission.</w:t>
      </w:r>
    </w:p>
    <w:p>
      <w:pPr>
        <w:spacing w:after="0" w:line="10" w:lineRule="exact"/>
        <w:rPr>
          <w:sz w:val="20"/>
          <w:szCs w:val="20"/>
          <w:color w:val="auto"/>
        </w:rPr>
      </w:pPr>
    </w:p>
    <w:p>
      <w:pPr>
        <w:ind w:left="1400" w:right="60" w:hanging="713"/>
        <w:spacing w:after="0" w:line="276" w:lineRule="auto"/>
        <w:tabs>
          <w:tab w:leader="none" w:pos="1400" w:val="left"/>
        </w:tabs>
        <w:numPr>
          <w:ilvl w:val="0"/>
          <w:numId w:val="39"/>
        </w:numPr>
        <w:rPr>
          <w:rFonts w:ascii="Arial" w:cs="Arial" w:eastAsia="Arial" w:hAnsi="Arial"/>
          <w:sz w:val="13"/>
          <w:szCs w:val="13"/>
          <w:color w:val="auto"/>
        </w:rPr>
      </w:pPr>
      <w:r>
        <w:rPr>
          <w:rFonts w:ascii="Arial" w:cs="Arial" w:eastAsia="Arial" w:hAnsi="Arial"/>
          <w:sz w:val="13"/>
          <w:szCs w:val="13"/>
          <w:color w:val="auto"/>
        </w:rPr>
        <w:t>Previously filed with the Commission as Exhibits to, and incorporated herein by reference to, the Registrant’s Quarterly Report on Form 10-Q for the quarter ended March 31, 1994 and filed on May 14, 1994.</w:t>
      </w:r>
    </w:p>
    <w:p>
      <w:pPr>
        <w:spacing w:after="0" w:line="10" w:lineRule="exact"/>
        <w:rPr>
          <w:sz w:val="20"/>
          <w:szCs w:val="20"/>
          <w:color w:val="auto"/>
        </w:rPr>
      </w:pPr>
    </w:p>
    <w:p>
      <w:pPr>
        <w:ind w:left="1400" w:right="580" w:hanging="713"/>
        <w:spacing w:after="0" w:line="276" w:lineRule="auto"/>
        <w:tabs>
          <w:tab w:leader="none" w:pos="1400" w:val="left"/>
        </w:tabs>
        <w:numPr>
          <w:ilvl w:val="0"/>
          <w:numId w:val="40"/>
        </w:numPr>
        <w:rPr>
          <w:rFonts w:ascii="Arial" w:cs="Arial" w:eastAsia="Arial" w:hAnsi="Arial"/>
          <w:sz w:val="13"/>
          <w:szCs w:val="13"/>
          <w:color w:val="auto"/>
        </w:rPr>
      </w:pPr>
      <w:r>
        <w:rPr>
          <w:rFonts w:ascii="Arial" w:cs="Arial" w:eastAsia="Arial" w:hAnsi="Arial"/>
          <w:sz w:val="13"/>
          <w:szCs w:val="13"/>
          <w:color w:val="auto"/>
        </w:rPr>
        <w:t>Previously filed with the Commission as Exhibits to, and incorporated herein by reference to, the Registrant’s Annual Report on Form 10-K for the fiscal year ended December 31, 1993 and filed on March 30, 1994.</w:t>
      </w:r>
    </w:p>
    <w:p>
      <w:pPr>
        <w:spacing w:after="0" w:line="10" w:lineRule="exact"/>
        <w:rPr>
          <w:sz w:val="20"/>
          <w:szCs w:val="20"/>
          <w:color w:val="auto"/>
        </w:rPr>
      </w:pPr>
    </w:p>
    <w:p>
      <w:pPr>
        <w:ind w:left="1400" w:hanging="713"/>
        <w:spacing w:after="0"/>
        <w:tabs>
          <w:tab w:leader="none" w:pos="1400" w:val="left"/>
        </w:tabs>
        <w:numPr>
          <w:ilvl w:val="0"/>
          <w:numId w:val="41"/>
        </w:numPr>
        <w:rPr>
          <w:rFonts w:ascii="Arial" w:cs="Arial" w:eastAsia="Arial" w:hAnsi="Arial"/>
          <w:sz w:val="11"/>
          <w:szCs w:val="11"/>
          <w:color w:val="auto"/>
        </w:rPr>
      </w:pPr>
      <w:r>
        <w:rPr>
          <w:rFonts w:ascii="Arial" w:cs="Arial" w:eastAsia="Arial" w:hAnsi="Arial"/>
          <w:sz w:val="11"/>
          <w:szCs w:val="11"/>
          <w:color w:val="auto"/>
        </w:rPr>
        <w:t>Previously filed with the Commission as an Exhibit to and incorporated by reference to, the Registrant’s Quarterly Report on Form 10-Q for the quarter ended March 31, 1996.</w:t>
      </w:r>
    </w:p>
    <w:p>
      <w:pPr>
        <w:spacing w:after="0" w:line="70" w:lineRule="exact"/>
        <w:rPr>
          <w:sz w:val="20"/>
          <w:szCs w:val="20"/>
          <w:color w:val="auto"/>
        </w:rPr>
      </w:pPr>
    </w:p>
    <w:p>
      <w:pPr>
        <w:ind w:left="1400" w:right="120" w:hanging="713"/>
        <w:spacing w:after="0" w:line="276" w:lineRule="auto"/>
        <w:tabs>
          <w:tab w:leader="none" w:pos="1400" w:val="left"/>
        </w:tabs>
        <w:numPr>
          <w:ilvl w:val="0"/>
          <w:numId w:val="42"/>
        </w:numPr>
        <w:rPr>
          <w:rFonts w:ascii="Arial" w:cs="Arial" w:eastAsia="Arial" w:hAnsi="Arial"/>
          <w:sz w:val="13"/>
          <w:szCs w:val="13"/>
          <w:color w:val="auto"/>
        </w:rPr>
      </w:pPr>
      <w:r>
        <w:rPr>
          <w:rFonts w:ascii="Arial" w:cs="Arial" w:eastAsia="Arial" w:hAnsi="Arial"/>
          <w:sz w:val="13"/>
          <w:szCs w:val="13"/>
          <w:color w:val="auto"/>
        </w:rPr>
        <w:t>Previously filed with the Commission as an Exhibit to and incorporated by reference to, the Registrant’s Quarterly Report on Form 10-Q for the quarter ended September 30, 1996.</w:t>
      </w:r>
    </w:p>
    <w:p>
      <w:pPr>
        <w:spacing w:after="0" w:line="10" w:lineRule="exact"/>
        <w:rPr>
          <w:sz w:val="20"/>
          <w:szCs w:val="20"/>
          <w:color w:val="auto"/>
        </w:rPr>
      </w:pPr>
    </w:p>
    <w:p>
      <w:pPr>
        <w:ind w:left="1400" w:right="460" w:hanging="713"/>
        <w:spacing w:after="0" w:line="276" w:lineRule="auto"/>
        <w:tabs>
          <w:tab w:leader="none" w:pos="1400" w:val="left"/>
        </w:tabs>
        <w:numPr>
          <w:ilvl w:val="0"/>
          <w:numId w:val="43"/>
        </w:numPr>
        <w:rPr>
          <w:rFonts w:ascii="Arial" w:cs="Arial" w:eastAsia="Arial" w:hAnsi="Arial"/>
          <w:sz w:val="13"/>
          <w:szCs w:val="13"/>
          <w:color w:val="auto"/>
        </w:rPr>
      </w:pPr>
      <w:r>
        <w:rPr>
          <w:rFonts w:ascii="Arial" w:cs="Arial" w:eastAsia="Arial" w:hAnsi="Arial"/>
          <w:sz w:val="13"/>
          <w:szCs w:val="13"/>
          <w:color w:val="auto"/>
        </w:rPr>
        <w:t>Previously filed with the Commission as an Exhibit to, and incorporated herein by reference to, the Registrant’s Annual Report on Form 10-K for the fiscal year ended December 31, 1996 and filed on March 31, 1997.</w:t>
      </w:r>
    </w:p>
    <w:p>
      <w:pPr>
        <w:spacing w:after="0" w:line="10" w:lineRule="exact"/>
        <w:rPr>
          <w:sz w:val="20"/>
          <w:szCs w:val="20"/>
          <w:color w:val="auto"/>
        </w:rPr>
      </w:pPr>
    </w:p>
    <w:p>
      <w:pPr>
        <w:ind w:left="1400" w:right="460" w:hanging="713"/>
        <w:spacing w:after="0" w:line="276" w:lineRule="auto"/>
        <w:tabs>
          <w:tab w:leader="none" w:pos="1400" w:val="left"/>
        </w:tabs>
        <w:numPr>
          <w:ilvl w:val="0"/>
          <w:numId w:val="44"/>
        </w:numPr>
        <w:rPr>
          <w:rFonts w:ascii="Arial" w:cs="Arial" w:eastAsia="Arial" w:hAnsi="Arial"/>
          <w:sz w:val="13"/>
          <w:szCs w:val="13"/>
          <w:color w:val="auto"/>
        </w:rPr>
      </w:pPr>
      <w:r>
        <w:rPr>
          <w:rFonts w:ascii="Arial" w:cs="Arial" w:eastAsia="Arial" w:hAnsi="Arial"/>
          <w:sz w:val="13"/>
          <w:szCs w:val="13"/>
          <w:color w:val="auto"/>
        </w:rPr>
        <w:t>Previously filed with the Commission as an Exhibit to, and incorporated herein by reference to, the Registrant’s Annual Report on Form 10-K for the fiscal year ended December 31, 1995.</w:t>
      </w:r>
    </w:p>
    <w:p>
      <w:pPr>
        <w:spacing w:after="0" w:line="98"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00"/>
          </w:cols>
          <w:pgMar w:left="220" w:top="343" w:right="1079" w:bottom="1440" w:gutter="0" w:footer="0" w:header="0"/>
        </w:sectPr>
      </w:pPr>
    </w:p>
    <w:bookmarkStart w:id="73" w:name="page74"/>
    <w:bookmarkEnd w:id="73"/>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1400" w:right="640" w:hanging="713"/>
        <w:spacing w:after="0" w:line="276" w:lineRule="auto"/>
        <w:tabs>
          <w:tab w:leader="none" w:pos="1400" w:val="left"/>
        </w:tabs>
        <w:numPr>
          <w:ilvl w:val="0"/>
          <w:numId w:val="45"/>
        </w:numPr>
        <w:rPr>
          <w:rFonts w:ascii="Arial" w:cs="Arial" w:eastAsia="Arial" w:hAnsi="Arial"/>
          <w:sz w:val="13"/>
          <w:szCs w:val="13"/>
          <w:color w:val="auto"/>
        </w:rPr>
      </w:pPr>
      <w:r>
        <w:rPr>
          <w:rFonts w:ascii="Arial" w:cs="Arial" w:eastAsia="Arial" w:hAnsi="Arial"/>
          <w:sz w:val="13"/>
          <w:szCs w:val="13"/>
          <w:color w:val="auto"/>
        </w:rPr>
        <w:t>Previously filed with the Commission as Exhibits to, and incorporated herein by reference to, the Registrant’s Quarterly Report on Form 10-Q for the quarter ended September 30, 1997 and filed on November 14, 1997.</w:t>
      </w:r>
    </w:p>
    <w:p>
      <w:pPr>
        <w:spacing w:after="0" w:line="10" w:lineRule="exact"/>
        <w:rPr>
          <w:rFonts w:ascii="Arial" w:cs="Arial" w:eastAsia="Arial" w:hAnsi="Arial"/>
          <w:sz w:val="13"/>
          <w:szCs w:val="13"/>
          <w:color w:val="auto"/>
        </w:rPr>
      </w:pPr>
    </w:p>
    <w:p>
      <w:pPr>
        <w:ind w:left="1400" w:hanging="713"/>
        <w:spacing w:after="0"/>
        <w:tabs>
          <w:tab w:leader="none" w:pos="1400" w:val="left"/>
        </w:tabs>
        <w:numPr>
          <w:ilvl w:val="0"/>
          <w:numId w:val="46"/>
        </w:numPr>
        <w:rPr>
          <w:rFonts w:ascii="Arial" w:cs="Arial" w:eastAsia="Arial" w:hAnsi="Arial"/>
          <w:sz w:val="11"/>
          <w:szCs w:val="11"/>
          <w:color w:val="auto"/>
        </w:rPr>
      </w:pPr>
      <w:r>
        <w:rPr>
          <w:rFonts w:ascii="Arial" w:cs="Arial" w:eastAsia="Arial" w:hAnsi="Arial"/>
          <w:sz w:val="11"/>
          <w:szCs w:val="11"/>
          <w:color w:val="auto"/>
        </w:rPr>
        <w:t>Previously filed with the Commission as Exhibits to, and incorporated herein by reference to, the Registrant’s Registration Statement on Form S-8, File No. 333-37313.</w:t>
      </w:r>
    </w:p>
    <w:p>
      <w:pPr>
        <w:spacing w:after="0" w:line="70" w:lineRule="exact"/>
        <w:rPr>
          <w:sz w:val="20"/>
          <w:szCs w:val="20"/>
          <w:color w:val="auto"/>
        </w:rPr>
      </w:pPr>
    </w:p>
    <w:p>
      <w:pPr>
        <w:ind w:left="1400" w:right="560" w:hanging="713"/>
        <w:spacing w:after="0" w:line="276" w:lineRule="auto"/>
        <w:tabs>
          <w:tab w:leader="none" w:pos="1400" w:val="left"/>
        </w:tabs>
        <w:numPr>
          <w:ilvl w:val="0"/>
          <w:numId w:val="47"/>
        </w:numPr>
        <w:rPr>
          <w:rFonts w:ascii="Arial" w:cs="Arial" w:eastAsia="Arial" w:hAnsi="Arial"/>
          <w:sz w:val="13"/>
          <w:szCs w:val="13"/>
          <w:color w:val="auto"/>
        </w:rPr>
      </w:pPr>
      <w:r>
        <w:rPr>
          <w:rFonts w:ascii="Arial" w:cs="Arial" w:eastAsia="Arial" w:hAnsi="Arial"/>
          <w:sz w:val="13"/>
          <w:szCs w:val="13"/>
          <w:color w:val="auto"/>
        </w:rPr>
        <w:t>Previously filed with the Commission as an Exhibit to, and incorporated herein by reference to, the Registrant’s annual report on Form 10-K for the fiscal year ended December 31, 1997 and filed on March 30, 1998.</w:t>
      </w:r>
    </w:p>
    <w:p>
      <w:pPr>
        <w:sectPr>
          <w:pgSz w:w="11900" w:h="16838" w:orient="portrait"/>
          <w:cols w:equalWidth="0" w:num="1">
            <w:col w:w="10620"/>
          </w:cols>
          <w:pgMar w:left="220" w:top="343" w:right="1059" w:bottom="1440" w:gutter="0" w:footer="0" w:header="0"/>
        </w:sectPr>
      </w:pPr>
    </w:p>
    <w:p>
      <w:pPr>
        <w:spacing w:after="0" w:line="10" w:lineRule="exact"/>
        <w:rPr>
          <w:sz w:val="20"/>
          <w:szCs w:val="20"/>
          <w:color w:val="auto"/>
        </w:rPr>
      </w:pPr>
    </w:p>
    <w:p>
      <w:pPr>
        <w:ind w:left="680"/>
        <w:spacing w:after="0"/>
        <w:rPr>
          <w:sz w:val="20"/>
          <w:szCs w:val="20"/>
          <w:color w:val="auto"/>
        </w:rPr>
      </w:pPr>
      <w:r>
        <w:rPr>
          <w:rFonts w:ascii="Arial" w:cs="Arial" w:eastAsia="Arial" w:hAnsi="Arial"/>
          <w:sz w:val="13"/>
          <w:szCs w:val="13"/>
          <w:color w:val="auto"/>
        </w:rPr>
        <w:t>{*}</w:t>
      </w:r>
    </w:p>
    <w:p>
      <w:pPr>
        <w:spacing w:after="0" w:line="47" w:lineRule="exact"/>
        <w:rPr>
          <w:sz w:val="20"/>
          <w:szCs w:val="20"/>
          <w:color w:val="auto"/>
        </w:rPr>
      </w:pPr>
    </w:p>
    <w:p>
      <w:pPr>
        <w:ind w:left="680"/>
        <w:spacing w:after="0"/>
        <w:rPr>
          <w:sz w:val="20"/>
          <w:szCs w:val="20"/>
          <w:color w:val="auto"/>
        </w:rPr>
      </w:pPr>
      <w:r>
        <w:rPr>
          <w:rFonts w:ascii="Arial" w:cs="Arial" w:eastAsia="Arial" w:hAnsi="Arial"/>
          <w:sz w:val="13"/>
          <w:szCs w:val="13"/>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auto"/>
        </w:rPr>
        <w:t>Previously filed with the Commission as an Exhibit to, and incorporated herein by reference to, the Registrant’s current report on Form 8-K filed on August 3, 1998.</w:t>
      </w:r>
    </w:p>
    <w:p>
      <w:pPr>
        <w:spacing w:after="0" w:line="59" w:lineRule="exact"/>
        <w:rPr>
          <w:sz w:val="20"/>
          <w:szCs w:val="20"/>
          <w:color w:val="auto"/>
        </w:rPr>
      </w:pPr>
    </w:p>
    <w:p>
      <w:pPr>
        <w:spacing w:after="0"/>
        <w:rPr>
          <w:sz w:val="20"/>
          <w:szCs w:val="20"/>
          <w:color w:val="auto"/>
        </w:rPr>
      </w:pPr>
      <w:r>
        <w:rPr>
          <w:rFonts w:ascii="Arial" w:cs="Arial" w:eastAsia="Arial" w:hAnsi="Arial"/>
          <w:sz w:val="11"/>
          <w:szCs w:val="11"/>
          <w:color w:val="auto"/>
        </w:rPr>
        <w:t>Previously filed with the Commission as an Exhibit to, and incorporated herein by reference to, the Registrant’s current report on Form 8-K filed on December 7, 2001.</w:t>
      </w:r>
    </w:p>
    <w:p>
      <w:pPr>
        <w:spacing w:after="0" w:line="70" w:lineRule="exact"/>
        <w:rPr>
          <w:sz w:val="20"/>
          <w:szCs w:val="20"/>
          <w:color w:val="auto"/>
        </w:rPr>
      </w:pPr>
    </w:p>
    <w:p>
      <w:pPr>
        <w:sectPr>
          <w:pgSz w:w="11900" w:h="16838" w:orient="portrait"/>
          <w:cols w:equalWidth="0" w:num="2">
            <w:col w:w="940" w:space="460"/>
            <w:col w:w="9220"/>
          </w:cols>
          <w:pgMar w:left="220" w:top="343" w:right="1059" w:bottom="1440" w:gutter="0" w:footer="0" w:header="0"/>
          <w:type w:val="continuous"/>
        </w:sectPr>
      </w:pPr>
    </w:p>
    <w:p>
      <w:pPr>
        <w:ind w:left="1400" w:right="560" w:hanging="713"/>
        <w:spacing w:after="0" w:line="276" w:lineRule="auto"/>
        <w:tabs>
          <w:tab w:leader="none" w:pos="1400" w:val="left"/>
        </w:tabs>
        <w:numPr>
          <w:ilvl w:val="0"/>
          <w:numId w:val="48"/>
        </w:numPr>
        <w:rPr>
          <w:rFonts w:ascii="Arial" w:cs="Arial" w:eastAsia="Arial" w:hAnsi="Arial"/>
          <w:sz w:val="13"/>
          <w:szCs w:val="13"/>
          <w:color w:val="auto"/>
        </w:rPr>
      </w:pPr>
      <w:r>
        <w:rPr>
          <w:rFonts w:ascii="Arial" w:cs="Arial" w:eastAsia="Arial" w:hAnsi="Arial"/>
          <w:sz w:val="13"/>
          <w:szCs w:val="13"/>
          <w:color w:val="auto"/>
        </w:rPr>
        <w:t>Previously filed with the Commission as an Exhibit to, and incorporated herein by reference to, the Registrant’s annual report on Form 10-K for the fiscal year ended December 31, 1998 and filed on March 31, 1999.</w:t>
      </w:r>
    </w:p>
    <w:p>
      <w:pPr>
        <w:sectPr>
          <w:pgSz w:w="11900" w:h="16838" w:orient="portrait"/>
          <w:cols w:equalWidth="0" w:num="1">
            <w:col w:w="10620"/>
          </w:cols>
          <w:pgMar w:left="220" w:top="343" w:right="1059" w:bottom="1440" w:gutter="0" w:footer="0" w:header="0"/>
          <w:type w:val="continuous"/>
        </w:sectPr>
      </w:pPr>
    </w:p>
    <w:p>
      <w:pPr>
        <w:spacing w:after="0" w:line="10" w:lineRule="exact"/>
        <w:rPr>
          <w:sz w:val="20"/>
          <w:szCs w:val="20"/>
          <w:color w:val="auto"/>
        </w:rPr>
      </w:pPr>
    </w:p>
    <w:p>
      <w:pPr>
        <w:ind w:left="680"/>
        <w:spacing w:after="0"/>
        <w:rPr>
          <w:sz w:val="20"/>
          <w:szCs w:val="20"/>
          <w:color w:val="auto"/>
        </w:rPr>
      </w:pPr>
      <w:r>
        <w:rPr>
          <w:rFonts w:ascii="Arial" w:cs="Arial" w:eastAsia="Arial" w:hAnsi="Arial"/>
          <w:sz w:val="13"/>
          <w:szCs w:val="13"/>
          <w:color w:val="auto"/>
        </w:rPr>
        <w:t>$$</w:t>
      </w:r>
    </w:p>
    <w:p>
      <w:pPr>
        <w:spacing w:after="0" w:line="47" w:lineRule="exact"/>
        <w:rPr>
          <w:sz w:val="20"/>
          <w:szCs w:val="20"/>
          <w:color w:val="auto"/>
        </w:rPr>
      </w:pPr>
    </w:p>
    <w:p>
      <w:pPr>
        <w:ind w:left="680"/>
        <w:spacing w:after="0"/>
        <w:rPr>
          <w:sz w:val="20"/>
          <w:szCs w:val="20"/>
          <w:color w:val="auto"/>
        </w:rPr>
      </w:pPr>
      <w:r>
        <w:rPr>
          <w:rFonts w:ascii="Arial" w:cs="Arial" w:eastAsia="Arial" w:hAnsi="Arial"/>
          <w:sz w:val="11"/>
          <w:szCs w:val="11"/>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1"/>
          <w:szCs w:val="11"/>
          <w:color w:val="auto"/>
        </w:rPr>
        <w:t>Previously filed with the Commission as an Exhibit to, and incorporated herein by reference to, the Registrant’s current report on Form 8-K on January 14, 2000.</w:t>
      </w:r>
    </w:p>
    <w:p>
      <w:pPr>
        <w:spacing w:after="0" w:line="70" w:lineRule="exact"/>
        <w:rPr>
          <w:sz w:val="20"/>
          <w:szCs w:val="20"/>
          <w:color w:val="auto"/>
        </w:rPr>
      </w:pPr>
    </w:p>
    <w:p>
      <w:pPr>
        <w:spacing w:after="0"/>
        <w:rPr>
          <w:sz w:val="20"/>
          <w:szCs w:val="20"/>
          <w:color w:val="auto"/>
        </w:rPr>
      </w:pPr>
      <w:r>
        <w:rPr>
          <w:rFonts w:ascii="Arial" w:cs="Arial" w:eastAsia="Arial" w:hAnsi="Arial"/>
          <w:sz w:val="12"/>
          <w:szCs w:val="12"/>
          <w:color w:val="auto"/>
        </w:rPr>
        <w:t>Previously filed with the Commission as an Exhibit to, and incorporated herein by reference to, the Registrant’s definitive proxy statement filed May 1, 2001.</w:t>
      </w:r>
    </w:p>
    <w:p>
      <w:pPr>
        <w:spacing w:after="0" w:line="59" w:lineRule="exact"/>
        <w:rPr>
          <w:sz w:val="20"/>
          <w:szCs w:val="20"/>
          <w:color w:val="auto"/>
        </w:rPr>
      </w:pPr>
    </w:p>
    <w:p>
      <w:pPr>
        <w:sectPr>
          <w:pgSz w:w="11900" w:h="16838" w:orient="portrait"/>
          <w:cols w:equalWidth="0" w:num="2">
            <w:col w:w="880" w:space="520"/>
            <w:col w:w="9220"/>
          </w:cols>
          <w:pgMar w:left="220" w:top="343" w:right="1059" w:bottom="1440" w:gutter="0" w:footer="0" w:header="0"/>
          <w:type w:val="continuous"/>
        </w:sectPr>
      </w:pPr>
    </w:p>
    <w:p>
      <w:pPr>
        <w:ind w:left="1400" w:hanging="713"/>
        <w:spacing w:after="0"/>
        <w:tabs>
          <w:tab w:leader="none" w:pos="1400" w:val="left"/>
        </w:tabs>
        <w:numPr>
          <w:ilvl w:val="0"/>
          <w:numId w:val="49"/>
        </w:numPr>
        <w:rPr>
          <w:rFonts w:ascii="Arial" w:cs="Arial" w:eastAsia="Arial" w:hAnsi="Arial"/>
          <w:sz w:val="11"/>
          <w:szCs w:val="11"/>
          <w:color w:val="auto"/>
        </w:rPr>
      </w:pPr>
      <w:r>
        <w:rPr>
          <w:rFonts w:ascii="Arial" w:cs="Arial" w:eastAsia="Arial" w:hAnsi="Arial"/>
          <w:sz w:val="11"/>
          <w:szCs w:val="11"/>
          <w:color w:val="auto"/>
        </w:rPr>
        <w:t>Previously filed with the Commission as an Exhibit to, and incorporated herein by reference to, the Registrant’s Registration Statement on Form S-1, File No. 333-45496.</w:t>
      </w:r>
    </w:p>
    <w:p>
      <w:pPr>
        <w:spacing w:after="0" w:line="70" w:lineRule="exact"/>
        <w:rPr>
          <w:sz w:val="20"/>
          <w:szCs w:val="20"/>
          <w:color w:val="auto"/>
        </w:rPr>
      </w:pPr>
    </w:p>
    <w:p>
      <w:pPr>
        <w:ind w:left="1400" w:right="480" w:hanging="713"/>
        <w:spacing w:after="0" w:line="276" w:lineRule="auto"/>
        <w:tabs>
          <w:tab w:leader="none" w:pos="1400" w:val="left"/>
        </w:tabs>
        <w:numPr>
          <w:ilvl w:val="0"/>
          <w:numId w:val="50"/>
        </w:numPr>
        <w:rPr>
          <w:rFonts w:ascii="Arial" w:cs="Arial" w:eastAsia="Arial" w:hAnsi="Arial"/>
          <w:sz w:val="13"/>
          <w:szCs w:val="13"/>
          <w:color w:val="auto"/>
        </w:rPr>
      </w:pPr>
      <w:r>
        <w:rPr>
          <w:rFonts w:ascii="Arial" w:cs="Arial" w:eastAsia="Arial" w:hAnsi="Arial"/>
          <w:sz w:val="13"/>
          <w:szCs w:val="13"/>
          <w:color w:val="auto"/>
        </w:rPr>
        <w:t>Previously filed with the Commission as an Exhibit to, and incorporated herein by reference to, the Registrant’s Annual Report on Form 10-K for the fiscal year ended December 31, 2000 and filed on April 2, 2001.</w:t>
      </w:r>
    </w:p>
    <w:p>
      <w:pPr>
        <w:spacing w:after="0" w:line="10" w:lineRule="exact"/>
        <w:rPr>
          <w:sz w:val="20"/>
          <w:szCs w:val="20"/>
          <w:color w:val="auto"/>
        </w:rPr>
      </w:pPr>
    </w:p>
    <w:p>
      <w:pPr>
        <w:ind w:left="1400" w:right="400" w:hanging="713"/>
        <w:spacing w:after="0" w:line="276" w:lineRule="auto"/>
        <w:tabs>
          <w:tab w:leader="none" w:pos="1400" w:val="left"/>
        </w:tabs>
        <w:numPr>
          <w:ilvl w:val="0"/>
          <w:numId w:val="51"/>
        </w:numPr>
        <w:rPr>
          <w:rFonts w:ascii="Arial" w:cs="Arial" w:eastAsia="Arial" w:hAnsi="Arial"/>
          <w:sz w:val="13"/>
          <w:szCs w:val="13"/>
          <w:color w:val="auto"/>
        </w:rPr>
      </w:pPr>
      <w:r>
        <w:rPr>
          <w:rFonts w:ascii="Arial" w:cs="Arial" w:eastAsia="Arial" w:hAnsi="Arial"/>
          <w:sz w:val="13"/>
          <w:szCs w:val="13"/>
          <w:color w:val="auto"/>
        </w:rPr>
        <w:t>Previously filed with the Commission as an Exhibit to, and incorporated herein by reference to, the Registrant’s Registration Statement filed on Form S-1 as amended to Form S-3, File No. 333-61726.</w:t>
      </w:r>
    </w:p>
    <w:p>
      <w:pPr>
        <w:sectPr>
          <w:pgSz w:w="11900" w:h="16838" w:orient="portrait"/>
          <w:cols w:equalWidth="0" w:num="1">
            <w:col w:w="10620"/>
          </w:cols>
          <w:pgMar w:left="220" w:top="343" w:right="1059" w:bottom="1440" w:gutter="0" w:footer="0" w:header="0"/>
          <w:type w:val="continuous"/>
        </w:sectPr>
      </w:pPr>
    </w:p>
    <w:p>
      <w:pPr>
        <w:spacing w:after="0" w:line="10" w:lineRule="exact"/>
        <w:rPr>
          <w:sz w:val="20"/>
          <w:szCs w:val="20"/>
          <w:color w:val="auto"/>
        </w:rPr>
      </w:pPr>
    </w:p>
    <w:p>
      <w:pPr>
        <w:ind w:left="680"/>
        <w:spacing w:after="0"/>
        <w:rPr>
          <w:sz w:val="20"/>
          <w:szCs w:val="20"/>
          <w:color w:val="auto"/>
        </w:rPr>
      </w:pPr>
      <w:r>
        <w:rPr>
          <w:rFonts w:ascii="Arial" w:cs="Arial" w:eastAsia="Arial" w:hAnsi="Arial"/>
          <w:sz w:val="13"/>
          <w:szCs w:val="13"/>
          <w:color w:val="auto"/>
        </w:rPr>
        <w:t>XXXX</w:t>
      </w:r>
    </w:p>
    <w:p>
      <w:pPr>
        <w:spacing w:after="0" w:line="47" w:lineRule="exact"/>
        <w:rPr>
          <w:sz w:val="20"/>
          <w:szCs w:val="20"/>
          <w:color w:val="auto"/>
        </w:rPr>
      </w:pPr>
    </w:p>
    <w:p>
      <w:pPr>
        <w:ind w:left="680"/>
        <w:spacing w:after="0"/>
        <w:rPr>
          <w:sz w:val="20"/>
          <w:szCs w:val="20"/>
          <w:color w:val="auto"/>
        </w:rPr>
      </w:pPr>
      <w:r>
        <w:rPr>
          <w:rFonts w:ascii="Arial" w:cs="Arial" w:eastAsia="Arial" w:hAnsi="Arial"/>
          <w:sz w:val="13"/>
          <w:szCs w:val="13"/>
          <w:color w:val="auto"/>
        </w:rPr>
        <w:t>{***}</w:t>
      </w:r>
    </w:p>
    <w:p>
      <w:pPr>
        <w:spacing w:after="0" w:line="204" w:lineRule="exact"/>
        <w:rPr>
          <w:sz w:val="20"/>
          <w:szCs w:val="20"/>
          <w:color w:val="auto"/>
        </w:rPr>
      </w:pPr>
    </w:p>
    <w:p>
      <w:pPr>
        <w:ind w:left="680"/>
        <w:spacing w:after="0"/>
        <w:rPr>
          <w:sz w:val="20"/>
          <w:szCs w:val="20"/>
          <w:color w:val="auto"/>
        </w:rPr>
      </w:pPr>
      <w:r>
        <w:rPr>
          <w:rFonts w:ascii="Arial" w:cs="Arial" w:eastAsia="Arial" w:hAnsi="Arial"/>
          <w:sz w:val="13"/>
          <w:szCs w:val="13"/>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auto"/>
        </w:rPr>
        <w:t>Previously filed with the Commission as an Exhibit to, and incorporated herein by reference to, the Registrant’s Registration Statement filed on Form S-3, File No. 333-75806.</w:t>
      </w:r>
    </w:p>
    <w:p>
      <w:pPr>
        <w:spacing w:after="0" w:line="59" w:lineRule="exact"/>
        <w:rPr>
          <w:sz w:val="20"/>
          <w:szCs w:val="20"/>
          <w:color w:val="auto"/>
        </w:rPr>
      </w:pPr>
    </w:p>
    <w:p>
      <w:pPr>
        <w:spacing w:after="0"/>
        <w:rPr>
          <w:sz w:val="20"/>
          <w:szCs w:val="20"/>
          <w:color w:val="auto"/>
        </w:rPr>
      </w:pPr>
      <w:r>
        <w:rPr>
          <w:rFonts w:ascii="Arial" w:cs="Arial" w:eastAsia="Arial" w:hAnsi="Arial"/>
          <w:sz w:val="11"/>
          <w:szCs w:val="11"/>
          <w:color w:val="auto"/>
        </w:rPr>
        <w:t>Previously filed with the Commission as an Exhibit to, and incorporated herein by reference to, the Registrant’s Amendment No. 1 to Registration Statement filed on Form S-3,</w:t>
      </w:r>
    </w:p>
    <w:p>
      <w:pPr>
        <w:spacing w:after="0" w:line="38" w:lineRule="exact"/>
        <w:rPr>
          <w:sz w:val="20"/>
          <w:szCs w:val="20"/>
          <w:color w:val="auto"/>
        </w:rPr>
      </w:pPr>
    </w:p>
    <w:p>
      <w:pPr>
        <w:spacing w:after="0"/>
        <w:rPr>
          <w:sz w:val="20"/>
          <w:szCs w:val="20"/>
          <w:color w:val="auto"/>
        </w:rPr>
      </w:pPr>
      <w:r>
        <w:rPr>
          <w:rFonts w:ascii="Arial" w:cs="Arial" w:eastAsia="Arial" w:hAnsi="Arial"/>
          <w:sz w:val="13"/>
          <w:szCs w:val="13"/>
          <w:color w:val="auto"/>
        </w:rPr>
        <w:t>File No. 333-83992.</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Previously filed with the Commission as an Exhibit to, and incorporated herein by reference to, the Registrant’s current report on Form 8-K on August 28, 2002.</w:t>
      </w:r>
    </w:p>
    <w:p>
      <w:pPr>
        <w:spacing w:after="0" w:line="47" w:lineRule="exact"/>
        <w:rPr>
          <w:sz w:val="20"/>
          <w:szCs w:val="20"/>
          <w:color w:val="auto"/>
        </w:rPr>
      </w:pPr>
    </w:p>
    <w:p>
      <w:pPr>
        <w:sectPr>
          <w:pgSz w:w="11900" w:h="16838" w:orient="portrait"/>
          <w:cols w:equalWidth="0" w:num="2">
            <w:col w:w="1060" w:space="340"/>
            <w:col w:w="9220"/>
          </w:cols>
          <w:pgMar w:left="220" w:top="343" w:right="1059" w:bottom="1440" w:gutter="0" w:footer="0" w:header="0"/>
          <w:type w:val="continuous"/>
        </w:sectPr>
      </w:pPr>
    </w:p>
    <w:p>
      <w:pPr>
        <w:ind w:left="1400" w:hanging="713"/>
        <w:spacing w:after="0"/>
        <w:tabs>
          <w:tab w:leader="none" w:pos="1400" w:val="left"/>
        </w:tabs>
        <w:numPr>
          <w:ilvl w:val="0"/>
          <w:numId w:val="52"/>
        </w:numPr>
        <w:rPr>
          <w:rFonts w:ascii="Arial" w:cs="Arial" w:eastAsia="Arial" w:hAnsi="Arial"/>
          <w:sz w:val="12"/>
          <w:szCs w:val="12"/>
          <w:color w:val="auto"/>
        </w:rPr>
      </w:pPr>
      <w:r>
        <w:rPr>
          <w:rFonts w:ascii="Arial" w:cs="Arial" w:eastAsia="Arial" w:hAnsi="Arial"/>
          <w:sz w:val="12"/>
          <w:szCs w:val="12"/>
          <w:color w:val="auto"/>
        </w:rPr>
        <w:t>Previously filed with the Commission as an Exhibit to, and incorporated herein by reference to, the Registrant’s current report on Form 8-K on April 15, 2003.</w:t>
      </w:r>
    </w:p>
    <w:p>
      <w:pPr>
        <w:spacing w:after="0" w:line="59" w:lineRule="exact"/>
        <w:rPr>
          <w:sz w:val="20"/>
          <w:szCs w:val="20"/>
          <w:color w:val="auto"/>
        </w:rPr>
      </w:pPr>
    </w:p>
    <w:p>
      <w:pPr>
        <w:ind w:left="1400" w:hanging="713"/>
        <w:spacing w:after="0"/>
        <w:tabs>
          <w:tab w:leader="none" w:pos="1400" w:val="left"/>
        </w:tabs>
        <w:numPr>
          <w:ilvl w:val="0"/>
          <w:numId w:val="53"/>
        </w:numPr>
        <w:rPr>
          <w:rFonts w:ascii="Arial" w:cs="Arial" w:eastAsia="Arial" w:hAnsi="Arial"/>
          <w:sz w:val="12"/>
          <w:szCs w:val="12"/>
          <w:color w:val="auto"/>
        </w:rPr>
      </w:pPr>
      <w:r>
        <w:rPr>
          <w:rFonts w:ascii="Arial" w:cs="Arial" w:eastAsia="Arial" w:hAnsi="Arial"/>
          <w:sz w:val="12"/>
          <w:szCs w:val="12"/>
          <w:color w:val="auto"/>
        </w:rPr>
        <w:t>Previously filed with the Commission as an Exhibit to, and incorporated herein by reference to, the Registrant’s current report on Form 8-K on May 13, 2003.</w:t>
      </w:r>
    </w:p>
    <w:p>
      <w:pPr>
        <w:spacing w:after="0" w:line="58" w:lineRule="exact"/>
        <w:rPr>
          <w:rFonts w:ascii="Arial" w:cs="Arial" w:eastAsia="Arial" w:hAnsi="Arial"/>
          <w:sz w:val="12"/>
          <w:szCs w:val="12"/>
          <w:color w:val="auto"/>
        </w:rPr>
      </w:pPr>
    </w:p>
    <w:p>
      <w:pPr>
        <w:ind w:left="680"/>
        <w:spacing w:after="0"/>
        <w:rPr>
          <w:rFonts w:ascii="Arial" w:cs="Arial" w:eastAsia="Arial" w:hAnsi="Arial"/>
          <w:sz w:val="12"/>
          <w:szCs w:val="12"/>
          <w:color w:val="auto"/>
        </w:rPr>
      </w:pPr>
      <w:r>
        <w:rPr>
          <w:rFonts w:ascii="Arial" w:cs="Arial" w:eastAsia="Arial" w:hAnsi="Arial"/>
          <w:sz w:val="13"/>
          <w:szCs w:val="13"/>
          <w:color w:val="auto"/>
        </w:rPr>
        <w:t>&amp;&amp;&amp;</w:t>
      </w:r>
      <w:r>
        <w:rPr>
          <w:rFonts w:ascii="Arial" w:cs="Arial" w:eastAsia="Arial" w:hAnsi="Arial"/>
          <w:sz w:val="11"/>
          <w:szCs w:val="11"/>
          <w:color w:val="auto"/>
        </w:rPr>
        <w:t>Previously filed with the Commission as an Exhibit to, and incorporated herein by reference to, the Registrant’s current report on Form 8-K on May 15, 2003.</w:t>
      </w:r>
    </w:p>
    <w:p>
      <w:pPr>
        <w:spacing w:after="0" w:line="47" w:lineRule="exact"/>
        <w:rPr>
          <w:sz w:val="20"/>
          <w:szCs w:val="20"/>
          <w:color w:val="auto"/>
        </w:rPr>
      </w:pPr>
    </w:p>
    <w:p>
      <w:pPr>
        <w:ind w:left="1400" w:hanging="713"/>
        <w:spacing w:after="0"/>
        <w:tabs>
          <w:tab w:leader="none" w:pos="1400" w:val="left"/>
        </w:tabs>
        <w:numPr>
          <w:ilvl w:val="0"/>
          <w:numId w:val="54"/>
        </w:numPr>
        <w:rPr>
          <w:rFonts w:ascii="Arial" w:cs="Arial" w:eastAsia="Arial" w:hAnsi="Arial"/>
          <w:sz w:val="12"/>
          <w:szCs w:val="12"/>
          <w:color w:val="auto"/>
        </w:rPr>
      </w:pPr>
      <w:r>
        <w:rPr>
          <w:rFonts w:ascii="Arial" w:cs="Arial" w:eastAsia="Arial" w:hAnsi="Arial"/>
          <w:sz w:val="12"/>
          <w:szCs w:val="12"/>
          <w:color w:val="auto"/>
        </w:rPr>
        <w:t>Previously filed with the Commission as an Exhibit to, and incorporated herein by reference to, the Registrant’s current report on Form 8-K on December 10, 2003.</w:t>
      </w:r>
    </w:p>
    <w:p>
      <w:pPr>
        <w:spacing w:after="0" w:line="59" w:lineRule="exact"/>
        <w:rPr>
          <w:sz w:val="20"/>
          <w:szCs w:val="20"/>
          <w:color w:val="auto"/>
        </w:rPr>
      </w:pPr>
    </w:p>
    <w:p>
      <w:pPr>
        <w:ind w:left="1400" w:right="480" w:hanging="713"/>
        <w:spacing w:after="0" w:line="276" w:lineRule="auto"/>
        <w:tabs>
          <w:tab w:leader="none" w:pos="1400" w:val="left"/>
        </w:tabs>
        <w:numPr>
          <w:ilvl w:val="0"/>
          <w:numId w:val="55"/>
        </w:numPr>
        <w:rPr>
          <w:rFonts w:ascii="Arial" w:cs="Arial" w:eastAsia="Arial" w:hAnsi="Arial"/>
          <w:sz w:val="13"/>
          <w:szCs w:val="13"/>
          <w:color w:val="auto"/>
        </w:rPr>
      </w:pPr>
      <w:r>
        <w:rPr>
          <w:rFonts w:ascii="Arial" w:cs="Arial" w:eastAsia="Arial" w:hAnsi="Arial"/>
          <w:sz w:val="13"/>
          <w:szCs w:val="13"/>
          <w:color w:val="auto"/>
        </w:rPr>
        <w:t>Previously filed with the Commission as an Exhibit to, and incorporated herein by reference to, the Registrant’s Annual Report on Form 10-K for the fiscal year ended December 31, 2003</w:t>
      </w:r>
    </w:p>
    <w:p>
      <w:pPr>
        <w:spacing w:after="0" w:line="10" w:lineRule="exact"/>
        <w:rPr>
          <w:sz w:val="20"/>
          <w:szCs w:val="20"/>
          <w:color w:val="auto"/>
        </w:rPr>
      </w:pPr>
    </w:p>
    <w:p>
      <w:pPr>
        <w:ind w:left="1400" w:hanging="713"/>
        <w:spacing w:after="0"/>
        <w:tabs>
          <w:tab w:leader="none" w:pos="1400" w:val="left"/>
        </w:tabs>
        <w:numPr>
          <w:ilvl w:val="0"/>
          <w:numId w:val="56"/>
        </w:numPr>
        <w:rPr>
          <w:rFonts w:ascii="Arial" w:cs="Arial" w:eastAsia="Arial" w:hAnsi="Arial"/>
          <w:sz w:val="12"/>
          <w:szCs w:val="12"/>
          <w:color w:val="auto"/>
        </w:rPr>
      </w:pPr>
      <w:r>
        <w:rPr>
          <w:rFonts w:ascii="Arial" w:cs="Arial" w:eastAsia="Arial" w:hAnsi="Arial"/>
          <w:sz w:val="12"/>
          <w:szCs w:val="12"/>
          <w:color w:val="auto"/>
        </w:rPr>
        <w:t>Previously filed with the Commission as an Exhibit to, and incorporated herein by reference to, the Registrant’s current report on Form 8-K filed on October 25, 2004.</w:t>
      </w:r>
    </w:p>
    <w:p>
      <w:pPr>
        <w:spacing w:after="0" w:line="59" w:lineRule="exact"/>
        <w:rPr>
          <w:sz w:val="20"/>
          <w:szCs w:val="20"/>
          <w:color w:val="auto"/>
        </w:rPr>
      </w:pPr>
    </w:p>
    <w:p>
      <w:pPr>
        <w:ind w:left="1400" w:hanging="713"/>
        <w:spacing w:after="0"/>
        <w:tabs>
          <w:tab w:leader="none" w:pos="1400" w:val="left"/>
        </w:tabs>
        <w:numPr>
          <w:ilvl w:val="0"/>
          <w:numId w:val="57"/>
        </w:numPr>
        <w:rPr>
          <w:rFonts w:ascii="Arial" w:cs="Arial" w:eastAsia="Arial" w:hAnsi="Arial"/>
          <w:sz w:val="12"/>
          <w:szCs w:val="12"/>
          <w:color w:val="auto"/>
        </w:rPr>
      </w:pPr>
      <w:r>
        <w:rPr>
          <w:rFonts w:ascii="Arial" w:cs="Arial" w:eastAsia="Arial" w:hAnsi="Arial"/>
          <w:sz w:val="12"/>
          <w:szCs w:val="12"/>
          <w:color w:val="auto"/>
        </w:rPr>
        <w:t>Previously filed with the Commission as an Exhibit to, and incorporated by reference to, the Registrant’s Registration Statement on Form S-3, File No. 333-117360.</w:t>
      </w:r>
    </w:p>
    <w:p>
      <w:pPr>
        <w:spacing w:after="0" w:line="59" w:lineRule="exact"/>
        <w:rPr>
          <w:sz w:val="20"/>
          <w:szCs w:val="20"/>
          <w:color w:val="auto"/>
        </w:rPr>
      </w:pPr>
    </w:p>
    <w:p>
      <w:pPr>
        <w:ind w:left="1400" w:hanging="713"/>
        <w:spacing w:after="0"/>
        <w:tabs>
          <w:tab w:leader="none" w:pos="1400" w:val="left"/>
        </w:tabs>
        <w:numPr>
          <w:ilvl w:val="0"/>
          <w:numId w:val="58"/>
        </w:numPr>
        <w:rPr>
          <w:rFonts w:ascii="Arial" w:cs="Arial" w:eastAsia="Arial" w:hAnsi="Arial"/>
          <w:sz w:val="12"/>
          <w:szCs w:val="12"/>
          <w:color w:val="auto"/>
        </w:rPr>
      </w:pPr>
      <w:r>
        <w:rPr>
          <w:rFonts w:ascii="Arial" w:cs="Arial" w:eastAsia="Arial" w:hAnsi="Arial"/>
          <w:sz w:val="12"/>
          <w:szCs w:val="12"/>
          <w:color w:val="auto"/>
        </w:rPr>
        <w:t>Previously filed with the Commission as an Exhibit to, and incorporated herein by reference to, the Registrant’s current report on Form 8-K filed on June 17, 2004.</w:t>
      </w:r>
    </w:p>
    <w:p>
      <w:pPr>
        <w:spacing w:after="0" w:line="314" w:lineRule="exact"/>
        <w:rPr>
          <w:rFonts w:ascii="Arial" w:cs="Arial" w:eastAsia="Arial" w:hAnsi="Arial"/>
          <w:sz w:val="12"/>
          <w:szCs w:val="12"/>
          <w:color w:val="auto"/>
        </w:rPr>
      </w:pPr>
    </w:p>
    <w:p>
      <w:pPr>
        <w:ind w:left="5620"/>
        <w:spacing w:after="0"/>
        <w:rPr>
          <w:rFonts w:ascii="Arial" w:cs="Arial" w:eastAsia="Arial" w:hAnsi="Arial"/>
          <w:sz w:val="12"/>
          <w:szCs w:val="12"/>
          <w:color w:val="auto"/>
        </w:rPr>
      </w:pPr>
      <w:r>
        <w:rPr>
          <w:rFonts w:ascii="Arial" w:cs="Arial" w:eastAsia="Arial" w:hAnsi="Arial"/>
          <w:sz w:val="13"/>
          <w:szCs w:val="13"/>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20"/>
          </w:cols>
          <w:pgMar w:left="220" w:top="343" w:right="1059" w:bottom="1440" w:gutter="0" w:footer="0" w:header="0"/>
          <w:type w:val="continuous"/>
        </w:sectPr>
      </w:pPr>
    </w:p>
    <w:bookmarkStart w:id="74" w:name="page75"/>
    <w:bookmarkEnd w:id="7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1400" w:hanging="713"/>
        <w:spacing w:after="0"/>
        <w:tabs>
          <w:tab w:leader="none" w:pos="1400" w:val="left"/>
        </w:tabs>
        <w:numPr>
          <w:ilvl w:val="0"/>
          <w:numId w:val="59"/>
        </w:numPr>
        <w:rPr>
          <w:rFonts w:ascii="Arial" w:cs="Arial" w:eastAsia="Arial" w:hAnsi="Arial"/>
          <w:sz w:val="12"/>
          <w:szCs w:val="12"/>
          <w:color w:val="auto"/>
        </w:rPr>
      </w:pPr>
      <w:r>
        <w:rPr>
          <w:rFonts w:ascii="Arial" w:cs="Arial" w:eastAsia="Arial" w:hAnsi="Arial"/>
          <w:sz w:val="12"/>
          <w:szCs w:val="12"/>
          <w:color w:val="auto"/>
        </w:rPr>
        <w:t>Previously filed with the Commission as an Exhibit to, and incorporated herein by reference to, the Registrants Registration Statement on Form S-8, File No. 333-118263.</w:t>
      </w:r>
    </w:p>
    <w:p>
      <w:pPr>
        <w:spacing w:after="0" w:line="59" w:lineRule="exact"/>
        <w:rPr>
          <w:sz w:val="20"/>
          <w:szCs w:val="20"/>
          <w:color w:val="auto"/>
        </w:rPr>
      </w:pPr>
    </w:p>
    <w:p>
      <w:pPr>
        <w:ind w:left="1400" w:hanging="713"/>
        <w:spacing w:after="0"/>
        <w:tabs>
          <w:tab w:leader="none" w:pos="1400" w:val="left"/>
        </w:tabs>
        <w:numPr>
          <w:ilvl w:val="0"/>
          <w:numId w:val="60"/>
        </w:numPr>
        <w:rPr>
          <w:rFonts w:ascii="Arial" w:cs="Arial" w:eastAsia="Arial" w:hAnsi="Arial"/>
          <w:sz w:val="12"/>
          <w:szCs w:val="12"/>
          <w:color w:val="auto"/>
        </w:rPr>
      </w:pPr>
      <w:r>
        <w:rPr>
          <w:rFonts w:ascii="Arial" w:cs="Arial" w:eastAsia="Arial" w:hAnsi="Arial"/>
          <w:sz w:val="12"/>
          <w:szCs w:val="12"/>
          <w:color w:val="auto"/>
        </w:rPr>
        <w:t>Previously filed with the Commission as an Exhibit to, and incorporated herein by reference to, the Registrant’s current report on Form 8-K filed on November 9, 2004.</w:t>
      </w:r>
    </w:p>
    <w:p>
      <w:pPr>
        <w:spacing w:after="0" w:line="59" w:lineRule="exact"/>
        <w:rPr>
          <w:sz w:val="20"/>
          <w:szCs w:val="20"/>
          <w:color w:val="auto"/>
        </w:rPr>
      </w:pPr>
    </w:p>
    <w:p>
      <w:pPr>
        <w:ind w:left="1400" w:hanging="713"/>
        <w:spacing w:after="0" w:line="276" w:lineRule="auto"/>
        <w:tabs>
          <w:tab w:leader="none" w:pos="1400" w:val="left"/>
        </w:tabs>
        <w:numPr>
          <w:ilvl w:val="0"/>
          <w:numId w:val="61"/>
        </w:numPr>
        <w:rPr>
          <w:rFonts w:ascii="Arial" w:cs="Arial" w:eastAsia="Arial" w:hAnsi="Arial"/>
          <w:sz w:val="13"/>
          <w:szCs w:val="13"/>
          <w:color w:val="auto"/>
        </w:rPr>
      </w:pPr>
      <w:r>
        <w:rPr>
          <w:rFonts w:ascii="Arial" w:cs="Arial" w:eastAsia="Arial" w:hAnsi="Arial"/>
          <w:sz w:val="13"/>
          <w:szCs w:val="13"/>
          <w:color w:val="auto"/>
        </w:rPr>
        <w:t>Previously filed with the Commission as an Exhibit to and incorporated herein by reference to, the Registrant’s Quarterly Report on Form 10-Q for the quarter ended June 30, 2005.</w:t>
      </w:r>
    </w:p>
    <w:p>
      <w:pPr>
        <w:spacing w:after="0" w:line="10" w:lineRule="exact"/>
        <w:rPr>
          <w:sz w:val="20"/>
          <w:szCs w:val="20"/>
          <w:color w:val="auto"/>
        </w:rPr>
      </w:pPr>
    </w:p>
    <w:p>
      <w:pPr>
        <w:ind w:left="1400" w:hanging="713"/>
        <w:spacing w:after="0"/>
        <w:tabs>
          <w:tab w:leader="none" w:pos="1400" w:val="left"/>
        </w:tabs>
        <w:numPr>
          <w:ilvl w:val="0"/>
          <w:numId w:val="62"/>
        </w:numPr>
        <w:rPr>
          <w:rFonts w:ascii="Arial" w:cs="Arial" w:eastAsia="Arial" w:hAnsi="Arial"/>
          <w:sz w:val="12"/>
          <w:szCs w:val="12"/>
          <w:color w:val="auto"/>
        </w:rPr>
      </w:pPr>
      <w:r>
        <w:rPr>
          <w:rFonts w:ascii="Arial" w:cs="Arial" w:eastAsia="Arial" w:hAnsi="Arial"/>
          <w:sz w:val="12"/>
          <w:szCs w:val="12"/>
          <w:color w:val="auto"/>
        </w:rPr>
        <w:t>Previously filed with the Commission as an Exhibit to and incorporated herein by reference to, the Registrant’s current report on Form 8-K filed on September 7, 2005.</w:t>
      </w:r>
    </w:p>
    <w:p>
      <w:pPr>
        <w:spacing w:after="0" w:line="314" w:lineRule="exact"/>
        <w:rPr>
          <w:rFonts w:ascii="Arial" w:cs="Arial" w:eastAsia="Arial" w:hAnsi="Arial"/>
          <w:sz w:val="12"/>
          <w:szCs w:val="12"/>
          <w:color w:val="auto"/>
        </w:rPr>
      </w:pPr>
    </w:p>
    <w:p>
      <w:pPr>
        <w:ind w:left="5620"/>
        <w:spacing w:after="0"/>
        <w:rPr>
          <w:rFonts w:ascii="Arial" w:cs="Arial" w:eastAsia="Arial" w:hAnsi="Arial"/>
          <w:sz w:val="12"/>
          <w:szCs w:val="12"/>
          <w:color w:val="auto"/>
        </w:rPr>
      </w:pPr>
      <w:r>
        <w:rPr>
          <w:rFonts w:ascii="Arial" w:cs="Arial" w:eastAsia="Arial" w:hAnsi="Arial"/>
          <w:sz w:val="13"/>
          <w:szCs w:val="13"/>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520"/>
          </w:cols>
          <w:pgMar w:left="220" w:top="343" w:right="1159" w:bottom="1440" w:gutter="0" w:footer="0" w:header="0"/>
        </w:sectPr>
      </w:pPr>
    </w:p>
    <w:bookmarkStart w:id="75" w:name="page76"/>
    <w:bookmarkEnd w:id="75"/>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180"/>
        <w:spacing w:after="0"/>
        <w:rPr>
          <w:sz w:val="20"/>
          <w:szCs w:val="20"/>
          <w:color w:val="auto"/>
        </w:rPr>
      </w:pPr>
      <w:r>
        <w:rPr>
          <w:rFonts w:ascii="Arial" w:cs="Arial" w:eastAsia="Arial" w:hAnsi="Arial"/>
          <w:sz w:val="13"/>
          <w:szCs w:val="13"/>
          <w:b w:val="1"/>
          <w:bCs w:val="1"/>
          <w:color w:val="auto"/>
        </w:rPr>
        <w:t>SIGNATURES</w:t>
      </w:r>
    </w:p>
    <w:p>
      <w:pPr>
        <w:spacing w:after="0" w:line="100" w:lineRule="exact"/>
        <w:rPr>
          <w:sz w:val="20"/>
          <w:szCs w:val="20"/>
          <w:color w:val="auto"/>
        </w:rPr>
      </w:pPr>
    </w:p>
    <w:p>
      <w:pPr>
        <w:ind w:left="680" w:right="1000" w:firstLine="399"/>
        <w:spacing w:after="0" w:line="276" w:lineRule="auto"/>
        <w:rPr>
          <w:sz w:val="20"/>
          <w:szCs w:val="20"/>
          <w:color w:val="auto"/>
        </w:rPr>
      </w:pPr>
      <w:r>
        <w:rPr>
          <w:rFonts w:ascii="Arial" w:cs="Arial" w:eastAsia="Arial" w:hAnsi="Arial"/>
          <w:sz w:val="13"/>
          <w:szCs w:val="13"/>
          <w:color w:val="auto"/>
        </w:rPr>
        <w:t>Pursuant to the requirements of Section 13 or 15(d) of the Securities Exchange Act of 1934, the Registrant has duly caused this Report to be signed on its behalf by the undersigned, thereunto duly authorized.</w:t>
      </w:r>
    </w:p>
    <w:p>
      <w:pPr>
        <w:spacing w:after="0" w:line="291" w:lineRule="exact"/>
        <w:rPr>
          <w:sz w:val="20"/>
          <w:szCs w:val="20"/>
          <w:color w:val="auto"/>
        </w:rPr>
      </w:pPr>
    </w:p>
    <w:tbl>
      <w:tblPr>
        <w:tblLayout w:type="fixed"/>
        <w:tblInd w:w="5580" w:type="dxa"/>
        <w:tblCellMar>
          <w:top w:w="0" w:type="dxa"/>
          <w:left w:w="0" w:type="dxa"/>
          <w:bottom w:w="0" w:type="dxa"/>
          <w:right w:w="0" w:type="dxa"/>
        </w:tblCellMar>
      </w:tblPr>
      <w:tr>
        <w:trPr>
          <w:trHeight w:val="169"/>
        </w:trPr>
        <w:tc>
          <w:tcPr>
            <w:tcW w:w="1260" w:type="dxa"/>
            <w:vAlign w:val="bottom"/>
            <w:gridSpan w:val="2"/>
          </w:tcPr>
          <w:p>
            <w:pPr>
              <w:spacing w:after="0"/>
              <w:rPr>
                <w:sz w:val="20"/>
                <w:szCs w:val="20"/>
                <w:color w:val="auto"/>
              </w:rPr>
            </w:pPr>
            <w:r>
              <w:rPr>
                <w:rFonts w:ascii="Arial" w:cs="Arial" w:eastAsia="Arial" w:hAnsi="Arial"/>
                <w:sz w:val="13"/>
                <w:szCs w:val="13"/>
                <w:b w:val="1"/>
                <w:bCs w:val="1"/>
                <w:color w:val="auto"/>
              </w:rPr>
              <w:t>STEMCELLS, INC.</w:t>
            </w:r>
          </w:p>
        </w:tc>
        <w:tc>
          <w:tcPr>
            <w:tcW w:w="4700" w:type="dxa"/>
            <w:vAlign w:val="bottom"/>
          </w:tcPr>
          <w:p>
            <w:pPr>
              <w:spacing w:after="0"/>
              <w:rPr>
                <w:sz w:val="14"/>
                <w:szCs w:val="14"/>
                <w:color w:val="auto"/>
              </w:rPr>
            </w:pPr>
          </w:p>
        </w:tc>
      </w:tr>
      <w:tr>
        <w:trPr>
          <w:trHeight w:val="802"/>
        </w:trPr>
        <w:tc>
          <w:tcPr>
            <w:tcW w:w="1260" w:type="dxa"/>
            <w:vAlign w:val="bottom"/>
            <w:gridSpan w:val="2"/>
          </w:tcPr>
          <w:p>
            <w:pPr>
              <w:spacing w:after="0"/>
              <w:rPr>
                <w:sz w:val="20"/>
                <w:szCs w:val="20"/>
                <w:color w:val="auto"/>
              </w:rPr>
            </w:pPr>
            <w:r>
              <w:rPr>
                <w:rFonts w:ascii="Arial" w:cs="Arial" w:eastAsia="Arial" w:hAnsi="Arial"/>
                <w:sz w:val="13"/>
                <w:szCs w:val="13"/>
                <w:i w:val="1"/>
                <w:iCs w:val="1"/>
                <w:color w:val="auto"/>
              </w:rPr>
              <w:t>By:</w:t>
            </w:r>
          </w:p>
        </w:tc>
        <w:tc>
          <w:tcPr>
            <w:tcW w:w="4700" w:type="dxa"/>
            <w:vAlign w:val="bottom"/>
          </w:tcPr>
          <w:p>
            <w:pPr>
              <w:ind w:left="780"/>
              <w:spacing w:after="0"/>
              <w:rPr>
                <w:sz w:val="20"/>
                <w:szCs w:val="20"/>
                <w:color w:val="auto"/>
              </w:rPr>
            </w:pPr>
            <w:r>
              <w:rPr>
                <w:rFonts w:ascii="Arial" w:cs="Arial" w:eastAsia="Arial" w:hAnsi="Arial"/>
                <w:sz w:val="13"/>
                <w:szCs w:val="13"/>
                <w:i w:val="1"/>
                <w:iCs w:val="1"/>
                <w:color w:val="auto"/>
              </w:rPr>
              <w:t>/s/ MARTIN MCGLYNN</w:t>
            </w:r>
          </w:p>
        </w:tc>
      </w:tr>
      <w:tr>
        <w:trPr>
          <w:trHeight w:val="144"/>
        </w:trPr>
        <w:tc>
          <w:tcPr>
            <w:tcW w:w="400" w:type="dxa"/>
            <w:vAlign w:val="bottom"/>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4700" w:type="dxa"/>
            <w:vAlign w:val="bottom"/>
            <w:tcBorders>
              <w:top w:val="single" w:sz="8" w:color="auto"/>
            </w:tcBorders>
          </w:tcPr>
          <w:p>
            <w:pPr>
              <w:jc w:val="center"/>
              <w:ind w:right="1674"/>
              <w:spacing w:after="0" w:line="144" w:lineRule="exact"/>
              <w:rPr>
                <w:sz w:val="20"/>
                <w:szCs w:val="20"/>
                <w:color w:val="auto"/>
              </w:rPr>
            </w:pPr>
            <w:r>
              <w:rPr>
                <w:rFonts w:ascii="Arial" w:cs="Arial" w:eastAsia="Arial" w:hAnsi="Arial"/>
                <w:sz w:val="13"/>
                <w:szCs w:val="13"/>
                <w:i w:val="1"/>
                <w:iCs w:val="1"/>
                <w:color w:val="auto"/>
                <w:w w:val="96"/>
              </w:rPr>
              <w:t>Martin McGlynn</w:t>
            </w:r>
          </w:p>
        </w:tc>
      </w:tr>
      <w:tr>
        <w:trPr>
          <w:trHeight w:val="165"/>
        </w:trPr>
        <w:tc>
          <w:tcPr>
            <w:tcW w:w="4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700" w:type="dxa"/>
            <w:vAlign w:val="bottom"/>
          </w:tcPr>
          <w:p>
            <w:pPr>
              <w:jc w:val="center"/>
              <w:ind w:right="1674"/>
              <w:spacing w:after="0"/>
              <w:rPr>
                <w:sz w:val="20"/>
                <w:szCs w:val="20"/>
                <w:color w:val="auto"/>
              </w:rPr>
            </w:pPr>
            <w:r>
              <w:rPr>
                <w:rFonts w:ascii="Arial" w:cs="Arial" w:eastAsia="Arial" w:hAnsi="Arial"/>
                <w:sz w:val="13"/>
                <w:szCs w:val="13"/>
                <w:i w:val="1"/>
                <w:iCs w:val="1"/>
                <w:color w:val="auto"/>
                <w:w w:val="95"/>
              </w:rPr>
              <w:t>PRESIDENT AND CHIEF EXECUTIVE OFFICER</w:t>
            </w:r>
          </w:p>
        </w:tc>
      </w:tr>
    </w:tbl>
    <w:p>
      <w:pPr>
        <w:spacing w:after="0" w:line="160" w:lineRule="exact"/>
        <w:rPr>
          <w:sz w:val="20"/>
          <w:szCs w:val="20"/>
          <w:color w:val="auto"/>
        </w:rPr>
      </w:pPr>
    </w:p>
    <w:p>
      <w:pPr>
        <w:ind w:left="680"/>
        <w:spacing w:after="0"/>
        <w:rPr>
          <w:sz w:val="20"/>
          <w:szCs w:val="20"/>
          <w:color w:val="auto"/>
        </w:rPr>
      </w:pPr>
      <w:r>
        <w:rPr>
          <w:rFonts w:ascii="Arial" w:cs="Arial" w:eastAsia="Arial" w:hAnsi="Arial"/>
          <w:sz w:val="13"/>
          <w:szCs w:val="13"/>
          <w:color w:val="auto"/>
        </w:rPr>
        <w:t>Dated: March 14, 2006</w:t>
      </w:r>
    </w:p>
    <w:p>
      <w:pPr>
        <w:spacing w:after="0" w:line="96" w:lineRule="exact"/>
        <w:rPr>
          <w:sz w:val="20"/>
          <w:szCs w:val="20"/>
          <w:color w:val="auto"/>
        </w:rPr>
      </w:pPr>
    </w:p>
    <w:p>
      <w:pPr>
        <w:ind w:left="680" w:right="960" w:firstLine="399"/>
        <w:spacing w:after="0" w:line="276" w:lineRule="auto"/>
        <w:rPr>
          <w:sz w:val="20"/>
          <w:szCs w:val="20"/>
          <w:color w:val="auto"/>
        </w:rPr>
      </w:pPr>
      <w:r>
        <w:rPr>
          <w:rFonts w:ascii="Arial" w:cs="Arial" w:eastAsia="Arial" w:hAnsi="Arial"/>
          <w:sz w:val="13"/>
          <w:szCs w:val="13"/>
          <w:color w:val="auto"/>
        </w:rPr>
        <w:t>Pursuant to the requirements of the Securities Exchange Act of 1934, this report has been signed below by the following persons on behalf of the Registrant and in the capacities and on the dates indicated.</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680" w:type="dxa"/>
            <w:vAlign w:val="bottom"/>
          </w:tcPr>
          <w:p>
            <w:pPr>
              <w:spacing w:after="0"/>
              <w:rPr>
                <w:sz w:val="11"/>
                <w:szCs w:val="11"/>
                <w:color w:val="auto"/>
              </w:rPr>
            </w:pPr>
          </w:p>
        </w:tc>
        <w:tc>
          <w:tcPr>
            <w:tcW w:w="4120" w:type="dxa"/>
            <w:vAlign w:val="bottom"/>
          </w:tcPr>
          <w:p>
            <w:pPr>
              <w:ind w:left="2040"/>
              <w:spacing w:after="0"/>
              <w:rPr>
                <w:sz w:val="20"/>
                <w:szCs w:val="20"/>
                <w:color w:val="auto"/>
              </w:rPr>
            </w:pPr>
            <w:r>
              <w:rPr>
                <w:rFonts w:ascii="Arial" w:cs="Arial" w:eastAsia="Arial" w:hAnsi="Arial"/>
                <w:sz w:val="10"/>
                <w:szCs w:val="10"/>
                <w:b w:val="1"/>
                <w:bCs w:val="1"/>
                <w:u w:val="single" w:color="auto"/>
                <w:color w:val="auto"/>
              </w:rPr>
              <w:t>S</w:t>
            </w:r>
            <w:r>
              <w:rPr>
                <w:rFonts w:ascii="Arial" w:cs="Arial" w:eastAsia="Arial" w:hAnsi="Arial"/>
                <w:sz w:val="10"/>
                <w:szCs w:val="10"/>
                <w:b w:val="1"/>
                <w:bCs w:val="1"/>
                <w:color w:val="auto"/>
              </w:rPr>
              <w:t>ignature</w:t>
            </w:r>
          </w:p>
        </w:tc>
        <w:tc>
          <w:tcPr>
            <w:tcW w:w="4000" w:type="dxa"/>
            <w:vAlign w:val="bottom"/>
          </w:tcPr>
          <w:p>
            <w:pPr>
              <w:jc w:val="right"/>
              <w:ind w:right="1315"/>
              <w:spacing w:after="0"/>
              <w:rPr>
                <w:sz w:val="20"/>
                <w:szCs w:val="20"/>
                <w:color w:val="auto"/>
              </w:rPr>
            </w:pPr>
            <w:r>
              <w:rPr>
                <w:rFonts w:ascii="Arial" w:cs="Arial" w:eastAsia="Arial" w:hAnsi="Arial"/>
                <w:sz w:val="10"/>
                <w:szCs w:val="10"/>
                <w:b w:val="1"/>
                <w:bCs w:val="1"/>
                <w:u w:val="single" w:color="auto"/>
                <w:color w:val="auto"/>
              </w:rPr>
              <w:t>C</w:t>
            </w:r>
            <w:r>
              <w:rPr>
                <w:rFonts w:ascii="Arial" w:cs="Arial" w:eastAsia="Arial" w:hAnsi="Arial"/>
                <w:sz w:val="10"/>
                <w:szCs w:val="10"/>
                <w:b w:val="1"/>
                <w:bCs w:val="1"/>
                <w:color w:val="auto"/>
              </w:rPr>
              <w:t>apacity</w:t>
            </w:r>
          </w:p>
        </w:tc>
        <w:tc>
          <w:tcPr>
            <w:tcW w:w="2660" w:type="dxa"/>
            <w:vAlign w:val="bottom"/>
          </w:tcPr>
          <w:p>
            <w:pPr>
              <w:ind w:left="1160"/>
              <w:spacing w:after="0"/>
              <w:rPr>
                <w:sz w:val="20"/>
                <w:szCs w:val="20"/>
                <w:color w:val="auto"/>
              </w:rPr>
            </w:pPr>
            <w:r>
              <w:rPr>
                <w:rFonts w:ascii="Arial" w:cs="Arial" w:eastAsia="Arial" w:hAnsi="Arial"/>
                <w:sz w:val="10"/>
                <w:szCs w:val="10"/>
                <w:b w:val="1"/>
                <w:bCs w:val="1"/>
                <w:color w:val="auto"/>
              </w:rPr>
              <w:t>Date</w:t>
            </w:r>
          </w:p>
        </w:tc>
      </w:tr>
      <w:tr>
        <w:trPr>
          <w:trHeight w:val="323"/>
        </w:trPr>
        <w:tc>
          <w:tcPr>
            <w:tcW w:w="680" w:type="dxa"/>
            <w:vAlign w:val="bottom"/>
          </w:tcPr>
          <w:p>
            <w:pPr>
              <w:spacing w:after="0"/>
              <w:rPr>
                <w:sz w:val="24"/>
                <w:szCs w:val="24"/>
                <w:color w:val="auto"/>
              </w:rPr>
            </w:pPr>
          </w:p>
        </w:tc>
        <w:tc>
          <w:tcPr>
            <w:tcW w:w="412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/s/ MARTIN M</w:t>
            </w:r>
            <w:r>
              <w:rPr>
                <w:rFonts w:ascii="Arial" w:cs="Arial" w:eastAsia="Arial" w:hAnsi="Arial"/>
                <w:sz w:val="8"/>
                <w:szCs w:val="8"/>
                <w:color w:val="auto"/>
              </w:rPr>
              <w:t>C</w:t>
            </w:r>
            <w:r>
              <w:rPr>
                <w:rFonts w:ascii="Arial" w:cs="Arial" w:eastAsia="Arial" w:hAnsi="Arial"/>
                <w:sz w:val="13"/>
                <w:szCs w:val="13"/>
                <w:color w:val="auto"/>
              </w:rPr>
              <w:t>GLYNN</w:t>
            </w:r>
          </w:p>
        </w:tc>
        <w:tc>
          <w:tcPr>
            <w:tcW w:w="4000" w:type="dxa"/>
            <w:vAlign w:val="bottom"/>
          </w:tcPr>
          <w:p>
            <w:pPr>
              <w:jc w:val="center"/>
              <w:ind w:left="415"/>
              <w:spacing w:after="0"/>
              <w:rPr>
                <w:sz w:val="20"/>
                <w:szCs w:val="20"/>
                <w:color w:val="auto"/>
              </w:rPr>
            </w:pPr>
            <w:r>
              <w:rPr>
                <w:rFonts w:ascii="Arial" w:cs="Arial" w:eastAsia="Arial" w:hAnsi="Arial"/>
                <w:sz w:val="13"/>
                <w:szCs w:val="13"/>
                <w:color w:val="auto"/>
                <w:w w:val="92"/>
              </w:rPr>
              <w:t>President and Chief Executive Officer</w:t>
            </w:r>
          </w:p>
        </w:tc>
        <w:tc>
          <w:tcPr>
            <w:tcW w:w="2660" w:type="dxa"/>
            <w:vAlign w:val="bottom"/>
          </w:tcPr>
          <w:p>
            <w:pPr>
              <w:ind w:left="760"/>
              <w:spacing w:after="0"/>
              <w:rPr>
                <w:sz w:val="20"/>
                <w:szCs w:val="20"/>
                <w:color w:val="auto"/>
              </w:rPr>
            </w:pPr>
            <w:r>
              <w:rPr>
                <w:rFonts w:ascii="Arial" w:cs="Arial" w:eastAsia="Arial" w:hAnsi="Arial"/>
                <w:sz w:val="13"/>
                <w:szCs w:val="13"/>
                <w:color w:val="auto"/>
              </w:rPr>
              <w:t>March 14, 2006</w:t>
            </w:r>
          </w:p>
        </w:tc>
      </w:tr>
      <w:tr>
        <w:trPr>
          <w:trHeight w:val="130"/>
        </w:trPr>
        <w:tc>
          <w:tcPr>
            <w:tcW w:w="680" w:type="dxa"/>
            <w:vAlign w:val="bottom"/>
          </w:tcPr>
          <w:p>
            <w:pPr>
              <w:spacing w:after="0"/>
              <w:rPr>
                <w:sz w:val="11"/>
                <w:szCs w:val="11"/>
                <w:color w:val="auto"/>
              </w:rPr>
            </w:pPr>
          </w:p>
        </w:tc>
        <w:tc>
          <w:tcPr>
            <w:tcW w:w="4120" w:type="dxa"/>
            <w:vAlign w:val="bottom"/>
          </w:tcPr>
          <w:p>
            <w:pPr>
              <w:jc w:val="center"/>
              <w:spacing w:after="0" w:line="130" w:lineRule="exact"/>
              <w:rPr>
                <w:sz w:val="20"/>
                <w:szCs w:val="20"/>
                <w:color w:val="auto"/>
              </w:rPr>
            </w:pPr>
            <w:r>
              <w:rPr>
                <w:rFonts w:ascii="Arial" w:cs="Arial" w:eastAsia="Arial" w:hAnsi="Arial"/>
                <w:sz w:val="13"/>
                <w:szCs w:val="13"/>
                <w:color w:val="auto"/>
                <w:w w:val="96"/>
              </w:rPr>
              <w:t>Martin McGlynn</w:t>
            </w:r>
          </w:p>
        </w:tc>
        <w:tc>
          <w:tcPr>
            <w:tcW w:w="4000" w:type="dxa"/>
            <w:vAlign w:val="bottom"/>
          </w:tcPr>
          <w:p>
            <w:pPr>
              <w:jc w:val="center"/>
              <w:ind w:left="395"/>
              <w:spacing w:after="0" w:line="130" w:lineRule="exact"/>
              <w:rPr>
                <w:sz w:val="20"/>
                <w:szCs w:val="20"/>
                <w:color w:val="auto"/>
              </w:rPr>
            </w:pPr>
            <w:r>
              <w:rPr>
                <w:rFonts w:ascii="Arial" w:cs="Arial" w:eastAsia="Arial" w:hAnsi="Arial"/>
                <w:sz w:val="13"/>
                <w:szCs w:val="13"/>
                <w:color w:val="auto"/>
                <w:w w:val="93"/>
              </w:rPr>
              <w:t>and Director</w:t>
            </w:r>
          </w:p>
        </w:tc>
        <w:tc>
          <w:tcPr>
            <w:tcW w:w="2660" w:type="dxa"/>
            <w:vAlign w:val="bottom"/>
          </w:tcPr>
          <w:p>
            <w:pPr>
              <w:spacing w:after="0"/>
              <w:rPr>
                <w:sz w:val="11"/>
                <w:szCs w:val="11"/>
                <w:color w:val="auto"/>
              </w:rPr>
            </w:pPr>
          </w:p>
        </w:tc>
      </w:tr>
      <w:tr>
        <w:trPr>
          <w:trHeight w:val="165"/>
        </w:trPr>
        <w:tc>
          <w:tcPr>
            <w:tcW w:w="68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4000" w:type="dxa"/>
            <w:vAlign w:val="bottom"/>
          </w:tcPr>
          <w:p>
            <w:pPr>
              <w:jc w:val="center"/>
              <w:ind w:left="395"/>
              <w:spacing w:after="0"/>
              <w:rPr>
                <w:sz w:val="20"/>
                <w:szCs w:val="20"/>
                <w:color w:val="auto"/>
              </w:rPr>
            </w:pPr>
            <w:r>
              <w:rPr>
                <w:rFonts w:ascii="Arial" w:cs="Arial" w:eastAsia="Arial" w:hAnsi="Arial"/>
                <w:sz w:val="13"/>
                <w:szCs w:val="13"/>
                <w:color w:val="auto"/>
                <w:w w:val="94"/>
              </w:rPr>
              <w:t>(principal executive officer)</w:t>
            </w:r>
          </w:p>
        </w:tc>
        <w:tc>
          <w:tcPr>
            <w:tcW w:w="2660" w:type="dxa"/>
            <w:vAlign w:val="bottom"/>
          </w:tcPr>
          <w:p>
            <w:pPr>
              <w:spacing w:after="0"/>
              <w:rPr>
                <w:sz w:val="14"/>
                <w:szCs w:val="14"/>
                <w:color w:val="auto"/>
              </w:rPr>
            </w:pPr>
          </w:p>
        </w:tc>
      </w:tr>
      <w:tr>
        <w:trPr>
          <w:trHeight w:val="315"/>
        </w:trPr>
        <w:tc>
          <w:tcPr>
            <w:tcW w:w="680" w:type="dxa"/>
            <w:vAlign w:val="bottom"/>
          </w:tcPr>
          <w:p>
            <w:pPr>
              <w:spacing w:after="0"/>
              <w:rPr>
                <w:sz w:val="24"/>
                <w:szCs w:val="24"/>
                <w:color w:val="auto"/>
              </w:rPr>
            </w:pPr>
          </w:p>
        </w:tc>
        <w:tc>
          <w:tcPr>
            <w:tcW w:w="412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9"/>
              </w:rPr>
              <w:t>/s/ RODNEY K.B. YOUNG</w:t>
            </w:r>
          </w:p>
        </w:tc>
        <w:tc>
          <w:tcPr>
            <w:tcW w:w="4000" w:type="dxa"/>
            <w:vAlign w:val="bottom"/>
          </w:tcPr>
          <w:p>
            <w:pPr>
              <w:jc w:val="center"/>
              <w:ind w:left="395"/>
              <w:spacing w:after="0"/>
              <w:rPr>
                <w:sz w:val="20"/>
                <w:szCs w:val="20"/>
                <w:color w:val="auto"/>
              </w:rPr>
            </w:pPr>
            <w:r>
              <w:rPr>
                <w:rFonts w:ascii="Arial" w:cs="Arial" w:eastAsia="Arial" w:hAnsi="Arial"/>
                <w:sz w:val="13"/>
                <w:szCs w:val="13"/>
                <w:color w:val="auto"/>
                <w:w w:val="95"/>
              </w:rPr>
              <w:t>Chief Financial Officer</w:t>
            </w:r>
          </w:p>
        </w:tc>
        <w:tc>
          <w:tcPr>
            <w:tcW w:w="2660" w:type="dxa"/>
            <w:vAlign w:val="bottom"/>
          </w:tcPr>
          <w:p>
            <w:pPr>
              <w:ind w:left="760"/>
              <w:spacing w:after="0"/>
              <w:rPr>
                <w:sz w:val="20"/>
                <w:szCs w:val="20"/>
                <w:color w:val="auto"/>
              </w:rPr>
            </w:pPr>
            <w:r>
              <w:rPr>
                <w:rFonts w:ascii="Arial" w:cs="Arial" w:eastAsia="Arial" w:hAnsi="Arial"/>
                <w:sz w:val="13"/>
                <w:szCs w:val="13"/>
                <w:color w:val="auto"/>
              </w:rPr>
              <w:t>March 14, 2006</w:t>
            </w:r>
          </w:p>
        </w:tc>
      </w:tr>
      <w:tr>
        <w:trPr>
          <w:trHeight w:val="156"/>
        </w:trPr>
        <w:tc>
          <w:tcPr>
            <w:tcW w:w="680" w:type="dxa"/>
            <w:vAlign w:val="bottom"/>
          </w:tcPr>
          <w:p>
            <w:pPr>
              <w:spacing w:after="0"/>
              <w:rPr>
                <w:sz w:val="13"/>
                <w:szCs w:val="13"/>
                <w:color w:val="auto"/>
              </w:rPr>
            </w:pPr>
          </w:p>
        </w:tc>
        <w:tc>
          <w:tcPr>
            <w:tcW w:w="4120" w:type="dxa"/>
            <w:vAlign w:val="bottom"/>
          </w:tcPr>
          <w:p>
            <w:pPr>
              <w:jc w:val="center"/>
              <w:spacing w:after="0"/>
              <w:rPr>
                <w:sz w:val="20"/>
                <w:szCs w:val="20"/>
                <w:color w:val="auto"/>
              </w:rPr>
            </w:pPr>
            <w:r>
              <w:rPr>
                <w:rFonts w:ascii="Arial" w:cs="Arial" w:eastAsia="Arial" w:hAnsi="Arial"/>
                <w:sz w:val="13"/>
                <w:szCs w:val="13"/>
                <w:color w:val="auto"/>
                <w:w w:val="92"/>
              </w:rPr>
              <w:t>Rodney K.B. Young</w:t>
            </w:r>
          </w:p>
        </w:tc>
        <w:tc>
          <w:tcPr>
            <w:tcW w:w="4000" w:type="dxa"/>
            <w:vAlign w:val="bottom"/>
          </w:tcPr>
          <w:p>
            <w:pPr>
              <w:jc w:val="center"/>
              <w:ind w:left="395"/>
              <w:spacing w:after="0" w:line="145" w:lineRule="exact"/>
              <w:rPr>
                <w:sz w:val="20"/>
                <w:szCs w:val="20"/>
                <w:color w:val="auto"/>
              </w:rPr>
            </w:pPr>
            <w:r>
              <w:rPr>
                <w:rFonts w:ascii="Arial" w:cs="Arial" w:eastAsia="Arial" w:hAnsi="Arial"/>
                <w:sz w:val="13"/>
                <w:szCs w:val="13"/>
                <w:color w:val="auto"/>
                <w:w w:val="96"/>
              </w:rPr>
              <w:t>(principal financial officer)</w:t>
            </w:r>
          </w:p>
        </w:tc>
        <w:tc>
          <w:tcPr>
            <w:tcW w:w="2660" w:type="dxa"/>
            <w:vAlign w:val="bottom"/>
          </w:tcPr>
          <w:p>
            <w:pPr>
              <w:spacing w:after="0"/>
              <w:rPr>
                <w:sz w:val="13"/>
                <w:szCs w:val="13"/>
                <w:color w:val="auto"/>
              </w:rPr>
            </w:pPr>
          </w:p>
        </w:tc>
      </w:tr>
      <w:tr>
        <w:trPr>
          <w:trHeight w:val="306"/>
        </w:trPr>
        <w:tc>
          <w:tcPr>
            <w:tcW w:w="680" w:type="dxa"/>
            <w:vAlign w:val="bottom"/>
          </w:tcPr>
          <w:p>
            <w:pPr>
              <w:spacing w:after="0"/>
              <w:rPr>
                <w:sz w:val="24"/>
                <w:szCs w:val="24"/>
                <w:color w:val="auto"/>
              </w:rPr>
            </w:pPr>
          </w:p>
        </w:tc>
        <w:tc>
          <w:tcPr>
            <w:tcW w:w="412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7"/>
              </w:rPr>
              <w:t>/s/ GEORGE KOSHY</w:t>
            </w:r>
          </w:p>
        </w:tc>
        <w:tc>
          <w:tcPr>
            <w:tcW w:w="4000" w:type="dxa"/>
            <w:vAlign w:val="bottom"/>
          </w:tcPr>
          <w:p>
            <w:pPr>
              <w:jc w:val="center"/>
              <w:ind w:left="395"/>
              <w:spacing w:after="0"/>
              <w:rPr>
                <w:sz w:val="20"/>
                <w:szCs w:val="20"/>
                <w:color w:val="auto"/>
              </w:rPr>
            </w:pPr>
            <w:r>
              <w:rPr>
                <w:rFonts w:ascii="Arial" w:cs="Arial" w:eastAsia="Arial" w:hAnsi="Arial"/>
                <w:sz w:val="13"/>
                <w:szCs w:val="13"/>
                <w:color w:val="auto"/>
                <w:w w:val="95"/>
              </w:rPr>
              <w:t>Chief Accounting Officer</w:t>
            </w:r>
          </w:p>
        </w:tc>
        <w:tc>
          <w:tcPr>
            <w:tcW w:w="2660" w:type="dxa"/>
            <w:vAlign w:val="bottom"/>
          </w:tcPr>
          <w:p>
            <w:pPr>
              <w:ind w:left="760"/>
              <w:spacing w:after="0"/>
              <w:rPr>
                <w:sz w:val="20"/>
                <w:szCs w:val="20"/>
                <w:color w:val="auto"/>
              </w:rPr>
            </w:pPr>
            <w:r>
              <w:rPr>
                <w:rFonts w:ascii="Arial" w:cs="Arial" w:eastAsia="Arial" w:hAnsi="Arial"/>
                <w:sz w:val="13"/>
                <w:szCs w:val="13"/>
                <w:color w:val="auto"/>
              </w:rPr>
              <w:t>March 14, 2006</w:t>
            </w:r>
          </w:p>
        </w:tc>
      </w:tr>
      <w:tr>
        <w:trPr>
          <w:trHeight w:val="156"/>
        </w:trPr>
        <w:tc>
          <w:tcPr>
            <w:tcW w:w="680" w:type="dxa"/>
            <w:vAlign w:val="bottom"/>
          </w:tcPr>
          <w:p>
            <w:pPr>
              <w:spacing w:after="0"/>
              <w:rPr>
                <w:sz w:val="13"/>
                <w:szCs w:val="13"/>
                <w:color w:val="auto"/>
              </w:rPr>
            </w:pPr>
          </w:p>
        </w:tc>
        <w:tc>
          <w:tcPr>
            <w:tcW w:w="4120" w:type="dxa"/>
            <w:vAlign w:val="bottom"/>
          </w:tcPr>
          <w:p>
            <w:pPr>
              <w:jc w:val="center"/>
              <w:spacing w:after="0"/>
              <w:rPr>
                <w:sz w:val="20"/>
                <w:szCs w:val="20"/>
                <w:color w:val="auto"/>
              </w:rPr>
            </w:pPr>
            <w:r>
              <w:rPr>
                <w:rFonts w:ascii="Arial" w:cs="Arial" w:eastAsia="Arial" w:hAnsi="Arial"/>
                <w:sz w:val="13"/>
                <w:szCs w:val="13"/>
                <w:color w:val="auto"/>
                <w:w w:val="91"/>
              </w:rPr>
              <w:t>George Koshy</w:t>
            </w:r>
          </w:p>
        </w:tc>
        <w:tc>
          <w:tcPr>
            <w:tcW w:w="4000" w:type="dxa"/>
            <w:vAlign w:val="bottom"/>
          </w:tcPr>
          <w:p>
            <w:pPr>
              <w:jc w:val="center"/>
              <w:ind w:left="395"/>
              <w:spacing w:after="0" w:line="145" w:lineRule="exact"/>
              <w:rPr>
                <w:sz w:val="20"/>
                <w:szCs w:val="20"/>
                <w:color w:val="auto"/>
              </w:rPr>
            </w:pPr>
            <w:r>
              <w:rPr>
                <w:rFonts w:ascii="Arial" w:cs="Arial" w:eastAsia="Arial" w:hAnsi="Arial"/>
                <w:sz w:val="13"/>
                <w:szCs w:val="13"/>
                <w:color w:val="auto"/>
                <w:w w:val="94"/>
              </w:rPr>
              <w:t>(principal accounting officer)</w:t>
            </w:r>
          </w:p>
        </w:tc>
        <w:tc>
          <w:tcPr>
            <w:tcW w:w="2660" w:type="dxa"/>
            <w:vAlign w:val="bottom"/>
          </w:tcPr>
          <w:p>
            <w:pPr>
              <w:spacing w:after="0"/>
              <w:rPr>
                <w:sz w:val="13"/>
                <w:szCs w:val="13"/>
                <w:color w:val="auto"/>
              </w:rPr>
            </w:pPr>
          </w:p>
        </w:tc>
      </w:tr>
      <w:tr>
        <w:trPr>
          <w:trHeight w:val="306"/>
        </w:trPr>
        <w:tc>
          <w:tcPr>
            <w:tcW w:w="680" w:type="dxa"/>
            <w:vAlign w:val="bottom"/>
          </w:tcPr>
          <w:p>
            <w:pPr>
              <w:spacing w:after="0"/>
              <w:rPr>
                <w:sz w:val="24"/>
                <w:szCs w:val="24"/>
                <w:color w:val="auto"/>
              </w:rPr>
            </w:pPr>
          </w:p>
        </w:tc>
        <w:tc>
          <w:tcPr>
            <w:tcW w:w="412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7"/>
              </w:rPr>
              <w:t>/s/ ERIC BJERKHOLT</w:t>
            </w:r>
          </w:p>
        </w:tc>
        <w:tc>
          <w:tcPr>
            <w:tcW w:w="4000" w:type="dxa"/>
            <w:vAlign w:val="bottom"/>
          </w:tcPr>
          <w:p>
            <w:pPr>
              <w:jc w:val="center"/>
              <w:ind w:left="415"/>
              <w:spacing w:after="0"/>
              <w:rPr>
                <w:sz w:val="20"/>
                <w:szCs w:val="20"/>
                <w:color w:val="auto"/>
              </w:rPr>
            </w:pPr>
            <w:r>
              <w:rPr>
                <w:rFonts w:ascii="Arial" w:cs="Arial" w:eastAsia="Arial" w:hAnsi="Arial"/>
                <w:sz w:val="13"/>
                <w:szCs w:val="13"/>
                <w:color w:val="auto"/>
                <w:w w:val="96"/>
              </w:rPr>
              <w:t>Director</w:t>
            </w:r>
          </w:p>
        </w:tc>
        <w:tc>
          <w:tcPr>
            <w:tcW w:w="2660" w:type="dxa"/>
            <w:vAlign w:val="bottom"/>
          </w:tcPr>
          <w:p>
            <w:pPr>
              <w:ind w:left="760"/>
              <w:spacing w:after="0"/>
              <w:rPr>
                <w:sz w:val="20"/>
                <w:szCs w:val="20"/>
                <w:color w:val="auto"/>
              </w:rPr>
            </w:pPr>
            <w:r>
              <w:rPr>
                <w:rFonts w:ascii="Arial" w:cs="Arial" w:eastAsia="Arial" w:hAnsi="Arial"/>
                <w:sz w:val="13"/>
                <w:szCs w:val="13"/>
                <w:color w:val="auto"/>
              </w:rPr>
              <w:t>March 14, 2006</w:t>
            </w:r>
          </w:p>
        </w:tc>
      </w:tr>
      <w:tr>
        <w:trPr>
          <w:trHeight w:val="155"/>
        </w:trPr>
        <w:tc>
          <w:tcPr>
            <w:tcW w:w="680" w:type="dxa"/>
            <w:vAlign w:val="bottom"/>
          </w:tcPr>
          <w:p>
            <w:pPr>
              <w:spacing w:after="0"/>
              <w:rPr>
                <w:sz w:val="13"/>
                <w:szCs w:val="13"/>
                <w:color w:val="auto"/>
              </w:rPr>
            </w:pPr>
          </w:p>
        </w:tc>
        <w:tc>
          <w:tcPr>
            <w:tcW w:w="4120" w:type="dxa"/>
            <w:vAlign w:val="bottom"/>
          </w:tcPr>
          <w:p>
            <w:pPr>
              <w:jc w:val="center"/>
              <w:spacing w:after="0"/>
              <w:rPr>
                <w:sz w:val="20"/>
                <w:szCs w:val="20"/>
                <w:color w:val="auto"/>
              </w:rPr>
            </w:pPr>
            <w:r>
              <w:rPr>
                <w:rFonts w:ascii="Arial" w:cs="Arial" w:eastAsia="Arial" w:hAnsi="Arial"/>
                <w:sz w:val="13"/>
                <w:szCs w:val="13"/>
                <w:color w:val="auto"/>
                <w:w w:val="99"/>
              </w:rPr>
              <w:t>Eric Bjerkholt</w:t>
            </w:r>
          </w:p>
        </w:tc>
        <w:tc>
          <w:tcPr>
            <w:tcW w:w="4000" w:type="dxa"/>
            <w:vAlign w:val="bottom"/>
          </w:tcPr>
          <w:p>
            <w:pPr>
              <w:spacing w:after="0"/>
              <w:rPr>
                <w:sz w:val="13"/>
                <w:szCs w:val="13"/>
                <w:color w:val="auto"/>
              </w:rPr>
            </w:pPr>
          </w:p>
        </w:tc>
        <w:tc>
          <w:tcPr>
            <w:tcW w:w="2660" w:type="dxa"/>
            <w:vAlign w:val="bottom"/>
          </w:tcPr>
          <w:p>
            <w:pPr>
              <w:spacing w:after="0"/>
              <w:rPr>
                <w:sz w:val="13"/>
                <w:szCs w:val="13"/>
                <w:color w:val="auto"/>
              </w:rPr>
            </w:pPr>
          </w:p>
        </w:tc>
      </w:tr>
      <w:tr>
        <w:trPr>
          <w:trHeight w:val="306"/>
        </w:trPr>
        <w:tc>
          <w:tcPr>
            <w:tcW w:w="680" w:type="dxa"/>
            <w:vAlign w:val="bottom"/>
          </w:tcPr>
          <w:p>
            <w:pPr>
              <w:spacing w:after="0"/>
              <w:rPr>
                <w:sz w:val="24"/>
                <w:szCs w:val="24"/>
                <w:color w:val="auto"/>
              </w:rPr>
            </w:pPr>
          </w:p>
        </w:tc>
        <w:tc>
          <w:tcPr>
            <w:tcW w:w="412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7"/>
              </w:rPr>
              <w:t>/s/ RICARDO B. LEVY, PH.D.</w:t>
            </w:r>
          </w:p>
        </w:tc>
        <w:tc>
          <w:tcPr>
            <w:tcW w:w="4000" w:type="dxa"/>
            <w:vAlign w:val="bottom"/>
          </w:tcPr>
          <w:p>
            <w:pPr>
              <w:jc w:val="center"/>
              <w:ind w:left="415"/>
              <w:spacing w:after="0"/>
              <w:rPr>
                <w:sz w:val="20"/>
                <w:szCs w:val="20"/>
                <w:color w:val="auto"/>
              </w:rPr>
            </w:pPr>
            <w:r>
              <w:rPr>
                <w:rFonts w:ascii="Arial" w:cs="Arial" w:eastAsia="Arial" w:hAnsi="Arial"/>
                <w:sz w:val="13"/>
                <w:szCs w:val="13"/>
                <w:color w:val="auto"/>
                <w:w w:val="96"/>
              </w:rPr>
              <w:t>Director</w:t>
            </w:r>
          </w:p>
        </w:tc>
        <w:tc>
          <w:tcPr>
            <w:tcW w:w="2660" w:type="dxa"/>
            <w:vAlign w:val="bottom"/>
          </w:tcPr>
          <w:p>
            <w:pPr>
              <w:ind w:left="760"/>
              <w:spacing w:after="0"/>
              <w:rPr>
                <w:sz w:val="20"/>
                <w:szCs w:val="20"/>
                <w:color w:val="auto"/>
              </w:rPr>
            </w:pPr>
            <w:r>
              <w:rPr>
                <w:rFonts w:ascii="Arial" w:cs="Arial" w:eastAsia="Arial" w:hAnsi="Arial"/>
                <w:sz w:val="13"/>
                <w:szCs w:val="13"/>
                <w:color w:val="auto"/>
              </w:rPr>
              <w:t>March 14, 2006</w:t>
            </w:r>
          </w:p>
        </w:tc>
      </w:tr>
      <w:tr>
        <w:trPr>
          <w:trHeight w:val="155"/>
        </w:trPr>
        <w:tc>
          <w:tcPr>
            <w:tcW w:w="680" w:type="dxa"/>
            <w:vAlign w:val="bottom"/>
          </w:tcPr>
          <w:p>
            <w:pPr>
              <w:spacing w:after="0"/>
              <w:rPr>
                <w:sz w:val="13"/>
                <w:szCs w:val="13"/>
                <w:color w:val="auto"/>
              </w:rPr>
            </w:pPr>
          </w:p>
        </w:tc>
        <w:tc>
          <w:tcPr>
            <w:tcW w:w="4120" w:type="dxa"/>
            <w:vAlign w:val="bottom"/>
          </w:tcPr>
          <w:p>
            <w:pPr>
              <w:jc w:val="center"/>
              <w:spacing w:after="0"/>
              <w:rPr>
                <w:sz w:val="20"/>
                <w:szCs w:val="20"/>
                <w:color w:val="auto"/>
              </w:rPr>
            </w:pPr>
            <w:r>
              <w:rPr>
                <w:rFonts w:ascii="Arial" w:cs="Arial" w:eastAsia="Arial" w:hAnsi="Arial"/>
                <w:sz w:val="13"/>
                <w:szCs w:val="13"/>
                <w:color w:val="auto"/>
                <w:w w:val="92"/>
              </w:rPr>
              <w:t>Ricardo B. Levy, Ph.D.</w:t>
            </w:r>
          </w:p>
        </w:tc>
        <w:tc>
          <w:tcPr>
            <w:tcW w:w="4000" w:type="dxa"/>
            <w:vAlign w:val="bottom"/>
          </w:tcPr>
          <w:p>
            <w:pPr>
              <w:spacing w:after="0"/>
              <w:rPr>
                <w:sz w:val="13"/>
                <w:szCs w:val="13"/>
                <w:color w:val="auto"/>
              </w:rPr>
            </w:pPr>
          </w:p>
        </w:tc>
        <w:tc>
          <w:tcPr>
            <w:tcW w:w="2660" w:type="dxa"/>
            <w:vAlign w:val="bottom"/>
          </w:tcPr>
          <w:p>
            <w:pPr>
              <w:spacing w:after="0"/>
              <w:rPr>
                <w:sz w:val="13"/>
                <w:szCs w:val="13"/>
                <w:color w:val="auto"/>
              </w:rPr>
            </w:pPr>
          </w:p>
        </w:tc>
      </w:tr>
      <w:tr>
        <w:trPr>
          <w:trHeight w:val="306"/>
        </w:trPr>
        <w:tc>
          <w:tcPr>
            <w:tcW w:w="680" w:type="dxa"/>
            <w:vAlign w:val="bottom"/>
          </w:tcPr>
          <w:p>
            <w:pPr>
              <w:spacing w:after="0"/>
              <w:rPr>
                <w:sz w:val="24"/>
                <w:szCs w:val="24"/>
                <w:color w:val="auto"/>
              </w:rPr>
            </w:pPr>
          </w:p>
        </w:tc>
        <w:tc>
          <w:tcPr>
            <w:tcW w:w="412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8"/>
              </w:rPr>
              <w:t>/s/ ROGER PERLMUTTER, M.D.</w:t>
            </w:r>
          </w:p>
        </w:tc>
        <w:tc>
          <w:tcPr>
            <w:tcW w:w="4000" w:type="dxa"/>
            <w:vAlign w:val="bottom"/>
          </w:tcPr>
          <w:p>
            <w:pPr>
              <w:jc w:val="center"/>
              <w:ind w:left="415"/>
              <w:spacing w:after="0"/>
              <w:rPr>
                <w:sz w:val="20"/>
                <w:szCs w:val="20"/>
                <w:color w:val="auto"/>
              </w:rPr>
            </w:pPr>
            <w:r>
              <w:rPr>
                <w:rFonts w:ascii="Arial" w:cs="Arial" w:eastAsia="Arial" w:hAnsi="Arial"/>
                <w:sz w:val="13"/>
                <w:szCs w:val="13"/>
                <w:color w:val="auto"/>
                <w:w w:val="96"/>
              </w:rPr>
              <w:t>Director</w:t>
            </w:r>
          </w:p>
        </w:tc>
        <w:tc>
          <w:tcPr>
            <w:tcW w:w="2660" w:type="dxa"/>
            <w:vAlign w:val="bottom"/>
          </w:tcPr>
          <w:p>
            <w:pPr>
              <w:ind w:left="760"/>
              <w:spacing w:after="0"/>
              <w:rPr>
                <w:sz w:val="20"/>
                <w:szCs w:val="20"/>
                <w:color w:val="auto"/>
              </w:rPr>
            </w:pPr>
            <w:r>
              <w:rPr>
                <w:rFonts w:ascii="Arial" w:cs="Arial" w:eastAsia="Arial" w:hAnsi="Arial"/>
                <w:sz w:val="13"/>
                <w:szCs w:val="13"/>
                <w:color w:val="auto"/>
              </w:rPr>
              <w:t>March 14, 2006</w:t>
            </w:r>
          </w:p>
        </w:tc>
      </w:tr>
      <w:tr>
        <w:trPr>
          <w:trHeight w:val="155"/>
        </w:trPr>
        <w:tc>
          <w:tcPr>
            <w:tcW w:w="680" w:type="dxa"/>
            <w:vAlign w:val="bottom"/>
          </w:tcPr>
          <w:p>
            <w:pPr>
              <w:spacing w:after="0"/>
              <w:rPr>
                <w:sz w:val="13"/>
                <w:szCs w:val="13"/>
                <w:color w:val="auto"/>
              </w:rPr>
            </w:pPr>
          </w:p>
        </w:tc>
        <w:tc>
          <w:tcPr>
            <w:tcW w:w="4120" w:type="dxa"/>
            <w:vAlign w:val="bottom"/>
          </w:tcPr>
          <w:p>
            <w:pPr>
              <w:jc w:val="center"/>
              <w:spacing w:after="0"/>
              <w:rPr>
                <w:sz w:val="20"/>
                <w:szCs w:val="20"/>
                <w:color w:val="auto"/>
              </w:rPr>
            </w:pPr>
            <w:r>
              <w:rPr>
                <w:rFonts w:ascii="Arial" w:cs="Arial" w:eastAsia="Arial" w:hAnsi="Arial"/>
                <w:sz w:val="13"/>
                <w:szCs w:val="13"/>
                <w:color w:val="auto"/>
                <w:w w:val="92"/>
              </w:rPr>
              <w:t>Roger Perlmutter, M.D.</w:t>
            </w:r>
          </w:p>
        </w:tc>
        <w:tc>
          <w:tcPr>
            <w:tcW w:w="4000" w:type="dxa"/>
            <w:vAlign w:val="bottom"/>
          </w:tcPr>
          <w:p>
            <w:pPr>
              <w:spacing w:after="0"/>
              <w:rPr>
                <w:sz w:val="13"/>
                <w:szCs w:val="13"/>
                <w:color w:val="auto"/>
              </w:rPr>
            </w:pPr>
          </w:p>
        </w:tc>
        <w:tc>
          <w:tcPr>
            <w:tcW w:w="2660" w:type="dxa"/>
            <w:vAlign w:val="bottom"/>
          </w:tcPr>
          <w:p>
            <w:pPr>
              <w:spacing w:after="0"/>
              <w:rPr>
                <w:sz w:val="13"/>
                <w:szCs w:val="13"/>
                <w:color w:val="auto"/>
              </w:rPr>
            </w:pPr>
          </w:p>
        </w:tc>
      </w:tr>
      <w:tr>
        <w:trPr>
          <w:trHeight w:val="306"/>
        </w:trPr>
        <w:tc>
          <w:tcPr>
            <w:tcW w:w="680" w:type="dxa"/>
            <w:vAlign w:val="bottom"/>
          </w:tcPr>
          <w:p>
            <w:pPr>
              <w:spacing w:after="0"/>
              <w:rPr>
                <w:sz w:val="24"/>
                <w:szCs w:val="24"/>
                <w:color w:val="auto"/>
              </w:rPr>
            </w:pPr>
          </w:p>
        </w:tc>
        <w:tc>
          <w:tcPr>
            <w:tcW w:w="412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4"/>
              </w:rPr>
              <w:t>/s/ JOHN J. SCHWARTZ, PH.D.</w:t>
            </w:r>
          </w:p>
        </w:tc>
        <w:tc>
          <w:tcPr>
            <w:tcW w:w="4000" w:type="dxa"/>
            <w:vAlign w:val="bottom"/>
          </w:tcPr>
          <w:p>
            <w:pPr>
              <w:jc w:val="center"/>
              <w:ind w:left="395"/>
              <w:spacing w:after="0"/>
              <w:rPr>
                <w:sz w:val="20"/>
                <w:szCs w:val="20"/>
                <w:color w:val="auto"/>
              </w:rPr>
            </w:pPr>
            <w:r>
              <w:rPr>
                <w:rFonts w:ascii="Arial" w:cs="Arial" w:eastAsia="Arial" w:hAnsi="Arial"/>
                <w:sz w:val="13"/>
                <w:szCs w:val="13"/>
                <w:color w:val="auto"/>
                <w:w w:val="92"/>
              </w:rPr>
              <w:t>Director, Chairman of the Board</w:t>
            </w:r>
          </w:p>
        </w:tc>
        <w:tc>
          <w:tcPr>
            <w:tcW w:w="2660" w:type="dxa"/>
            <w:vAlign w:val="bottom"/>
          </w:tcPr>
          <w:p>
            <w:pPr>
              <w:ind w:left="760"/>
              <w:spacing w:after="0"/>
              <w:rPr>
                <w:sz w:val="20"/>
                <w:szCs w:val="20"/>
                <w:color w:val="auto"/>
              </w:rPr>
            </w:pPr>
            <w:r>
              <w:rPr>
                <w:rFonts w:ascii="Arial" w:cs="Arial" w:eastAsia="Arial" w:hAnsi="Arial"/>
                <w:sz w:val="13"/>
                <w:szCs w:val="13"/>
                <w:color w:val="auto"/>
              </w:rPr>
              <w:t>March 14, 2006</w:t>
            </w:r>
          </w:p>
        </w:tc>
      </w:tr>
      <w:tr>
        <w:trPr>
          <w:trHeight w:val="155"/>
        </w:trPr>
        <w:tc>
          <w:tcPr>
            <w:tcW w:w="680" w:type="dxa"/>
            <w:vAlign w:val="bottom"/>
          </w:tcPr>
          <w:p>
            <w:pPr>
              <w:spacing w:after="0"/>
              <w:rPr>
                <w:sz w:val="13"/>
                <w:szCs w:val="13"/>
                <w:color w:val="auto"/>
              </w:rPr>
            </w:pPr>
          </w:p>
        </w:tc>
        <w:tc>
          <w:tcPr>
            <w:tcW w:w="4120" w:type="dxa"/>
            <w:vAlign w:val="bottom"/>
          </w:tcPr>
          <w:p>
            <w:pPr>
              <w:jc w:val="center"/>
              <w:spacing w:after="0"/>
              <w:rPr>
                <w:sz w:val="20"/>
                <w:szCs w:val="20"/>
                <w:color w:val="auto"/>
              </w:rPr>
            </w:pPr>
            <w:r>
              <w:rPr>
                <w:rFonts w:ascii="Arial" w:cs="Arial" w:eastAsia="Arial" w:hAnsi="Arial"/>
                <w:sz w:val="13"/>
                <w:szCs w:val="13"/>
                <w:color w:val="auto"/>
                <w:w w:val="89"/>
              </w:rPr>
              <w:t>John J. Schwartz, Ph.D.</w:t>
            </w:r>
          </w:p>
        </w:tc>
        <w:tc>
          <w:tcPr>
            <w:tcW w:w="4000" w:type="dxa"/>
            <w:vAlign w:val="bottom"/>
          </w:tcPr>
          <w:p>
            <w:pPr>
              <w:spacing w:after="0"/>
              <w:rPr>
                <w:sz w:val="13"/>
                <w:szCs w:val="13"/>
                <w:color w:val="auto"/>
              </w:rPr>
            </w:pPr>
          </w:p>
        </w:tc>
        <w:tc>
          <w:tcPr>
            <w:tcW w:w="2660" w:type="dxa"/>
            <w:vAlign w:val="bottom"/>
          </w:tcPr>
          <w:p>
            <w:pPr>
              <w:spacing w:after="0"/>
              <w:rPr>
                <w:sz w:val="13"/>
                <w:szCs w:val="13"/>
                <w:color w:val="auto"/>
              </w:rPr>
            </w:pPr>
          </w:p>
        </w:tc>
      </w:tr>
      <w:tr>
        <w:trPr>
          <w:trHeight w:val="306"/>
        </w:trPr>
        <w:tc>
          <w:tcPr>
            <w:tcW w:w="680" w:type="dxa"/>
            <w:vAlign w:val="bottom"/>
          </w:tcPr>
          <w:p>
            <w:pPr>
              <w:spacing w:after="0"/>
              <w:rPr>
                <w:sz w:val="24"/>
                <w:szCs w:val="24"/>
                <w:color w:val="auto"/>
              </w:rPr>
            </w:pPr>
          </w:p>
        </w:tc>
        <w:tc>
          <w:tcPr>
            <w:tcW w:w="412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/s/ IRVING L. WEISSMAN, M.D.</w:t>
            </w:r>
          </w:p>
        </w:tc>
        <w:tc>
          <w:tcPr>
            <w:tcW w:w="4000" w:type="dxa"/>
            <w:vAlign w:val="bottom"/>
          </w:tcPr>
          <w:p>
            <w:pPr>
              <w:jc w:val="center"/>
              <w:ind w:left="415"/>
              <w:spacing w:after="0"/>
              <w:rPr>
                <w:sz w:val="20"/>
                <w:szCs w:val="20"/>
                <w:color w:val="auto"/>
              </w:rPr>
            </w:pPr>
            <w:r>
              <w:rPr>
                <w:rFonts w:ascii="Arial" w:cs="Arial" w:eastAsia="Arial" w:hAnsi="Arial"/>
                <w:sz w:val="13"/>
                <w:szCs w:val="13"/>
                <w:color w:val="auto"/>
                <w:w w:val="96"/>
              </w:rPr>
              <w:t>Director</w:t>
            </w:r>
          </w:p>
        </w:tc>
        <w:tc>
          <w:tcPr>
            <w:tcW w:w="2660" w:type="dxa"/>
            <w:vAlign w:val="bottom"/>
          </w:tcPr>
          <w:p>
            <w:pPr>
              <w:ind w:left="760"/>
              <w:spacing w:after="0"/>
              <w:rPr>
                <w:sz w:val="20"/>
                <w:szCs w:val="20"/>
                <w:color w:val="auto"/>
              </w:rPr>
            </w:pPr>
            <w:r>
              <w:rPr>
                <w:rFonts w:ascii="Arial" w:cs="Arial" w:eastAsia="Arial" w:hAnsi="Arial"/>
                <w:sz w:val="13"/>
                <w:szCs w:val="13"/>
                <w:color w:val="auto"/>
              </w:rPr>
              <w:t>March 14, 2006</w:t>
            </w:r>
          </w:p>
        </w:tc>
      </w:tr>
      <w:tr>
        <w:trPr>
          <w:trHeight w:val="155"/>
        </w:trPr>
        <w:tc>
          <w:tcPr>
            <w:tcW w:w="680" w:type="dxa"/>
            <w:vAlign w:val="bottom"/>
          </w:tcPr>
          <w:p>
            <w:pPr>
              <w:spacing w:after="0"/>
              <w:rPr>
                <w:sz w:val="13"/>
                <w:szCs w:val="13"/>
                <w:color w:val="auto"/>
              </w:rPr>
            </w:pPr>
          </w:p>
        </w:tc>
        <w:tc>
          <w:tcPr>
            <w:tcW w:w="4120" w:type="dxa"/>
            <w:vAlign w:val="bottom"/>
          </w:tcPr>
          <w:p>
            <w:pPr>
              <w:jc w:val="center"/>
              <w:spacing w:after="0"/>
              <w:rPr>
                <w:sz w:val="20"/>
                <w:szCs w:val="20"/>
                <w:color w:val="auto"/>
              </w:rPr>
            </w:pPr>
            <w:r>
              <w:rPr>
                <w:rFonts w:ascii="Arial" w:cs="Arial" w:eastAsia="Arial" w:hAnsi="Arial"/>
                <w:sz w:val="13"/>
                <w:szCs w:val="13"/>
                <w:color w:val="auto"/>
                <w:w w:val="95"/>
              </w:rPr>
              <w:t>Irving L. Weissman, M.D.</w:t>
            </w:r>
          </w:p>
        </w:tc>
        <w:tc>
          <w:tcPr>
            <w:tcW w:w="4000" w:type="dxa"/>
            <w:vAlign w:val="bottom"/>
          </w:tcPr>
          <w:p>
            <w:pPr>
              <w:spacing w:after="0"/>
              <w:rPr>
                <w:sz w:val="13"/>
                <w:szCs w:val="13"/>
                <w:color w:val="auto"/>
              </w:rPr>
            </w:pPr>
          </w:p>
        </w:tc>
        <w:tc>
          <w:tcPr>
            <w:tcW w:w="2660" w:type="dxa"/>
            <w:vAlign w:val="bottom"/>
          </w:tcPr>
          <w:p>
            <w:pPr>
              <w:spacing w:after="0"/>
              <w:rPr>
                <w:sz w:val="13"/>
                <w:szCs w:val="13"/>
                <w:color w:val="auto"/>
              </w:rPr>
            </w:pPr>
          </w:p>
        </w:tc>
      </w:tr>
      <w:tr>
        <w:trPr>
          <w:trHeight w:val="434"/>
        </w:trPr>
        <w:tc>
          <w:tcPr>
            <w:tcW w:w="68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4000" w:type="dxa"/>
            <w:vAlign w:val="bottom"/>
          </w:tcPr>
          <w:p>
            <w:pPr>
              <w:jc w:val="right"/>
              <w:ind w:right="2995"/>
              <w:spacing w:after="0"/>
              <w:rPr>
                <w:sz w:val="20"/>
                <w:szCs w:val="20"/>
                <w:color w:val="auto"/>
              </w:rPr>
            </w:pPr>
            <w:r>
              <w:rPr>
                <w:rFonts w:ascii="Arial" w:cs="Arial" w:eastAsia="Arial" w:hAnsi="Arial"/>
                <w:sz w:val="13"/>
                <w:szCs w:val="13"/>
                <w:color w:val="auto"/>
              </w:rPr>
              <w:t>74</w:t>
            </w:r>
          </w:p>
        </w:tc>
        <w:tc>
          <w:tcPr>
            <w:tcW w:w="2660" w:type="dxa"/>
            <w:vAlign w:val="bottom"/>
          </w:tcPr>
          <w:p>
            <w:pPr>
              <w:spacing w:after="0"/>
              <w:rPr>
                <w:sz w:val="24"/>
                <w:szCs w:val="24"/>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4120" w:type="dxa"/>
            <w:vAlign w:val="bottom"/>
            <w:tcBorders>
              <w:bottom w:val="single" w:sz="8" w:color="808080"/>
            </w:tcBorders>
          </w:tcPr>
          <w:p>
            <w:pPr>
              <w:spacing w:after="0"/>
              <w:rPr>
                <w:sz w:val="14"/>
                <w:szCs w:val="14"/>
                <w:color w:val="auto"/>
              </w:rPr>
            </w:pPr>
          </w:p>
        </w:tc>
        <w:tc>
          <w:tcPr>
            <w:tcW w:w="4000" w:type="dxa"/>
            <w:vAlign w:val="bottom"/>
            <w:tcBorders>
              <w:bottom w:val="single" w:sz="8" w:color="808080"/>
            </w:tcBorders>
          </w:tcPr>
          <w:p>
            <w:pPr>
              <w:spacing w:after="0"/>
              <w:rPr>
                <w:sz w:val="14"/>
                <w:szCs w:val="14"/>
                <w:color w:val="auto"/>
              </w:rPr>
            </w:pPr>
          </w:p>
        </w:tc>
        <w:tc>
          <w:tcPr>
            <w:tcW w:w="266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6322060</wp:posOffset>
            </wp:positionH>
            <wp:positionV relativeFrom="paragraph">
              <wp:posOffset>-2942590</wp:posOffset>
            </wp:positionV>
            <wp:extent cx="12700" cy="635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540"/>
          </w:cols>
          <w:pgMar w:left="220" w:top="343" w:right="139" w:bottom="1440" w:gutter="0" w:footer="0" w:header="0"/>
        </w:sectPr>
      </w:pPr>
    </w:p>
    <w:bookmarkStart w:id="76" w:name="page77"/>
    <w:bookmarkEnd w:id="76"/>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2080" w:type="dxa"/>
            <w:vAlign w:val="bottom"/>
          </w:tcPr>
          <w:p>
            <w:pPr>
              <w:spacing w:after="0"/>
              <w:rPr>
                <w:sz w:val="14"/>
                <w:szCs w:val="14"/>
                <w:color w:val="auto"/>
              </w:rPr>
            </w:pPr>
          </w:p>
        </w:tc>
        <w:tc>
          <w:tcPr>
            <w:tcW w:w="9380" w:type="dxa"/>
            <w:vAlign w:val="bottom"/>
            <w:gridSpan w:val="3"/>
          </w:tcPr>
          <w:p>
            <w:pPr>
              <w:ind w:left="3080"/>
              <w:spacing w:after="0"/>
              <w:rPr>
                <w:sz w:val="20"/>
                <w:szCs w:val="20"/>
                <w:color w:val="auto"/>
              </w:rPr>
            </w:pPr>
            <w:r>
              <w:rPr>
                <w:rFonts w:ascii="Arial" w:cs="Arial" w:eastAsia="Arial" w:hAnsi="Arial"/>
                <w:sz w:val="13"/>
                <w:szCs w:val="13"/>
                <w:b w:val="1"/>
                <w:bCs w:val="1"/>
                <w:color w:val="auto"/>
              </w:rPr>
              <w:t>EXHIBIT INDEX</w:t>
            </w:r>
          </w:p>
        </w:tc>
        <w:tc>
          <w:tcPr>
            <w:tcW w:w="0" w:type="dxa"/>
            <w:vAlign w:val="bottom"/>
          </w:tcPr>
          <w:p>
            <w:pPr>
              <w:spacing w:after="0"/>
              <w:rPr>
                <w:sz w:val="1"/>
                <w:szCs w:val="1"/>
                <w:color w:val="auto"/>
              </w:rPr>
            </w:pPr>
          </w:p>
        </w:tc>
      </w:tr>
      <w:tr>
        <w:trPr>
          <w:trHeight w:val="269"/>
        </w:trPr>
        <w:tc>
          <w:tcPr>
            <w:tcW w:w="2080" w:type="dxa"/>
            <w:vAlign w:val="bottom"/>
          </w:tcPr>
          <w:p>
            <w:pPr>
              <w:ind w:left="1180"/>
              <w:spacing w:after="0"/>
              <w:rPr>
                <w:sz w:val="20"/>
                <w:szCs w:val="20"/>
                <w:color w:val="auto"/>
              </w:rPr>
            </w:pPr>
            <w:r>
              <w:rPr>
                <w:rFonts w:ascii="Arial" w:cs="Arial" w:eastAsia="Arial" w:hAnsi="Arial"/>
                <w:sz w:val="10"/>
                <w:szCs w:val="10"/>
                <w:b w:val="1"/>
                <w:bCs w:val="1"/>
                <w:color w:val="auto"/>
              </w:rPr>
              <w:t>Exhibit</w:t>
            </w:r>
          </w:p>
        </w:tc>
        <w:tc>
          <w:tcPr>
            <w:tcW w:w="4300" w:type="dxa"/>
            <w:vAlign w:val="bottom"/>
            <w:vMerge w:val="restart"/>
          </w:tcPr>
          <w:p>
            <w:pPr>
              <w:spacing w:after="0"/>
              <w:rPr>
                <w:sz w:val="23"/>
                <w:szCs w:val="23"/>
                <w:color w:val="auto"/>
              </w:rPr>
            </w:pPr>
          </w:p>
        </w:tc>
        <w:tc>
          <w:tcPr>
            <w:tcW w:w="508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Title or Description</w:t>
            </w:r>
          </w:p>
        </w:tc>
        <w:tc>
          <w:tcPr>
            <w:tcW w:w="0" w:type="dxa"/>
            <w:vAlign w:val="bottom"/>
          </w:tcPr>
          <w:p>
            <w:pPr>
              <w:spacing w:after="0"/>
              <w:rPr>
                <w:sz w:val="1"/>
                <w:szCs w:val="1"/>
                <w:color w:val="auto"/>
              </w:rPr>
            </w:pPr>
          </w:p>
        </w:tc>
      </w:tr>
      <w:tr>
        <w:trPr>
          <w:trHeight w:val="135"/>
        </w:trPr>
        <w:tc>
          <w:tcPr>
            <w:tcW w:w="2080" w:type="dxa"/>
            <w:vAlign w:val="bottom"/>
          </w:tcPr>
          <w:p>
            <w:pPr>
              <w:ind w:left="1340"/>
              <w:spacing w:after="0"/>
              <w:rPr>
                <w:sz w:val="20"/>
                <w:szCs w:val="20"/>
                <w:color w:val="auto"/>
              </w:rPr>
            </w:pPr>
            <w:r>
              <w:rPr>
                <w:rFonts w:ascii="Arial" w:cs="Arial" w:eastAsia="Arial" w:hAnsi="Arial"/>
                <w:sz w:val="10"/>
                <w:szCs w:val="10"/>
                <w:b w:val="1"/>
                <w:bCs w:val="1"/>
                <w:color w:val="auto"/>
              </w:rPr>
              <w:t>No.</w:t>
            </w:r>
          </w:p>
        </w:tc>
        <w:tc>
          <w:tcPr>
            <w:tcW w:w="4300" w:type="dxa"/>
            <w:vAlign w:val="bottom"/>
            <w:vMerge w:val="continue"/>
          </w:tcPr>
          <w:p>
            <w:pPr>
              <w:spacing w:after="0"/>
              <w:rPr>
                <w:sz w:val="11"/>
                <w:szCs w:val="11"/>
                <w:color w:val="auto"/>
              </w:rPr>
            </w:pPr>
          </w:p>
        </w:tc>
        <w:tc>
          <w:tcPr>
            <w:tcW w:w="508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8"/>
        </w:trPr>
        <w:tc>
          <w:tcPr>
            <w:tcW w:w="2080" w:type="dxa"/>
            <w:vAlign w:val="bottom"/>
          </w:tcPr>
          <w:p>
            <w:pPr>
              <w:ind w:left="1340"/>
              <w:spacing w:after="0"/>
              <w:rPr>
                <w:sz w:val="20"/>
                <w:szCs w:val="20"/>
                <w:color w:val="auto"/>
              </w:rPr>
            </w:pPr>
            <w:r>
              <w:rPr>
                <w:rFonts w:ascii="Arial" w:cs="Arial" w:eastAsia="Arial" w:hAnsi="Arial"/>
                <w:sz w:val="13"/>
                <w:szCs w:val="13"/>
                <w:color w:val="auto"/>
              </w:rPr>
              <w:t>3.1*</w:t>
            </w:r>
          </w:p>
        </w:tc>
        <w:tc>
          <w:tcPr>
            <w:tcW w:w="4300" w:type="dxa"/>
            <w:vAlign w:val="bottom"/>
          </w:tcPr>
          <w:p>
            <w:pPr>
              <w:ind w:left="120"/>
              <w:spacing w:after="0"/>
              <w:rPr>
                <w:sz w:val="20"/>
                <w:szCs w:val="20"/>
                <w:color w:val="auto"/>
              </w:rPr>
            </w:pPr>
            <w:r>
              <w:rPr>
                <w:rFonts w:ascii="Arial" w:cs="Arial" w:eastAsia="Arial" w:hAnsi="Arial"/>
                <w:sz w:val="13"/>
                <w:szCs w:val="13"/>
                <w:color w:val="auto"/>
              </w:rPr>
              <w:t>Restated Certificate of Incorporation of the Registrant</w:t>
            </w:r>
          </w:p>
        </w:tc>
        <w:tc>
          <w:tcPr>
            <w:tcW w:w="80" w:type="dxa"/>
            <w:vAlign w:val="bottom"/>
            <w:tcBorders>
              <w:top w:val="single" w:sz="8" w:color="auto"/>
            </w:tcBorders>
          </w:tcPr>
          <w:p>
            <w:pPr>
              <w:spacing w:after="0"/>
              <w:rPr>
                <w:sz w:val="15"/>
                <w:szCs w:val="15"/>
                <w:color w:val="auto"/>
              </w:rPr>
            </w:pPr>
          </w:p>
        </w:tc>
        <w:tc>
          <w:tcPr>
            <w:tcW w:w="5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7"/>
        </w:trPr>
        <w:tc>
          <w:tcPr>
            <w:tcW w:w="2080" w:type="dxa"/>
            <w:vAlign w:val="bottom"/>
          </w:tcPr>
          <w:p>
            <w:pPr>
              <w:ind w:left="1340"/>
              <w:spacing w:after="0"/>
              <w:rPr>
                <w:sz w:val="20"/>
                <w:szCs w:val="20"/>
                <w:color w:val="auto"/>
              </w:rPr>
            </w:pPr>
            <w:r>
              <w:rPr>
                <w:rFonts w:ascii="Arial" w:cs="Arial" w:eastAsia="Arial" w:hAnsi="Arial"/>
                <w:sz w:val="13"/>
                <w:szCs w:val="13"/>
                <w:color w:val="auto"/>
              </w:rPr>
              <w:t>3.2++</w:t>
            </w:r>
          </w:p>
        </w:tc>
        <w:tc>
          <w:tcPr>
            <w:tcW w:w="9380" w:type="dxa"/>
            <w:vAlign w:val="bottom"/>
            <w:gridSpan w:val="3"/>
          </w:tcPr>
          <w:p>
            <w:pPr>
              <w:ind w:left="120"/>
              <w:spacing w:after="0"/>
              <w:rPr>
                <w:sz w:val="20"/>
                <w:szCs w:val="20"/>
                <w:color w:val="auto"/>
              </w:rPr>
            </w:pPr>
            <w:r>
              <w:rPr>
                <w:rFonts w:ascii="Arial" w:cs="Arial" w:eastAsia="Arial" w:hAnsi="Arial"/>
                <w:sz w:val="13"/>
                <w:szCs w:val="13"/>
                <w:color w:val="auto"/>
              </w:rPr>
              <w:t>Amended and Restated By-Laws of the Registrant.</w:t>
            </w:r>
          </w:p>
        </w:tc>
        <w:tc>
          <w:tcPr>
            <w:tcW w:w="0" w:type="dxa"/>
            <w:vAlign w:val="bottom"/>
          </w:tcPr>
          <w:p>
            <w:pPr>
              <w:spacing w:after="0"/>
              <w:rPr>
                <w:sz w:val="1"/>
                <w:szCs w:val="1"/>
                <w:color w:val="auto"/>
              </w:rPr>
            </w:pPr>
          </w:p>
        </w:tc>
      </w:tr>
      <w:tr>
        <w:trPr>
          <w:trHeight w:val="157"/>
        </w:trPr>
        <w:tc>
          <w:tcPr>
            <w:tcW w:w="2080" w:type="dxa"/>
            <w:vAlign w:val="bottom"/>
          </w:tcPr>
          <w:p>
            <w:pPr>
              <w:ind w:left="1340"/>
              <w:spacing w:after="0"/>
              <w:rPr>
                <w:sz w:val="20"/>
                <w:szCs w:val="20"/>
                <w:color w:val="auto"/>
              </w:rPr>
            </w:pPr>
            <w:r>
              <w:rPr>
                <w:rFonts w:ascii="Arial" w:cs="Arial" w:eastAsia="Arial" w:hAnsi="Arial"/>
                <w:sz w:val="13"/>
                <w:szCs w:val="13"/>
                <w:color w:val="auto"/>
              </w:rPr>
              <w:t>3.3{***}</w:t>
            </w:r>
          </w:p>
        </w:tc>
        <w:tc>
          <w:tcPr>
            <w:tcW w:w="9380" w:type="dxa"/>
            <w:vAlign w:val="bottom"/>
            <w:gridSpan w:val="3"/>
          </w:tcPr>
          <w:p>
            <w:pPr>
              <w:ind w:left="120"/>
              <w:spacing w:after="0"/>
              <w:rPr>
                <w:sz w:val="20"/>
                <w:szCs w:val="20"/>
                <w:color w:val="auto"/>
              </w:rPr>
            </w:pPr>
            <w:r>
              <w:rPr>
                <w:rFonts w:ascii="Arial" w:cs="Arial" w:eastAsia="Arial" w:hAnsi="Arial"/>
                <w:sz w:val="13"/>
                <w:szCs w:val="13"/>
                <w:color w:val="auto"/>
              </w:rPr>
              <w:t>Certificate of Amendment to the Restated Certificate of Incorporation of the Registrant.</w:t>
            </w:r>
          </w:p>
        </w:tc>
        <w:tc>
          <w:tcPr>
            <w:tcW w:w="0" w:type="dxa"/>
            <w:vAlign w:val="bottom"/>
          </w:tcPr>
          <w:p>
            <w:pPr>
              <w:spacing w:after="0"/>
              <w:rPr>
                <w:sz w:val="1"/>
                <w:szCs w:val="1"/>
                <w:color w:val="auto"/>
              </w:rPr>
            </w:pPr>
          </w:p>
        </w:tc>
      </w:tr>
      <w:tr>
        <w:trPr>
          <w:trHeight w:val="157"/>
        </w:trPr>
        <w:tc>
          <w:tcPr>
            <w:tcW w:w="2080" w:type="dxa"/>
            <w:vAlign w:val="bottom"/>
          </w:tcPr>
          <w:p>
            <w:pPr>
              <w:ind w:left="1340"/>
              <w:spacing w:after="0"/>
              <w:rPr>
                <w:sz w:val="20"/>
                <w:szCs w:val="20"/>
                <w:color w:val="auto"/>
              </w:rPr>
            </w:pPr>
            <w:r>
              <w:rPr>
                <w:rFonts w:ascii="Arial" w:cs="Arial" w:eastAsia="Arial" w:hAnsi="Arial"/>
                <w:sz w:val="13"/>
                <w:szCs w:val="13"/>
                <w:color w:val="auto"/>
              </w:rPr>
              <w:t>3.4ˆ</w:t>
            </w:r>
          </w:p>
        </w:tc>
        <w:tc>
          <w:tcPr>
            <w:tcW w:w="9380" w:type="dxa"/>
            <w:vAlign w:val="bottom"/>
            <w:gridSpan w:val="3"/>
          </w:tcPr>
          <w:p>
            <w:pPr>
              <w:ind w:left="120"/>
              <w:spacing w:after="0"/>
              <w:rPr>
                <w:sz w:val="20"/>
                <w:szCs w:val="20"/>
                <w:color w:val="auto"/>
              </w:rPr>
            </w:pPr>
            <w:r>
              <w:rPr>
                <w:rFonts w:ascii="Arial" w:cs="Arial" w:eastAsia="Arial" w:hAnsi="Arial"/>
                <w:sz w:val="13"/>
                <w:szCs w:val="13"/>
                <w:color w:val="auto"/>
              </w:rPr>
              <w:t>Certificate of Amendment of the Restated Certificate of Incorporation of the Registrant.</w:t>
            </w:r>
          </w:p>
        </w:tc>
        <w:tc>
          <w:tcPr>
            <w:tcW w:w="0" w:type="dxa"/>
            <w:vAlign w:val="bottom"/>
          </w:tcPr>
          <w:p>
            <w:pPr>
              <w:spacing w:after="0"/>
              <w:rPr>
                <w:sz w:val="1"/>
                <w:szCs w:val="1"/>
                <w:color w:val="auto"/>
              </w:rPr>
            </w:pPr>
          </w:p>
        </w:tc>
      </w:tr>
      <w:tr>
        <w:trPr>
          <w:trHeight w:val="157"/>
        </w:trPr>
        <w:tc>
          <w:tcPr>
            <w:tcW w:w="2080" w:type="dxa"/>
            <w:vAlign w:val="bottom"/>
          </w:tcPr>
          <w:p>
            <w:pPr>
              <w:ind w:left="1340"/>
              <w:spacing w:after="0"/>
              <w:rPr>
                <w:sz w:val="20"/>
                <w:szCs w:val="20"/>
                <w:color w:val="auto"/>
              </w:rPr>
            </w:pPr>
            <w:r>
              <w:rPr>
                <w:rFonts w:ascii="Arial" w:cs="Arial" w:eastAsia="Arial" w:hAnsi="Arial"/>
                <w:sz w:val="13"/>
                <w:szCs w:val="13"/>
                <w:color w:val="auto"/>
              </w:rPr>
              <w:t>4.1ˆˆ</w:t>
            </w:r>
          </w:p>
        </w:tc>
        <w:tc>
          <w:tcPr>
            <w:tcW w:w="9380" w:type="dxa"/>
            <w:vAlign w:val="bottom"/>
            <w:gridSpan w:val="3"/>
          </w:tcPr>
          <w:p>
            <w:pPr>
              <w:ind w:left="120"/>
              <w:spacing w:after="0"/>
              <w:rPr>
                <w:sz w:val="20"/>
                <w:szCs w:val="20"/>
                <w:color w:val="auto"/>
              </w:rPr>
            </w:pPr>
            <w:r>
              <w:rPr>
                <w:rFonts w:ascii="Arial" w:cs="Arial" w:eastAsia="Arial" w:hAnsi="Arial"/>
                <w:sz w:val="13"/>
                <w:szCs w:val="13"/>
                <w:color w:val="auto"/>
              </w:rPr>
              <w:t>Specimen Common Stock Certificate.</w:t>
            </w:r>
          </w:p>
        </w:tc>
        <w:tc>
          <w:tcPr>
            <w:tcW w:w="0" w:type="dxa"/>
            <w:vAlign w:val="bottom"/>
          </w:tcPr>
          <w:p>
            <w:pPr>
              <w:spacing w:after="0"/>
              <w:rPr>
                <w:sz w:val="1"/>
                <w:szCs w:val="1"/>
                <w:color w:val="auto"/>
              </w:rPr>
            </w:pPr>
          </w:p>
        </w:tc>
      </w:tr>
      <w:tr>
        <w:trPr>
          <w:trHeight w:val="157"/>
        </w:trPr>
        <w:tc>
          <w:tcPr>
            <w:tcW w:w="2080" w:type="dxa"/>
            <w:vAlign w:val="bottom"/>
          </w:tcPr>
          <w:p>
            <w:pPr>
              <w:ind w:left="1340"/>
              <w:spacing w:after="0"/>
              <w:rPr>
                <w:sz w:val="20"/>
                <w:szCs w:val="20"/>
                <w:color w:val="auto"/>
              </w:rPr>
            </w:pPr>
            <w:r>
              <w:rPr>
                <w:rFonts w:ascii="Arial" w:cs="Arial" w:eastAsia="Arial" w:hAnsi="Arial"/>
                <w:sz w:val="13"/>
                <w:szCs w:val="13"/>
                <w:color w:val="auto"/>
              </w:rPr>
              <w:t>4.2++++</w:t>
            </w:r>
          </w:p>
        </w:tc>
        <w:tc>
          <w:tcPr>
            <w:tcW w:w="9380" w:type="dxa"/>
            <w:vAlign w:val="bottom"/>
            <w:gridSpan w:val="3"/>
          </w:tcPr>
          <w:p>
            <w:pPr>
              <w:ind w:left="120"/>
              <w:spacing w:after="0"/>
              <w:rPr>
                <w:sz w:val="20"/>
                <w:szCs w:val="20"/>
                <w:color w:val="auto"/>
              </w:rPr>
            </w:pPr>
            <w:r>
              <w:rPr>
                <w:rFonts w:ascii="Arial" w:cs="Arial" w:eastAsia="Arial" w:hAnsi="Arial"/>
                <w:sz w:val="13"/>
                <w:szCs w:val="13"/>
                <w:color w:val="auto"/>
              </w:rPr>
              <w:t>Form of Warrant Certificate issued to a certain purchaser of the Registrant’s Common Stock in April 1995.</w:t>
            </w:r>
          </w:p>
        </w:tc>
        <w:tc>
          <w:tcPr>
            <w:tcW w:w="0" w:type="dxa"/>
            <w:vAlign w:val="bottom"/>
          </w:tcPr>
          <w:p>
            <w:pPr>
              <w:spacing w:after="0"/>
              <w:rPr>
                <w:sz w:val="1"/>
                <w:szCs w:val="1"/>
                <w:color w:val="auto"/>
              </w:rPr>
            </w:pPr>
          </w:p>
        </w:tc>
      </w:tr>
      <w:tr>
        <w:trPr>
          <w:trHeight w:val="157"/>
        </w:trPr>
        <w:tc>
          <w:tcPr>
            <w:tcW w:w="2080" w:type="dxa"/>
            <w:vAlign w:val="bottom"/>
          </w:tcPr>
          <w:p>
            <w:pPr>
              <w:ind w:left="1340"/>
              <w:spacing w:after="0"/>
              <w:rPr>
                <w:sz w:val="20"/>
                <w:szCs w:val="20"/>
                <w:color w:val="auto"/>
              </w:rPr>
            </w:pPr>
            <w:r>
              <w:rPr>
                <w:rFonts w:ascii="Arial" w:cs="Arial" w:eastAsia="Arial" w:hAnsi="Arial"/>
                <w:sz w:val="13"/>
                <w:szCs w:val="13"/>
                <w:color w:val="auto"/>
              </w:rPr>
              <w:t>4.3X</w:t>
            </w:r>
          </w:p>
        </w:tc>
        <w:tc>
          <w:tcPr>
            <w:tcW w:w="9380" w:type="dxa"/>
            <w:vAlign w:val="bottom"/>
            <w:gridSpan w:val="3"/>
          </w:tcPr>
          <w:p>
            <w:pPr>
              <w:ind w:left="120"/>
              <w:spacing w:after="0"/>
              <w:rPr>
                <w:sz w:val="20"/>
                <w:szCs w:val="20"/>
                <w:color w:val="auto"/>
              </w:rPr>
            </w:pPr>
            <w:r>
              <w:rPr>
                <w:rFonts w:ascii="Arial" w:cs="Arial" w:eastAsia="Arial" w:hAnsi="Arial"/>
                <w:sz w:val="13"/>
                <w:szCs w:val="13"/>
                <w:color w:val="auto"/>
              </w:rPr>
              <w:t>Common Stock Purchase Warrant</w:t>
            </w:r>
          </w:p>
        </w:tc>
        <w:tc>
          <w:tcPr>
            <w:tcW w:w="0" w:type="dxa"/>
            <w:vAlign w:val="bottom"/>
          </w:tcPr>
          <w:p>
            <w:pPr>
              <w:spacing w:after="0"/>
              <w:rPr>
                <w:sz w:val="1"/>
                <w:szCs w:val="1"/>
                <w:color w:val="auto"/>
              </w:rPr>
            </w:pPr>
          </w:p>
        </w:tc>
      </w:tr>
      <w:tr>
        <w:trPr>
          <w:trHeight w:val="157"/>
        </w:trPr>
        <w:tc>
          <w:tcPr>
            <w:tcW w:w="2080" w:type="dxa"/>
            <w:vAlign w:val="bottom"/>
          </w:tcPr>
          <w:p>
            <w:pPr>
              <w:ind w:left="1340"/>
              <w:spacing w:after="0"/>
              <w:rPr>
                <w:sz w:val="20"/>
                <w:szCs w:val="20"/>
                <w:color w:val="auto"/>
              </w:rPr>
            </w:pPr>
            <w:r>
              <w:rPr>
                <w:rFonts w:ascii="Arial" w:cs="Arial" w:eastAsia="Arial" w:hAnsi="Arial"/>
                <w:sz w:val="13"/>
                <w:szCs w:val="13"/>
                <w:color w:val="auto"/>
              </w:rPr>
              <w:t>4.4X</w:t>
            </w:r>
          </w:p>
        </w:tc>
        <w:tc>
          <w:tcPr>
            <w:tcW w:w="9380" w:type="dxa"/>
            <w:vAlign w:val="bottom"/>
            <w:gridSpan w:val="3"/>
          </w:tcPr>
          <w:p>
            <w:pPr>
              <w:ind w:left="120"/>
              <w:spacing w:after="0"/>
              <w:rPr>
                <w:sz w:val="20"/>
                <w:szCs w:val="20"/>
                <w:color w:val="auto"/>
              </w:rPr>
            </w:pPr>
            <w:r>
              <w:rPr>
                <w:rFonts w:ascii="Arial" w:cs="Arial" w:eastAsia="Arial" w:hAnsi="Arial"/>
                <w:sz w:val="13"/>
                <w:szCs w:val="13"/>
                <w:color w:val="auto"/>
              </w:rPr>
              <w:t>Callable Warrant</w:t>
            </w:r>
          </w:p>
        </w:tc>
        <w:tc>
          <w:tcPr>
            <w:tcW w:w="0" w:type="dxa"/>
            <w:vAlign w:val="bottom"/>
          </w:tcPr>
          <w:p>
            <w:pPr>
              <w:spacing w:after="0"/>
              <w:rPr>
                <w:sz w:val="1"/>
                <w:szCs w:val="1"/>
                <w:color w:val="auto"/>
              </w:rPr>
            </w:pPr>
          </w:p>
        </w:tc>
      </w:tr>
      <w:tr>
        <w:trPr>
          <w:trHeight w:val="157"/>
        </w:trPr>
        <w:tc>
          <w:tcPr>
            <w:tcW w:w="2080" w:type="dxa"/>
            <w:vAlign w:val="bottom"/>
          </w:tcPr>
          <w:p>
            <w:pPr>
              <w:ind w:left="1340"/>
              <w:spacing w:after="0"/>
              <w:rPr>
                <w:sz w:val="20"/>
                <w:szCs w:val="20"/>
                <w:color w:val="auto"/>
              </w:rPr>
            </w:pPr>
            <w:r>
              <w:rPr>
                <w:rFonts w:ascii="Arial" w:cs="Arial" w:eastAsia="Arial" w:hAnsi="Arial"/>
                <w:sz w:val="13"/>
                <w:szCs w:val="13"/>
                <w:color w:val="auto"/>
              </w:rPr>
              <w:t>4.5XXX</w:t>
            </w:r>
          </w:p>
        </w:tc>
        <w:tc>
          <w:tcPr>
            <w:tcW w:w="9380" w:type="dxa"/>
            <w:vAlign w:val="bottom"/>
            <w:gridSpan w:val="3"/>
          </w:tcPr>
          <w:p>
            <w:pPr>
              <w:ind w:left="120"/>
              <w:spacing w:after="0"/>
              <w:rPr>
                <w:sz w:val="20"/>
                <w:szCs w:val="20"/>
                <w:color w:val="auto"/>
              </w:rPr>
            </w:pPr>
            <w:r>
              <w:rPr>
                <w:rFonts w:ascii="Arial" w:cs="Arial" w:eastAsia="Arial" w:hAnsi="Arial"/>
                <w:sz w:val="13"/>
                <w:szCs w:val="13"/>
                <w:color w:val="auto"/>
              </w:rPr>
              <w:t>Registration Rights Agreement dated as of May 10, 2001 between the Registrant and Sativum Investments Limited.</w:t>
            </w:r>
          </w:p>
        </w:tc>
        <w:tc>
          <w:tcPr>
            <w:tcW w:w="0" w:type="dxa"/>
            <w:vAlign w:val="bottom"/>
          </w:tcPr>
          <w:p>
            <w:pPr>
              <w:spacing w:after="0"/>
              <w:rPr>
                <w:sz w:val="1"/>
                <w:szCs w:val="1"/>
                <w:color w:val="auto"/>
              </w:rPr>
            </w:pPr>
          </w:p>
        </w:tc>
      </w:tr>
      <w:tr>
        <w:trPr>
          <w:trHeight w:val="157"/>
        </w:trPr>
        <w:tc>
          <w:tcPr>
            <w:tcW w:w="2080" w:type="dxa"/>
            <w:vAlign w:val="bottom"/>
          </w:tcPr>
          <w:p>
            <w:pPr>
              <w:ind w:left="1340"/>
              <w:spacing w:after="0"/>
              <w:rPr>
                <w:sz w:val="20"/>
                <w:szCs w:val="20"/>
                <w:color w:val="auto"/>
              </w:rPr>
            </w:pPr>
            <w:r>
              <w:rPr>
                <w:rFonts w:ascii="Arial" w:cs="Arial" w:eastAsia="Arial" w:hAnsi="Arial"/>
                <w:sz w:val="13"/>
                <w:szCs w:val="13"/>
                <w:color w:val="auto"/>
              </w:rPr>
              <w:t>4.6XXX</w:t>
            </w:r>
          </w:p>
        </w:tc>
        <w:tc>
          <w:tcPr>
            <w:tcW w:w="9380" w:type="dxa"/>
            <w:vAlign w:val="bottom"/>
            <w:gridSpan w:val="3"/>
          </w:tcPr>
          <w:p>
            <w:pPr>
              <w:ind w:left="120"/>
              <w:spacing w:after="0"/>
              <w:rPr>
                <w:sz w:val="20"/>
                <w:szCs w:val="20"/>
                <w:color w:val="auto"/>
              </w:rPr>
            </w:pPr>
            <w:r>
              <w:rPr>
                <w:rFonts w:ascii="Arial" w:cs="Arial" w:eastAsia="Arial" w:hAnsi="Arial"/>
                <w:sz w:val="13"/>
                <w:szCs w:val="13"/>
                <w:color w:val="auto"/>
              </w:rPr>
              <w:t>Callable Warrant, dated June 21, 2001, issued to Millennium Partners, L.P.</w:t>
            </w:r>
          </w:p>
        </w:tc>
        <w:tc>
          <w:tcPr>
            <w:tcW w:w="0" w:type="dxa"/>
            <w:vAlign w:val="bottom"/>
          </w:tcPr>
          <w:p>
            <w:pPr>
              <w:spacing w:after="0"/>
              <w:rPr>
                <w:sz w:val="1"/>
                <w:szCs w:val="1"/>
                <w:color w:val="auto"/>
              </w:rPr>
            </w:pPr>
          </w:p>
        </w:tc>
      </w:tr>
      <w:tr>
        <w:trPr>
          <w:trHeight w:val="157"/>
        </w:trPr>
        <w:tc>
          <w:tcPr>
            <w:tcW w:w="2080" w:type="dxa"/>
            <w:vAlign w:val="bottom"/>
          </w:tcPr>
          <w:p>
            <w:pPr>
              <w:ind w:left="1340"/>
              <w:spacing w:after="0"/>
              <w:rPr>
                <w:sz w:val="20"/>
                <w:szCs w:val="20"/>
                <w:color w:val="auto"/>
              </w:rPr>
            </w:pPr>
            <w:r>
              <w:rPr>
                <w:rFonts w:ascii="Arial" w:cs="Arial" w:eastAsia="Arial" w:hAnsi="Arial"/>
                <w:sz w:val="13"/>
                <w:szCs w:val="13"/>
                <w:color w:val="auto"/>
              </w:rPr>
              <w:t>4.7XXX</w:t>
            </w:r>
          </w:p>
        </w:tc>
        <w:tc>
          <w:tcPr>
            <w:tcW w:w="9380" w:type="dxa"/>
            <w:vAlign w:val="bottom"/>
            <w:gridSpan w:val="3"/>
          </w:tcPr>
          <w:p>
            <w:pPr>
              <w:ind w:left="120"/>
              <w:spacing w:after="0"/>
              <w:rPr>
                <w:sz w:val="20"/>
                <w:szCs w:val="20"/>
                <w:color w:val="auto"/>
              </w:rPr>
            </w:pPr>
            <w:r>
              <w:rPr>
                <w:rFonts w:ascii="Arial" w:cs="Arial" w:eastAsia="Arial" w:hAnsi="Arial"/>
                <w:sz w:val="13"/>
                <w:szCs w:val="13"/>
                <w:color w:val="auto"/>
              </w:rPr>
              <w:t>Common Stock Purchase Warrant, Class A, dated June 21, 2001, issued to Millennium Partners, L.P.</w:t>
            </w:r>
          </w:p>
        </w:tc>
        <w:tc>
          <w:tcPr>
            <w:tcW w:w="0" w:type="dxa"/>
            <w:vAlign w:val="bottom"/>
          </w:tcPr>
          <w:p>
            <w:pPr>
              <w:spacing w:after="0"/>
              <w:rPr>
                <w:sz w:val="1"/>
                <w:szCs w:val="1"/>
                <w:color w:val="auto"/>
              </w:rPr>
            </w:pPr>
          </w:p>
        </w:tc>
      </w:tr>
      <w:tr>
        <w:trPr>
          <w:trHeight w:val="157"/>
        </w:trPr>
        <w:tc>
          <w:tcPr>
            <w:tcW w:w="2080" w:type="dxa"/>
            <w:vAlign w:val="bottom"/>
          </w:tcPr>
          <w:p>
            <w:pPr>
              <w:ind w:left="1340"/>
              <w:spacing w:after="0"/>
              <w:rPr>
                <w:sz w:val="20"/>
                <w:szCs w:val="20"/>
                <w:color w:val="auto"/>
              </w:rPr>
            </w:pPr>
            <w:r>
              <w:rPr>
                <w:rFonts w:ascii="Arial" w:cs="Arial" w:eastAsia="Arial" w:hAnsi="Arial"/>
                <w:sz w:val="13"/>
                <w:szCs w:val="13"/>
                <w:color w:val="auto"/>
              </w:rPr>
              <w:t>4.8{**}</w:t>
            </w:r>
          </w:p>
        </w:tc>
        <w:tc>
          <w:tcPr>
            <w:tcW w:w="9380" w:type="dxa"/>
            <w:vAlign w:val="bottom"/>
            <w:gridSpan w:val="3"/>
          </w:tcPr>
          <w:p>
            <w:pPr>
              <w:ind w:left="120"/>
              <w:spacing w:after="0"/>
              <w:rPr>
                <w:sz w:val="20"/>
                <w:szCs w:val="20"/>
                <w:color w:val="auto"/>
              </w:rPr>
            </w:pPr>
            <w:r>
              <w:rPr>
                <w:rFonts w:ascii="Arial" w:cs="Arial" w:eastAsia="Arial" w:hAnsi="Arial"/>
                <w:sz w:val="13"/>
                <w:szCs w:val="13"/>
                <w:color w:val="auto"/>
              </w:rPr>
              <w:t>Certificate of Designations of the Powers, Preferences and Relative, Participating, Optional and other Special Rights of Preferred Stock and Qualifications,</w:t>
            </w:r>
          </w:p>
        </w:tc>
        <w:tc>
          <w:tcPr>
            <w:tcW w:w="0" w:type="dxa"/>
            <w:vAlign w:val="bottom"/>
          </w:tcPr>
          <w:p>
            <w:pPr>
              <w:spacing w:after="0"/>
              <w:rPr>
                <w:sz w:val="1"/>
                <w:szCs w:val="1"/>
                <w:color w:val="auto"/>
              </w:rPr>
            </w:pPr>
          </w:p>
        </w:tc>
      </w:tr>
      <w:tr>
        <w:trPr>
          <w:trHeight w:val="157"/>
        </w:trPr>
        <w:tc>
          <w:tcPr>
            <w:tcW w:w="2080" w:type="dxa"/>
            <w:vAlign w:val="bottom"/>
          </w:tcPr>
          <w:p>
            <w:pPr>
              <w:spacing w:after="0"/>
              <w:rPr>
                <w:sz w:val="13"/>
                <w:szCs w:val="13"/>
                <w:color w:val="auto"/>
              </w:rPr>
            </w:pPr>
          </w:p>
        </w:tc>
        <w:tc>
          <w:tcPr>
            <w:tcW w:w="9380" w:type="dxa"/>
            <w:vAlign w:val="bottom"/>
            <w:gridSpan w:val="3"/>
          </w:tcPr>
          <w:p>
            <w:pPr>
              <w:ind w:left="120"/>
              <w:spacing w:after="0"/>
              <w:rPr>
                <w:sz w:val="20"/>
                <w:szCs w:val="20"/>
                <w:color w:val="auto"/>
              </w:rPr>
            </w:pPr>
            <w:r>
              <w:rPr>
                <w:rFonts w:ascii="Arial" w:cs="Arial" w:eastAsia="Arial" w:hAnsi="Arial"/>
                <w:sz w:val="13"/>
                <w:szCs w:val="13"/>
                <w:color w:val="auto"/>
              </w:rPr>
              <w:t>Limitations and Restrictions Thereof of 3% Cumulative Convertible Preferred Stock for StemCells, Inc.</w:t>
            </w:r>
          </w:p>
        </w:tc>
        <w:tc>
          <w:tcPr>
            <w:tcW w:w="0" w:type="dxa"/>
            <w:vAlign w:val="bottom"/>
          </w:tcPr>
          <w:p>
            <w:pPr>
              <w:spacing w:after="0"/>
              <w:rPr>
                <w:sz w:val="1"/>
                <w:szCs w:val="1"/>
                <w:color w:val="auto"/>
              </w:rPr>
            </w:pPr>
          </w:p>
        </w:tc>
      </w:tr>
      <w:tr>
        <w:trPr>
          <w:trHeight w:val="157"/>
        </w:trPr>
        <w:tc>
          <w:tcPr>
            <w:tcW w:w="2080" w:type="dxa"/>
            <w:vAlign w:val="bottom"/>
          </w:tcPr>
          <w:p>
            <w:pPr>
              <w:ind w:left="1340"/>
              <w:spacing w:after="0"/>
              <w:rPr>
                <w:sz w:val="20"/>
                <w:szCs w:val="20"/>
                <w:color w:val="auto"/>
              </w:rPr>
            </w:pPr>
            <w:r>
              <w:rPr>
                <w:rFonts w:ascii="Arial" w:cs="Arial" w:eastAsia="Arial" w:hAnsi="Arial"/>
                <w:sz w:val="13"/>
                <w:szCs w:val="13"/>
                <w:color w:val="auto"/>
              </w:rPr>
              <w:t>4.9{**}</w:t>
            </w:r>
          </w:p>
        </w:tc>
        <w:tc>
          <w:tcPr>
            <w:tcW w:w="9380" w:type="dxa"/>
            <w:vAlign w:val="bottom"/>
            <w:gridSpan w:val="3"/>
          </w:tcPr>
          <w:p>
            <w:pPr>
              <w:ind w:left="120"/>
              <w:spacing w:after="0"/>
              <w:rPr>
                <w:sz w:val="20"/>
                <w:szCs w:val="20"/>
                <w:color w:val="auto"/>
              </w:rPr>
            </w:pPr>
            <w:r>
              <w:rPr>
                <w:rFonts w:ascii="Arial" w:cs="Arial" w:eastAsia="Arial" w:hAnsi="Arial"/>
                <w:sz w:val="13"/>
                <w:szCs w:val="13"/>
                <w:color w:val="auto"/>
              </w:rPr>
              <w:t>Warrant to Purchase Common Stock — Riverview Group, LLC</w:t>
            </w:r>
          </w:p>
        </w:tc>
        <w:tc>
          <w:tcPr>
            <w:tcW w:w="0" w:type="dxa"/>
            <w:vAlign w:val="bottom"/>
          </w:tcPr>
          <w:p>
            <w:pPr>
              <w:spacing w:after="0"/>
              <w:rPr>
                <w:sz w:val="1"/>
                <w:szCs w:val="1"/>
                <w:color w:val="auto"/>
              </w:rPr>
            </w:pPr>
          </w:p>
        </w:tc>
      </w:tr>
      <w:tr>
        <w:trPr>
          <w:trHeight w:val="157"/>
        </w:trPr>
        <w:tc>
          <w:tcPr>
            <w:tcW w:w="2080" w:type="dxa"/>
            <w:vAlign w:val="bottom"/>
          </w:tcPr>
          <w:p>
            <w:pPr>
              <w:ind w:left="1340"/>
              <w:spacing w:after="0"/>
              <w:rPr>
                <w:sz w:val="20"/>
                <w:szCs w:val="20"/>
                <w:color w:val="auto"/>
              </w:rPr>
            </w:pPr>
            <w:r>
              <w:rPr>
                <w:rFonts w:ascii="Arial" w:cs="Arial" w:eastAsia="Arial" w:hAnsi="Arial"/>
                <w:sz w:val="13"/>
                <w:szCs w:val="13"/>
                <w:color w:val="auto"/>
              </w:rPr>
              <w:t>4.10XXXX</w:t>
            </w:r>
          </w:p>
        </w:tc>
        <w:tc>
          <w:tcPr>
            <w:tcW w:w="9380" w:type="dxa"/>
            <w:vAlign w:val="bottom"/>
            <w:gridSpan w:val="3"/>
          </w:tcPr>
          <w:p>
            <w:pPr>
              <w:ind w:left="120"/>
              <w:spacing w:after="0"/>
              <w:rPr>
                <w:sz w:val="20"/>
                <w:szCs w:val="20"/>
                <w:color w:val="auto"/>
              </w:rPr>
            </w:pPr>
            <w:r>
              <w:rPr>
                <w:rFonts w:ascii="Arial" w:cs="Arial" w:eastAsia="Arial" w:hAnsi="Arial"/>
                <w:sz w:val="13"/>
                <w:szCs w:val="13"/>
                <w:color w:val="auto"/>
              </w:rPr>
              <w:t>Warrant to Purchase Common Stock — Cantor Fitzgerald &amp; Co.</w:t>
            </w:r>
          </w:p>
        </w:tc>
        <w:tc>
          <w:tcPr>
            <w:tcW w:w="0" w:type="dxa"/>
            <w:vAlign w:val="bottom"/>
          </w:tcPr>
          <w:p>
            <w:pPr>
              <w:spacing w:after="0"/>
              <w:rPr>
                <w:sz w:val="1"/>
                <w:szCs w:val="1"/>
                <w:color w:val="auto"/>
              </w:rPr>
            </w:pPr>
          </w:p>
        </w:tc>
      </w:tr>
      <w:tr>
        <w:trPr>
          <w:trHeight w:val="157"/>
        </w:trPr>
        <w:tc>
          <w:tcPr>
            <w:tcW w:w="2080" w:type="dxa"/>
            <w:vAlign w:val="bottom"/>
          </w:tcPr>
          <w:p>
            <w:pPr>
              <w:ind w:left="1340"/>
              <w:spacing w:after="0"/>
              <w:rPr>
                <w:sz w:val="20"/>
                <w:szCs w:val="20"/>
                <w:color w:val="auto"/>
              </w:rPr>
            </w:pPr>
            <w:r>
              <w:rPr>
                <w:rFonts w:ascii="Arial" w:cs="Arial" w:eastAsia="Arial" w:hAnsi="Arial"/>
                <w:sz w:val="13"/>
                <w:szCs w:val="13"/>
                <w:color w:val="auto"/>
              </w:rPr>
              <w:t>4.11&amp;&amp;</w:t>
            </w:r>
          </w:p>
        </w:tc>
        <w:tc>
          <w:tcPr>
            <w:tcW w:w="9380" w:type="dxa"/>
            <w:vAlign w:val="bottom"/>
            <w:gridSpan w:val="3"/>
          </w:tcPr>
          <w:p>
            <w:pPr>
              <w:ind w:left="120"/>
              <w:spacing w:after="0"/>
              <w:rPr>
                <w:sz w:val="20"/>
                <w:szCs w:val="20"/>
                <w:color w:val="auto"/>
              </w:rPr>
            </w:pPr>
            <w:r>
              <w:rPr>
                <w:rFonts w:ascii="Arial" w:cs="Arial" w:eastAsia="Arial" w:hAnsi="Arial"/>
                <w:sz w:val="13"/>
                <w:szCs w:val="13"/>
                <w:color w:val="auto"/>
              </w:rPr>
              <w:t>Warrant to Purchase Common Stock — Riverview Group, LLC</w:t>
            </w:r>
          </w:p>
        </w:tc>
        <w:tc>
          <w:tcPr>
            <w:tcW w:w="0" w:type="dxa"/>
            <w:vAlign w:val="bottom"/>
          </w:tcPr>
          <w:p>
            <w:pPr>
              <w:spacing w:after="0"/>
              <w:rPr>
                <w:sz w:val="1"/>
                <w:szCs w:val="1"/>
                <w:color w:val="auto"/>
              </w:rPr>
            </w:pPr>
          </w:p>
        </w:tc>
      </w:tr>
      <w:tr>
        <w:trPr>
          <w:trHeight w:val="157"/>
        </w:trPr>
        <w:tc>
          <w:tcPr>
            <w:tcW w:w="2080" w:type="dxa"/>
            <w:vAlign w:val="bottom"/>
          </w:tcPr>
          <w:p>
            <w:pPr>
              <w:ind w:left="1280"/>
              <w:spacing w:after="0"/>
              <w:rPr>
                <w:sz w:val="20"/>
                <w:szCs w:val="20"/>
                <w:color w:val="auto"/>
              </w:rPr>
            </w:pPr>
            <w:r>
              <w:rPr>
                <w:rFonts w:ascii="Arial" w:cs="Arial" w:eastAsia="Arial" w:hAnsi="Arial"/>
                <w:sz w:val="13"/>
                <w:szCs w:val="13"/>
                <w:color w:val="auto"/>
              </w:rPr>
              <w:t>10.1XX</w:t>
            </w:r>
          </w:p>
        </w:tc>
        <w:tc>
          <w:tcPr>
            <w:tcW w:w="9380" w:type="dxa"/>
            <w:vAlign w:val="bottom"/>
            <w:gridSpan w:val="3"/>
          </w:tcPr>
          <w:p>
            <w:pPr>
              <w:ind w:left="120"/>
              <w:spacing w:after="0"/>
              <w:rPr>
                <w:sz w:val="20"/>
                <w:szCs w:val="20"/>
                <w:color w:val="auto"/>
              </w:rPr>
            </w:pPr>
            <w:r>
              <w:rPr>
                <w:rFonts w:ascii="Arial" w:cs="Arial" w:eastAsia="Arial" w:hAnsi="Arial"/>
                <w:sz w:val="13"/>
                <w:szCs w:val="13"/>
                <w:color w:val="auto"/>
              </w:rPr>
              <w:t>Side Letter, dated March 17, 2001, between the Company and Oleh S. Hnatiuk, regarding NeuroSphere License Agreement dated October 30, 2000.</w:t>
            </w:r>
          </w:p>
        </w:tc>
        <w:tc>
          <w:tcPr>
            <w:tcW w:w="0" w:type="dxa"/>
            <w:vAlign w:val="bottom"/>
          </w:tcPr>
          <w:p>
            <w:pPr>
              <w:spacing w:after="0"/>
              <w:rPr>
                <w:sz w:val="1"/>
                <w:szCs w:val="1"/>
                <w:color w:val="auto"/>
              </w:rPr>
            </w:pPr>
          </w:p>
        </w:tc>
      </w:tr>
      <w:tr>
        <w:trPr>
          <w:trHeight w:val="157"/>
        </w:trPr>
        <w:tc>
          <w:tcPr>
            <w:tcW w:w="2080" w:type="dxa"/>
            <w:vAlign w:val="bottom"/>
          </w:tcPr>
          <w:p>
            <w:pPr>
              <w:ind w:left="1280"/>
              <w:spacing w:after="0"/>
              <w:rPr>
                <w:sz w:val="20"/>
                <w:szCs w:val="20"/>
                <w:color w:val="auto"/>
              </w:rPr>
            </w:pPr>
            <w:r>
              <w:rPr>
                <w:rFonts w:ascii="Arial" w:cs="Arial" w:eastAsia="Arial" w:hAnsi="Arial"/>
                <w:sz w:val="13"/>
                <w:szCs w:val="13"/>
                <w:color w:val="auto"/>
              </w:rPr>
              <w:t>10.2*</w:t>
            </w:r>
          </w:p>
        </w:tc>
        <w:tc>
          <w:tcPr>
            <w:tcW w:w="9380" w:type="dxa"/>
            <w:vAlign w:val="bottom"/>
            <w:gridSpan w:val="3"/>
          </w:tcPr>
          <w:p>
            <w:pPr>
              <w:ind w:left="120"/>
              <w:spacing w:after="0"/>
              <w:rPr>
                <w:sz w:val="20"/>
                <w:szCs w:val="20"/>
                <w:color w:val="auto"/>
              </w:rPr>
            </w:pPr>
            <w:r>
              <w:rPr>
                <w:rFonts w:ascii="Arial" w:cs="Arial" w:eastAsia="Arial" w:hAnsi="Arial"/>
                <w:sz w:val="13"/>
                <w:szCs w:val="13"/>
                <w:color w:val="auto"/>
              </w:rPr>
              <w:t>Form of at-will Employment Agreement between the Registrant and most of its employees.</w:t>
            </w:r>
          </w:p>
        </w:tc>
        <w:tc>
          <w:tcPr>
            <w:tcW w:w="0" w:type="dxa"/>
            <w:vAlign w:val="bottom"/>
          </w:tcPr>
          <w:p>
            <w:pPr>
              <w:spacing w:after="0"/>
              <w:rPr>
                <w:sz w:val="1"/>
                <w:szCs w:val="1"/>
                <w:color w:val="auto"/>
              </w:rPr>
            </w:pPr>
          </w:p>
        </w:tc>
      </w:tr>
      <w:tr>
        <w:trPr>
          <w:trHeight w:val="157"/>
        </w:trPr>
        <w:tc>
          <w:tcPr>
            <w:tcW w:w="2080" w:type="dxa"/>
            <w:vAlign w:val="bottom"/>
          </w:tcPr>
          <w:p>
            <w:pPr>
              <w:ind w:left="1280"/>
              <w:spacing w:after="0"/>
              <w:rPr>
                <w:sz w:val="20"/>
                <w:szCs w:val="20"/>
                <w:color w:val="auto"/>
              </w:rPr>
            </w:pPr>
            <w:r>
              <w:rPr>
                <w:rFonts w:ascii="Arial" w:cs="Arial" w:eastAsia="Arial" w:hAnsi="Arial"/>
                <w:sz w:val="13"/>
                <w:szCs w:val="13"/>
                <w:color w:val="auto"/>
              </w:rPr>
              <w:t>10.3*</w:t>
            </w:r>
          </w:p>
        </w:tc>
        <w:tc>
          <w:tcPr>
            <w:tcW w:w="9380" w:type="dxa"/>
            <w:vAlign w:val="bottom"/>
            <w:gridSpan w:val="3"/>
          </w:tcPr>
          <w:p>
            <w:pPr>
              <w:ind w:left="120"/>
              <w:spacing w:after="0"/>
              <w:rPr>
                <w:sz w:val="20"/>
                <w:szCs w:val="20"/>
                <w:color w:val="auto"/>
              </w:rPr>
            </w:pPr>
            <w:r>
              <w:rPr>
                <w:rFonts w:ascii="Arial" w:cs="Arial" w:eastAsia="Arial" w:hAnsi="Arial"/>
                <w:sz w:val="13"/>
                <w:szCs w:val="13"/>
                <w:color w:val="auto"/>
              </w:rPr>
              <w:t>Form of Agreement for Consulting Services between the Registrant and members of its Scientific Advisory Board.</w:t>
            </w:r>
          </w:p>
        </w:tc>
        <w:tc>
          <w:tcPr>
            <w:tcW w:w="0" w:type="dxa"/>
            <w:vAlign w:val="bottom"/>
          </w:tcPr>
          <w:p>
            <w:pPr>
              <w:spacing w:after="0"/>
              <w:rPr>
                <w:sz w:val="1"/>
                <w:szCs w:val="1"/>
                <w:color w:val="auto"/>
              </w:rPr>
            </w:pPr>
          </w:p>
        </w:tc>
      </w:tr>
      <w:tr>
        <w:trPr>
          <w:trHeight w:val="157"/>
        </w:trPr>
        <w:tc>
          <w:tcPr>
            <w:tcW w:w="2080" w:type="dxa"/>
            <w:vAlign w:val="bottom"/>
          </w:tcPr>
          <w:p>
            <w:pPr>
              <w:ind w:left="1280"/>
              <w:spacing w:after="0"/>
              <w:rPr>
                <w:sz w:val="20"/>
                <w:szCs w:val="20"/>
                <w:color w:val="auto"/>
              </w:rPr>
            </w:pPr>
            <w:r>
              <w:rPr>
                <w:rFonts w:ascii="Arial" w:cs="Arial" w:eastAsia="Arial" w:hAnsi="Arial"/>
                <w:sz w:val="13"/>
                <w:szCs w:val="13"/>
                <w:color w:val="auto"/>
              </w:rPr>
              <w:t>10.4*</w:t>
            </w:r>
          </w:p>
        </w:tc>
        <w:tc>
          <w:tcPr>
            <w:tcW w:w="9380" w:type="dxa"/>
            <w:vAlign w:val="bottom"/>
            <w:gridSpan w:val="3"/>
          </w:tcPr>
          <w:p>
            <w:pPr>
              <w:ind w:left="120"/>
              <w:spacing w:after="0"/>
              <w:rPr>
                <w:sz w:val="20"/>
                <w:szCs w:val="20"/>
                <w:color w:val="auto"/>
              </w:rPr>
            </w:pPr>
            <w:r>
              <w:rPr>
                <w:rFonts w:ascii="Arial" w:cs="Arial" w:eastAsia="Arial" w:hAnsi="Arial"/>
                <w:sz w:val="13"/>
                <w:szCs w:val="13"/>
                <w:color w:val="auto"/>
              </w:rPr>
              <w:t>Form of Nondisclosure Agreement between the Registrant and its Contractors.</w:t>
            </w:r>
          </w:p>
        </w:tc>
        <w:tc>
          <w:tcPr>
            <w:tcW w:w="0" w:type="dxa"/>
            <w:vAlign w:val="bottom"/>
          </w:tcPr>
          <w:p>
            <w:pPr>
              <w:spacing w:after="0"/>
              <w:rPr>
                <w:sz w:val="1"/>
                <w:szCs w:val="1"/>
                <w:color w:val="auto"/>
              </w:rPr>
            </w:pPr>
          </w:p>
        </w:tc>
      </w:tr>
      <w:tr>
        <w:trPr>
          <w:trHeight w:val="157"/>
        </w:trPr>
        <w:tc>
          <w:tcPr>
            <w:tcW w:w="2080" w:type="dxa"/>
            <w:vAlign w:val="bottom"/>
          </w:tcPr>
          <w:p>
            <w:pPr>
              <w:ind w:left="1280"/>
              <w:spacing w:after="0"/>
              <w:rPr>
                <w:sz w:val="20"/>
                <w:szCs w:val="20"/>
                <w:color w:val="auto"/>
              </w:rPr>
            </w:pPr>
            <w:r>
              <w:rPr>
                <w:rFonts w:ascii="Arial" w:cs="Arial" w:eastAsia="Arial" w:hAnsi="Arial"/>
                <w:sz w:val="13"/>
                <w:szCs w:val="13"/>
                <w:color w:val="auto"/>
              </w:rPr>
              <w:t>10.5*</w:t>
            </w:r>
          </w:p>
        </w:tc>
        <w:tc>
          <w:tcPr>
            <w:tcW w:w="9380" w:type="dxa"/>
            <w:vAlign w:val="bottom"/>
            <w:gridSpan w:val="3"/>
          </w:tcPr>
          <w:p>
            <w:pPr>
              <w:ind w:left="120"/>
              <w:spacing w:after="0"/>
              <w:rPr>
                <w:sz w:val="20"/>
                <w:szCs w:val="20"/>
                <w:color w:val="auto"/>
              </w:rPr>
            </w:pPr>
            <w:r>
              <w:rPr>
                <w:rFonts w:ascii="Arial" w:cs="Arial" w:eastAsia="Arial" w:hAnsi="Arial"/>
                <w:sz w:val="13"/>
                <w:szCs w:val="13"/>
                <w:color w:val="auto"/>
              </w:rPr>
              <w:t>1988 Stock Option Plan.</w:t>
            </w:r>
          </w:p>
        </w:tc>
        <w:tc>
          <w:tcPr>
            <w:tcW w:w="0" w:type="dxa"/>
            <w:vAlign w:val="bottom"/>
          </w:tcPr>
          <w:p>
            <w:pPr>
              <w:spacing w:after="0"/>
              <w:rPr>
                <w:sz w:val="1"/>
                <w:szCs w:val="1"/>
                <w:color w:val="auto"/>
              </w:rPr>
            </w:pPr>
          </w:p>
        </w:tc>
      </w:tr>
      <w:tr>
        <w:trPr>
          <w:trHeight w:val="157"/>
        </w:trPr>
        <w:tc>
          <w:tcPr>
            <w:tcW w:w="2080" w:type="dxa"/>
            <w:vAlign w:val="bottom"/>
          </w:tcPr>
          <w:p>
            <w:pPr>
              <w:ind w:left="1280"/>
              <w:spacing w:after="0"/>
              <w:rPr>
                <w:sz w:val="20"/>
                <w:szCs w:val="20"/>
                <w:color w:val="auto"/>
              </w:rPr>
            </w:pPr>
            <w:r>
              <w:rPr>
                <w:rFonts w:ascii="Arial" w:cs="Arial" w:eastAsia="Arial" w:hAnsi="Arial"/>
                <w:sz w:val="13"/>
                <w:szCs w:val="13"/>
                <w:color w:val="auto"/>
              </w:rPr>
              <w:t>10.6*</w:t>
            </w:r>
          </w:p>
        </w:tc>
        <w:tc>
          <w:tcPr>
            <w:tcW w:w="9380" w:type="dxa"/>
            <w:vAlign w:val="bottom"/>
            <w:gridSpan w:val="3"/>
          </w:tcPr>
          <w:p>
            <w:pPr>
              <w:ind w:left="120"/>
              <w:spacing w:after="0"/>
              <w:rPr>
                <w:sz w:val="20"/>
                <w:szCs w:val="20"/>
                <w:color w:val="auto"/>
              </w:rPr>
            </w:pPr>
            <w:r>
              <w:rPr>
                <w:rFonts w:ascii="Arial" w:cs="Arial" w:eastAsia="Arial" w:hAnsi="Arial"/>
                <w:sz w:val="13"/>
                <w:szCs w:val="13"/>
                <w:color w:val="auto"/>
              </w:rPr>
              <w:t>1992 Equity Incentive Plan.</w:t>
            </w:r>
          </w:p>
        </w:tc>
        <w:tc>
          <w:tcPr>
            <w:tcW w:w="0" w:type="dxa"/>
            <w:vAlign w:val="bottom"/>
          </w:tcPr>
          <w:p>
            <w:pPr>
              <w:spacing w:after="0"/>
              <w:rPr>
                <w:sz w:val="1"/>
                <w:szCs w:val="1"/>
                <w:color w:val="auto"/>
              </w:rPr>
            </w:pPr>
          </w:p>
        </w:tc>
      </w:tr>
      <w:tr>
        <w:trPr>
          <w:trHeight w:val="157"/>
        </w:trPr>
        <w:tc>
          <w:tcPr>
            <w:tcW w:w="2080" w:type="dxa"/>
            <w:vAlign w:val="bottom"/>
          </w:tcPr>
          <w:p>
            <w:pPr>
              <w:ind w:left="1280"/>
              <w:spacing w:after="0"/>
              <w:rPr>
                <w:sz w:val="20"/>
                <w:szCs w:val="20"/>
                <w:color w:val="auto"/>
              </w:rPr>
            </w:pPr>
            <w:r>
              <w:rPr>
                <w:rFonts w:ascii="Arial" w:cs="Arial" w:eastAsia="Arial" w:hAnsi="Arial"/>
                <w:sz w:val="13"/>
                <w:szCs w:val="13"/>
                <w:color w:val="auto"/>
              </w:rPr>
              <w:t>10.7*</w:t>
            </w:r>
          </w:p>
        </w:tc>
        <w:tc>
          <w:tcPr>
            <w:tcW w:w="9380" w:type="dxa"/>
            <w:vAlign w:val="bottom"/>
            <w:gridSpan w:val="3"/>
          </w:tcPr>
          <w:p>
            <w:pPr>
              <w:ind w:left="120"/>
              <w:spacing w:after="0"/>
              <w:rPr>
                <w:sz w:val="20"/>
                <w:szCs w:val="20"/>
                <w:color w:val="auto"/>
              </w:rPr>
            </w:pPr>
            <w:r>
              <w:rPr>
                <w:rFonts w:ascii="Arial" w:cs="Arial" w:eastAsia="Arial" w:hAnsi="Arial"/>
                <w:sz w:val="13"/>
                <w:szCs w:val="13"/>
                <w:color w:val="auto"/>
              </w:rPr>
              <w:t>1992 Stock Option Plan for Non-Employee Directors.</w:t>
            </w:r>
          </w:p>
        </w:tc>
        <w:tc>
          <w:tcPr>
            <w:tcW w:w="0" w:type="dxa"/>
            <w:vAlign w:val="bottom"/>
          </w:tcPr>
          <w:p>
            <w:pPr>
              <w:spacing w:after="0"/>
              <w:rPr>
                <w:sz w:val="1"/>
                <w:szCs w:val="1"/>
                <w:color w:val="auto"/>
              </w:rPr>
            </w:pPr>
          </w:p>
        </w:tc>
      </w:tr>
      <w:tr>
        <w:trPr>
          <w:trHeight w:val="157"/>
        </w:trPr>
        <w:tc>
          <w:tcPr>
            <w:tcW w:w="2080" w:type="dxa"/>
            <w:vAlign w:val="bottom"/>
          </w:tcPr>
          <w:p>
            <w:pPr>
              <w:ind w:left="1280"/>
              <w:spacing w:after="0"/>
              <w:rPr>
                <w:sz w:val="20"/>
                <w:szCs w:val="20"/>
                <w:color w:val="auto"/>
              </w:rPr>
            </w:pPr>
            <w:r>
              <w:rPr>
                <w:rFonts w:ascii="Arial" w:cs="Arial" w:eastAsia="Arial" w:hAnsi="Arial"/>
                <w:sz w:val="13"/>
                <w:szCs w:val="13"/>
                <w:color w:val="auto"/>
              </w:rPr>
              <w:t>10.8**!!!!</w:t>
            </w:r>
          </w:p>
        </w:tc>
        <w:tc>
          <w:tcPr>
            <w:tcW w:w="9380" w:type="dxa"/>
            <w:vAlign w:val="bottom"/>
            <w:gridSpan w:val="3"/>
          </w:tcPr>
          <w:p>
            <w:pPr>
              <w:ind w:left="120"/>
              <w:spacing w:after="0"/>
              <w:rPr>
                <w:sz w:val="20"/>
                <w:szCs w:val="20"/>
                <w:color w:val="auto"/>
              </w:rPr>
            </w:pPr>
            <w:r>
              <w:rPr>
                <w:rFonts w:ascii="Arial" w:cs="Arial" w:eastAsia="Arial" w:hAnsi="Arial"/>
                <w:sz w:val="13"/>
                <w:szCs w:val="13"/>
                <w:color w:val="auto"/>
              </w:rPr>
              <w:t>1992 Employee Stock Purchase Plan.</w:t>
            </w:r>
          </w:p>
        </w:tc>
        <w:tc>
          <w:tcPr>
            <w:tcW w:w="0" w:type="dxa"/>
            <w:vAlign w:val="bottom"/>
          </w:tcPr>
          <w:p>
            <w:pPr>
              <w:spacing w:after="0"/>
              <w:rPr>
                <w:sz w:val="1"/>
                <w:szCs w:val="1"/>
                <w:color w:val="auto"/>
              </w:rPr>
            </w:pPr>
          </w:p>
        </w:tc>
      </w:tr>
      <w:tr>
        <w:trPr>
          <w:trHeight w:val="157"/>
        </w:trPr>
        <w:tc>
          <w:tcPr>
            <w:tcW w:w="2080" w:type="dxa"/>
            <w:vAlign w:val="bottom"/>
          </w:tcPr>
          <w:p>
            <w:pPr>
              <w:ind w:left="1280"/>
              <w:spacing w:after="0"/>
              <w:rPr>
                <w:sz w:val="20"/>
                <w:szCs w:val="20"/>
                <w:color w:val="auto"/>
              </w:rPr>
            </w:pPr>
            <w:r>
              <w:rPr>
                <w:rFonts w:ascii="Arial" w:cs="Arial" w:eastAsia="Arial" w:hAnsi="Arial"/>
                <w:sz w:val="13"/>
                <w:szCs w:val="13"/>
                <w:color w:val="auto"/>
              </w:rPr>
              <w:t>10.9++</w:t>
            </w:r>
          </w:p>
        </w:tc>
        <w:tc>
          <w:tcPr>
            <w:tcW w:w="9380" w:type="dxa"/>
            <w:vAlign w:val="bottom"/>
            <w:gridSpan w:val="3"/>
          </w:tcPr>
          <w:p>
            <w:pPr>
              <w:ind w:left="120"/>
              <w:spacing w:after="0"/>
              <w:rPr>
                <w:sz w:val="20"/>
                <w:szCs w:val="20"/>
                <w:color w:val="auto"/>
              </w:rPr>
            </w:pPr>
            <w:r>
              <w:rPr>
                <w:rFonts w:ascii="Arial" w:cs="Arial" w:eastAsia="Arial" w:hAnsi="Arial"/>
                <w:sz w:val="13"/>
                <w:szCs w:val="13"/>
                <w:color w:val="auto"/>
              </w:rPr>
              <w:t>Research Agreement dated as of March 16, 1994 between NeuroSpheres, Ltd. and Registrant.</w:t>
            </w:r>
          </w:p>
        </w:tc>
        <w:tc>
          <w:tcPr>
            <w:tcW w:w="0" w:type="dxa"/>
            <w:vAlign w:val="bottom"/>
          </w:tcPr>
          <w:p>
            <w:pPr>
              <w:spacing w:after="0"/>
              <w:rPr>
                <w:sz w:val="1"/>
                <w:szCs w:val="1"/>
                <w:color w:val="auto"/>
              </w:rPr>
            </w:pPr>
          </w:p>
        </w:tc>
      </w:tr>
      <w:tr>
        <w:trPr>
          <w:trHeight w:val="157"/>
        </w:trPr>
        <w:tc>
          <w:tcPr>
            <w:tcW w:w="2080" w:type="dxa"/>
            <w:vAlign w:val="bottom"/>
          </w:tcPr>
          <w:p>
            <w:pPr>
              <w:ind w:left="1280"/>
              <w:spacing w:after="0"/>
              <w:rPr>
                <w:sz w:val="20"/>
                <w:szCs w:val="20"/>
                <w:color w:val="auto"/>
              </w:rPr>
            </w:pPr>
            <w:r>
              <w:rPr>
                <w:rFonts w:ascii="Arial" w:cs="Arial" w:eastAsia="Arial" w:hAnsi="Arial"/>
                <w:sz w:val="13"/>
                <w:szCs w:val="13"/>
                <w:color w:val="auto"/>
              </w:rPr>
              <w:t>10.10++</w:t>
            </w:r>
          </w:p>
        </w:tc>
        <w:tc>
          <w:tcPr>
            <w:tcW w:w="9380" w:type="dxa"/>
            <w:vAlign w:val="bottom"/>
            <w:gridSpan w:val="3"/>
          </w:tcPr>
          <w:p>
            <w:pPr>
              <w:ind w:left="120"/>
              <w:spacing w:after="0"/>
              <w:rPr>
                <w:sz w:val="20"/>
                <w:szCs w:val="20"/>
                <w:color w:val="auto"/>
              </w:rPr>
            </w:pPr>
            <w:r>
              <w:rPr>
                <w:rFonts w:ascii="Arial" w:cs="Arial" w:eastAsia="Arial" w:hAnsi="Arial"/>
                <w:sz w:val="13"/>
                <w:szCs w:val="13"/>
                <w:color w:val="auto"/>
              </w:rPr>
              <w:t>Lease Agreement between the Registrant and Rhode Island Industrial Facilities Corporation, dated as of August 1, 1992.</w:t>
            </w:r>
          </w:p>
        </w:tc>
        <w:tc>
          <w:tcPr>
            <w:tcW w:w="0" w:type="dxa"/>
            <w:vAlign w:val="bottom"/>
          </w:tcPr>
          <w:p>
            <w:pPr>
              <w:spacing w:after="0"/>
              <w:rPr>
                <w:sz w:val="1"/>
                <w:szCs w:val="1"/>
                <w:color w:val="auto"/>
              </w:rPr>
            </w:pPr>
          </w:p>
        </w:tc>
      </w:tr>
      <w:tr>
        <w:trPr>
          <w:trHeight w:val="157"/>
        </w:trPr>
        <w:tc>
          <w:tcPr>
            <w:tcW w:w="2080" w:type="dxa"/>
            <w:vAlign w:val="bottom"/>
          </w:tcPr>
          <w:p>
            <w:pPr>
              <w:ind w:left="1280"/>
              <w:spacing w:after="0"/>
              <w:rPr>
                <w:sz w:val="20"/>
                <w:szCs w:val="20"/>
                <w:color w:val="auto"/>
              </w:rPr>
            </w:pPr>
            <w:r>
              <w:rPr>
                <w:rFonts w:ascii="Arial" w:cs="Arial" w:eastAsia="Arial" w:hAnsi="Arial"/>
                <w:sz w:val="13"/>
                <w:szCs w:val="13"/>
                <w:color w:val="auto"/>
              </w:rPr>
              <w:t>10.11++</w:t>
            </w:r>
          </w:p>
        </w:tc>
        <w:tc>
          <w:tcPr>
            <w:tcW w:w="9380" w:type="dxa"/>
            <w:vAlign w:val="bottom"/>
            <w:gridSpan w:val="3"/>
          </w:tcPr>
          <w:p>
            <w:pPr>
              <w:ind w:left="120"/>
              <w:spacing w:after="0"/>
              <w:rPr>
                <w:sz w:val="20"/>
                <w:szCs w:val="20"/>
                <w:color w:val="auto"/>
              </w:rPr>
            </w:pPr>
            <w:r>
              <w:rPr>
                <w:rFonts w:ascii="Arial" w:cs="Arial" w:eastAsia="Arial" w:hAnsi="Arial"/>
                <w:sz w:val="13"/>
                <w:szCs w:val="13"/>
                <w:color w:val="auto"/>
              </w:rPr>
              <w:t>First Amendment to Lease Agreement between Registrant and The Rhode Island Industrial Facilities Corporation dated as of September 15, 1994.</w:t>
            </w:r>
          </w:p>
        </w:tc>
        <w:tc>
          <w:tcPr>
            <w:tcW w:w="0" w:type="dxa"/>
            <w:vAlign w:val="bottom"/>
          </w:tcPr>
          <w:p>
            <w:pPr>
              <w:spacing w:after="0"/>
              <w:rPr>
                <w:sz w:val="1"/>
                <w:szCs w:val="1"/>
                <w:color w:val="auto"/>
              </w:rPr>
            </w:pPr>
          </w:p>
        </w:tc>
      </w:tr>
      <w:tr>
        <w:trPr>
          <w:trHeight w:val="157"/>
        </w:trPr>
        <w:tc>
          <w:tcPr>
            <w:tcW w:w="2080" w:type="dxa"/>
            <w:vAlign w:val="bottom"/>
          </w:tcPr>
          <w:p>
            <w:pPr>
              <w:ind w:left="1280"/>
              <w:spacing w:after="0"/>
              <w:rPr>
                <w:sz w:val="20"/>
                <w:szCs w:val="20"/>
                <w:color w:val="auto"/>
              </w:rPr>
            </w:pPr>
            <w:r>
              <w:rPr>
                <w:rFonts w:ascii="Arial" w:cs="Arial" w:eastAsia="Arial" w:hAnsi="Arial"/>
                <w:sz w:val="13"/>
                <w:szCs w:val="13"/>
                <w:color w:val="auto"/>
              </w:rPr>
              <w:t>10.12+++</w:t>
            </w:r>
          </w:p>
        </w:tc>
        <w:tc>
          <w:tcPr>
            <w:tcW w:w="9380" w:type="dxa"/>
            <w:vAlign w:val="bottom"/>
            <w:gridSpan w:val="3"/>
          </w:tcPr>
          <w:p>
            <w:pPr>
              <w:ind w:left="120"/>
              <w:spacing w:after="0"/>
              <w:rPr>
                <w:sz w:val="20"/>
                <w:szCs w:val="20"/>
                <w:color w:val="auto"/>
              </w:rPr>
            </w:pPr>
            <w:r>
              <w:rPr>
                <w:rFonts w:ascii="Arial" w:cs="Arial" w:eastAsia="Arial" w:hAnsi="Arial"/>
                <w:sz w:val="13"/>
                <w:szCs w:val="13"/>
                <w:color w:val="auto"/>
              </w:rPr>
              <w:t>Form of Common Stock Purchase Agreement to be executed among the Registrant and certain purchasers of the Registrant’s Common Stock.</w:t>
            </w:r>
          </w:p>
        </w:tc>
        <w:tc>
          <w:tcPr>
            <w:tcW w:w="0" w:type="dxa"/>
            <w:vAlign w:val="bottom"/>
          </w:tcPr>
          <w:p>
            <w:pPr>
              <w:spacing w:after="0"/>
              <w:rPr>
                <w:sz w:val="1"/>
                <w:szCs w:val="1"/>
                <w:color w:val="auto"/>
              </w:rPr>
            </w:pPr>
          </w:p>
        </w:tc>
      </w:tr>
      <w:tr>
        <w:trPr>
          <w:trHeight w:val="157"/>
        </w:trPr>
        <w:tc>
          <w:tcPr>
            <w:tcW w:w="2080" w:type="dxa"/>
            <w:vAlign w:val="bottom"/>
          </w:tcPr>
          <w:p>
            <w:pPr>
              <w:ind w:left="1280"/>
              <w:spacing w:after="0"/>
              <w:rPr>
                <w:sz w:val="20"/>
                <w:szCs w:val="20"/>
                <w:color w:val="auto"/>
              </w:rPr>
            </w:pPr>
            <w:r>
              <w:rPr>
                <w:rFonts w:ascii="Arial" w:cs="Arial" w:eastAsia="Arial" w:hAnsi="Arial"/>
                <w:sz w:val="13"/>
                <w:szCs w:val="13"/>
                <w:color w:val="auto"/>
              </w:rPr>
              <w:t>10.13###</w:t>
            </w:r>
          </w:p>
        </w:tc>
        <w:tc>
          <w:tcPr>
            <w:tcW w:w="9380" w:type="dxa"/>
            <w:vAlign w:val="bottom"/>
            <w:gridSpan w:val="3"/>
          </w:tcPr>
          <w:p>
            <w:pPr>
              <w:ind w:left="120"/>
              <w:spacing w:after="0"/>
              <w:rPr>
                <w:sz w:val="20"/>
                <w:szCs w:val="20"/>
                <w:color w:val="auto"/>
              </w:rPr>
            </w:pPr>
            <w:r>
              <w:rPr>
                <w:rFonts w:ascii="Arial" w:cs="Arial" w:eastAsia="Arial" w:hAnsi="Arial"/>
                <w:sz w:val="13"/>
                <w:szCs w:val="13"/>
                <w:color w:val="auto"/>
              </w:rPr>
              <w:t>Lease Agreement dated as of November 21, 1997 by and between Hub RI Properties Trust, as Landlord, and CytoTherapeutics, Inc., as Tenant.</w:t>
            </w:r>
          </w:p>
        </w:tc>
        <w:tc>
          <w:tcPr>
            <w:tcW w:w="0" w:type="dxa"/>
            <w:vAlign w:val="bottom"/>
          </w:tcPr>
          <w:p>
            <w:pPr>
              <w:spacing w:after="0"/>
              <w:rPr>
                <w:sz w:val="1"/>
                <w:szCs w:val="1"/>
                <w:color w:val="auto"/>
              </w:rPr>
            </w:pPr>
          </w:p>
        </w:tc>
      </w:tr>
      <w:tr>
        <w:trPr>
          <w:trHeight w:val="157"/>
        </w:trPr>
        <w:tc>
          <w:tcPr>
            <w:tcW w:w="2080" w:type="dxa"/>
            <w:vAlign w:val="bottom"/>
          </w:tcPr>
          <w:p>
            <w:pPr>
              <w:ind w:left="1280"/>
              <w:spacing w:after="0"/>
              <w:rPr>
                <w:sz w:val="20"/>
                <w:szCs w:val="20"/>
                <w:color w:val="auto"/>
              </w:rPr>
            </w:pPr>
            <w:r>
              <w:rPr>
                <w:rFonts w:ascii="Arial" w:cs="Arial" w:eastAsia="Arial" w:hAnsi="Arial"/>
                <w:sz w:val="13"/>
                <w:szCs w:val="13"/>
                <w:color w:val="auto"/>
              </w:rPr>
              <w:t>10.14!!</w:t>
            </w:r>
          </w:p>
        </w:tc>
        <w:tc>
          <w:tcPr>
            <w:tcW w:w="9380" w:type="dxa"/>
            <w:vAlign w:val="bottom"/>
            <w:gridSpan w:val="3"/>
          </w:tcPr>
          <w:p>
            <w:pPr>
              <w:ind w:left="120"/>
              <w:spacing w:after="0"/>
              <w:rPr>
                <w:sz w:val="20"/>
                <w:szCs w:val="20"/>
                <w:color w:val="auto"/>
              </w:rPr>
            </w:pPr>
            <w:r>
              <w:rPr>
                <w:rFonts w:ascii="Arial" w:cs="Arial" w:eastAsia="Arial" w:hAnsi="Arial"/>
                <w:sz w:val="13"/>
                <w:szCs w:val="13"/>
                <w:color w:val="auto"/>
              </w:rPr>
              <w:t>CTI individual stockholders option agreement dated as of July 10, 1996 among the Company and the individuals listed therein.</w:t>
            </w:r>
          </w:p>
        </w:tc>
        <w:tc>
          <w:tcPr>
            <w:tcW w:w="0" w:type="dxa"/>
            <w:vAlign w:val="bottom"/>
          </w:tcPr>
          <w:p>
            <w:pPr>
              <w:spacing w:after="0"/>
              <w:rPr>
                <w:sz w:val="1"/>
                <w:szCs w:val="1"/>
                <w:color w:val="auto"/>
              </w:rPr>
            </w:pPr>
          </w:p>
        </w:tc>
      </w:tr>
      <w:tr>
        <w:trPr>
          <w:trHeight w:val="157"/>
        </w:trPr>
        <w:tc>
          <w:tcPr>
            <w:tcW w:w="2080" w:type="dxa"/>
            <w:vAlign w:val="bottom"/>
          </w:tcPr>
          <w:p>
            <w:pPr>
              <w:ind w:left="1280"/>
              <w:spacing w:after="0"/>
              <w:rPr>
                <w:sz w:val="20"/>
                <w:szCs w:val="20"/>
                <w:color w:val="auto"/>
              </w:rPr>
            </w:pPr>
            <w:r>
              <w:rPr>
                <w:rFonts w:ascii="Arial" w:cs="Arial" w:eastAsia="Arial" w:hAnsi="Arial"/>
                <w:sz w:val="13"/>
                <w:szCs w:val="13"/>
                <w:color w:val="auto"/>
              </w:rPr>
              <w:t>10.15***</w:t>
            </w:r>
          </w:p>
        </w:tc>
        <w:tc>
          <w:tcPr>
            <w:tcW w:w="9380" w:type="dxa"/>
            <w:vAlign w:val="bottom"/>
            <w:gridSpan w:val="3"/>
          </w:tcPr>
          <w:p>
            <w:pPr>
              <w:ind w:left="120"/>
              <w:spacing w:after="0"/>
              <w:rPr>
                <w:sz w:val="20"/>
                <w:szCs w:val="20"/>
                <w:color w:val="auto"/>
              </w:rPr>
            </w:pPr>
            <w:r>
              <w:rPr>
                <w:rFonts w:ascii="Arial" w:cs="Arial" w:eastAsia="Arial" w:hAnsi="Arial"/>
                <w:sz w:val="13"/>
                <w:szCs w:val="13"/>
                <w:color w:val="auto"/>
              </w:rPr>
              <w:t>Agreement and Plan of Merger dated as of August 13, 1997 among StemCells, Inc., the Registrant and CTI Acquisition Corp.</w:t>
            </w:r>
          </w:p>
        </w:tc>
        <w:tc>
          <w:tcPr>
            <w:tcW w:w="0" w:type="dxa"/>
            <w:vAlign w:val="bottom"/>
          </w:tcPr>
          <w:p>
            <w:pPr>
              <w:spacing w:after="0"/>
              <w:rPr>
                <w:sz w:val="1"/>
                <w:szCs w:val="1"/>
                <w:color w:val="auto"/>
              </w:rPr>
            </w:pPr>
          </w:p>
        </w:tc>
      </w:tr>
      <w:tr>
        <w:trPr>
          <w:trHeight w:val="157"/>
        </w:trPr>
        <w:tc>
          <w:tcPr>
            <w:tcW w:w="2080" w:type="dxa"/>
            <w:vAlign w:val="bottom"/>
          </w:tcPr>
          <w:p>
            <w:pPr>
              <w:ind w:left="1280"/>
              <w:spacing w:after="0"/>
              <w:rPr>
                <w:sz w:val="20"/>
                <w:szCs w:val="20"/>
                <w:color w:val="auto"/>
              </w:rPr>
            </w:pPr>
            <w:r>
              <w:rPr>
                <w:rFonts w:ascii="Arial" w:cs="Arial" w:eastAsia="Arial" w:hAnsi="Arial"/>
                <w:sz w:val="13"/>
                <w:szCs w:val="13"/>
                <w:color w:val="auto"/>
              </w:rPr>
              <w:t>10.16***</w:t>
            </w:r>
          </w:p>
        </w:tc>
        <w:tc>
          <w:tcPr>
            <w:tcW w:w="9380" w:type="dxa"/>
            <w:vAlign w:val="bottom"/>
            <w:gridSpan w:val="3"/>
          </w:tcPr>
          <w:p>
            <w:pPr>
              <w:ind w:left="120"/>
              <w:spacing w:after="0"/>
              <w:rPr>
                <w:sz w:val="20"/>
                <w:szCs w:val="20"/>
                <w:color w:val="auto"/>
              </w:rPr>
            </w:pPr>
            <w:r>
              <w:rPr>
                <w:rFonts w:ascii="Arial" w:cs="Arial" w:eastAsia="Arial" w:hAnsi="Arial"/>
                <w:sz w:val="13"/>
                <w:szCs w:val="13"/>
                <w:color w:val="auto"/>
              </w:rPr>
              <w:t>Consulting Agreement dated as of September 25, 1997 between Dr. Irving Weissman and the Registrant.</w:t>
            </w:r>
          </w:p>
        </w:tc>
        <w:tc>
          <w:tcPr>
            <w:tcW w:w="0" w:type="dxa"/>
            <w:vAlign w:val="bottom"/>
          </w:tcPr>
          <w:p>
            <w:pPr>
              <w:spacing w:after="0"/>
              <w:rPr>
                <w:sz w:val="1"/>
                <w:szCs w:val="1"/>
                <w:color w:val="auto"/>
              </w:rPr>
            </w:pPr>
          </w:p>
        </w:tc>
      </w:tr>
      <w:tr>
        <w:trPr>
          <w:trHeight w:val="157"/>
        </w:trPr>
        <w:tc>
          <w:tcPr>
            <w:tcW w:w="2080" w:type="dxa"/>
            <w:vAlign w:val="bottom"/>
          </w:tcPr>
          <w:p>
            <w:pPr>
              <w:ind w:left="1280"/>
              <w:spacing w:after="0"/>
              <w:rPr>
                <w:sz w:val="20"/>
                <w:szCs w:val="20"/>
                <w:color w:val="auto"/>
              </w:rPr>
            </w:pPr>
            <w:r>
              <w:rPr>
                <w:rFonts w:ascii="Arial" w:cs="Arial" w:eastAsia="Arial" w:hAnsi="Arial"/>
                <w:sz w:val="13"/>
                <w:szCs w:val="13"/>
                <w:color w:val="auto"/>
              </w:rPr>
              <w:t>10.17###</w:t>
            </w:r>
          </w:p>
        </w:tc>
        <w:tc>
          <w:tcPr>
            <w:tcW w:w="9380" w:type="dxa"/>
            <w:vAlign w:val="bottom"/>
            <w:gridSpan w:val="3"/>
          </w:tcPr>
          <w:p>
            <w:pPr>
              <w:ind w:left="120"/>
              <w:spacing w:after="0"/>
              <w:rPr>
                <w:sz w:val="20"/>
                <w:szCs w:val="20"/>
                <w:color w:val="auto"/>
              </w:rPr>
            </w:pPr>
            <w:r>
              <w:rPr>
                <w:rFonts w:ascii="Arial" w:cs="Arial" w:eastAsia="Arial" w:hAnsi="Arial"/>
                <w:sz w:val="13"/>
                <w:szCs w:val="13"/>
                <w:color w:val="auto"/>
              </w:rPr>
              <w:t>Letter Agreement among each of Dr. Irving Weissman and Dr. Fred H. Gage and the Registrant.</w:t>
            </w:r>
          </w:p>
        </w:tc>
        <w:tc>
          <w:tcPr>
            <w:tcW w:w="0" w:type="dxa"/>
            <w:vAlign w:val="bottom"/>
          </w:tcPr>
          <w:p>
            <w:pPr>
              <w:spacing w:after="0"/>
              <w:rPr>
                <w:sz w:val="1"/>
                <w:szCs w:val="1"/>
                <w:color w:val="auto"/>
              </w:rPr>
            </w:pPr>
          </w:p>
        </w:tc>
      </w:tr>
      <w:tr>
        <w:trPr>
          <w:trHeight w:val="157"/>
        </w:trPr>
        <w:tc>
          <w:tcPr>
            <w:tcW w:w="2080" w:type="dxa"/>
            <w:vAlign w:val="bottom"/>
          </w:tcPr>
          <w:p>
            <w:pPr>
              <w:ind w:left="1280"/>
              <w:spacing w:after="0"/>
              <w:rPr>
                <w:sz w:val="20"/>
                <w:szCs w:val="20"/>
                <w:color w:val="auto"/>
              </w:rPr>
            </w:pPr>
            <w:r>
              <w:rPr>
                <w:rFonts w:ascii="Arial" w:cs="Arial" w:eastAsia="Arial" w:hAnsi="Arial"/>
                <w:sz w:val="13"/>
                <w:szCs w:val="13"/>
                <w:color w:val="auto"/>
              </w:rPr>
              <w:t>10.18****</w:t>
            </w:r>
          </w:p>
        </w:tc>
        <w:tc>
          <w:tcPr>
            <w:tcW w:w="9380" w:type="dxa"/>
            <w:vAlign w:val="bottom"/>
            <w:gridSpan w:val="3"/>
          </w:tcPr>
          <w:p>
            <w:pPr>
              <w:ind w:left="120"/>
              <w:spacing w:after="0"/>
              <w:rPr>
                <w:sz w:val="20"/>
                <w:szCs w:val="20"/>
                <w:color w:val="auto"/>
              </w:rPr>
            </w:pPr>
            <w:r>
              <w:rPr>
                <w:rFonts w:ascii="Arial" w:cs="Arial" w:eastAsia="Arial" w:hAnsi="Arial"/>
                <w:sz w:val="13"/>
                <w:szCs w:val="13"/>
                <w:color w:val="auto"/>
              </w:rPr>
              <w:t>StemCells, Inc. 1996 Stock Option Plan.</w:t>
            </w:r>
          </w:p>
        </w:tc>
        <w:tc>
          <w:tcPr>
            <w:tcW w:w="0" w:type="dxa"/>
            <w:vAlign w:val="bottom"/>
          </w:tcPr>
          <w:p>
            <w:pPr>
              <w:spacing w:after="0"/>
              <w:rPr>
                <w:sz w:val="1"/>
                <w:szCs w:val="1"/>
                <w:color w:val="auto"/>
              </w:rPr>
            </w:pPr>
          </w:p>
        </w:tc>
      </w:tr>
      <w:tr>
        <w:trPr>
          <w:trHeight w:val="157"/>
        </w:trPr>
        <w:tc>
          <w:tcPr>
            <w:tcW w:w="2080" w:type="dxa"/>
            <w:vAlign w:val="bottom"/>
          </w:tcPr>
          <w:p>
            <w:pPr>
              <w:ind w:left="1280"/>
              <w:spacing w:after="0"/>
              <w:rPr>
                <w:sz w:val="20"/>
                <w:szCs w:val="20"/>
                <w:color w:val="auto"/>
              </w:rPr>
            </w:pPr>
            <w:r>
              <w:rPr>
                <w:rFonts w:ascii="Arial" w:cs="Arial" w:eastAsia="Arial" w:hAnsi="Arial"/>
                <w:sz w:val="13"/>
                <w:szCs w:val="13"/>
                <w:color w:val="auto"/>
              </w:rPr>
              <w:t>10.19****</w:t>
            </w:r>
          </w:p>
        </w:tc>
        <w:tc>
          <w:tcPr>
            <w:tcW w:w="9380" w:type="dxa"/>
            <w:vAlign w:val="bottom"/>
            <w:gridSpan w:val="3"/>
          </w:tcPr>
          <w:p>
            <w:pPr>
              <w:ind w:left="120"/>
              <w:spacing w:after="0"/>
              <w:rPr>
                <w:sz w:val="20"/>
                <w:szCs w:val="20"/>
                <w:color w:val="auto"/>
              </w:rPr>
            </w:pPr>
            <w:r>
              <w:rPr>
                <w:rFonts w:ascii="Arial" w:cs="Arial" w:eastAsia="Arial" w:hAnsi="Arial"/>
                <w:sz w:val="13"/>
                <w:szCs w:val="13"/>
                <w:color w:val="auto"/>
              </w:rPr>
              <w:t>1997 StemCells Research Stock Option Plan (the ‘1997 Plan”)</w:t>
            </w:r>
          </w:p>
        </w:tc>
        <w:tc>
          <w:tcPr>
            <w:tcW w:w="0" w:type="dxa"/>
            <w:vAlign w:val="bottom"/>
          </w:tcPr>
          <w:p>
            <w:pPr>
              <w:spacing w:after="0"/>
              <w:rPr>
                <w:sz w:val="1"/>
                <w:szCs w:val="1"/>
                <w:color w:val="auto"/>
              </w:rPr>
            </w:pPr>
          </w:p>
        </w:tc>
      </w:tr>
      <w:tr>
        <w:trPr>
          <w:trHeight w:val="165"/>
        </w:trPr>
        <w:tc>
          <w:tcPr>
            <w:tcW w:w="2080" w:type="dxa"/>
            <w:vAlign w:val="bottom"/>
          </w:tcPr>
          <w:p>
            <w:pPr>
              <w:ind w:left="1280"/>
              <w:spacing w:after="0"/>
              <w:rPr>
                <w:sz w:val="20"/>
                <w:szCs w:val="20"/>
                <w:color w:val="auto"/>
              </w:rPr>
            </w:pPr>
            <w:r>
              <w:rPr>
                <w:rFonts w:ascii="Arial" w:cs="Arial" w:eastAsia="Arial" w:hAnsi="Arial"/>
                <w:sz w:val="13"/>
                <w:szCs w:val="13"/>
                <w:color w:val="auto"/>
              </w:rPr>
              <w:t>10.20****</w:t>
            </w:r>
          </w:p>
        </w:tc>
        <w:tc>
          <w:tcPr>
            <w:tcW w:w="9380" w:type="dxa"/>
            <w:vAlign w:val="bottom"/>
            <w:gridSpan w:val="3"/>
          </w:tcPr>
          <w:p>
            <w:pPr>
              <w:ind w:left="120"/>
              <w:spacing w:after="0"/>
              <w:rPr>
                <w:sz w:val="20"/>
                <w:szCs w:val="20"/>
                <w:color w:val="auto"/>
              </w:rPr>
            </w:pPr>
            <w:r>
              <w:rPr>
                <w:rFonts w:ascii="Arial" w:cs="Arial" w:eastAsia="Arial" w:hAnsi="Arial"/>
                <w:sz w:val="13"/>
                <w:szCs w:val="13"/>
                <w:color w:val="auto"/>
              </w:rPr>
              <w:t>Form of Performance-Based Incentive Option Agreement issued under the 1997 Plan.</w:t>
            </w:r>
          </w:p>
        </w:tc>
        <w:tc>
          <w:tcPr>
            <w:tcW w:w="0" w:type="dxa"/>
            <w:vAlign w:val="bottom"/>
          </w:tcPr>
          <w:p>
            <w:pPr>
              <w:spacing w:after="0"/>
              <w:rPr>
                <w:sz w:val="1"/>
                <w:szCs w:val="1"/>
                <w:color w:val="auto"/>
              </w:rPr>
            </w:pPr>
          </w:p>
        </w:tc>
      </w:tr>
      <w:tr>
        <w:trPr>
          <w:trHeight w:val="163"/>
        </w:trPr>
        <w:tc>
          <w:tcPr>
            <w:tcW w:w="2080" w:type="dxa"/>
            <w:vAlign w:val="bottom"/>
            <w:tcBorders>
              <w:bottom w:val="single" w:sz="8" w:color="808080"/>
            </w:tcBorders>
          </w:tcPr>
          <w:p>
            <w:pPr>
              <w:spacing w:after="0"/>
              <w:rPr>
                <w:sz w:val="14"/>
                <w:szCs w:val="14"/>
                <w:color w:val="auto"/>
              </w:rPr>
            </w:pPr>
          </w:p>
        </w:tc>
        <w:tc>
          <w:tcPr>
            <w:tcW w:w="430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50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847725</wp:posOffset>
            </wp:positionH>
            <wp:positionV relativeFrom="paragraph">
              <wp:posOffset>-3741420</wp:posOffset>
            </wp:positionV>
            <wp:extent cx="6350" cy="635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77" w:name="page78"/>
    <w:bookmarkEnd w:id="77"/>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2100" w:type="dxa"/>
            <w:vAlign w:val="bottom"/>
          </w:tcPr>
          <w:p>
            <w:pPr>
              <w:ind w:left="1180"/>
              <w:spacing w:after="0"/>
              <w:rPr>
                <w:sz w:val="20"/>
                <w:szCs w:val="20"/>
                <w:color w:val="auto"/>
              </w:rPr>
            </w:pPr>
            <w:r>
              <w:rPr>
                <w:rFonts w:ascii="Arial" w:cs="Arial" w:eastAsia="Arial" w:hAnsi="Arial"/>
                <w:sz w:val="10"/>
                <w:szCs w:val="10"/>
                <w:b w:val="1"/>
                <w:bCs w:val="1"/>
                <w:color w:val="auto"/>
              </w:rPr>
              <w:t>Exhibit</w:t>
            </w:r>
          </w:p>
        </w:tc>
        <w:tc>
          <w:tcPr>
            <w:tcW w:w="4280" w:type="dxa"/>
            <w:vAlign w:val="bottom"/>
          </w:tcPr>
          <w:p>
            <w:pPr>
              <w:spacing w:after="0"/>
              <w:rPr>
                <w:sz w:val="10"/>
                <w:szCs w:val="10"/>
                <w:color w:val="auto"/>
              </w:rPr>
            </w:pPr>
          </w:p>
        </w:tc>
        <w:tc>
          <w:tcPr>
            <w:tcW w:w="5080" w:type="dxa"/>
            <w:vAlign w:val="bottom"/>
            <w:gridSpan w:val="2"/>
            <w:vMerge w:val="restart"/>
          </w:tcPr>
          <w:p>
            <w:pPr>
              <w:ind w:left="20"/>
              <w:spacing w:after="0"/>
              <w:rPr>
                <w:sz w:val="20"/>
                <w:szCs w:val="20"/>
                <w:color w:val="auto"/>
              </w:rPr>
            </w:pPr>
            <w:r>
              <w:rPr>
                <w:rFonts w:ascii="Arial" w:cs="Arial" w:eastAsia="Arial" w:hAnsi="Arial"/>
                <w:sz w:val="10"/>
                <w:szCs w:val="10"/>
                <w:b w:val="1"/>
                <w:bCs w:val="1"/>
                <w:color w:val="auto"/>
              </w:rPr>
              <w:t>Title or Description</w:t>
            </w:r>
          </w:p>
        </w:tc>
        <w:tc>
          <w:tcPr>
            <w:tcW w:w="0" w:type="dxa"/>
            <w:vAlign w:val="bottom"/>
          </w:tcPr>
          <w:p>
            <w:pPr>
              <w:spacing w:after="0"/>
              <w:rPr>
                <w:sz w:val="1"/>
                <w:szCs w:val="1"/>
                <w:color w:val="auto"/>
              </w:rPr>
            </w:pPr>
          </w:p>
        </w:tc>
      </w:tr>
      <w:tr>
        <w:trPr>
          <w:trHeight w:val="135"/>
        </w:trPr>
        <w:tc>
          <w:tcPr>
            <w:tcW w:w="2100" w:type="dxa"/>
            <w:vAlign w:val="bottom"/>
          </w:tcPr>
          <w:p>
            <w:pPr>
              <w:ind w:left="1340"/>
              <w:spacing w:after="0"/>
              <w:rPr>
                <w:sz w:val="20"/>
                <w:szCs w:val="20"/>
                <w:color w:val="auto"/>
              </w:rPr>
            </w:pPr>
            <w:r>
              <w:rPr>
                <w:rFonts w:ascii="Arial" w:cs="Arial" w:eastAsia="Arial" w:hAnsi="Arial"/>
                <w:sz w:val="10"/>
                <w:szCs w:val="10"/>
                <w:b w:val="1"/>
                <w:bCs w:val="1"/>
                <w:color w:val="auto"/>
              </w:rPr>
              <w:t>No.</w:t>
            </w:r>
          </w:p>
        </w:tc>
        <w:tc>
          <w:tcPr>
            <w:tcW w:w="4280" w:type="dxa"/>
            <w:vAlign w:val="bottom"/>
          </w:tcPr>
          <w:p>
            <w:pPr>
              <w:spacing w:after="0"/>
              <w:rPr>
                <w:sz w:val="11"/>
                <w:szCs w:val="11"/>
                <w:color w:val="auto"/>
              </w:rPr>
            </w:pPr>
          </w:p>
        </w:tc>
        <w:tc>
          <w:tcPr>
            <w:tcW w:w="508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10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2100" w:type="dxa"/>
            <w:vAlign w:val="bottom"/>
          </w:tcPr>
          <w:p>
            <w:pPr>
              <w:ind w:left="1280"/>
              <w:spacing w:after="0"/>
              <w:rPr>
                <w:sz w:val="20"/>
                <w:szCs w:val="20"/>
                <w:color w:val="auto"/>
              </w:rPr>
            </w:pPr>
            <w:r>
              <w:rPr>
                <w:rFonts w:ascii="Arial" w:cs="Arial" w:eastAsia="Arial" w:hAnsi="Arial"/>
                <w:sz w:val="13"/>
                <w:szCs w:val="13"/>
                <w:color w:val="auto"/>
              </w:rPr>
              <w:t>10.21{*}</w:t>
            </w:r>
          </w:p>
        </w:tc>
        <w:tc>
          <w:tcPr>
            <w:tcW w:w="9360" w:type="dxa"/>
            <w:vAlign w:val="bottom"/>
            <w:gridSpan w:val="3"/>
          </w:tcPr>
          <w:p>
            <w:pPr>
              <w:ind w:left="100"/>
              <w:spacing w:after="0"/>
              <w:rPr>
                <w:sz w:val="20"/>
                <w:szCs w:val="20"/>
                <w:color w:val="auto"/>
              </w:rPr>
            </w:pPr>
            <w:r>
              <w:rPr>
                <w:rFonts w:ascii="Arial" w:cs="Arial" w:eastAsia="Arial" w:hAnsi="Arial"/>
                <w:sz w:val="13"/>
                <w:szCs w:val="13"/>
                <w:color w:val="auto"/>
              </w:rPr>
              <w:t>Rights Agreement, dated as of July 27, 1998 between Bank Boston, N.A. as Rights Agent and the Registrant.</w:t>
            </w:r>
          </w:p>
        </w:tc>
        <w:tc>
          <w:tcPr>
            <w:tcW w:w="0" w:type="dxa"/>
            <w:vAlign w:val="bottom"/>
          </w:tcPr>
          <w:p>
            <w:pPr>
              <w:spacing w:after="0"/>
              <w:rPr>
                <w:sz w:val="1"/>
                <w:szCs w:val="1"/>
                <w:color w:val="auto"/>
              </w:rPr>
            </w:pPr>
          </w:p>
        </w:tc>
      </w:tr>
      <w:tr>
        <w:trPr>
          <w:trHeight w:val="157"/>
        </w:trPr>
        <w:tc>
          <w:tcPr>
            <w:tcW w:w="2100" w:type="dxa"/>
            <w:vAlign w:val="bottom"/>
          </w:tcPr>
          <w:p>
            <w:pPr>
              <w:ind w:left="1280"/>
              <w:spacing w:after="0"/>
              <w:rPr>
                <w:sz w:val="20"/>
                <w:szCs w:val="20"/>
                <w:color w:val="auto"/>
              </w:rPr>
            </w:pPr>
            <w:r>
              <w:rPr>
                <w:rFonts w:ascii="Arial" w:cs="Arial" w:eastAsia="Arial" w:hAnsi="Arial"/>
                <w:sz w:val="13"/>
                <w:szCs w:val="13"/>
                <w:color w:val="auto"/>
              </w:rPr>
              <w:t>10.22$**</w:t>
            </w:r>
          </w:p>
        </w:tc>
        <w:tc>
          <w:tcPr>
            <w:tcW w:w="9360" w:type="dxa"/>
            <w:vAlign w:val="bottom"/>
            <w:gridSpan w:val="3"/>
          </w:tcPr>
          <w:p>
            <w:pPr>
              <w:ind w:left="100"/>
              <w:spacing w:after="0"/>
              <w:rPr>
                <w:sz w:val="20"/>
                <w:szCs w:val="20"/>
                <w:color w:val="auto"/>
              </w:rPr>
            </w:pPr>
            <w:r>
              <w:rPr>
                <w:rFonts w:ascii="Arial" w:cs="Arial" w:eastAsia="Arial" w:hAnsi="Arial"/>
                <w:sz w:val="13"/>
                <w:szCs w:val="13"/>
                <w:color w:val="auto"/>
              </w:rPr>
              <w:t>License Agreement dated as of October 27, 1998 between The Scripps Research Institute and the Registrant.</w:t>
            </w:r>
          </w:p>
        </w:tc>
        <w:tc>
          <w:tcPr>
            <w:tcW w:w="0" w:type="dxa"/>
            <w:vAlign w:val="bottom"/>
          </w:tcPr>
          <w:p>
            <w:pPr>
              <w:spacing w:after="0"/>
              <w:rPr>
                <w:sz w:val="1"/>
                <w:szCs w:val="1"/>
                <w:color w:val="auto"/>
              </w:rPr>
            </w:pPr>
          </w:p>
        </w:tc>
      </w:tr>
      <w:tr>
        <w:trPr>
          <w:trHeight w:val="157"/>
        </w:trPr>
        <w:tc>
          <w:tcPr>
            <w:tcW w:w="2100" w:type="dxa"/>
            <w:vAlign w:val="bottom"/>
          </w:tcPr>
          <w:p>
            <w:pPr>
              <w:ind w:left="1280"/>
              <w:spacing w:after="0"/>
              <w:rPr>
                <w:sz w:val="20"/>
                <w:szCs w:val="20"/>
                <w:color w:val="auto"/>
              </w:rPr>
            </w:pPr>
            <w:r>
              <w:rPr>
                <w:rFonts w:ascii="Arial" w:cs="Arial" w:eastAsia="Arial" w:hAnsi="Arial"/>
                <w:sz w:val="13"/>
                <w:szCs w:val="13"/>
                <w:color w:val="auto"/>
              </w:rPr>
              <w:t>10.23$**</w:t>
            </w:r>
          </w:p>
        </w:tc>
        <w:tc>
          <w:tcPr>
            <w:tcW w:w="9360" w:type="dxa"/>
            <w:vAlign w:val="bottom"/>
            <w:gridSpan w:val="3"/>
          </w:tcPr>
          <w:p>
            <w:pPr>
              <w:ind w:left="100"/>
              <w:spacing w:after="0"/>
              <w:rPr>
                <w:sz w:val="20"/>
                <w:szCs w:val="20"/>
                <w:color w:val="auto"/>
              </w:rPr>
            </w:pPr>
            <w:r>
              <w:rPr>
                <w:rFonts w:ascii="Arial" w:cs="Arial" w:eastAsia="Arial" w:hAnsi="Arial"/>
                <w:sz w:val="13"/>
                <w:szCs w:val="13"/>
                <w:color w:val="auto"/>
              </w:rPr>
              <w:t>License Agreement dated as of October 27, 1998 between The Scripps Research Institute and the Registrant.</w:t>
            </w:r>
          </w:p>
        </w:tc>
        <w:tc>
          <w:tcPr>
            <w:tcW w:w="0" w:type="dxa"/>
            <w:vAlign w:val="bottom"/>
          </w:tcPr>
          <w:p>
            <w:pPr>
              <w:spacing w:after="0"/>
              <w:rPr>
                <w:sz w:val="1"/>
                <w:szCs w:val="1"/>
                <w:color w:val="auto"/>
              </w:rPr>
            </w:pPr>
          </w:p>
        </w:tc>
      </w:tr>
      <w:tr>
        <w:trPr>
          <w:trHeight w:val="157"/>
        </w:trPr>
        <w:tc>
          <w:tcPr>
            <w:tcW w:w="2100" w:type="dxa"/>
            <w:vAlign w:val="bottom"/>
          </w:tcPr>
          <w:p>
            <w:pPr>
              <w:ind w:left="1280"/>
              <w:spacing w:after="0"/>
              <w:rPr>
                <w:sz w:val="20"/>
                <w:szCs w:val="20"/>
                <w:color w:val="auto"/>
              </w:rPr>
            </w:pPr>
            <w:r>
              <w:rPr>
                <w:rFonts w:ascii="Arial" w:cs="Arial" w:eastAsia="Arial" w:hAnsi="Arial"/>
                <w:sz w:val="13"/>
                <w:szCs w:val="13"/>
                <w:color w:val="auto"/>
              </w:rPr>
              <w:t>10.24$**</w:t>
            </w:r>
          </w:p>
        </w:tc>
        <w:tc>
          <w:tcPr>
            <w:tcW w:w="9360" w:type="dxa"/>
            <w:vAlign w:val="bottom"/>
            <w:gridSpan w:val="3"/>
          </w:tcPr>
          <w:p>
            <w:pPr>
              <w:ind w:left="100"/>
              <w:spacing w:after="0"/>
              <w:rPr>
                <w:sz w:val="20"/>
                <w:szCs w:val="20"/>
                <w:color w:val="auto"/>
              </w:rPr>
            </w:pPr>
            <w:r>
              <w:rPr>
                <w:rFonts w:ascii="Arial" w:cs="Arial" w:eastAsia="Arial" w:hAnsi="Arial"/>
                <w:sz w:val="13"/>
                <w:szCs w:val="13"/>
                <w:color w:val="auto"/>
              </w:rPr>
              <w:t>License Agreement dated as of November 20, 1998 between The Scripps Research Institute and the Registrant.</w:t>
            </w:r>
          </w:p>
        </w:tc>
        <w:tc>
          <w:tcPr>
            <w:tcW w:w="0" w:type="dxa"/>
            <w:vAlign w:val="bottom"/>
          </w:tcPr>
          <w:p>
            <w:pPr>
              <w:spacing w:after="0"/>
              <w:rPr>
                <w:sz w:val="1"/>
                <w:szCs w:val="1"/>
                <w:color w:val="auto"/>
              </w:rPr>
            </w:pPr>
          </w:p>
        </w:tc>
      </w:tr>
      <w:tr>
        <w:trPr>
          <w:trHeight w:val="157"/>
        </w:trPr>
        <w:tc>
          <w:tcPr>
            <w:tcW w:w="2100" w:type="dxa"/>
            <w:vAlign w:val="bottom"/>
          </w:tcPr>
          <w:p>
            <w:pPr>
              <w:ind w:left="1280"/>
              <w:spacing w:after="0"/>
              <w:rPr>
                <w:sz w:val="20"/>
                <w:szCs w:val="20"/>
                <w:color w:val="auto"/>
              </w:rPr>
            </w:pPr>
            <w:r>
              <w:rPr>
                <w:rFonts w:ascii="Arial" w:cs="Arial" w:eastAsia="Arial" w:hAnsi="Arial"/>
                <w:sz w:val="13"/>
                <w:szCs w:val="13"/>
                <w:color w:val="auto"/>
              </w:rPr>
              <w:t>10.25$$**</w:t>
            </w:r>
          </w:p>
        </w:tc>
        <w:tc>
          <w:tcPr>
            <w:tcW w:w="9360" w:type="dxa"/>
            <w:vAlign w:val="bottom"/>
            <w:gridSpan w:val="3"/>
          </w:tcPr>
          <w:p>
            <w:pPr>
              <w:ind w:left="100"/>
              <w:spacing w:after="0"/>
              <w:rPr>
                <w:sz w:val="20"/>
                <w:szCs w:val="20"/>
                <w:color w:val="auto"/>
              </w:rPr>
            </w:pPr>
            <w:r>
              <w:rPr>
                <w:rFonts w:ascii="Arial" w:cs="Arial" w:eastAsia="Arial" w:hAnsi="Arial"/>
                <w:sz w:val="13"/>
                <w:szCs w:val="13"/>
                <w:color w:val="auto"/>
              </w:rPr>
              <w:t>Purchase Agreement and License Agreement dated as of December 29, 1999 between Neurotech S.A. and the Registrant.</w:t>
            </w:r>
          </w:p>
        </w:tc>
        <w:tc>
          <w:tcPr>
            <w:tcW w:w="0" w:type="dxa"/>
            <w:vAlign w:val="bottom"/>
          </w:tcPr>
          <w:p>
            <w:pPr>
              <w:spacing w:after="0"/>
              <w:rPr>
                <w:sz w:val="1"/>
                <w:szCs w:val="1"/>
                <w:color w:val="auto"/>
              </w:rPr>
            </w:pPr>
          </w:p>
        </w:tc>
      </w:tr>
      <w:tr>
        <w:trPr>
          <w:trHeight w:val="157"/>
        </w:trPr>
        <w:tc>
          <w:tcPr>
            <w:tcW w:w="2100" w:type="dxa"/>
            <w:vAlign w:val="bottom"/>
          </w:tcPr>
          <w:p>
            <w:pPr>
              <w:ind w:left="1280"/>
              <w:spacing w:after="0"/>
              <w:rPr>
                <w:sz w:val="20"/>
                <w:szCs w:val="20"/>
                <w:color w:val="auto"/>
              </w:rPr>
            </w:pPr>
            <w:r>
              <w:rPr>
                <w:rFonts w:ascii="Arial" w:cs="Arial" w:eastAsia="Arial" w:hAnsi="Arial"/>
                <w:sz w:val="13"/>
                <w:szCs w:val="13"/>
                <w:color w:val="auto"/>
              </w:rPr>
              <w:t>10.26++++**</w:t>
            </w:r>
          </w:p>
        </w:tc>
        <w:tc>
          <w:tcPr>
            <w:tcW w:w="9360" w:type="dxa"/>
            <w:vAlign w:val="bottom"/>
            <w:gridSpan w:val="3"/>
          </w:tcPr>
          <w:p>
            <w:pPr>
              <w:ind w:left="100"/>
              <w:spacing w:after="0"/>
              <w:rPr>
                <w:sz w:val="20"/>
                <w:szCs w:val="20"/>
                <w:color w:val="auto"/>
              </w:rPr>
            </w:pPr>
            <w:r>
              <w:rPr>
                <w:rFonts w:ascii="Arial" w:cs="Arial" w:eastAsia="Arial" w:hAnsi="Arial"/>
                <w:sz w:val="13"/>
                <w:szCs w:val="13"/>
                <w:color w:val="auto"/>
              </w:rPr>
              <w:t>License Agreement dated as of June 1999 between The Scripps Research Institute and the Registrant.</w:t>
            </w:r>
          </w:p>
        </w:tc>
        <w:tc>
          <w:tcPr>
            <w:tcW w:w="0" w:type="dxa"/>
            <w:vAlign w:val="bottom"/>
          </w:tcPr>
          <w:p>
            <w:pPr>
              <w:spacing w:after="0"/>
              <w:rPr>
                <w:sz w:val="1"/>
                <w:szCs w:val="1"/>
                <w:color w:val="auto"/>
              </w:rPr>
            </w:pPr>
          </w:p>
        </w:tc>
      </w:tr>
      <w:tr>
        <w:trPr>
          <w:trHeight w:val="157"/>
        </w:trPr>
        <w:tc>
          <w:tcPr>
            <w:tcW w:w="2100" w:type="dxa"/>
            <w:vAlign w:val="bottom"/>
          </w:tcPr>
          <w:p>
            <w:pPr>
              <w:ind w:left="1280"/>
              <w:spacing w:after="0"/>
              <w:rPr>
                <w:sz w:val="20"/>
                <w:szCs w:val="20"/>
                <w:color w:val="auto"/>
              </w:rPr>
            </w:pPr>
            <w:r>
              <w:rPr>
                <w:rFonts w:ascii="Arial" w:cs="Arial" w:eastAsia="Arial" w:hAnsi="Arial"/>
                <w:sz w:val="13"/>
                <w:szCs w:val="13"/>
                <w:color w:val="auto"/>
              </w:rPr>
              <w:t>10.27++++**</w:t>
            </w:r>
          </w:p>
        </w:tc>
        <w:tc>
          <w:tcPr>
            <w:tcW w:w="9360" w:type="dxa"/>
            <w:vAlign w:val="bottom"/>
            <w:gridSpan w:val="3"/>
          </w:tcPr>
          <w:p>
            <w:pPr>
              <w:ind w:left="100"/>
              <w:spacing w:after="0"/>
              <w:rPr>
                <w:sz w:val="20"/>
                <w:szCs w:val="20"/>
                <w:color w:val="auto"/>
              </w:rPr>
            </w:pPr>
            <w:r>
              <w:rPr>
                <w:rFonts w:ascii="Arial" w:cs="Arial" w:eastAsia="Arial" w:hAnsi="Arial"/>
                <w:sz w:val="13"/>
                <w:szCs w:val="13"/>
                <w:color w:val="auto"/>
              </w:rPr>
              <w:t>License Agreement dated as of June 1999 between The Scripps Research Institute and the Registrant.</w:t>
            </w:r>
          </w:p>
        </w:tc>
        <w:tc>
          <w:tcPr>
            <w:tcW w:w="0" w:type="dxa"/>
            <w:vAlign w:val="bottom"/>
          </w:tcPr>
          <w:p>
            <w:pPr>
              <w:spacing w:after="0"/>
              <w:rPr>
                <w:sz w:val="1"/>
                <w:szCs w:val="1"/>
                <w:color w:val="auto"/>
              </w:rPr>
            </w:pPr>
          </w:p>
        </w:tc>
      </w:tr>
      <w:tr>
        <w:trPr>
          <w:trHeight w:val="157"/>
        </w:trPr>
        <w:tc>
          <w:tcPr>
            <w:tcW w:w="2100" w:type="dxa"/>
            <w:vAlign w:val="bottom"/>
          </w:tcPr>
          <w:p>
            <w:pPr>
              <w:ind w:left="1280"/>
              <w:spacing w:after="0"/>
              <w:rPr>
                <w:sz w:val="20"/>
                <w:szCs w:val="20"/>
                <w:color w:val="auto"/>
              </w:rPr>
            </w:pPr>
            <w:r>
              <w:rPr>
                <w:rFonts w:ascii="Arial" w:cs="Arial" w:eastAsia="Arial" w:hAnsi="Arial"/>
                <w:sz w:val="13"/>
                <w:szCs w:val="13"/>
                <w:color w:val="auto"/>
              </w:rPr>
              <w:t>10.28X</w:t>
            </w:r>
          </w:p>
        </w:tc>
        <w:tc>
          <w:tcPr>
            <w:tcW w:w="9360" w:type="dxa"/>
            <w:vAlign w:val="bottom"/>
            <w:gridSpan w:val="3"/>
          </w:tcPr>
          <w:p>
            <w:pPr>
              <w:ind w:left="100"/>
              <w:spacing w:after="0"/>
              <w:rPr>
                <w:sz w:val="20"/>
                <w:szCs w:val="20"/>
                <w:color w:val="auto"/>
              </w:rPr>
            </w:pPr>
            <w:r>
              <w:rPr>
                <w:rFonts w:ascii="Arial" w:cs="Arial" w:eastAsia="Arial" w:hAnsi="Arial"/>
                <w:sz w:val="13"/>
                <w:szCs w:val="13"/>
                <w:color w:val="auto"/>
              </w:rPr>
              <w:t>Form of Registration Rights Agreement dated as of July 31, 2000 between the Registrant and investors.</w:t>
            </w:r>
          </w:p>
        </w:tc>
        <w:tc>
          <w:tcPr>
            <w:tcW w:w="0" w:type="dxa"/>
            <w:vAlign w:val="bottom"/>
          </w:tcPr>
          <w:p>
            <w:pPr>
              <w:spacing w:after="0"/>
              <w:rPr>
                <w:sz w:val="1"/>
                <w:szCs w:val="1"/>
                <w:color w:val="auto"/>
              </w:rPr>
            </w:pPr>
          </w:p>
        </w:tc>
      </w:tr>
      <w:tr>
        <w:trPr>
          <w:trHeight w:val="157"/>
        </w:trPr>
        <w:tc>
          <w:tcPr>
            <w:tcW w:w="2100" w:type="dxa"/>
            <w:vAlign w:val="bottom"/>
          </w:tcPr>
          <w:p>
            <w:pPr>
              <w:ind w:left="1280"/>
              <w:spacing w:after="0"/>
              <w:rPr>
                <w:sz w:val="20"/>
                <w:szCs w:val="20"/>
                <w:color w:val="auto"/>
              </w:rPr>
            </w:pPr>
            <w:r>
              <w:rPr>
                <w:rFonts w:ascii="Arial" w:cs="Arial" w:eastAsia="Arial" w:hAnsi="Arial"/>
                <w:sz w:val="13"/>
                <w:szCs w:val="13"/>
                <w:color w:val="auto"/>
              </w:rPr>
              <w:t>10.29X</w:t>
            </w:r>
          </w:p>
        </w:tc>
        <w:tc>
          <w:tcPr>
            <w:tcW w:w="9360" w:type="dxa"/>
            <w:vAlign w:val="bottom"/>
            <w:gridSpan w:val="3"/>
          </w:tcPr>
          <w:p>
            <w:pPr>
              <w:ind w:left="100"/>
              <w:spacing w:after="0"/>
              <w:rPr>
                <w:sz w:val="20"/>
                <w:szCs w:val="20"/>
                <w:color w:val="auto"/>
              </w:rPr>
            </w:pPr>
            <w:r>
              <w:rPr>
                <w:rFonts w:ascii="Arial" w:cs="Arial" w:eastAsia="Arial" w:hAnsi="Arial"/>
                <w:sz w:val="13"/>
                <w:szCs w:val="13"/>
                <w:color w:val="auto"/>
              </w:rPr>
              <w:t>Subscription Agreement dated as of July 31, 2000 between the Registrant and Millennium Partners, L.P.</w:t>
            </w:r>
          </w:p>
        </w:tc>
        <w:tc>
          <w:tcPr>
            <w:tcW w:w="0" w:type="dxa"/>
            <w:vAlign w:val="bottom"/>
          </w:tcPr>
          <w:p>
            <w:pPr>
              <w:spacing w:after="0"/>
              <w:rPr>
                <w:sz w:val="1"/>
                <w:szCs w:val="1"/>
                <w:color w:val="auto"/>
              </w:rPr>
            </w:pPr>
          </w:p>
        </w:tc>
      </w:tr>
      <w:tr>
        <w:trPr>
          <w:trHeight w:val="157"/>
        </w:trPr>
        <w:tc>
          <w:tcPr>
            <w:tcW w:w="2100" w:type="dxa"/>
            <w:vAlign w:val="bottom"/>
          </w:tcPr>
          <w:p>
            <w:pPr>
              <w:ind w:left="1280"/>
              <w:spacing w:after="0"/>
              <w:rPr>
                <w:sz w:val="20"/>
                <w:szCs w:val="20"/>
                <w:color w:val="auto"/>
              </w:rPr>
            </w:pPr>
            <w:r>
              <w:rPr>
                <w:rFonts w:ascii="Arial" w:cs="Arial" w:eastAsia="Arial" w:hAnsi="Arial"/>
                <w:sz w:val="13"/>
                <w:szCs w:val="13"/>
                <w:color w:val="auto"/>
              </w:rPr>
              <w:t>10.30XX</w:t>
            </w:r>
          </w:p>
        </w:tc>
        <w:tc>
          <w:tcPr>
            <w:tcW w:w="9360" w:type="dxa"/>
            <w:vAlign w:val="bottom"/>
            <w:gridSpan w:val="3"/>
          </w:tcPr>
          <w:p>
            <w:pPr>
              <w:ind w:left="100"/>
              <w:spacing w:after="0"/>
              <w:rPr>
                <w:sz w:val="20"/>
                <w:szCs w:val="20"/>
                <w:color w:val="auto"/>
              </w:rPr>
            </w:pPr>
            <w:r>
              <w:rPr>
                <w:rFonts w:ascii="Arial" w:cs="Arial" w:eastAsia="Arial" w:hAnsi="Arial"/>
                <w:sz w:val="13"/>
                <w:szCs w:val="13"/>
                <w:color w:val="auto"/>
              </w:rPr>
              <w:t>License Agreement, dated as of October 30, 2000, between the Registrant and NeuroSpheres Ltd.</w:t>
            </w:r>
          </w:p>
        </w:tc>
        <w:tc>
          <w:tcPr>
            <w:tcW w:w="0" w:type="dxa"/>
            <w:vAlign w:val="bottom"/>
          </w:tcPr>
          <w:p>
            <w:pPr>
              <w:spacing w:after="0"/>
              <w:rPr>
                <w:sz w:val="1"/>
                <w:szCs w:val="1"/>
                <w:color w:val="auto"/>
              </w:rPr>
            </w:pPr>
          </w:p>
        </w:tc>
      </w:tr>
      <w:tr>
        <w:trPr>
          <w:trHeight w:val="157"/>
        </w:trPr>
        <w:tc>
          <w:tcPr>
            <w:tcW w:w="2100" w:type="dxa"/>
            <w:vAlign w:val="bottom"/>
          </w:tcPr>
          <w:p>
            <w:pPr>
              <w:ind w:left="1280"/>
              <w:spacing w:after="0"/>
              <w:rPr>
                <w:sz w:val="20"/>
                <w:szCs w:val="20"/>
                <w:color w:val="auto"/>
              </w:rPr>
            </w:pPr>
            <w:r>
              <w:rPr>
                <w:rFonts w:ascii="Arial" w:cs="Arial" w:eastAsia="Arial" w:hAnsi="Arial"/>
                <w:sz w:val="13"/>
                <w:szCs w:val="13"/>
                <w:color w:val="auto"/>
              </w:rPr>
              <w:t>10.31XX</w:t>
            </w:r>
          </w:p>
        </w:tc>
        <w:tc>
          <w:tcPr>
            <w:tcW w:w="9360" w:type="dxa"/>
            <w:vAlign w:val="bottom"/>
            <w:gridSpan w:val="3"/>
          </w:tcPr>
          <w:p>
            <w:pPr>
              <w:ind w:left="100"/>
              <w:spacing w:after="0"/>
              <w:rPr>
                <w:sz w:val="20"/>
                <w:szCs w:val="20"/>
                <w:color w:val="auto"/>
              </w:rPr>
            </w:pPr>
            <w:r>
              <w:rPr>
                <w:rFonts w:ascii="Arial" w:cs="Arial" w:eastAsia="Arial" w:hAnsi="Arial"/>
                <w:sz w:val="13"/>
                <w:szCs w:val="13"/>
                <w:color w:val="auto"/>
              </w:rPr>
              <w:t>Letter Agreement, dated January 2, 2001, between the Registrant and Martin McGlynn</w:t>
            </w:r>
          </w:p>
        </w:tc>
        <w:tc>
          <w:tcPr>
            <w:tcW w:w="0" w:type="dxa"/>
            <w:vAlign w:val="bottom"/>
          </w:tcPr>
          <w:p>
            <w:pPr>
              <w:spacing w:after="0"/>
              <w:rPr>
                <w:sz w:val="1"/>
                <w:szCs w:val="1"/>
                <w:color w:val="auto"/>
              </w:rPr>
            </w:pPr>
          </w:p>
        </w:tc>
      </w:tr>
      <w:tr>
        <w:trPr>
          <w:trHeight w:val="157"/>
        </w:trPr>
        <w:tc>
          <w:tcPr>
            <w:tcW w:w="2100" w:type="dxa"/>
            <w:vAlign w:val="bottom"/>
          </w:tcPr>
          <w:p>
            <w:pPr>
              <w:ind w:left="1280"/>
              <w:spacing w:after="0"/>
              <w:rPr>
                <w:sz w:val="20"/>
                <w:szCs w:val="20"/>
                <w:color w:val="auto"/>
              </w:rPr>
            </w:pPr>
            <w:r>
              <w:rPr>
                <w:rFonts w:ascii="Arial" w:cs="Arial" w:eastAsia="Arial" w:hAnsi="Arial"/>
                <w:sz w:val="13"/>
                <w:szCs w:val="13"/>
                <w:color w:val="auto"/>
              </w:rPr>
              <w:t>10.32XX</w:t>
            </w:r>
          </w:p>
        </w:tc>
        <w:tc>
          <w:tcPr>
            <w:tcW w:w="9360" w:type="dxa"/>
            <w:vAlign w:val="bottom"/>
            <w:gridSpan w:val="3"/>
          </w:tcPr>
          <w:p>
            <w:pPr>
              <w:ind w:left="100"/>
              <w:spacing w:after="0"/>
              <w:rPr>
                <w:sz w:val="20"/>
                <w:szCs w:val="20"/>
                <w:color w:val="auto"/>
              </w:rPr>
            </w:pPr>
            <w:r>
              <w:rPr>
                <w:rFonts w:ascii="Arial" w:cs="Arial" w:eastAsia="Arial" w:hAnsi="Arial"/>
                <w:sz w:val="13"/>
                <w:szCs w:val="13"/>
                <w:color w:val="auto"/>
              </w:rPr>
              <w:t>Lease, dated February 1, 2001, between the Board of Trustees of Stanford University and the Registrant.</w:t>
            </w:r>
          </w:p>
        </w:tc>
        <w:tc>
          <w:tcPr>
            <w:tcW w:w="0" w:type="dxa"/>
            <w:vAlign w:val="bottom"/>
          </w:tcPr>
          <w:p>
            <w:pPr>
              <w:spacing w:after="0"/>
              <w:rPr>
                <w:sz w:val="1"/>
                <w:szCs w:val="1"/>
                <w:color w:val="auto"/>
              </w:rPr>
            </w:pPr>
          </w:p>
        </w:tc>
      </w:tr>
      <w:tr>
        <w:trPr>
          <w:trHeight w:val="157"/>
        </w:trPr>
        <w:tc>
          <w:tcPr>
            <w:tcW w:w="2100" w:type="dxa"/>
            <w:vAlign w:val="bottom"/>
          </w:tcPr>
          <w:p>
            <w:pPr>
              <w:ind w:left="1280"/>
              <w:spacing w:after="0"/>
              <w:rPr>
                <w:sz w:val="20"/>
                <w:szCs w:val="20"/>
                <w:color w:val="auto"/>
              </w:rPr>
            </w:pPr>
            <w:r>
              <w:rPr>
                <w:rFonts w:ascii="Arial" w:cs="Arial" w:eastAsia="Arial" w:hAnsi="Arial"/>
                <w:sz w:val="13"/>
                <w:szCs w:val="13"/>
                <w:color w:val="auto"/>
              </w:rPr>
              <w:t>10.33XXX</w:t>
            </w:r>
          </w:p>
        </w:tc>
        <w:tc>
          <w:tcPr>
            <w:tcW w:w="9360" w:type="dxa"/>
            <w:vAlign w:val="bottom"/>
            <w:gridSpan w:val="3"/>
          </w:tcPr>
          <w:p>
            <w:pPr>
              <w:ind w:left="100"/>
              <w:spacing w:after="0"/>
              <w:rPr>
                <w:sz w:val="20"/>
                <w:szCs w:val="20"/>
                <w:color w:val="auto"/>
              </w:rPr>
            </w:pPr>
            <w:r>
              <w:rPr>
                <w:rFonts w:ascii="Arial" w:cs="Arial" w:eastAsia="Arial" w:hAnsi="Arial"/>
                <w:sz w:val="13"/>
                <w:szCs w:val="13"/>
                <w:color w:val="auto"/>
              </w:rPr>
              <w:t>Registration Rights Agreement, dated as of June 21, 2001, by and between the Registrant and Millennium Partners, L.P.</w:t>
            </w:r>
          </w:p>
        </w:tc>
        <w:tc>
          <w:tcPr>
            <w:tcW w:w="0" w:type="dxa"/>
            <w:vAlign w:val="bottom"/>
          </w:tcPr>
          <w:p>
            <w:pPr>
              <w:spacing w:after="0"/>
              <w:rPr>
                <w:sz w:val="1"/>
                <w:szCs w:val="1"/>
                <w:color w:val="auto"/>
              </w:rPr>
            </w:pPr>
          </w:p>
        </w:tc>
      </w:tr>
      <w:tr>
        <w:trPr>
          <w:trHeight w:val="157"/>
        </w:trPr>
        <w:tc>
          <w:tcPr>
            <w:tcW w:w="2100" w:type="dxa"/>
            <w:vAlign w:val="bottom"/>
          </w:tcPr>
          <w:p>
            <w:pPr>
              <w:ind w:left="1280"/>
              <w:spacing w:after="0"/>
              <w:rPr>
                <w:sz w:val="20"/>
                <w:szCs w:val="20"/>
                <w:color w:val="auto"/>
              </w:rPr>
            </w:pPr>
            <w:r>
              <w:rPr>
                <w:rFonts w:ascii="Arial" w:cs="Arial" w:eastAsia="Arial" w:hAnsi="Arial"/>
                <w:sz w:val="13"/>
                <w:szCs w:val="13"/>
                <w:color w:val="auto"/>
              </w:rPr>
              <w:t>10.34XXX</w:t>
            </w:r>
          </w:p>
        </w:tc>
        <w:tc>
          <w:tcPr>
            <w:tcW w:w="9360" w:type="dxa"/>
            <w:vAlign w:val="bottom"/>
            <w:gridSpan w:val="3"/>
          </w:tcPr>
          <w:p>
            <w:pPr>
              <w:ind w:left="100"/>
              <w:spacing w:after="0"/>
              <w:rPr>
                <w:sz w:val="20"/>
                <w:szCs w:val="20"/>
                <w:color w:val="auto"/>
              </w:rPr>
            </w:pPr>
            <w:r>
              <w:rPr>
                <w:rFonts w:ascii="Arial" w:cs="Arial" w:eastAsia="Arial" w:hAnsi="Arial"/>
                <w:sz w:val="13"/>
                <w:szCs w:val="13"/>
                <w:color w:val="auto"/>
              </w:rPr>
              <w:t>Subscription Agreement, dated as of June 21, 2001, by and between the Registrant and Millennium Partners, L.P.</w:t>
            </w:r>
          </w:p>
        </w:tc>
        <w:tc>
          <w:tcPr>
            <w:tcW w:w="0" w:type="dxa"/>
            <w:vAlign w:val="bottom"/>
          </w:tcPr>
          <w:p>
            <w:pPr>
              <w:spacing w:after="0"/>
              <w:rPr>
                <w:sz w:val="1"/>
                <w:szCs w:val="1"/>
                <w:color w:val="auto"/>
              </w:rPr>
            </w:pPr>
          </w:p>
        </w:tc>
      </w:tr>
      <w:tr>
        <w:trPr>
          <w:trHeight w:val="157"/>
        </w:trPr>
        <w:tc>
          <w:tcPr>
            <w:tcW w:w="2100" w:type="dxa"/>
            <w:vAlign w:val="bottom"/>
          </w:tcPr>
          <w:p>
            <w:pPr>
              <w:ind w:left="1280"/>
              <w:spacing w:after="0"/>
              <w:rPr>
                <w:sz w:val="20"/>
                <w:szCs w:val="20"/>
                <w:color w:val="auto"/>
              </w:rPr>
            </w:pPr>
            <w:r>
              <w:rPr>
                <w:rFonts w:ascii="Arial" w:cs="Arial" w:eastAsia="Arial" w:hAnsi="Arial"/>
                <w:sz w:val="13"/>
                <w:szCs w:val="13"/>
                <w:color w:val="auto"/>
              </w:rPr>
              <w:t>10.35$$$</w:t>
            </w:r>
          </w:p>
        </w:tc>
        <w:tc>
          <w:tcPr>
            <w:tcW w:w="9360" w:type="dxa"/>
            <w:vAlign w:val="bottom"/>
            <w:gridSpan w:val="3"/>
          </w:tcPr>
          <w:p>
            <w:pPr>
              <w:ind w:left="100"/>
              <w:spacing w:after="0"/>
              <w:rPr>
                <w:sz w:val="20"/>
                <w:szCs w:val="20"/>
                <w:color w:val="auto"/>
              </w:rPr>
            </w:pPr>
            <w:r>
              <w:rPr>
                <w:rFonts w:ascii="Arial" w:cs="Arial" w:eastAsia="Arial" w:hAnsi="Arial"/>
                <w:sz w:val="13"/>
                <w:szCs w:val="13"/>
                <w:color w:val="auto"/>
              </w:rPr>
              <w:t>2001 Equity Incentive Plan</w:t>
            </w:r>
          </w:p>
        </w:tc>
        <w:tc>
          <w:tcPr>
            <w:tcW w:w="0" w:type="dxa"/>
            <w:vAlign w:val="bottom"/>
          </w:tcPr>
          <w:p>
            <w:pPr>
              <w:spacing w:after="0"/>
              <w:rPr>
                <w:sz w:val="1"/>
                <w:szCs w:val="1"/>
                <w:color w:val="auto"/>
              </w:rPr>
            </w:pPr>
          </w:p>
        </w:tc>
      </w:tr>
      <w:tr>
        <w:trPr>
          <w:trHeight w:val="157"/>
        </w:trPr>
        <w:tc>
          <w:tcPr>
            <w:tcW w:w="2100" w:type="dxa"/>
            <w:vAlign w:val="bottom"/>
          </w:tcPr>
          <w:p>
            <w:pPr>
              <w:ind w:left="1280"/>
              <w:spacing w:after="0"/>
              <w:rPr>
                <w:sz w:val="20"/>
                <w:szCs w:val="20"/>
                <w:color w:val="auto"/>
              </w:rPr>
            </w:pPr>
            <w:r>
              <w:rPr>
                <w:rFonts w:ascii="Arial" w:cs="Arial" w:eastAsia="Arial" w:hAnsi="Arial"/>
                <w:sz w:val="13"/>
                <w:szCs w:val="13"/>
                <w:color w:val="auto"/>
              </w:rPr>
              <w:t>10.36{**}</w:t>
            </w:r>
          </w:p>
        </w:tc>
        <w:tc>
          <w:tcPr>
            <w:tcW w:w="9360" w:type="dxa"/>
            <w:vAlign w:val="bottom"/>
            <w:gridSpan w:val="3"/>
          </w:tcPr>
          <w:p>
            <w:pPr>
              <w:ind w:left="100"/>
              <w:spacing w:after="0"/>
              <w:rPr>
                <w:sz w:val="20"/>
                <w:szCs w:val="20"/>
                <w:color w:val="auto"/>
              </w:rPr>
            </w:pPr>
            <w:r>
              <w:rPr>
                <w:rFonts w:ascii="Arial" w:cs="Arial" w:eastAsia="Arial" w:hAnsi="Arial"/>
                <w:sz w:val="13"/>
                <w:szCs w:val="13"/>
                <w:color w:val="auto"/>
              </w:rPr>
              <w:t>Subscription Agreement, dated as of December 4, 2001 between the Registrant and Riverview Group, L.L.C.</w:t>
            </w:r>
          </w:p>
        </w:tc>
        <w:tc>
          <w:tcPr>
            <w:tcW w:w="0" w:type="dxa"/>
            <w:vAlign w:val="bottom"/>
          </w:tcPr>
          <w:p>
            <w:pPr>
              <w:spacing w:after="0"/>
              <w:rPr>
                <w:sz w:val="1"/>
                <w:szCs w:val="1"/>
                <w:color w:val="auto"/>
              </w:rPr>
            </w:pPr>
          </w:p>
        </w:tc>
      </w:tr>
      <w:tr>
        <w:trPr>
          <w:trHeight w:val="157"/>
        </w:trPr>
        <w:tc>
          <w:tcPr>
            <w:tcW w:w="2100" w:type="dxa"/>
            <w:vAlign w:val="bottom"/>
          </w:tcPr>
          <w:p>
            <w:pPr>
              <w:ind w:left="1280"/>
              <w:spacing w:after="0"/>
              <w:rPr>
                <w:sz w:val="20"/>
                <w:szCs w:val="20"/>
                <w:color w:val="auto"/>
              </w:rPr>
            </w:pPr>
            <w:r>
              <w:rPr>
                <w:rFonts w:ascii="Arial" w:cs="Arial" w:eastAsia="Arial" w:hAnsi="Arial"/>
                <w:sz w:val="13"/>
                <w:szCs w:val="13"/>
                <w:color w:val="auto"/>
              </w:rPr>
              <w:t>10.37{**}</w:t>
            </w:r>
          </w:p>
        </w:tc>
        <w:tc>
          <w:tcPr>
            <w:tcW w:w="9360" w:type="dxa"/>
            <w:vAlign w:val="bottom"/>
            <w:gridSpan w:val="3"/>
          </w:tcPr>
          <w:p>
            <w:pPr>
              <w:ind w:left="100"/>
              <w:spacing w:after="0"/>
              <w:rPr>
                <w:sz w:val="20"/>
                <w:szCs w:val="20"/>
                <w:color w:val="auto"/>
              </w:rPr>
            </w:pPr>
            <w:r>
              <w:rPr>
                <w:rFonts w:ascii="Arial" w:cs="Arial" w:eastAsia="Arial" w:hAnsi="Arial"/>
                <w:sz w:val="13"/>
                <w:szCs w:val="13"/>
                <w:color w:val="auto"/>
              </w:rPr>
              <w:t>Registration Rights Agreement, dated as of December 4, 2001 between the Registrant and Riverview Group, L.L.C.</w:t>
            </w:r>
          </w:p>
        </w:tc>
        <w:tc>
          <w:tcPr>
            <w:tcW w:w="0" w:type="dxa"/>
            <w:vAlign w:val="bottom"/>
          </w:tcPr>
          <w:p>
            <w:pPr>
              <w:spacing w:after="0"/>
              <w:rPr>
                <w:sz w:val="1"/>
                <w:szCs w:val="1"/>
                <w:color w:val="auto"/>
              </w:rPr>
            </w:pPr>
          </w:p>
        </w:tc>
      </w:tr>
      <w:tr>
        <w:trPr>
          <w:trHeight w:val="157"/>
        </w:trPr>
        <w:tc>
          <w:tcPr>
            <w:tcW w:w="2100" w:type="dxa"/>
            <w:vAlign w:val="bottom"/>
          </w:tcPr>
          <w:p>
            <w:pPr>
              <w:ind w:left="1280"/>
              <w:spacing w:after="0"/>
              <w:rPr>
                <w:sz w:val="20"/>
                <w:szCs w:val="20"/>
                <w:color w:val="auto"/>
              </w:rPr>
            </w:pPr>
            <w:r>
              <w:rPr>
                <w:rFonts w:ascii="Arial" w:cs="Arial" w:eastAsia="Arial" w:hAnsi="Arial"/>
                <w:sz w:val="13"/>
                <w:szCs w:val="13"/>
                <w:color w:val="auto"/>
              </w:rPr>
              <w:t>10.38{**}</w:t>
            </w:r>
          </w:p>
        </w:tc>
        <w:tc>
          <w:tcPr>
            <w:tcW w:w="9360" w:type="dxa"/>
            <w:vAlign w:val="bottom"/>
            <w:gridSpan w:val="3"/>
          </w:tcPr>
          <w:p>
            <w:pPr>
              <w:ind w:left="100"/>
              <w:spacing w:after="0"/>
              <w:rPr>
                <w:sz w:val="20"/>
                <w:szCs w:val="20"/>
                <w:color w:val="auto"/>
              </w:rPr>
            </w:pPr>
            <w:r>
              <w:rPr>
                <w:rFonts w:ascii="Arial" w:cs="Arial" w:eastAsia="Arial" w:hAnsi="Arial"/>
                <w:sz w:val="13"/>
                <w:szCs w:val="13"/>
                <w:color w:val="auto"/>
              </w:rPr>
              <w:t>Agreement dated as of December 4, 2001 between the Registrant and Millennium Partners, L.P.</w:t>
            </w:r>
          </w:p>
        </w:tc>
        <w:tc>
          <w:tcPr>
            <w:tcW w:w="0" w:type="dxa"/>
            <w:vAlign w:val="bottom"/>
          </w:tcPr>
          <w:p>
            <w:pPr>
              <w:spacing w:after="0"/>
              <w:rPr>
                <w:sz w:val="1"/>
                <w:szCs w:val="1"/>
                <w:color w:val="auto"/>
              </w:rPr>
            </w:pPr>
          </w:p>
        </w:tc>
      </w:tr>
      <w:tr>
        <w:trPr>
          <w:trHeight w:val="157"/>
        </w:trPr>
        <w:tc>
          <w:tcPr>
            <w:tcW w:w="2100" w:type="dxa"/>
            <w:vAlign w:val="bottom"/>
          </w:tcPr>
          <w:p>
            <w:pPr>
              <w:ind w:left="1280"/>
              <w:spacing w:after="0"/>
              <w:rPr>
                <w:sz w:val="20"/>
                <w:szCs w:val="20"/>
                <w:color w:val="auto"/>
              </w:rPr>
            </w:pPr>
            <w:r>
              <w:rPr>
                <w:rFonts w:ascii="Arial" w:cs="Arial" w:eastAsia="Arial" w:hAnsi="Arial"/>
                <w:sz w:val="13"/>
                <w:szCs w:val="13"/>
                <w:color w:val="auto"/>
              </w:rPr>
              <w:t>10.39{**}</w:t>
            </w:r>
          </w:p>
        </w:tc>
        <w:tc>
          <w:tcPr>
            <w:tcW w:w="9360" w:type="dxa"/>
            <w:vAlign w:val="bottom"/>
            <w:gridSpan w:val="3"/>
          </w:tcPr>
          <w:p>
            <w:pPr>
              <w:ind w:left="100"/>
              <w:spacing w:after="0"/>
              <w:rPr>
                <w:sz w:val="20"/>
                <w:szCs w:val="20"/>
                <w:color w:val="auto"/>
              </w:rPr>
            </w:pPr>
            <w:r>
              <w:rPr>
                <w:rFonts w:ascii="Arial" w:cs="Arial" w:eastAsia="Arial" w:hAnsi="Arial"/>
                <w:sz w:val="13"/>
                <w:szCs w:val="13"/>
                <w:color w:val="auto"/>
              </w:rPr>
              <w:t>Agreement dated as of December 4, 2001 among the Registrant, Millennium Partners, L.P. and Riverview Group, L.L.C.</w:t>
            </w:r>
          </w:p>
        </w:tc>
        <w:tc>
          <w:tcPr>
            <w:tcW w:w="0" w:type="dxa"/>
            <w:vAlign w:val="bottom"/>
          </w:tcPr>
          <w:p>
            <w:pPr>
              <w:spacing w:after="0"/>
              <w:rPr>
                <w:sz w:val="1"/>
                <w:szCs w:val="1"/>
                <w:color w:val="auto"/>
              </w:rPr>
            </w:pPr>
          </w:p>
        </w:tc>
      </w:tr>
      <w:tr>
        <w:trPr>
          <w:trHeight w:val="157"/>
        </w:trPr>
        <w:tc>
          <w:tcPr>
            <w:tcW w:w="2100" w:type="dxa"/>
            <w:vAlign w:val="bottom"/>
          </w:tcPr>
          <w:p>
            <w:pPr>
              <w:ind w:left="1280"/>
              <w:spacing w:after="0"/>
              <w:rPr>
                <w:sz w:val="20"/>
                <w:szCs w:val="20"/>
                <w:color w:val="auto"/>
              </w:rPr>
            </w:pPr>
            <w:r>
              <w:rPr>
                <w:rFonts w:ascii="Arial" w:cs="Arial" w:eastAsia="Arial" w:hAnsi="Arial"/>
                <w:sz w:val="13"/>
                <w:szCs w:val="13"/>
                <w:color w:val="auto"/>
              </w:rPr>
              <w:t>10.40&amp;</w:t>
            </w:r>
          </w:p>
        </w:tc>
        <w:tc>
          <w:tcPr>
            <w:tcW w:w="9360" w:type="dxa"/>
            <w:vAlign w:val="bottom"/>
            <w:gridSpan w:val="3"/>
          </w:tcPr>
          <w:p>
            <w:pPr>
              <w:ind w:left="100"/>
              <w:spacing w:after="0"/>
              <w:rPr>
                <w:sz w:val="20"/>
                <w:szCs w:val="20"/>
                <w:color w:val="auto"/>
              </w:rPr>
            </w:pPr>
            <w:r>
              <w:rPr>
                <w:rFonts w:ascii="Arial" w:cs="Arial" w:eastAsia="Arial" w:hAnsi="Arial"/>
                <w:sz w:val="13"/>
                <w:szCs w:val="13"/>
                <w:color w:val="auto"/>
              </w:rPr>
              <w:t>Agreement, dated as of April 9, 2003, between the Registrant and Riverview Group, L.L.C.</w:t>
            </w:r>
          </w:p>
        </w:tc>
        <w:tc>
          <w:tcPr>
            <w:tcW w:w="0" w:type="dxa"/>
            <w:vAlign w:val="bottom"/>
          </w:tcPr>
          <w:p>
            <w:pPr>
              <w:spacing w:after="0"/>
              <w:rPr>
                <w:sz w:val="1"/>
                <w:szCs w:val="1"/>
                <w:color w:val="auto"/>
              </w:rPr>
            </w:pPr>
          </w:p>
        </w:tc>
      </w:tr>
      <w:tr>
        <w:trPr>
          <w:trHeight w:val="157"/>
        </w:trPr>
        <w:tc>
          <w:tcPr>
            <w:tcW w:w="2100" w:type="dxa"/>
            <w:vAlign w:val="bottom"/>
          </w:tcPr>
          <w:p>
            <w:pPr>
              <w:ind w:left="1280"/>
              <w:spacing w:after="0"/>
              <w:rPr>
                <w:sz w:val="20"/>
                <w:szCs w:val="20"/>
                <w:color w:val="auto"/>
              </w:rPr>
            </w:pPr>
            <w:r>
              <w:rPr>
                <w:rFonts w:ascii="Arial" w:cs="Arial" w:eastAsia="Arial" w:hAnsi="Arial"/>
                <w:sz w:val="13"/>
                <w:szCs w:val="13"/>
                <w:color w:val="auto"/>
              </w:rPr>
              <w:t>10.41&amp;&amp;</w:t>
            </w:r>
          </w:p>
        </w:tc>
        <w:tc>
          <w:tcPr>
            <w:tcW w:w="9360" w:type="dxa"/>
            <w:vAlign w:val="bottom"/>
            <w:gridSpan w:val="3"/>
          </w:tcPr>
          <w:p>
            <w:pPr>
              <w:ind w:left="100"/>
              <w:spacing w:after="0"/>
              <w:rPr>
                <w:sz w:val="20"/>
                <w:szCs w:val="20"/>
                <w:color w:val="auto"/>
              </w:rPr>
            </w:pPr>
            <w:r>
              <w:rPr>
                <w:rFonts w:ascii="Arial" w:cs="Arial" w:eastAsia="Arial" w:hAnsi="Arial"/>
                <w:sz w:val="13"/>
                <w:szCs w:val="13"/>
                <w:color w:val="auto"/>
              </w:rPr>
              <w:t>Form of Registration Rights Agreement between the Registrant and Riverview Group, L.L.C.</w:t>
            </w:r>
          </w:p>
        </w:tc>
        <w:tc>
          <w:tcPr>
            <w:tcW w:w="0" w:type="dxa"/>
            <w:vAlign w:val="bottom"/>
          </w:tcPr>
          <w:p>
            <w:pPr>
              <w:spacing w:after="0"/>
              <w:rPr>
                <w:sz w:val="1"/>
                <w:szCs w:val="1"/>
                <w:color w:val="auto"/>
              </w:rPr>
            </w:pPr>
          </w:p>
        </w:tc>
      </w:tr>
      <w:tr>
        <w:trPr>
          <w:trHeight w:val="157"/>
        </w:trPr>
        <w:tc>
          <w:tcPr>
            <w:tcW w:w="2100" w:type="dxa"/>
            <w:vAlign w:val="bottom"/>
          </w:tcPr>
          <w:p>
            <w:pPr>
              <w:ind w:left="1280"/>
              <w:spacing w:after="0"/>
              <w:rPr>
                <w:sz w:val="20"/>
                <w:szCs w:val="20"/>
                <w:color w:val="auto"/>
              </w:rPr>
            </w:pPr>
            <w:r>
              <w:rPr>
                <w:rFonts w:ascii="Arial" w:cs="Arial" w:eastAsia="Arial" w:hAnsi="Arial"/>
                <w:sz w:val="13"/>
                <w:szCs w:val="13"/>
                <w:color w:val="auto"/>
              </w:rPr>
              <w:t>10.42&amp;&amp;&amp;</w:t>
            </w:r>
          </w:p>
        </w:tc>
        <w:tc>
          <w:tcPr>
            <w:tcW w:w="9360" w:type="dxa"/>
            <w:vAlign w:val="bottom"/>
            <w:gridSpan w:val="3"/>
          </w:tcPr>
          <w:p>
            <w:pPr>
              <w:ind w:left="100"/>
              <w:spacing w:after="0"/>
              <w:rPr>
                <w:sz w:val="20"/>
                <w:szCs w:val="20"/>
                <w:color w:val="auto"/>
              </w:rPr>
            </w:pPr>
            <w:r>
              <w:rPr>
                <w:rFonts w:ascii="Arial" w:cs="Arial" w:eastAsia="Arial" w:hAnsi="Arial"/>
                <w:sz w:val="13"/>
                <w:szCs w:val="13"/>
                <w:color w:val="auto"/>
              </w:rPr>
              <w:t>Securities Purchase Agreement, dated as of May 7, 2003, between the Registrant and Riverview Group, L.L.C.</w:t>
            </w:r>
          </w:p>
        </w:tc>
        <w:tc>
          <w:tcPr>
            <w:tcW w:w="0" w:type="dxa"/>
            <w:vAlign w:val="bottom"/>
          </w:tcPr>
          <w:p>
            <w:pPr>
              <w:spacing w:after="0"/>
              <w:rPr>
                <w:sz w:val="1"/>
                <w:szCs w:val="1"/>
                <w:color w:val="auto"/>
              </w:rPr>
            </w:pPr>
          </w:p>
        </w:tc>
      </w:tr>
      <w:tr>
        <w:trPr>
          <w:trHeight w:val="157"/>
        </w:trPr>
        <w:tc>
          <w:tcPr>
            <w:tcW w:w="2100" w:type="dxa"/>
            <w:vAlign w:val="bottom"/>
          </w:tcPr>
          <w:p>
            <w:pPr>
              <w:ind w:left="1280"/>
              <w:spacing w:after="0"/>
              <w:rPr>
                <w:sz w:val="20"/>
                <w:szCs w:val="20"/>
                <w:color w:val="auto"/>
              </w:rPr>
            </w:pPr>
            <w:r>
              <w:rPr>
                <w:rFonts w:ascii="Arial" w:cs="Arial" w:eastAsia="Arial" w:hAnsi="Arial"/>
                <w:sz w:val="13"/>
                <w:szCs w:val="13"/>
                <w:color w:val="auto"/>
              </w:rPr>
              <w:t>10.43%</w:t>
            </w:r>
          </w:p>
        </w:tc>
        <w:tc>
          <w:tcPr>
            <w:tcW w:w="9360" w:type="dxa"/>
            <w:vAlign w:val="bottom"/>
            <w:gridSpan w:val="3"/>
          </w:tcPr>
          <w:p>
            <w:pPr>
              <w:ind w:left="100"/>
              <w:spacing w:after="0"/>
              <w:rPr>
                <w:sz w:val="20"/>
                <w:szCs w:val="20"/>
                <w:color w:val="auto"/>
              </w:rPr>
            </w:pPr>
            <w:r>
              <w:rPr>
                <w:rFonts w:ascii="Arial" w:cs="Arial" w:eastAsia="Arial" w:hAnsi="Arial"/>
                <w:sz w:val="13"/>
                <w:szCs w:val="13"/>
                <w:color w:val="auto"/>
              </w:rPr>
              <w:t>Securities Purchase Agreement dated as of December 9, 2003, between the Registrant and Riverview Group, L.L.C.</w:t>
            </w:r>
          </w:p>
        </w:tc>
        <w:tc>
          <w:tcPr>
            <w:tcW w:w="0" w:type="dxa"/>
            <w:vAlign w:val="bottom"/>
          </w:tcPr>
          <w:p>
            <w:pPr>
              <w:spacing w:after="0"/>
              <w:rPr>
                <w:sz w:val="1"/>
                <w:szCs w:val="1"/>
                <w:color w:val="auto"/>
              </w:rPr>
            </w:pPr>
          </w:p>
        </w:tc>
      </w:tr>
      <w:tr>
        <w:trPr>
          <w:trHeight w:val="157"/>
        </w:trPr>
        <w:tc>
          <w:tcPr>
            <w:tcW w:w="2100" w:type="dxa"/>
            <w:vAlign w:val="bottom"/>
          </w:tcPr>
          <w:p>
            <w:pPr>
              <w:ind w:left="1280"/>
              <w:spacing w:after="0"/>
              <w:rPr>
                <w:sz w:val="20"/>
                <w:szCs w:val="20"/>
                <w:color w:val="auto"/>
              </w:rPr>
            </w:pPr>
            <w:r>
              <w:rPr>
                <w:rFonts w:ascii="Arial" w:cs="Arial" w:eastAsia="Arial" w:hAnsi="Arial"/>
                <w:sz w:val="13"/>
                <w:szCs w:val="13"/>
                <w:color w:val="auto"/>
              </w:rPr>
              <w:t>10.44ˆˆˆ</w:t>
            </w:r>
          </w:p>
        </w:tc>
        <w:tc>
          <w:tcPr>
            <w:tcW w:w="9360" w:type="dxa"/>
            <w:vAlign w:val="bottom"/>
            <w:gridSpan w:val="3"/>
          </w:tcPr>
          <w:p>
            <w:pPr>
              <w:ind w:left="100"/>
              <w:spacing w:after="0"/>
              <w:rPr>
                <w:sz w:val="20"/>
                <w:szCs w:val="20"/>
                <w:color w:val="auto"/>
              </w:rPr>
            </w:pPr>
            <w:r>
              <w:rPr>
                <w:rFonts w:ascii="Arial" w:cs="Arial" w:eastAsia="Arial" w:hAnsi="Arial"/>
                <w:sz w:val="13"/>
                <w:szCs w:val="13"/>
                <w:color w:val="auto"/>
              </w:rPr>
              <w:t>Form of Securities Purchase Agreement dated as of June 16, 2004 between the Registrant and certain Purchasers parties thereto.</w:t>
            </w:r>
          </w:p>
        </w:tc>
        <w:tc>
          <w:tcPr>
            <w:tcW w:w="0" w:type="dxa"/>
            <w:vAlign w:val="bottom"/>
          </w:tcPr>
          <w:p>
            <w:pPr>
              <w:spacing w:after="0"/>
              <w:rPr>
                <w:sz w:val="1"/>
                <w:szCs w:val="1"/>
                <w:color w:val="auto"/>
              </w:rPr>
            </w:pPr>
          </w:p>
        </w:tc>
      </w:tr>
      <w:tr>
        <w:trPr>
          <w:trHeight w:val="157"/>
        </w:trPr>
        <w:tc>
          <w:tcPr>
            <w:tcW w:w="2100" w:type="dxa"/>
            <w:vAlign w:val="bottom"/>
          </w:tcPr>
          <w:p>
            <w:pPr>
              <w:ind w:left="1280"/>
              <w:spacing w:after="0"/>
              <w:rPr>
                <w:sz w:val="20"/>
                <w:szCs w:val="20"/>
                <w:color w:val="auto"/>
              </w:rPr>
            </w:pPr>
            <w:r>
              <w:rPr>
                <w:rFonts w:ascii="Arial" w:cs="Arial" w:eastAsia="Arial" w:hAnsi="Arial"/>
                <w:sz w:val="13"/>
                <w:szCs w:val="13"/>
                <w:color w:val="auto"/>
              </w:rPr>
              <w:t>10.45ˆˆˆ</w:t>
            </w:r>
          </w:p>
        </w:tc>
        <w:tc>
          <w:tcPr>
            <w:tcW w:w="9360" w:type="dxa"/>
            <w:vAlign w:val="bottom"/>
            <w:gridSpan w:val="3"/>
          </w:tcPr>
          <w:p>
            <w:pPr>
              <w:ind w:left="100"/>
              <w:spacing w:after="0"/>
              <w:rPr>
                <w:sz w:val="20"/>
                <w:szCs w:val="20"/>
                <w:color w:val="auto"/>
              </w:rPr>
            </w:pPr>
            <w:r>
              <w:rPr>
                <w:rFonts w:ascii="Arial" w:cs="Arial" w:eastAsia="Arial" w:hAnsi="Arial"/>
                <w:sz w:val="13"/>
                <w:szCs w:val="13"/>
                <w:color w:val="auto"/>
              </w:rPr>
              <w:t>Form of Warrant.</w:t>
            </w:r>
          </w:p>
        </w:tc>
        <w:tc>
          <w:tcPr>
            <w:tcW w:w="0" w:type="dxa"/>
            <w:vAlign w:val="bottom"/>
          </w:tcPr>
          <w:p>
            <w:pPr>
              <w:spacing w:after="0"/>
              <w:rPr>
                <w:sz w:val="1"/>
                <w:szCs w:val="1"/>
                <w:color w:val="auto"/>
              </w:rPr>
            </w:pPr>
          </w:p>
        </w:tc>
      </w:tr>
      <w:tr>
        <w:trPr>
          <w:trHeight w:val="157"/>
        </w:trPr>
        <w:tc>
          <w:tcPr>
            <w:tcW w:w="2100" w:type="dxa"/>
            <w:vAlign w:val="bottom"/>
          </w:tcPr>
          <w:p>
            <w:pPr>
              <w:ind w:left="1280"/>
              <w:spacing w:after="0"/>
              <w:rPr>
                <w:sz w:val="20"/>
                <w:szCs w:val="20"/>
                <w:color w:val="auto"/>
              </w:rPr>
            </w:pPr>
            <w:r>
              <w:rPr>
                <w:rFonts w:ascii="Arial" w:cs="Arial" w:eastAsia="Arial" w:hAnsi="Arial"/>
                <w:sz w:val="13"/>
                <w:szCs w:val="13"/>
                <w:color w:val="auto"/>
              </w:rPr>
              <w:t>10.46ˆˆˆˆ</w:t>
            </w:r>
          </w:p>
        </w:tc>
        <w:tc>
          <w:tcPr>
            <w:tcW w:w="9360" w:type="dxa"/>
            <w:vAlign w:val="bottom"/>
            <w:gridSpan w:val="3"/>
          </w:tcPr>
          <w:p>
            <w:pPr>
              <w:ind w:left="100"/>
              <w:spacing w:after="0"/>
              <w:rPr>
                <w:sz w:val="20"/>
                <w:szCs w:val="20"/>
                <w:color w:val="auto"/>
              </w:rPr>
            </w:pPr>
            <w:r>
              <w:rPr>
                <w:rFonts w:ascii="Arial" w:cs="Arial" w:eastAsia="Arial" w:hAnsi="Arial"/>
                <w:sz w:val="13"/>
                <w:szCs w:val="13"/>
                <w:color w:val="auto"/>
              </w:rPr>
              <w:t>Amended and Restated 2004 Equity Incentive Plan of the Registrant.</w:t>
            </w:r>
          </w:p>
        </w:tc>
        <w:tc>
          <w:tcPr>
            <w:tcW w:w="0" w:type="dxa"/>
            <w:vAlign w:val="bottom"/>
          </w:tcPr>
          <w:p>
            <w:pPr>
              <w:spacing w:after="0"/>
              <w:rPr>
                <w:sz w:val="1"/>
                <w:szCs w:val="1"/>
                <w:color w:val="auto"/>
              </w:rPr>
            </w:pPr>
          </w:p>
        </w:tc>
      </w:tr>
      <w:tr>
        <w:trPr>
          <w:trHeight w:val="157"/>
        </w:trPr>
        <w:tc>
          <w:tcPr>
            <w:tcW w:w="2100" w:type="dxa"/>
            <w:vAlign w:val="bottom"/>
          </w:tcPr>
          <w:p>
            <w:pPr>
              <w:ind w:left="1280"/>
              <w:spacing w:after="0"/>
              <w:rPr>
                <w:sz w:val="20"/>
                <w:szCs w:val="20"/>
                <w:color w:val="auto"/>
              </w:rPr>
            </w:pPr>
            <w:r>
              <w:rPr>
                <w:rFonts w:ascii="Arial" w:cs="Arial" w:eastAsia="Arial" w:hAnsi="Arial"/>
                <w:sz w:val="13"/>
                <w:szCs w:val="13"/>
                <w:color w:val="auto"/>
              </w:rPr>
              <w:t>10.47§</w:t>
            </w:r>
          </w:p>
        </w:tc>
        <w:tc>
          <w:tcPr>
            <w:tcW w:w="9360" w:type="dxa"/>
            <w:vAlign w:val="bottom"/>
            <w:gridSpan w:val="3"/>
          </w:tcPr>
          <w:p>
            <w:pPr>
              <w:ind w:left="100"/>
              <w:spacing w:after="0"/>
              <w:rPr>
                <w:sz w:val="20"/>
                <w:szCs w:val="20"/>
                <w:color w:val="auto"/>
              </w:rPr>
            </w:pPr>
            <w:r>
              <w:rPr>
                <w:rFonts w:ascii="Arial" w:cs="Arial" w:eastAsia="Arial" w:hAnsi="Arial"/>
                <w:sz w:val="13"/>
                <w:szCs w:val="13"/>
                <w:color w:val="auto"/>
              </w:rPr>
              <w:t>License Agreement dated as of July 1, 2005 between the Registrant and ReNeuron Limited</w:t>
            </w:r>
          </w:p>
        </w:tc>
        <w:tc>
          <w:tcPr>
            <w:tcW w:w="0" w:type="dxa"/>
            <w:vAlign w:val="bottom"/>
          </w:tcPr>
          <w:p>
            <w:pPr>
              <w:spacing w:after="0"/>
              <w:rPr>
                <w:sz w:val="1"/>
                <w:szCs w:val="1"/>
                <w:color w:val="auto"/>
              </w:rPr>
            </w:pPr>
          </w:p>
        </w:tc>
      </w:tr>
      <w:tr>
        <w:trPr>
          <w:trHeight w:val="157"/>
        </w:trPr>
        <w:tc>
          <w:tcPr>
            <w:tcW w:w="2100" w:type="dxa"/>
            <w:vAlign w:val="bottom"/>
          </w:tcPr>
          <w:p>
            <w:pPr>
              <w:ind w:left="1280"/>
              <w:spacing w:after="0"/>
              <w:rPr>
                <w:sz w:val="20"/>
                <w:szCs w:val="20"/>
                <w:color w:val="auto"/>
              </w:rPr>
            </w:pPr>
            <w:r>
              <w:rPr>
                <w:rFonts w:ascii="Arial" w:cs="Arial" w:eastAsia="Arial" w:hAnsi="Arial"/>
                <w:sz w:val="13"/>
                <w:szCs w:val="13"/>
                <w:color w:val="auto"/>
              </w:rPr>
              <w:t>10.48§§</w:t>
            </w:r>
          </w:p>
        </w:tc>
        <w:tc>
          <w:tcPr>
            <w:tcW w:w="9360" w:type="dxa"/>
            <w:vAlign w:val="bottom"/>
            <w:gridSpan w:val="3"/>
          </w:tcPr>
          <w:p>
            <w:pPr>
              <w:ind w:left="100"/>
              <w:spacing w:after="0"/>
              <w:rPr>
                <w:sz w:val="20"/>
                <w:szCs w:val="20"/>
                <w:color w:val="auto"/>
              </w:rPr>
            </w:pPr>
            <w:r>
              <w:rPr>
                <w:rFonts w:ascii="Arial" w:cs="Arial" w:eastAsia="Arial" w:hAnsi="Arial"/>
                <w:sz w:val="13"/>
                <w:szCs w:val="13"/>
                <w:color w:val="auto"/>
              </w:rPr>
              <w:t>Letter Agreement effective as of September 6, 2005, between the Registrant and Rodney K.B. Young</w:t>
            </w:r>
          </w:p>
        </w:tc>
        <w:tc>
          <w:tcPr>
            <w:tcW w:w="0" w:type="dxa"/>
            <w:vAlign w:val="bottom"/>
          </w:tcPr>
          <w:p>
            <w:pPr>
              <w:spacing w:after="0"/>
              <w:rPr>
                <w:sz w:val="1"/>
                <w:szCs w:val="1"/>
                <w:color w:val="auto"/>
              </w:rPr>
            </w:pPr>
          </w:p>
        </w:tc>
      </w:tr>
      <w:tr>
        <w:trPr>
          <w:trHeight w:val="157"/>
        </w:trPr>
        <w:tc>
          <w:tcPr>
            <w:tcW w:w="2100" w:type="dxa"/>
            <w:vAlign w:val="bottom"/>
          </w:tcPr>
          <w:p>
            <w:pPr>
              <w:ind w:left="1280"/>
              <w:spacing w:after="0"/>
              <w:rPr>
                <w:sz w:val="20"/>
                <w:szCs w:val="20"/>
                <w:color w:val="auto"/>
              </w:rPr>
            </w:pPr>
            <w:r>
              <w:rPr>
                <w:rFonts w:ascii="Arial" w:cs="Arial" w:eastAsia="Arial" w:hAnsi="Arial"/>
                <w:sz w:val="13"/>
                <w:szCs w:val="13"/>
                <w:color w:val="auto"/>
              </w:rPr>
              <w:t>10.49§§</w:t>
            </w:r>
          </w:p>
        </w:tc>
        <w:tc>
          <w:tcPr>
            <w:tcW w:w="9360" w:type="dxa"/>
            <w:vAlign w:val="bottom"/>
            <w:gridSpan w:val="3"/>
          </w:tcPr>
          <w:p>
            <w:pPr>
              <w:ind w:left="100"/>
              <w:spacing w:after="0"/>
              <w:rPr>
                <w:sz w:val="20"/>
                <w:szCs w:val="20"/>
                <w:color w:val="auto"/>
              </w:rPr>
            </w:pPr>
            <w:r>
              <w:rPr>
                <w:rFonts w:ascii="Arial" w:cs="Arial" w:eastAsia="Arial" w:hAnsi="Arial"/>
                <w:sz w:val="13"/>
                <w:szCs w:val="13"/>
                <w:color w:val="auto"/>
              </w:rPr>
              <w:t>Consulting Agreement effective as of September 6, 2005 between the Registrant and Judi R. Lum</w:t>
            </w:r>
          </w:p>
        </w:tc>
        <w:tc>
          <w:tcPr>
            <w:tcW w:w="0" w:type="dxa"/>
            <w:vAlign w:val="bottom"/>
          </w:tcPr>
          <w:p>
            <w:pPr>
              <w:spacing w:after="0"/>
              <w:rPr>
                <w:sz w:val="1"/>
                <w:szCs w:val="1"/>
                <w:color w:val="auto"/>
              </w:rPr>
            </w:pPr>
          </w:p>
        </w:tc>
      </w:tr>
      <w:tr>
        <w:trPr>
          <w:trHeight w:val="157"/>
        </w:trPr>
        <w:tc>
          <w:tcPr>
            <w:tcW w:w="2100" w:type="dxa"/>
            <w:vAlign w:val="bottom"/>
          </w:tcPr>
          <w:p>
            <w:pPr>
              <w:ind w:left="1280"/>
              <w:spacing w:after="0"/>
              <w:rPr>
                <w:sz w:val="20"/>
                <w:szCs w:val="20"/>
                <w:color w:val="auto"/>
              </w:rPr>
            </w:pPr>
            <w:r>
              <w:rPr>
                <w:rFonts w:ascii="Arial" w:cs="Arial" w:eastAsia="Arial" w:hAnsi="Arial"/>
                <w:sz w:val="13"/>
                <w:szCs w:val="13"/>
                <w:color w:val="auto"/>
              </w:rPr>
              <w:t>14.1%%</w:t>
            </w:r>
          </w:p>
        </w:tc>
        <w:tc>
          <w:tcPr>
            <w:tcW w:w="9360" w:type="dxa"/>
            <w:vAlign w:val="bottom"/>
            <w:gridSpan w:val="3"/>
          </w:tcPr>
          <w:p>
            <w:pPr>
              <w:ind w:left="100"/>
              <w:spacing w:after="0"/>
              <w:rPr>
                <w:sz w:val="20"/>
                <w:szCs w:val="20"/>
                <w:color w:val="auto"/>
              </w:rPr>
            </w:pPr>
            <w:r>
              <w:rPr>
                <w:rFonts w:ascii="Arial" w:cs="Arial" w:eastAsia="Arial" w:hAnsi="Arial"/>
                <w:sz w:val="13"/>
                <w:szCs w:val="13"/>
                <w:color w:val="auto"/>
              </w:rPr>
              <w:t>Code of Ethics</w:t>
            </w:r>
          </w:p>
        </w:tc>
        <w:tc>
          <w:tcPr>
            <w:tcW w:w="0" w:type="dxa"/>
            <w:vAlign w:val="bottom"/>
          </w:tcPr>
          <w:p>
            <w:pPr>
              <w:spacing w:after="0"/>
              <w:rPr>
                <w:sz w:val="1"/>
                <w:szCs w:val="1"/>
                <w:color w:val="auto"/>
              </w:rPr>
            </w:pPr>
          </w:p>
        </w:tc>
      </w:tr>
      <w:tr>
        <w:trPr>
          <w:trHeight w:val="157"/>
        </w:trPr>
        <w:tc>
          <w:tcPr>
            <w:tcW w:w="2100" w:type="dxa"/>
            <w:vAlign w:val="bottom"/>
          </w:tcPr>
          <w:p>
            <w:pPr>
              <w:ind w:left="1280"/>
              <w:spacing w:after="0"/>
              <w:rPr>
                <w:sz w:val="20"/>
                <w:szCs w:val="20"/>
                <w:color w:val="auto"/>
              </w:rPr>
            </w:pPr>
            <w:r>
              <w:rPr>
                <w:rFonts w:ascii="Arial" w:cs="Arial" w:eastAsia="Arial" w:hAnsi="Arial"/>
                <w:sz w:val="13"/>
                <w:szCs w:val="13"/>
                <w:color w:val="auto"/>
              </w:rPr>
              <w:t>21X</w:t>
            </w:r>
          </w:p>
        </w:tc>
        <w:tc>
          <w:tcPr>
            <w:tcW w:w="9360" w:type="dxa"/>
            <w:vAlign w:val="bottom"/>
            <w:gridSpan w:val="3"/>
          </w:tcPr>
          <w:p>
            <w:pPr>
              <w:ind w:left="100"/>
              <w:spacing w:after="0"/>
              <w:rPr>
                <w:sz w:val="20"/>
                <w:szCs w:val="20"/>
                <w:color w:val="auto"/>
              </w:rPr>
            </w:pPr>
            <w:r>
              <w:rPr>
                <w:rFonts w:ascii="Arial" w:cs="Arial" w:eastAsia="Arial" w:hAnsi="Arial"/>
                <w:sz w:val="13"/>
                <w:szCs w:val="13"/>
                <w:color w:val="auto"/>
              </w:rPr>
              <w:t>Subsidiaries of the Registrant.</w:t>
            </w:r>
          </w:p>
        </w:tc>
        <w:tc>
          <w:tcPr>
            <w:tcW w:w="0" w:type="dxa"/>
            <w:vAlign w:val="bottom"/>
          </w:tcPr>
          <w:p>
            <w:pPr>
              <w:spacing w:after="0"/>
              <w:rPr>
                <w:sz w:val="1"/>
                <w:szCs w:val="1"/>
                <w:color w:val="auto"/>
              </w:rPr>
            </w:pPr>
          </w:p>
        </w:tc>
      </w:tr>
      <w:tr>
        <w:trPr>
          <w:trHeight w:val="165"/>
        </w:trPr>
        <w:tc>
          <w:tcPr>
            <w:tcW w:w="2100" w:type="dxa"/>
            <w:vAlign w:val="bottom"/>
          </w:tcPr>
          <w:p>
            <w:pPr>
              <w:ind w:left="1280"/>
              <w:spacing w:after="0"/>
              <w:rPr>
                <w:sz w:val="20"/>
                <w:szCs w:val="20"/>
                <w:color w:val="auto"/>
              </w:rPr>
            </w:pPr>
            <w:r>
              <w:rPr>
                <w:rFonts w:ascii="Arial" w:cs="Arial" w:eastAsia="Arial" w:hAnsi="Arial"/>
                <w:sz w:val="13"/>
                <w:szCs w:val="13"/>
                <w:color w:val="auto"/>
              </w:rPr>
              <w:t>23.1</w:t>
            </w:r>
          </w:p>
        </w:tc>
        <w:tc>
          <w:tcPr>
            <w:tcW w:w="9360" w:type="dxa"/>
            <w:vAlign w:val="bottom"/>
            <w:gridSpan w:val="3"/>
          </w:tcPr>
          <w:p>
            <w:pPr>
              <w:ind w:left="100"/>
              <w:spacing w:after="0"/>
              <w:rPr>
                <w:sz w:val="20"/>
                <w:szCs w:val="20"/>
                <w:color w:val="auto"/>
              </w:rPr>
            </w:pPr>
            <w:r>
              <w:rPr>
                <w:rFonts w:ascii="Arial" w:cs="Arial" w:eastAsia="Arial" w:hAnsi="Arial"/>
                <w:sz w:val="13"/>
                <w:szCs w:val="13"/>
                <w:color w:val="auto"/>
              </w:rPr>
              <w:t>Consent of Grant Thornton, LLP , Independent Registered Public Accounting Firm.</w:t>
            </w:r>
          </w:p>
        </w:tc>
        <w:tc>
          <w:tcPr>
            <w:tcW w:w="0" w:type="dxa"/>
            <w:vAlign w:val="bottom"/>
          </w:tcPr>
          <w:p>
            <w:pPr>
              <w:spacing w:after="0"/>
              <w:rPr>
                <w:sz w:val="1"/>
                <w:szCs w:val="1"/>
                <w:color w:val="auto"/>
              </w:rPr>
            </w:pPr>
          </w:p>
        </w:tc>
      </w:tr>
      <w:tr>
        <w:trPr>
          <w:trHeight w:val="163"/>
        </w:trPr>
        <w:tc>
          <w:tcPr>
            <w:tcW w:w="2100" w:type="dxa"/>
            <w:vAlign w:val="bottom"/>
            <w:tcBorders>
              <w:bottom w:val="single" w:sz="8" w:color="808080"/>
            </w:tcBorders>
          </w:tcPr>
          <w:p>
            <w:pPr>
              <w:spacing w:after="0"/>
              <w:rPr>
                <w:sz w:val="14"/>
                <w:szCs w:val="14"/>
                <w:color w:val="auto"/>
              </w:rPr>
            </w:pPr>
          </w:p>
        </w:tc>
        <w:tc>
          <w:tcPr>
            <w:tcW w:w="428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498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847725</wp:posOffset>
            </wp:positionH>
            <wp:positionV relativeFrom="paragraph">
              <wp:posOffset>-3342005</wp:posOffset>
            </wp:positionV>
            <wp:extent cx="12700" cy="635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78" w:name="page79"/>
    <w:bookmarkEnd w:id="78"/>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2" w:lineRule="exact"/>
        <w:rPr>
          <w:sz w:val="20"/>
          <w:szCs w:val="20"/>
          <w:color w:val="auto"/>
        </w:rPr>
      </w:pPr>
    </w:p>
    <w:tbl>
      <w:tblPr>
        <w:tblLayout w:type="fixed"/>
        <w:tblInd w:w="1180" w:type="dxa"/>
        <w:tblCellMar>
          <w:top w:w="0" w:type="dxa"/>
          <w:left w:w="0" w:type="dxa"/>
          <w:bottom w:w="0" w:type="dxa"/>
          <w:right w:w="0" w:type="dxa"/>
        </w:tblCellMar>
      </w:tblPr>
      <w:tr>
        <w:trPr>
          <w:trHeight w:val="115"/>
        </w:trPr>
        <w:tc>
          <w:tcPr>
            <w:tcW w:w="660" w:type="dxa"/>
            <w:vAlign w:val="bottom"/>
          </w:tcPr>
          <w:p>
            <w:pPr>
              <w:jc w:val="right"/>
              <w:ind w:right="279"/>
              <w:spacing w:after="0"/>
              <w:rPr>
                <w:sz w:val="20"/>
                <w:szCs w:val="20"/>
                <w:color w:val="auto"/>
              </w:rPr>
            </w:pPr>
            <w:r>
              <w:rPr>
                <w:rFonts w:ascii="Arial" w:cs="Arial" w:eastAsia="Arial" w:hAnsi="Arial"/>
                <w:sz w:val="10"/>
                <w:szCs w:val="10"/>
                <w:b w:val="1"/>
                <w:bCs w:val="1"/>
                <w:color w:val="auto"/>
                <w:w w:val="89"/>
              </w:rPr>
              <w:t>Exhibit</w:t>
            </w:r>
          </w:p>
        </w:tc>
        <w:tc>
          <w:tcPr>
            <w:tcW w:w="4540" w:type="dxa"/>
            <w:vAlign w:val="bottom"/>
            <w:vMerge w:val="restart"/>
          </w:tcPr>
          <w:p>
            <w:pPr>
              <w:spacing w:after="0"/>
              <w:rPr>
                <w:sz w:val="10"/>
                <w:szCs w:val="10"/>
                <w:color w:val="auto"/>
              </w:rPr>
            </w:pPr>
          </w:p>
        </w:tc>
        <w:tc>
          <w:tcPr>
            <w:tcW w:w="422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Title or Description</w:t>
            </w:r>
          </w:p>
        </w:tc>
        <w:tc>
          <w:tcPr>
            <w:tcW w:w="0" w:type="dxa"/>
            <w:vAlign w:val="bottom"/>
          </w:tcPr>
          <w:p>
            <w:pPr>
              <w:spacing w:after="0"/>
              <w:rPr>
                <w:sz w:val="1"/>
                <w:szCs w:val="1"/>
                <w:color w:val="auto"/>
              </w:rPr>
            </w:pPr>
          </w:p>
        </w:tc>
      </w:tr>
      <w:tr>
        <w:trPr>
          <w:trHeight w:val="135"/>
        </w:trPr>
        <w:tc>
          <w:tcPr>
            <w:tcW w:w="660" w:type="dxa"/>
            <w:vAlign w:val="bottom"/>
          </w:tcPr>
          <w:p>
            <w:pPr>
              <w:jc w:val="right"/>
              <w:ind w:right="299"/>
              <w:spacing w:after="0"/>
              <w:rPr>
                <w:sz w:val="20"/>
                <w:szCs w:val="20"/>
                <w:color w:val="auto"/>
              </w:rPr>
            </w:pPr>
            <w:r>
              <w:rPr>
                <w:rFonts w:ascii="Arial" w:cs="Arial" w:eastAsia="Arial" w:hAnsi="Arial"/>
                <w:sz w:val="10"/>
                <w:szCs w:val="10"/>
                <w:b w:val="1"/>
                <w:bCs w:val="1"/>
                <w:color w:val="auto"/>
              </w:rPr>
              <w:t>No.</w:t>
            </w:r>
          </w:p>
        </w:tc>
        <w:tc>
          <w:tcPr>
            <w:tcW w:w="4540" w:type="dxa"/>
            <w:vAlign w:val="bottom"/>
            <w:vMerge w:val="continue"/>
          </w:tcPr>
          <w:p>
            <w:pPr>
              <w:spacing w:after="0"/>
              <w:rPr>
                <w:sz w:val="11"/>
                <w:szCs w:val="11"/>
                <w:color w:val="auto"/>
              </w:rPr>
            </w:pPr>
          </w:p>
        </w:tc>
        <w:tc>
          <w:tcPr>
            <w:tcW w:w="42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660" w:type="dxa"/>
            <w:vAlign w:val="bottom"/>
          </w:tcPr>
          <w:p>
            <w:pPr>
              <w:jc w:val="right"/>
              <w:ind w:right="279"/>
              <w:spacing w:after="0"/>
              <w:rPr>
                <w:sz w:val="20"/>
                <w:szCs w:val="20"/>
                <w:color w:val="auto"/>
              </w:rPr>
            </w:pPr>
            <w:r>
              <w:rPr>
                <w:rFonts w:ascii="Arial" w:cs="Arial" w:eastAsia="Arial" w:hAnsi="Arial"/>
                <w:sz w:val="13"/>
                <w:szCs w:val="13"/>
                <w:color w:val="auto"/>
              </w:rPr>
              <w:t>31.1</w:t>
            </w:r>
          </w:p>
        </w:tc>
        <w:tc>
          <w:tcPr>
            <w:tcW w:w="8760" w:type="dxa"/>
            <w:vAlign w:val="bottom"/>
            <w:gridSpan w:val="3"/>
          </w:tcPr>
          <w:p>
            <w:pPr>
              <w:ind w:left="360"/>
              <w:spacing w:after="0"/>
              <w:rPr>
                <w:sz w:val="20"/>
                <w:szCs w:val="20"/>
                <w:color w:val="auto"/>
              </w:rPr>
            </w:pPr>
            <w:r>
              <w:rPr>
                <w:rFonts w:ascii="Arial" w:cs="Arial" w:eastAsia="Arial" w:hAnsi="Arial"/>
                <w:sz w:val="13"/>
                <w:szCs w:val="13"/>
                <w:color w:val="auto"/>
                <w:w w:val="92"/>
              </w:rPr>
              <w:t>Certification Pursuant to Securities Exchange Act Rule 13(a)-14(a), as Adopted Pursuant to Section 302 of the Sarbanes-Oxley Act of 2002 (Martin McGlynn,</w:t>
            </w:r>
          </w:p>
        </w:tc>
        <w:tc>
          <w:tcPr>
            <w:tcW w:w="0" w:type="dxa"/>
            <w:vAlign w:val="bottom"/>
          </w:tcPr>
          <w:p>
            <w:pPr>
              <w:spacing w:after="0"/>
              <w:rPr>
                <w:sz w:val="1"/>
                <w:szCs w:val="1"/>
                <w:color w:val="auto"/>
              </w:rPr>
            </w:pPr>
          </w:p>
        </w:tc>
      </w:tr>
      <w:tr>
        <w:trPr>
          <w:trHeight w:val="157"/>
        </w:trPr>
        <w:tc>
          <w:tcPr>
            <w:tcW w:w="660" w:type="dxa"/>
            <w:vAlign w:val="bottom"/>
          </w:tcPr>
          <w:p>
            <w:pPr>
              <w:spacing w:after="0"/>
              <w:rPr>
                <w:sz w:val="13"/>
                <w:szCs w:val="13"/>
                <w:color w:val="auto"/>
              </w:rPr>
            </w:pPr>
          </w:p>
        </w:tc>
        <w:tc>
          <w:tcPr>
            <w:tcW w:w="8760" w:type="dxa"/>
            <w:vAlign w:val="bottom"/>
            <w:gridSpan w:val="3"/>
          </w:tcPr>
          <w:p>
            <w:pPr>
              <w:ind w:left="360"/>
              <w:spacing w:after="0"/>
              <w:rPr>
                <w:sz w:val="20"/>
                <w:szCs w:val="20"/>
                <w:color w:val="auto"/>
              </w:rPr>
            </w:pPr>
            <w:r>
              <w:rPr>
                <w:rFonts w:ascii="Arial" w:cs="Arial" w:eastAsia="Arial" w:hAnsi="Arial"/>
                <w:sz w:val="13"/>
                <w:szCs w:val="13"/>
                <w:color w:val="auto"/>
              </w:rPr>
              <w:t>Chief Executive Officer).</w:t>
            </w:r>
          </w:p>
        </w:tc>
        <w:tc>
          <w:tcPr>
            <w:tcW w:w="0" w:type="dxa"/>
            <w:vAlign w:val="bottom"/>
          </w:tcPr>
          <w:p>
            <w:pPr>
              <w:spacing w:after="0"/>
              <w:rPr>
                <w:sz w:val="1"/>
                <w:szCs w:val="1"/>
                <w:color w:val="auto"/>
              </w:rPr>
            </w:pPr>
          </w:p>
        </w:tc>
      </w:tr>
      <w:tr>
        <w:trPr>
          <w:trHeight w:val="157"/>
        </w:trPr>
        <w:tc>
          <w:tcPr>
            <w:tcW w:w="660" w:type="dxa"/>
            <w:vAlign w:val="bottom"/>
          </w:tcPr>
          <w:p>
            <w:pPr>
              <w:jc w:val="right"/>
              <w:ind w:right="279"/>
              <w:spacing w:after="0"/>
              <w:rPr>
                <w:sz w:val="20"/>
                <w:szCs w:val="20"/>
                <w:color w:val="auto"/>
              </w:rPr>
            </w:pPr>
            <w:r>
              <w:rPr>
                <w:rFonts w:ascii="Arial" w:cs="Arial" w:eastAsia="Arial" w:hAnsi="Arial"/>
                <w:sz w:val="13"/>
                <w:szCs w:val="13"/>
                <w:color w:val="auto"/>
              </w:rPr>
              <w:t>31.2</w:t>
            </w:r>
          </w:p>
        </w:tc>
        <w:tc>
          <w:tcPr>
            <w:tcW w:w="8760" w:type="dxa"/>
            <w:vAlign w:val="bottom"/>
            <w:gridSpan w:val="3"/>
          </w:tcPr>
          <w:p>
            <w:pPr>
              <w:ind w:left="360"/>
              <w:spacing w:after="0"/>
              <w:rPr>
                <w:sz w:val="20"/>
                <w:szCs w:val="20"/>
                <w:color w:val="auto"/>
              </w:rPr>
            </w:pPr>
            <w:r>
              <w:rPr>
                <w:rFonts w:ascii="Arial" w:cs="Arial" w:eastAsia="Arial" w:hAnsi="Arial"/>
                <w:sz w:val="13"/>
                <w:szCs w:val="13"/>
                <w:color w:val="auto"/>
                <w:w w:val="95"/>
              </w:rPr>
              <w:t>Certification Pursuant to Securities Exchange Act Rule 13(a)-14(a), as Adopted Pursuant to Section 302 of the Sarbanes-Oxley Act of 2002 (Rodney K.B.</w:t>
            </w:r>
          </w:p>
        </w:tc>
        <w:tc>
          <w:tcPr>
            <w:tcW w:w="0" w:type="dxa"/>
            <w:vAlign w:val="bottom"/>
          </w:tcPr>
          <w:p>
            <w:pPr>
              <w:spacing w:after="0"/>
              <w:rPr>
                <w:sz w:val="1"/>
                <w:szCs w:val="1"/>
                <w:color w:val="auto"/>
              </w:rPr>
            </w:pPr>
          </w:p>
        </w:tc>
      </w:tr>
      <w:tr>
        <w:trPr>
          <w:trHeight w:val="157"/>
        </w:trPr>
        <w:tc>
          <w:tcPr>
            <w:tcW w:w="660" w:type="dxa"/>
            <w:vAlign w:val="bottom"/>
          </w:tcPr>
          <w:p>
            <w:pPr>
              <w:spacing w:after="0"/>
              <w:rPr>
                <w:sz w:val="13"/>
                <w:szCs w:val="13"/>
                <w:color w:val="auto"/>
              </w:rPr>
            </w:pPr>
          </w:p>
        </w:tc>
        <w:tc>
          <w:tcPr>
            <w:tcW w:w="8760" w:type="dxa"/>
            <w:vAlign w:val="bottom"/>
            <w:gridSpan w:val="3"/>
          </w:tcPr>
          <w:p>
            <w:pPr>
              <w:ind w:left="360"/>
              <w:spacing w:after="0"/>
              <w:rPr>
                <w:sz w:val="20"/>
                <w:szCs w:val="20"/>
                <w:color w:val="auto"/>
              </w:rPr>
            </w:pPr>
            <w:r>
              <w:rPr>
                <w:rFonts w:ascii="Arial" w:cs="Arial" w:eastAsia="Arial" w:hAnsi="Arial"/>
                <w:sz w:val="13"/>
                <w:szCs w:val="13"/>
                <w:color w:val="auto"/>
              </w:rPr>
              <w:t>Young, Chief Financial Officer).</w:t>
            </w:r>
          </w:p>
        </w:tc>
        <w:tc>
          <w:tcPr>
            <w:tcW w:w="0" w:type="dxa"/>
            <w:vAlign w:val="bottom"/>
          </w:tcPr>
          <w:p>
            <w:pPr>
              <w:spacing w:after="0"/>
              <w:rPr>
                <w:sz w:val="1"/>
                <w:szCs w:val="1"/>
                <w:color w:val="auto"/>
              </w:rPr>
            </w:pPr>
          </w:p>
        </w:tc>
      </w:tr>
      <w:tr>
        <w:trPr>
          <w:trHeight w:val="157"/>
        </w:trPr>
        <w:tc>
          <w:tcPr>
            <w:tcW w:w="660" w:type="dxa"/>
            <w:vAlign w:val="bottom"/>
          </w:tcPr>
          <w:p>
            <w:pPr>
              <w:jc w:val="right"/>
              <w:ind w:right="279"/>
              <w:spacing w:after="0"/>
              <w:rPr>
                <w:sz w:val="20"/>
                <w:szCs w:val="20"/>
                <w:color w:val="auto"/>
              </w:rPr>
            </w:pPr>
            <w:r>
              <w:rPr>
                <w:rFonts w:ascii="Arial" w:cs="Arial" w:eastAsia="Arial" w:hAnsi="Arial"/>
                <w:sz w:val="13"/>
                <w:szCs w:val="13"/>
                <w:color w:val="auto"/>
              </w:rPr>
              <w:t>32.1</w:t>
            </w:r>
          </w:p>
        </w:tc>
        <w:tc>
          <w:tcPr>
            <w:tcW w:w="8760" w:type="dxa"/>
            <w:vAlign w:val="bottom"/>
            <w:gridSpan w:val="3"/>
          </w:tcPr>
          <w:p>
            <w:pPr>
              <w:ind w:left="360"/>
              <w:spacing w:after="0"/>
              <w:rPr>
                <w:sz w:val="20"/>
                <w:szCs w:val="20"/>
                <w:color w:val="auto"/>
              </w:rPr>
            </w:pPr>
            <w:r>
              <w:rPr>
                <w:rFonts w:ascii="Arial" w:cs="Arial" w:eastAsia="Arial" w:hAnsi="Arial"/>
                <w:sz w:val="13"/>
                <w:szCs w:val="13"/>
                <w:color w:val="auto"/>
                <w:w w:val="93"/>
              </w:rPr>
              <w:t>Certification Pursuant to 18 U.S.C. Section 1350, As Adopted Pursuant to Section 906 of the Sarbanes-Oxley Act of 2002 (Martin McGlynn, Chief Executive</w:t>
            </w:r>
          </w:p>
        </w:tc>
        <w:tc>
          <w:tcPr>
            <w:tcW w:w="0" w:type="dxa"/>
            <w:vAlign w:val="bottom"/>
          </w:tcPr>
          <w:p>
            <w:pPr>
              <w:spacing w:after="0"/>
              <w:rPr>
                <w:sz w:val="1"/>
                <w:szCs w:val="1"/>
                <w:color w:val="auto"/>
              </w:rPr>
            </w:pPr>
          </w:p>
        </w:tc>
      </w:tr>
      <w:tr>
        <w:trPr>
          <w:trHeight w:val="157"/>
        </w:trPr>
        <w:tc>
          <w:tcPr>
            <w:tcW w:w="660" w:type="dxa"/>
            <w:vAlign w:val="bottom"/>
          </w:tcPr>
          <w:p>
            <w:pPr>
              <w:spacing w:after="0"/>
              <w:rPr>
                <w:sz w:val="13"/>
                <w:szCs w:val="13"/>
                <w:color w:val="auto"/>
              </w:rPr>
            </w:pPr>
          </w:p>
        </w:tc>
        <w:tc>
          <w:tcPr>
            <w:tcW w:w="8760" w:type="dxa"/>
            <w:vAlign w:val="bottom"/>
            <w:gridSpan w:val="3"/>
          </w:tcPr>
          <w:p>
            <w:pPr>
              <w:ind w:left="360"/>
              <w:spacing w:after="0"/>
              <w:rPr>
                <w:sz w:val="20"/>
                <w:szCs w:val="20"/>
                <w:color w:val="auto"/>
              </w:rPr>
            </w:pPr>
            <w:r>
              <w:rPr>
                <w:rFonts w:ascii="Arial" w:cs="Arial" w:eastAsia="Arial" w:hAnsi="Arial"/>
                <w:sz w:val="13"/>
                <w:szCs w:val="13"/>
                <w:color w:val="auto"/>
              </w:rPr>
              <w:t>Officer)</w:t>
            </w:r>
          </w:p>
        </w:tc>
        <w:tc>
          <w:tcPr>
            <w:tcW w:w="0" w:type="dxa"/>
            <w:vAlign w:val="bottom"/>
          </w:tcPr>
          <w:p>
            <w:pPr>
              <w:spacing w:after="0"/>
              <w:rPr>
                <w:sz w:val="1"/>
                <w:szCs w:val="1"/>
                <w:color w:val="auto"/>
              </w:rPr>
            </w:pPr>
          </w:p>
        </w:tc>
      </w:tr>
      <w:tr>
        <w:trPr>
          <w:trHeight w:val="157"/>
        </w:trPr>
        <w:tc>
          <w:tcPr>
            <w:tcW w:w="660" w:type="dxa"/>
            <w:vAlign w:val="bottom"/>
          </w:tcPr>
          <w:p>
            <w:pPr>
              <w:jc w:val="right"/>
              <w:ind w:right="279"/>
              <w:spacing w:after="0"/>
              <w:rPr>
                <w:sz w:val="20"/>
                <w:szCs w:val="20"/>
                <w:color w:val="auto"/>
              </w:rPr>
            </w:pPr>
            <w:r>
              <w:rPr>
                <w:rFonts w:ascii="Arial" w:cs="Arial" w:eastAsia="Arial" w:hAnsi="Arial"/>
                <w:sz w:val="13"/>
                <w:szCs w:val="13"/>
                <w:color w:val="auto"/>
              </w:rPr>
              <w:t>32.2</w:t>
            </w:r>
          </w:p>
        </w:tc>
        <w:tc>
          <w:tcPr>
            <w:tcW w:w="8760" w:type="dxa"/>
            <w:vAlign w:val="bottom"/>
            <w:gridSpan w:val="3"/>
          </w:tcPr>
          <w:p>
            <w:pPr>
              <w:ind w:left="360"/>
              <w:spacing w:after="0"/>
              <w:rPr>
                <w:sz w:val="20"/>
                <w:szCs w:val="20"/>
                <w:color w:val="auto"/>
              </w:rPr>
            </w:pPr>
            <w:r>
              <w:rPr>
                <w:rFonts w:ascii="Arial" w:cs="Arial" w:eastAsia="Arial" w:hAnsi="Arial"/>
                <w:sz w:val="13"/>
                <w:szCs w:val="13"/>
                <w:color w:val="auto"/>
                <w:w w:val="91"/>
              </w:rPr>
              <w:t>Certification Pursuant to 18 U.S.C. Section 1350, As Adopted Pursuant to Section 906 of the Sarbanes-Oxley Act of 2002 (Rodney K.B. Young, Chief Financial</w:t>
            </w:r>
          </w:p>
        </w:tc>
        <w:tc>
          <w:tcPr>
            <w:tcW w:w="0" w:type="dxa"/>
            <w:vAlign w:val="bottom"/>
          </w:tcPr>
          <w:p>
            <w:pPr>
              <w:spacing w:after="0"/>
              <w:rPr>
                <w:sz w:val="1"/>
                <w:szCs w:val="1"/>
                <w:color w:val="auto"/>
              </w:rPr>
            </w:pPr>
          </w:p>
        </w:tc>
      </w:tr>
      <w:tr>
        <w:trPr>
          <w:trHeight w:val="165"/>
        </w:trPr>
        <w:tc>
          <w:tcPr>
            <w:tcW w:w="660" w:type="dxa"/>
            <w:vAlign w:val="bottom"/>
          </w:tcPr>
          <w:p>
            <w:pPr>
              <w:spacing w:after="0"/>
              <w:rPr>
                <w:sz w:val="14"/>
                <w:szCs w:val="14"/>
                <w:color w:val="auto"/>
              </w:rPr>
            </w:pPr>
          </w:p>
        </w:tc>
        <w:tc>
          <w:tcPr>
            <w:tcW w:w="8760" w:type="dxa"/>
            <w:vAlign w:val="bottom"/>
            <w:gridSpan w:val="3"/>
          </w:tcPr>
          <w:p>
            <w:pPr>
              <w:ind w:left="360"/>
              <w:spacing w:after="0"/>
              <w:rPr>
                <w:sz w:val="20"/>
                <w:szCs w:val="20"/>
                <w:color w:val="auto"/>
              </w:rPr>
            </w:pPr>
            <w:r>
              <w:rPr>
                <w:rFonts w:ascii="Arial" w:cs="Arial" w:eastAsia="Arial" w:hAnsi="Arial"/>
                <w:sz w:val="13"/>
                <w:szCs w:val="13"/>
                <w:color w:val="auto"/>
              </w:rPr>
              <w:t>Officer)</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847725</wp:posOffset>
            </wp:positionH>
            <wp:positionV relativeFrom="paragraph">
              <wp:posOffset>-828675</wp:posOffset>
            </wp:positionV>
            <wp:extent cx="6350" cy="635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436245</wp:posOffset>
            </wp:positionH>
            <wp:positionV relativeFrom="paragraph">
              <wp:posOffset>63500</wp:posOffset>
            </wp:positionV>
            <wp:extent cx="823595" cy="635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823595" cy="6350"/>
                    </a:xfrm>
                    <a:prstGeom prst="rect">
                      <a:avLst/>
                    </a:prstGeom>
                    <a:noFill/>
                  </pic:spPr>
                </pic:pic>
              </a:graphicData>
            </a:graphic>
          </wp:anchor>
        </w:drawing>
      </w:r>
    </w:p>
    <w:p>
      <w:pPr>
        <w:spacing w:after="0" w:line="130" w:lineRule="exact"/>
        <w:rPr>
          <w:sz w:val="20"/>
          <w:szCs w:val="20"/>
          <w:color w:val="auto"/>
        </w:rPr>
      </w:pPr>
    </w:p>
    <w:p>
      <w:pPr>
        <w:ind w:left="1400" w:hanging="713"/>
        <w:spacing w:after="0"/>
        <w:tabs>
          <w:tab w:leader="none" w:pos="1400" w:val="left"/>
        </w:tabs>
        <w:numPr>
          <w:ilvl w:val="0"/>
          <w:numId w:val="63"/>
        </w:numPr>
        <w:rPr>
          <w:rFonts w:ascii="Arial" w:cs="Arial" w:eastAsia="Arial" w:hAnsi="Arial"/>
          <w:sz w:val="12"/>
          <w:szCs w:val="12"/>
          <w:color w:val="auto"/>
        </w:rPr>
      </w:pPr>
      <w:r>
        <w:rPr>
          <w:rFonts w:ascii="Arial" w:cs="Arial" w:eastAsia="Arial" w:hAnsi="Arial"/>
          <w:sz w:val="12"/>
          <w:szCs w:val="12"/>
          <w:color w:val="auto"/>
        </w:rPr>
        <w:t>Previously filed with the Commission as Exhibits to, and incorporated herein by reference to, the Registrant’s Registration Statement on Form S-1, File No. 33-85494.</w:t>
      </w:r>
    </w:p>
    <w:p>
      <w:pPr>
        <w:spacing w:after="0" w:line="59" w:lineRule="exact"/>
        <w:rPr>
          <w:sz w:val="20"/>
          <w:szCs w:val="20"/>
          <w:color w:val="auto"/>
        </w:rPr>
      </w:pPr>
    </w:p>
    <w:p>
      <w:pPr>
        <w:ind w:left="1400" w:hanging="713"/>
        <w:spacing w:after="0"/>
        <w:tabs>
          <w:tab w:leader="none" w:pos="1400" w:val="left"/>
        </w:tabs>
        <w:numPr>
          <w:ilvl w:val="0"/>
          <w:numId w:val="64"/>
        </w:numPr>
        <w:rPr>
          <w:rFonts w:ascii="Arial" w:cs="Arial" w:eastAsia="Arial" w:hAnsi="Arial"/>
          <w:sz w:val="12"/>
          <w:szCs w:val="12"/>
          <w:color w:val="auto"/>
        </w:rPr>
      </w:pPr>
      <w:r>
        <w:rPr>
          <w:rFonts w:ascii="Arial" w:cs="Arial" w:eastAsia="Arial" w:hAnsi="Arial"/>
          <w:sz w:val="12"/>
          <w:szCs w:val="12"/>
          <w:color w:val="auto"/>
        </w:rPr>
        <w:t>Previously filed with the Commission as Exhibits to, and incorporated herein by reference to, the Registrant’s Registration Statement on Form S-3, File No. 33-97272.</w:t>
      </w:r>
    </w:p>
    <w:p>
      <w:pPr>
        <w:spacing w:after="0" w:line="58" w:lineRule="exact"/>
        <w:rPr>
          <w:rFonts w:ascii="Arial" w:cs="Arial" w:eastAsia="Arial" w:hAnsi="Arial"/>
          <w:sz w:val="12"/>
          <w:szCs w:val="12"/>
          <w:color w:val="auto"/>
        </w:rPr>
      </w:pPr>
    </w:p>
    <w:p>
      <w:pPr>
        <w:ind w:left="680"/>
        <w:spacing w:after="0"/>
        <w:rPr>
          <w:rFonts w:ascii="Arial" w:cs="Arial" w:eastAsia="Arial" w:hAnsi="Arial"/>
          <w:sz w:val="12"/>
          <w:szCs w:val="12"/>
          <w:color w:val="auto"/>
        </w:rPr>
      </w:pPr>
      <w:r>
        <w:rPr>
          <w:rFonts w:ascii="Arial" w:cs="Arial" w:eastAsia="Arial" w:hAnsi="Arial"/>
          <w:sz w:val="13"/>
          <w:szCs w:val="13"/>
          <w:color w:val="auto"/>
        </w:rPr>
        <w:t>++++</w:t>
      </w:r>
      <w:r>
        <w:rPr>
          <w:rFonts w:ascii="Arial" w:cs="Arial" w:eastAsia="Arial" w:hAnsi="Arial"/>
          <w:sz w:val="11"/>
          <w:szCs w:val="11"/>
          <w:color w:val="auto"/>
        </w:rPr>
        <w:t>Previously filed with the Commission as Exhibits to, and incorporated herein by reference to, the Registrant’s Registration Statement on Form S-1, File No. 33-91228.</w:t>
      </w:r>
    </w:p>
    <w:p>
      <w:pPr>
        <w:spacing w:after="0" w:line="47" w:lineRule="exact"/>
        <w:rPr>
          <w:sz w:val="20"/>
          <w:szCs w:val="20"/>
          <w:color w:val="auto"/>
        </w:rPr>
      </w:pPr>
    </w:p>
    <w:p>
      <w:pPr>
        <w:ind w:left="1400" w:hanging="713"/>
        <w:spacing w:after="0"/>
        <w:tabs>
          <w:tab w:leader="none" w:pos="1400" w:val="left"/>
        </w:tabs>
        <w:numPr>
          <w:ilvl w:val="0"/>
          <w:numId w:val="65"/>
        </w:numPr>
        <w:rPr>
          <w:rFonts w:ascii="Arial" w:cs="Arial" w:eastAsia="Arial" w:hAnsi="Arial"/>
          <w:sz w:val="13"/>
          <w:szCs w:val="13"/>
          <w:color w:val="auto"/>
        </w:rPr>
      </w:pPr>
      <w:r>
        <w:rPr>
          <w:rFonts w:ascii="Arial" w:cs="Arial" w:eastAsia="Arial" w:hAnsi="Arial"/>
          <w:sz w:val="13"/>
          <w:szCs w:val="13"/>
          <w:color w:val="auto"/>
        </w:rPr>
        <w:t>Previously filed with the Commission as Exhibits to, and incorporated herein by reference to, Registration Statement on Form S-1, File No. 33-45739.</w:t>
      </w:r>
    </w:p>
    <w:p>
      <w:pPr>
        <w:spacing w:after="0" w:line="47" w:lineRule="exact"/>
        <w:rPr>
          <w:sz w:val="20"/>
          <w:szCs w:val="20"/>
          <w:color w:val="auto"/>
        </w:rPr>
      </w:pPr>
    </w:p>
    <w:p>
      <w:pPr>
        <w:ind w:left="1400" w:hanging="713"/>
        <w:spacing w:after="0" w:line="276" w:lineRule="auto"/>
        <w:tabs>
          <w:tab w:leader="none" w:pos="1400" w:val="left"/>
        </w:tabs>
        <w:numPr>
          <w:ilvl w:val="0"/>
          <w:numId w:val="66"/>
        </w:numPr>
        <w:rPr>
          <w:rFonts w:ascii="Arial" w:cs="Arial" w:eastAsia="Arial" w:hAnsi="Arial"/>
          <w:sz w:val="13"/>
          <w:szCs w:val="13"/>
          <w:color w:val="auto"/>
        </w:rPr>
      </w:pPr>
      <w:r>
        <w:rPr>
          <w:rFonts w:ascii="Arial" w:cs="Arial" w:eastAsia="Arial" w:hAnsi="Arial"/>
          <w:sz w:val="13"/>
          <w:szCs w:val="13"/>
          <w:color w:val="auto"/>
        </w:rPr>
        <w:t>Previously filed with the Commission as Exhibits to, and incorporated herein by reference to, the Registrant’s Annual Report on Form 10-K for fiscal year ended December 31, 1992 and filed March 30, 1993.</w:t>
      </w:r>
    </w:p>
    <w:p>
      <w:pPr>
        <w:spacing w:after="0" w:line="10" w:lineRule="exact"/>
        <w:rPr>
          <w:sz w:val="20"/>
          <w:szCs w:val="20"/>
          <w:color w:val="auto"/>
        </w:rPr>
      </w:pPr>
    </w:p>
    <w:p>
      <w:pPr>
        <w:ind w:left="1400" w:right="100" w:hanging="713"/>
        <w:spacing w:after="0" w:line="276" w:lineRule="auto"/>
        <w:tabs>
          <w:tab w:leader="none" w:pos="1400" w:val="left"/>
        </w:tabs>
        <w:numPr>
          <w:ilvl w:val="0"/>
          <w:numId w:val="67"/>
        </w:numPr>
        <w:rPr>
          <w:rFonts w:ascii="Arial" w:cs="Arial" w:eastAsia="Arial" w:hAnsi="Arial"/>
          <w:sz w:val="13"/>
          <w:szCs w:val="13"/>
          <w:color w:val="auto"/>
        </w:rPr>
      </w:pPr>
      <w:r>
        <w:rPr>
          <w:rFonts w:ascii="Arial" w:cs="Arial" w:eastAsia="Arial" w:hAnsi="Arial"/>
          <w:sz w:val="13"/>
          <w:szCs w:val="13"/>
          <w:color w:val="auto"/>
        </w:rPr>
        <w:t>Confidential treatment requested as to certain portions. The term “confidential treatment” and the mark “**” as used throughout the indicated Exhibits mean that material has been omitted and separately filed with the Commission.</w:t>
      </w:r>
    </w:p>
    <w:p>
      <w:pPr>
        <w:spacing w:after="0" w:line="10" w:lineRule="exact"/>
        <w:rPr>
          <w:sz w:val="20"/>
          <w:szCs w:val="20"/>
          <w:color w:val="auto"/>
        </w:rPr>
      </w:pPr>
    </w:p>
    <w:p>
      <w:pPr>
        <w:ind w:left="1400" w:right="60" w:hanging="713"/>
        <w:spacing w:after="0" w:line="276" w:lineRule="auto"/>
        <w:tabs>
          <w:tab w:leader="none" w:pos="1400" w:val="left"/>
        </w:tabs>
        <w:numPr>
          <w:ilvl w:val="0"/>
          <w:numId w:val="68"/>
        </w:numPr>
        <w:rPr>
          <w:rFonts w:ascii="Arial" w:cs="Arial" w:eastAsia="Arial" w:hAnsi="Arial"/>
          <w:sz w:val="13"/>
          <w:szCs w:val="13"/>
          <w:color w:val="auto"/>
        </w:rPr>
      </w:pPr>
      <w:r>
        <w:rPr>
          <w:rFonts w:ascii="Arial" w:cs="Arial" w:eastAsia="Arial" w:hAnsi="Arial"/>
          <w:sz w:val="13"/>
          <w:szCs w:val="13"/>
          <w:color w:val="auto"/>
        </w:rPr>
        <w:t>Previously filed with the Commission as Exhibits to, and incorporated herein by reference to, the Registrant’s Quarterly Report on Form 10-Q for the quarter ended March 31, 1994 and filed on May 14, 1994.</w:t>
      </w:r>
    </w:p>
    <w:p>
      <w:pPr>
        <w:spacing w:after="0" w:line="10" w:lineRule="exact"/>
        <w:rPr>
          <w:sz w:val="20"/>
          <w:szCs w:val="20"/>
          <w:color w:val="auto"/>
        </w:rPr>
      </w:pPr>
    </w:p>
    <w:p>
      <w:pPr>
        <w:ind w:left="1400" w:right="580" w:hanging="713"/>
        <w:spacing w:after="0" w:line="276" w:lineRule="auto"/>
        <w:tabs>
          <w:tab w:leader="none" w:pos="1400" w:val="left"/>
        </w:tabs>
        <w:numPr>
          <w:ilvl w:val="0"/>
          <w:numId w:val="69"/>
        </w:numPr>
        <w:rPr>
          <w:rFonts w:ascii="Arial" w:cs="Arial" w:eastAsia="Arial" w:hAnsi="Arial"/>
          <w:sz w:val="13"/>
          <w:szCs w:val="13"/>
          <w:color w:val="auto"/>
        </w:rPr>
      </w:pPr>
      <w:r>
        <w:rPr>
          <w:rFonts w:ascii="Arial" w:cs="Arial" w:eastAsia="Arial" w:hAnsi="Arial"/>
          <w:sz w:val="13"/>
          <w:szCs w:val="13"/>
          <w:color w:val="auto"/>
        </w:rPr>
        <w:t>Previously filed with the Commission as Exhibits to, and incorporated herein by reference to, the Registrant’s Annual Report on Form 10-K for the fiscal year ended December 31, 1993 and filed on March 30, 1994.</w:t>
      </w:r>
    </w:p>
    <w:p>
      <w:pPr>
        <w:spacing w:after="0" w:line="10" w:lineRule="exact"/>
        <w:rPr>
          <w:sz w:val="20"/>
          <w:szCs w:val="20"/>
          <w:color w:val="auto"/>
        </w:rPr>
      </w:pPr>
    </w:p>
    <w:p>
      <w:pPr>
        <w:ind w:left="1400" w:hanging="713"/>
        <w:spacing w:after="0"/>
        <w:tabs>
          <w:tab w:leader="none" w:pos="1400" w:val="left"/>
        </w:tabs>
        <w:numPr>
          <w:ilvl w:val="0"/>
          <w:numId w:val="70"/>
        </w:numPr>
        <w:rPr>
          <w:rFonts w:ascii="Arial" w:cs="Arial" w:eastAsia="Arial" w:hAnsi="Arial"/>
          <w:sz w:val="11"/>
          <w:szCs w:val="11"/>
          <w:color w:val="auto"/>
        </w:rPr>
      </w:pPr>
      <w:r>
        <w:rPr>
          <w:rFonts w:ascii="Arial" w:cs="Arial" w:eastAsia="Arial" w:hAnsi="Arial"/>
          <w:sz w:val="11"/>
          <w:szCs w:val="11"/>
          <w:color w:val="auto"/>
        </w:rPr>
        <w:t>Previously filed with the Commission as an Exhibit to and incorporated by reference to, the Registrant’s Quarterly Report on Form 10-Q for the quarter ended March 31, 1996.</w:t>
      </w:r>
    </w:p>
    <w:p>
      <w:pPr>
        <w:spacing w:after="0" w:line="70" w:lineRule="exact"/>
        <w:rPr>
          <w:sz w:val="20"/>
          <w:szCs w:val="20"/>
          <w:color w:val="auto"/>
        </w:rPr>
      </w:pPr>
    </w:p>
    <w:p>
      <w:pPr>
        <w:ind w:left="1400" w:right="120" w:hanging="713"/>
        <w:spacing w:after="0" w:line="276" w:lineRule="auto"/>
        <w:tabs>
          <w:tab w:leader="none" w:pos="1400" w:val="left"/>
        </w:tabs>
        <w:numPr>
          <w:ilvl w:val="0"/>
          <w:numId w:val="71"/>
        </w:numPr>
        <w:rPr>
          <w:rFonts w:ascii="Arial" w:cs="Arial" w:eastAsia="Arial" w:hAnsi="Arial"/>
          <w:sz w:val="13"/>
          <w:szCs w:val="13"/>
          <w:color w:val="auto"/>
        </w:rPr>
      </w:pPr>
      <w:r>
        <w:rPr>
          <w:rFonts w:ascii="Arial" w:cs="Arial" w:eastAsia="Arial" w:hAnsi="Arial"/>
          <w:sz w:val="13"/>
          <w:szCs w:val="13"/>
          <w:color w:val="auto"/>
        </w:rPr>
        <w:t>Previously filed with the Commission as an Exhibit to and incorporated by reference to, the Registrant’s Quarterly Report on Form 10-Q for the quarter ended September 30, 1996.</w:t>
      </w:r>
    </w:p>
    <w:p>
      <w:pPr>
        <w:spacing w:after="0" w:line="10" w:lineRule="exact"/>
        <w:rPr>
          <w:sz w:val="20"/>
          <w:szCs w:val="20"/>
          <w:color w:val="auto"/>
        </w:rPr>
      </w:pPr>
    </w:p>
    <w:p>
      <w:pPr>
        <w:ind w:left="1400" w:right="460" w:hanging="713"/>
        <w:spacing w:after="0" w:line="276" w:lineRule="auto"/>
        <w:tabs>
          <w:tab w:leader="none" w:pos="1400" w:val="left"/>
        </w:tabs>
        <w:numPr>
          <w:ilvl w:val="0"/>
          <w:numId w:val="72"/>
        </w:numPr>
        <w:rPr>
          <w:rFonts w:ascii="Arial" w:cs="Arial" w:eastAsia="Arial" w:hAnsi="Arial"/>
          <w:sz w:val="13"/>
          <w:szCs w:val="13"/>
          <w:color w:val="auto"/>
        </w:rPr>
      </w:pPr>
      <w:r>
        <w:rPr>
          <w:rFonts w:ascii="Arial" w:cs="Arial" w:eastAsia="Arial" w:hAnsi="Arial"/>
          <w:sz w:val="13"/>
          <w:szCs w:val="13"/>
          <w:color w:val="auto"/>
        </w:rPr>
        <w:t>Previously filed with the Commission as an Exhibit to, and incorporated herein by reference to, the Registrant’s Annual Report on Form 10-K for the fiscal year ended December 31, 1996 and filed on March 31, 1997.</w:t>
      </w:r>
    </w:p>
    <w:p>
      <w:pPr>
        <w:spacing w:after="0" w:line="10" w:lineRule="exact"/>
        <w:rPr>
          <w:sz w:val="20"/>
          <w:szCs w:val="20"/>
          <w:color w:val="auto"/>
        </w:rPr>
      </w:pPr>
    </w:p>
    <w:p>
      <w:pPr>
        <w:ind w:left="1400" w:right="460" w:hanging="713"/>
        <w:spacing w:after="0" w:line="276" w:lineRule="auto"/>
        <w:tabs>
          <w:tab w:leader="none" w:pos="1400" w:val="left"/>
        </w:tabs>
        <w:numPr>
          <w:ilvl w:val="0"/>
          <w:numId w:val="73"/>
        </w:numPr>
        <w:rPr>
          <w:rFonts w:ascii="Arial" w:cs="Arial" w:eastAsia="Arial" w:hAnsi="Arial"/>
          <w:sz w:val="13"/>
          <w:szCs w:val="13"/>
          <w:color w:val="auto"/>
        </w:rPr>
      </w:pPr>
      <w:r>
        <w:rPr>
          <w:rFonts w:ascii="Arial" w:cs="Arial" w:eastAsia="Arial" w:hAnsi="Arial"/>
          <w:sz w:val="13"/>
          <w:szCs w:val="13"/>
          <w:color w:val="auto"/>
        </w:rPr>
        <w:t>Previously filed with the Commission as an Exhibit to, and incorporated herein by reference to, the Registrant’s Annual Report on Form 10-K for the fiscal year ended December 31, 1995.</w:t>
      </w:r>
    </w:p>
    <w:p>
      <w:pPr>
        <w:spacing w:after="0" w:line="10" w:lineRule="exact"/>
        <w:rPr>
          <w:sz w:val="20"/>
          <w:szCs w:val="20"/>
          <w:color w:val="auto"/>
        </w:rPr>
      </w:pPr>
    </w:p>
    <w:p>
      <w:pPr>
        <w:ind w:left="1400" w:right="620" w:hanging="713"/>
        <w:spacing w:after="0" w:line="276" w:lineRule="auto"/>
        <w:tabs>
          <w:tab w:leader="none" w:pos="1400" w:val="left"/>
        </w:tabs>
        <w:numPr>
          <w:ilvl w:val="0"/>
          <w:numId w:val="74"/>
        </w:numPr>
        <w:rPr>
          <w:rFonts w:ascii="Arial" w:cs="Arial" w:eastAsia="Arial" w:hAnsi="Arial"/>
          <w:sz w:val="13"/>
          <w:szCs w:val="13"/>
          <w:color w:val="auto"/>
        </w:rPr>
      </w:pPr>
      <w:r>
        <w:rPr>
          <w:rFonts w:ascii="Arial" w:cs="Arial" w:eastAsia="Arial" w:hAnsi="Arial"/>
          <w:sz w:val="13"/>
          <w:szCs w:val="13"/>
          <w:color w:val="auto"/>
        </w:rPr>
        <w:t>Previously filed with the Commission as Exhibits to, and incorporated herein by reference to, the Registrant’s Quarterly Report on Form 10-Q for the quarter ended September 30, 1997 and filed on November 14, 1997.</w:t>
      </w:r>
    </w:p>
    <w:p>
      <w:pPr>
        <w:spacing w:after="0" w:line="10" w:lineRule="exact"/>
        <w:rPr>
          <w:rFonts w:ascii="Arial" w:cs="Arial" w:eastAsia="Arial" w:hAnsi="Arial"/>
          <w:sz w:val="13"/>
          <w:szCs w:val="13"/>
          <w:color w:val="auto"/>
        </w:rPr>
      </w:pPr>
    </w:p>
    <w:p>
      <w:pPr>
        <w:ind w:left="1400" w:hanging="713"/>
        <w:spacing w:after="0"/>
        <w:tabs>
          <w:tab w:leader="none" w:pos="1400" w:val="left"/>
        </w:tabs>
        <w:numPr>
          <w:ilvl w:val="0"/>
          <w:numId w:val="75"/>
        </w:numPr>
        <w:rPr>
          <w:rFonts w:ascii="Arial" w:cs="Arial" w:eastAsia="Arial" w:hAnsi="Arial"/>
          <w:sz w:val="12"/>
          <w:szCs w:val="12"/>
          <w:color w:val="auto"/>
        </w:rPr>
      </w:pPr>
      <w:r>
        <w:rPr>
          <w:rFonts w:ascii="Arial" w:cs="Arial" w:eastAsia="Arial" w:hAnsi="Arial"/>
          <w:sz w:val="12"/>
          <w:szCs w:val="12"/>
          <w:color w:val="auto"/>
        </w:rPr>
        <w:t>Previously filed with the Commission as Exhibits to, and incorporated herein by reference to, the Registrant’s Registration Statement on Form S-8, File No. 333-37313.</w:t>
      </w:r>
    </w:p>
    <w:p>
      <w:pPr>
        <w:spacing w:after="0" w:line="59" w:lineRule="exact"/>
        <w:rPr>
          <w:sz w:val="20"/>
          <w:szCs w:val="20"/>
          <w:color w:val="auto"/>
        </w:rPr>
      </w:pPr>
    </w:p>
    <w:p>
      <w:pPr>
        <w:ind w:left="1400" w:right="540" w:hanging="713"/>
        <w:spacing w:after="0" w:line="276" w:lineRule="auto"/>
        <w:tabs>
          <w:tab w:leader="none" w:pos="1400" w:val="left"/>
        </w:tabs>
        <w:numPr>
          <w:ilvl w:val="0"/>
          <w:numId w:val="76"/>
        </w:numPr>
        <w:rPr>
          <w:rFonts w:ascii="Arial" w:cs="Arial" w:eastAsia="Arial" w:hAnsi="Arial"/>
          <w:sz w:val="13"/>
          <w:szCs w:val="13"/>
          <w:color w:val="auto"/>
        </w:rPr>
      </w:pPr>
      <w:r>
        <w:rPr>
          <w:rFonts w:ascii="Arial" w:cs="Arial" w:eastAsia="Arial" w:hAnsi="Arial"/>
          <w:sz w:val="13"/>
          <w:szCs w:val="13"/>
          <w:color w:val="auto"/>
        </w:rPr>
        <w:t>Previously filed with the Commission as an Exhibit to, and incorporated herein by reference to, the Registrant’s annual report on Form 10-K for the fiscal year ended December 31, 1997 and filed on March 30, 1998.</w:t>
      </w:r>
    </w:p>
    <w:p>
      <w:pPr>
        <w:spacing w:after="0" w:line="10" w:lineRule="exact"/>
        <w:rPr>
          <w:sz w:val="20"/>
          <w:szCs w:val="20"/>
          <w:color w:val="auto"/>
        </w:rPr>
      </w:pPr>
    </w:p>
    <w:p>
      <w:pPr>
        <w:ind w:left="680"/>
        <w:spacing w:after="0"/>
        <w:tabs>
          <w:tab w:leader="none" w:pos="1380" w:val="left"/>
        </w:tabs>
        <w:rPr>
          <w:sz w:val="20"/>
          <w:szCs w:val="20"/>
          <w:color w:val="auto"/>
        </w:rPr>
      </w:pPr>
      <w:r>
        <w:rPr>
          <w:rFonts w:ascii="Arial" w:cs="Arial" w:eastAsia="Arial" w:hAnsi="Arial"/>
          <w:sz w:val="12"/>
          <w:szCs w:val="12"/>
          <w:color w:val="auto"/>
        </w:rPr>
        <w:t>{*}</w:t>
      </w:r>
      <w:r>
        <w:rPr>
          <w:sz w:val="20"/>
          <w:szCs w:val="20"/>
          <w:color w:val="auto"/>
        </w:rPr>
        <w:tab/>
      </w:r>
      <w:r>
        <w:rPr>
          <w:rFonts w:ascii="Arial" w:cs="Arial" w:eastAsia="Arial" w:hAnsi="Arial"/>
          <w:sz w:val="12"/>
          <w:szCs w:val="12"/>
          <w:color w:val="auto"/>
        </w:rPr>
        <w:t>Previously filed with the Commission as an Exhibit to, and incorporated herein by reference to, the Registrant’s current report on Form 8-K filed on August 3, 1998.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114300</wp:posOffset>
            </wp:positionV>
            <wp:extent cx="7290435" cy="1905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00"/>
          </w:cols>
          <w:pgMar w:left="220" w:top="343" w:right="1079" w:bottom="1440" w:gutter="0" w:footer="0" w:header="0"/>
        </w:sectPr>
      </w:pPr>
    </w:p>
    <w:bookmarkStart w:id="79" w:name="page80"/>
    <w:bookmarkEnd w:id="79"/>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tabs>
          <w:tab w:leader="none" w:pos="1380" w:val="left"/>
        </w:tabs>
        <w:rPr>
          <w:sz w:val="20"/>
          <w:szCs w:val="20"/>
          <w:color w:val="auto"/>
        </w:rPr>
      </w:pPr>
      <w:r>
        <w:rPr>
          <w:rFonts w:ascii="Arial" w:cs="Arial" w:eastAsia="Arial" w:hAnsi="Arial"/>
          <w:sz w:val="11"/>
          <w:szCs w:val="11"/>
          <w:color w:val="auto"/>
        </w:rPr>
        <w:t>{**}</w:t>
      </w:r>
      <w:r>
        <w:rPr>
          <w:sz w:val="20"/>
          <w:szCs w:val="20"/>
          <w:color w:val="auto"/>
        </w:rPr>
        <w:tab/>
      </w:r>
      <w:r>
        <w:rPr>
          <w:rFonts w:ascii="Arial" w:cs="Arial" w:eastAsia="Arial" w:hAnsi="Arial"/>
          <w:sz w:val="11"/>
          <w:szCs w:val="11"/>
          <w:color w:val="auto"/>
        </w:rPr>
        <w:t>Previously filed with the Commission as an Exhibit to, and incorporated herein by reference to, the Registrant’s current report on Form 8-K filed on December 7, 2001.</w:t>
      </w:r>
    </w:p>
    <w:p>
      <w:pPr>
        <w:spacing w:after="0" w:line="70" w:lineRule="exact"/>
        <w:rPr>
          <w:sz w:val="20"/>
          <w:szCs w:val="20"/>
          <w:color w:val="auto"/>
        </w:rPr>
      </w:pPr>
    </w:p>
    <w:p>
      <w:pPr>
        <w:ind w:left="1400" w:right="560" w:hanging="713"/>
        <w:spacing w:after="0" w:line="276" w:lineRule="auto"/>
        <w:tabs>
          <w:tab w:leader="none" w:pos="1400" w:val="left"/>
        </w:tabs>
        <w:numPr>
          <w:ilvl w:val="0"/>
          <w:numId w:val="77"/>
        </w:numPr>
        <w:rPr>
          <w:rFonts w:ascii="Arial" w:cs="Arial" w:eastAsia="Arial" w:hAnsi="Arial"/>
          <w:sz w:val="13"/>
          <w:szCs w:val="13"/>
          <w:color w:val="auto"/>
        </w:rPr>
      </w:pPr>
      <w:r>
        <w:rPr>
          <w:rFonts w:ascii="Arial" w:cs="Arial" w:eastAsia="Arial" w:hAnsi="Arial"/>
          <w:sz w:val="13"/>
          <w:szCs w:val="13"/>
          <w:color w:val="auto"/>
        </w:rPr>
        <w:t>Previously filed with the Commission as an Exhibit to, and incorporated herein by reference to, the Registrant’s annual report on Form 10-K for the fiscal year ended December 31, 1998 and filed on March 31, 1999.</w:t>
      </w:r>
    </w:p>
    <w:p>
      <w:pPr>
        <w:sectPr>
          <w:pgSz w:w="11900" w:h="16838" w:orient="portrait"/>
          <w:cols w:equalWidth="0" w:num="1">
            <w:col w:w="10620"/>
          </w:cols>
          <w:pgMar w:left="220" w:top="343" w:right="1059" w:bottom="1440" w:gutter="0" w:footer="0" w:header="0"/>
        </w:sectPr>
      </w:pPr>
    </w:p>
    <w:p>
      <w:pPr>
        <w:spacing w:after="0" w:line="10" w:lineRule="exact"/>
        <w:rPr>
          <w:sz w:val="20"/>
          <w:szCs w:val="20"/>
          <w:color w:val="auto"/>
        </w:rPr>
      </w:pPr>
    </w:p>
    <w:p>
      <w:pPr>
        <w:ind w:left="680"/>
        <w:spacing w:after="0"/>
        <w:rPr>
          <w:sz w:val="20"/>
          <w:szCs w:val="20"/>
          <w:color w:val="auto"/>
        </w:rPr>
      </w:pPr>
      <w:r>
        <w:rPr>
          <w:rFonts w:ascii="Arial" w:cs="Arial" w:eastAsia="Arial" w:hAnsi="Arial"/>
          <w:sz w:val="13"/>
          <w:szCs w:val="13"/>
          <w:color w:val="auto"/>
        </w:rPr>
        <w:t>$$</w:t>
      </w:r>
    </w:p>
    <w:p>
      <w:pPr>
        <w:spacing w:after="0" w:line="47" w:lineRule="exact"/>
        <w:rPr>
          <w:sz w:val="20"/>
          <w:szCs w:val="20"/>
          <w:color w:val="auto"/>
        </w:rPr>
      </w:pPr>
    </w:p>
    <w:p>
      <w:pPr>
        <w:ind w:left="680"/>
        <w:spacing w:after="0"/>
        <w:rPr>
          <w:sz w:val="20"/>
          <w:szCs w:val="20"/>
          <w:color w:val="auto"/>
        </w:rPr>
      </w:pPr>
      <w:r>
        <w:rPr>
          <w:rFonts w:ascii="Arial" w:cs="Arial" w:eastAsia="Arial" w:hAnsi="Arial"/>
          <w:sz w:val="11"/>
          <w:szCs w:val="11"/>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1"/>
          <w:szCs w:val="11"/>
          <w:color w:val="auto"/>
        </w:rPr>
        <w:t>Previously filed with the Commission as an Exhibit to, and incorporated herein by reference to, the Registrant’s current report on Form 8-K on January 14, 2000.</w:t>
      </w:r>
    </w:p>
    <w:p>
      <w:pPr>
        <w:spacing w:after="0" w:line="70" w:lineRule="exact"/>
        <w:rPr>
          <w:sz w:val="20"/>
          <w:szCs w:val="20"/>
          <w:color w:val="auto"/>
        </w:rPr>
      </w:pPr>
    </w:p>
    <w:p>
      <w:pPr>
        <w:spacing w:after="0"/>
        <w:rPr>
          <w:sz w:val="20"/>
          <w:szCs w:val="20"/>
          <w:color w:val="auto"/>
        </w:rPr>
      </w:pPr>
      <w:r>
        <w:rPr>
          <w:rFonts w:ascii="Arial" w:cs="Arial" w:eastAsia="Arial" w:hAnsi="Arial"/>
          <w:sz w:val="12"/>
          <w:szCs w:val="12"/>
          <w:color w:val="auto"/>
        </w:rPr>
        <w:t>Previously filed with the Commission as an Exhibit to, and incorporated herein by reference to, the Registrant’s definitive proxy statement filed May 1, 2001.</w:t>
      </w:r>
    </w:p>
    <w:p>
      <w:pPr>
        <w:spacing w:after="0" w:line="59" w:lineRule="exact"/>
        <w:rPr>
          <w:sz w:val="20"/>
          <w:szCs w:val="20"/>
          <w:color w:val="auto"/>
        </w:rPr>
      </w:pPr>
    </w:p>
    <w:p>
      <w:pPr>
        <w:sectPr>
          <w:pgSz w:w="11900" w:h="16838" w:orient="portrait"/>
          <w:cols w:equalWidth="0" w:num="2">
            <w:col w:w="880" w:space="520"/>
            <w:col w:w="9220"/>
          </w:cols>
          <w:pgMar w:left="220" w:top="343" w:right="1059" w:bottom="1440" w:gutter="0" w:footer="0" w:header="0"/>
          <w:type w:val="continuous"/>
        </w:sectPr>
      </w:pPr>
    </w:p>
    <w:p>
      <w:pPr>
        <w:ind w:left="1400" w:hanging="713"/>
        <w:spacing w:after="0"/>
        <w:tabs>
          <w:tab w:leader="none" w:pos="1400" w:val="left"/>
        </w:tabs>
        <w:numPr>
          <w:ilvl w:val="0"/>
          <w:numId w:val="78"/>
        </w:numPr>
        <w:rPr>
          <w:rFonts w:ascii="Arial" w:cs="Arial" w:eastAsia="Arial" w:hAnsi="Arial"/>
          <w:sz w:val="11"/>
          <w:szCs w:val="11"/>
          <w:color w:val="auto"/>
        </w:rPr>
      </w:pPr>
      <w:r>
        <w:rPr>
          <w:rFonts w:ascii="Arial" w:cs="Arial" w:eastAsia="Arial" w:hAnsi="Arial"/>
          <w:sz w:val="11"/>
          <w:szCs w:val="11"/>
          <w:color w:val="auto"/>
        </w:rPr>
        <w:t>Previously filed with the Commission as an Exhibit to, and incorporated herein by reference to, the Registrant’s Registration Statement on Form S-1, File No. 333-45496.</w:t>
      </w:r>
    </w:p>
    <w:p>
      <w:pPr>
        <w:spacing w:after="0" w:line="70" w:lineRule="exact"/>
        <w:rPr>
          <w:sz w:val="20"/>
          <w:szCs w:val="20"/>
          <w:color w:val="auto"/>
        </w:rPr>
      </w:pPr>
    </w:p>
    <w:p>
      <w:pPr>
        <w:ind w:left="1400" w:right="480" w:hanging="713"/>
        <w:spacing w:after="0" w:line="276" w:lineRule="auto"/>
        <w:tabs>
          <w:tab w:leader="none" w:pos="1400" w:val="left"/>
        </w:tabs>
        <w:numPr>
          <w:ilvl w:val="0"/>
          <w:numId w:val="79"/>
        </w:numPr>
        <w:rPr>
          <w:rFonts w:ascii="Arial" w:cs="Arial" w:eastAsia="Arial" w:hAnsi="Arial"/>
          <w:sz w:val="13"/>
          <w:szCs w:val="13"/>
          <w:color w:val="auto"/>
        </w:rPr>
      </w:pPr>
      <w:r>
        <w:rPr>
          <w:rFonts w:ascii="Arial" w:cs="Arial" w:eastAsia="Arial" w:hAnsi="Arial"/>
          <w:sz w:val="13"/>
          <w:szCs w:val="13"/>
          <w:color w:val="auto"/>
        </w:rPr>
        <w:t>Previously filed with the Commission as an Exhibit to, and incorporated herein by reference to, the Registrant’s Annual Report on Form 10-K for the fiscal year ended December 31, 2000 and filed on April 2, 2001.</w:t>
      </w:r>
    </w:p>
    <w:p>
      <w:pPr>
        <w:spacing w:after="0" w:line="10" w:lineRule="exact"/>
        <w:rPr>
          <w:sz w:val="20"/>
          <w:szCs w:val="20"/>
          <w:color w:val="auto"/>
        </w:rPr>
      </w:pPr>
    </w:p>
    <w:p>
      <w:pPr>
        <w:ind w:left="1400" w:right="400" w:hanging="713"/>
        <w:spacing w:after="0" w:line="276" w:lineRule="auto"/>
        <w:tabs>
          <w:tab w:leader="none" w:pos="1400" w:val="left"/>
        </w:tabs>
        <w:numPr>
          <w:ilvl w:val="0"/>
          <w:numId w:val="80"/>
        </w:numPr>
        <w:rPr>
          <w:rFonts w:ascii="Arial" w:cs="Arial" w:eastAsia="Arial" w:hAnsi="Arial"/>
          <w:sz w:val="13"/>
          <w:szCs w:val="13"/>
          <w:color w:val="auto"/>
        </w:rPr>
      </w:pPr>
      <w:r>
        <w:rPr>
          <w:rFonts w:ascii="Arial" w:cs="Arial" w:eastAsia="Arial" w:hAnsi="Arial"/>
          <w:sz w:val="13"/>
          <w:szCs w:val="13"/>
          <w:color w:val="auto"/>
        </w:rPr>
        <w:t>Previously filed with the Commission as an Exhibit to, and incorporated herein by reference to, the Registrant’s Registration Statement filed on Form S-1 as amended to Form S-3, File No. 333-61726.</w:t>
      </w:r>
    </w:p>
    <w:p>
      <w:pPr>
        <w:sectPr>
          <w:pgSz w:w="11900" w:h="16838" w:orient="portrait"/>
          <w:cols w:equalWidth="0" w:num="1">
            <w:col w:w="10620"/>
          </w:cols>
          <w:pgMar w:left="220" w:top="343" w:right="1059" w:bottom="1440" w:gutter="0" w:footer="0" w:header="0"/>
          <w:type w:val="continuous"/>
        </w:sectPr>
      </w:pPr>
    </w:p>
    <w:p>
      <w:pPr>
        <w:spacing w:after="0" w:line="10" w:lineRule="exact"/>
        <w:rPr>
          <w:sz w:val="20"/>
          <w:szCs w:val="20"/>
          <w:color w:val="auto"/>
        </w:rPr>
      </w:pPr>
    </w:p>
    <w:p>
      <w:pPr>
        <w:ind w:left="680"/>
        <w:spacing w:after="0"/>
        <w:rPr>
          <w:sz w:val="20"/>
          <w:szCs w:val="20"/>
          <w:color w:val="auto"/>
        </w:rPr>
      </w:pPr>
      <w:r>
        <w:rPr>
          <w:rFonts w:ascii="Arial" w:cs="Arial" w:eastAsia="Arial" w:hAnsi="Arial"/>
          <w:sz w:val="13"/>
          <w:szCs w:val="13"/>
          <w:color w:val="auto"/>
        </w:rPr>
        <w:t>XXXX</w:t>
      </w:r>
    </w:p>
    <w:p>
      <w:pPr>
        <w:spacing w:after="0" w:line="47" w:lineRule="exact"/>
        <w:rPr>
          <w:sz w:val="20"/>
          <w:szCs w:val="20"/>
          <w:color w:val="auto"/>
        </w:rPr>
      </w:pPr>
    </w:p>
    <w:p>
      <w:pPr>
        <w:ind w:left="680"/>
        <w:spacing w:after="0"/>
        <w:rPr>
          <w:sz w:val="20"/>
          <w:szCs w:val="20"/>
          <w:color w:val="auto"/>
        </w:rPr>
      </w:pPr>
      <w:r>
        <w:rPr>
          <w:rFonts w:ascii="Arial" w:cs="Arial" w:eastAsia="Arial" w:hAnsi="Arial"/>
          <w:sz w:val="13"/>
          <w:szCs w:val="13"/>
          <w:color w:val="auto"/>
        </w:rPr>
        <w:t>{***}</w:t>
      </w:r>
    </w:p>
    <w:p>
      <w:pPr>
        <w:spacing w:after="0" w:line="204" w:lineRule="exact"/>
        <w:rPr>
          <w:sz w:val="20"/>
          <w:szCs w:val="20"/>
          <w:color w:val="auto"/>
        </w:rPr>
      </w:pPr>
    </w:p>
    <w:p>
      <w:pPr>
        <w:ind w:left="680"/>
        <w:spacing w:after="0"/>
        <w:rPr>
          <w:sz w:val="20"/>
          <w:szCs w:val="20"/>
          <w:color w:val="auto"/>
        </w:rPr>
      </w:pPr>
      <w:r>
        <w:rPr>
          <w:rFonts w:ascii="Arial" w:cs="Arial" w:eastAsia="Arial" w:hAnsi="Arial"/>
          <w:sz w:val="13"/>
          <w:szCs w:val="13"/>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auto"/>
        </w:rPr>
        <w:t>Previously filed with the Commission as an Exhibit to, and incorporated herein by reference to, the Registrant’s Registration Statement filed on Form S-3, File No. 333-75806.</w:t>
      </w:r>
    </w:p>
    <w:p>
      <w:pPr>
        <w:spacing w:after="0" w:line="59" w:lineRule="exact"/>
        <w:rPr>
          <w:sz w:val="20"/>
          <w:szCs w:val="20"/>
          <w:color w:val="auto"/>
        </w:rPr>
      </w:pPr>
    </w:p>
    <w:p>
      <w:pPr>
        <w:spacing w:after="0"/>
        <w:rPr>
          <w:sz w:val="20"/>
          <w:szCs w:val="20"/>
          <w:color w:val="auto"/>
        </w:rPr>
      </w:pPr>
      <w:r>
        <w:rPr>
          <w:rFonts w:ascii="Arial" w:cs="Arial" w:eastAsia="Arial" w:hAnsi="Arial"/>
          <w:sz w:val="11"/>
          <w:szCs w:val="11"/>
          <w:color w:val="auto"/>
        </w:rPr>
        <w:t>Previously filed with the Commission as an Exhibit to, and incorporated herein by reference to, the Registrant’s Amendment No. 1 to Registration Statement filed on Form S-3,</w:t>
      </w:r>
    </w:p>
    <w:p>
      <w:pPr>
        <w:spacing w:after="0" w:line="38" w:lineRule="exact"/>
        <w:rPr>
          <w:sz w:val="20"/>
          <w:szCs w:val="20"/>
          <w:color w:val="auto"/>
        </w:rPr>
      </w:pPr>
    </w:p>
    <w:p>
      <w:pPr>
        <w:spacing w:after="0"/>
        <w:rPr>
          <w:sz w:val="20"/>
          <w:szCs w:val="20"/>
          <w:color w:val="auto"/>
        </w:rPr>
      </w:pPr>
      <w:r>
        <w:rPr>
          <w:rFonts w:ascii="Arial" w:cs="Arial" w:eastAsia="Arial" w:hAnsi="Arial"/>
          <w:sz w:val="13"/>
          <w:szCs w:val="13"/>
          <w:color w:val="auto"/>
        </w:rPr>
        <w:t>File No. 333-83992.</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Previously filed with the Commission as an Exhibit to, and incorporated herein by reference to, the Registrant’s current report on Form 8-K on August 28, 2002.</w:t>
      </w:r>
    </w:p>
    <w:p>
      <w:pPr>
        <w:spacing w:after="0" w:line="47" w:lineRule="exact"/>
        <w:rPr>
          <w:sz w:val="20"/>
          <w:szCs w:val="20"/>
          <w:color w:val="auto"/>
        </w:rPr>
      </w:pPr>
    </w:p>
    <w:p>
      <w:pPr>
        <w:sectPr>
          <w:pgSz w:w="11900" w:h="16838" w:orient="portrait"/>
          <w:cols w:equalWidth="0" w:num="2">
            <w:col w:w="1060" w:space="340"/>
            <w:col w:w="9220"/>
          </w:cols>
          <w:pgMar w:left="220" w:top="343" w:right="1059" w:bottom="1440" w:gutter="0" w:footer="0" w:header="0"/>
          <w:type w:val="continuous"/>
        </w:sectPr>
      </w:pPr>
    </w:p>
    <w:p>
      <w:pPr>
        <w:ind w:left="1400" w:hanging="713"/>
        <w:spacing w:after="0"/>
        <w:tabs>
          <w:tab w:leader="none" w:pos="1400" w:val="left"/>
        </w:tabs>
        <w:numPr>
          <w:ilvl w:val="0"/>
          <w:numId w:val="81"/>
        </w:numPr>
        <w:rPr>
          <w:rFonts w:ascii="Arial" w:cs="Arial" w:eastAsia="Arial" w:hAnsi="Arial"/>
          <w:sz w:val="13"/>
          <w:szCs w:val="13"/>
          <w:color w:val="auto"/>
        </w:rPr>
      </w:pPr>
      <w:r>
        <w:rPr>
          <w:rFonts w:ascii="Arial" w:cs="Arial" w:eastAsia="Arial" w:hAnsi="Arial"/>
          <w:sz w:val="13"/>
          <w:szCs w:val="13"/>
          <w:color w:val="auto"/>
        </w:rPr>
        <w:t>Previously filed with the Commission as an Exhibit to, and incorporated herein by reference to, the Registrant’s current report on Form 8-K on April 15, 2003.</w:t>
      </w:r>
    </w:p>
    <w:p>
      <w:pPr>
        <w:spacing w:after="0" w:line="47" w:lineRule="exact"/>
        <w:rPr>
          <w:sz w:val="20"/>
          <w:szCs w:val="20"/>
          <w:color w:val="auto"/>
        </w:rPr>
      </w:pPr>
    </w:p>
    <w:p>
      <w:pPr>
        <w:ind w:left="1400" w:hanging="713"/>
        <w:spacing w:after="0"/>
        <w:tabs>
          <w:tab w:leader="none" w:pos="1400" w:val="left"/>
        </w:tabs>
        <w:numPr>
          <w:ilvl w:val="0"/>
          <w:numId w:val="82"/>
        </w:numPr>
        <w:rPr>
          <w:rFonts w:ascii="Arial" w:cs="Arial" w:eastAsia="Arial" w:hAnsi="Arial"/>
          <w:sz w:val="13"/>
          <w:szCs w:val="13"/>
          <w:color w:val="auto"/>
        </w:rPr>
      </w:pPr>
      <w:r>
        <w:rPr>
          <w:rFonts w:ascii="Arial" w:cs="Arial" w:eastAsia="Arial" w:hAnsi="Arial"/>
          <w:sz w:val="13"/>
          <w:szCs w:val="13"/>
          <w:color w:val="auto"/>
        </w:rPr>
        <w:t>Previously filed with the Commission as an Exhibit to, and incorporated herein by reference to, the Registrant’s current report on Form 8-K on May 13, 2003.</w:t>
      </w:r>
    </w:p>
    <w:p>
      <w:pPr>
        <w:spacing w:after="0" w:line="47" w:lineRule="exact"/>
        <w:rPr>
          <w:rFonts w:ascii="Arial" w:cs="Arial" w:eastAsia="Arial" w:hAnsi="Arial"/>
          <w:sz w:val="13"/>
          <w:szCs w:val="13"/>
          <w:color w:val="auto"/>
        </w:rPr>
      </w:pPr>
    </w:p>
    <w:p>
      <w:pPr>
        <w:ind w:left="680"/>
        <w:spacing w:after="0"/>
        <w:rPr>
          <w:rFonts w:ascii="Arial" w:cs="Arial" w:eastAsia="Arial" w:hAnsi="Arial"/>
          <w:sz w:val="13"/>
          <w:szCs w:val="13"/>
          <w:color w:val="auto"/>
        </w:rPr>
      </w:pPr>
      <w:r>
        <w:rPr>
          <w:rFonts w:ascii="Arial" w:cs="Arial" w:eastAsia="Arial" w:hAnsi="Arial"/>
          <w:sz w:val="13"/>
          <w:szCs w:val="13"/>
          <w:color w:val="auto"/>
        </w:rPr>
        <w:t>&amp;&amp;&amp;</w:t>
      </w:r>
      <w:r>
        <w:rPr>
          <w:rFonts w:ascii="Arial" w:cs="Arial" w:eastAsia="Arial" w:hAnsi="Arial"/>
          <w:sz w:val="11"/>
          <w:szCs w:val="11"/>
          <w:color w:val="auto"/>
        </w:rPr>
        <w:t>Previously filed with the Commission as an Exhibit to, and incorporated herein by reference to, the Registrant’s current report on Form 8-K on May 15, 2003.</w:t>
      </w:r>
    </w:p>
    <w:p>
      <w:pPr>
        <w:spacing w:after="0" w:line="47" w:lineRule="exact"/>
        <w:rPr>
          <w:sz w:val="20"/>
          <w:szCs w:val="20"/>
          <w:color w:val="auto"/>
        </w:rPr>
      </w:pPr>
    </w:p>
    <w:p>
      <w:pPr>
        <w:ind w:left="1400" w:hanging="713"/>
        <w:spacing w:after="0"/>
        <w:tabs>
          <w:tab w:leader="none" w:pos="1400" w:val="left"/>
        </w:tabs>
        <w:numPr>
          <w:ilvl w:val="0"/>
          <w:numId w:val="83"/>
        </w:numPr>
        <w:rPr>
          <w:rFonts w:ascii="Arial" w:cs="Arial" w:eastAsia="Arial" w:hAnsi="Arial"/>
          <w:sz w:val="12"/>
          <w:szCs w:val="12"/>
          <w:color w:val="auto"/>
        </w:rPr>
      </w:pPr>
      <w:r>
        <w:rPr>
          <w:rFonts w:ascii="Arial" w:cs="Arial" w:eastAsia="Arial" w:hAnsi="Arial"/>
          <w:sz w:val="12"/>
          <w:szCs w:val="12"/>
          <w:color w:val="auto"/>
        </w:rPr>
        <w:t>Previously filed with the Commission as an Exhibit to, and incorporated herein by reference to, the Registrant’s current report on Form 8-K on December 10, 2003.</w:t>
      </w:r>
    </w:p>
    <w:p>
      <w:pPr>
        <w:spacing w:after="0" w:line="59" w:lineRule="exact"/>
        <w:rPr>
          <w:sz w:val="20"/>
          <w:szCs w:val="20"/>
          <w:color w:val="auto"/>
        </w:rPr>
      </w:pPr>
    </w:p>
    <w:p>
      <w:pPr>
        <w:ind w:left="1400" w:right="480" w:hanging="713"/>
        <w:spacing w:after="0" w:line="276" w:lineRule="auto"/>
        <w:tabs>
          <w:tab w:leader="none" w:pos="1400" w:val="left"/>
        </w:tabs>
        <w:numPr>
          <w:ilvl w:val="0"/>
          <w:numId w:val="84"/>
        </w:numPr>
        <w:rPr>
          <w:rFonts w:ascii="Arial" w:cs="Arial" w:eastAsia="Arial" w:hAnsi="Arial"/>
          <w:sz w:val="13"/>
          <w:szCs w:val="13"/>
          <w:color w:val="auto"/>
        </w:rPr>
      </w:pPr>
      <w:r>
        <w:rPr>
          <w:rFonts w:ascii="Arial" w:cs="Arial" w:eastAsia="Arial" w:hAnsi="Arial"/>
          <w:sz w:val="13"/>
          <w:szCs w:val="13"/>
          <w:color w:val="auto"/>
        </w:rPr>
        <w:t>Previously filed with the Commission as an Exhibit to, and incorporated herein by reference to, the Registrant’s Annual Report on Form 10-K for the fiscal year ended December 31, 2003</w:t>
      </w:r>
    </w:p>
    <w:p>
      <w:pPr>
        <w:spacing w:after="0" w:line="10" w:lineRule="exact"/>
        <w:rPr>
          <w:sz w:val="20"/>
          <w:szCs w:val="20"/>
          <w:color w:val="auto"/>
        </w:rPr>
      </w:pPr>
    </w:p>
    <w:p>
      <w:pPr>
        <w:ind w:left="1400" w:hanging="713"/>
        <w:spacing w:after="0"/>
        <w:tabs>
          <w:tab w:leader="none" w:pos="1400" w:val="left"/>
        </w:tabs>
        <w:numPr>
          <w:ilvl w:val="0"/>
          <w:numId w:val="85"/>
        </w:numPr>
        <w:rPr>
          <w:rFonts w:ascii="Arial" w:cs="Arial" w:eastAsia="Arial" w:hAnsi="Arial"/>
          <w:sz w:val="12"/>
          <w:szCs w:val="12"/>
          <w:color w:val="auto"/>
        </w:rPr>
      </w:pPr>
      <w:r>
        <w:rPr>
          <w:rFonts w:ascii="Arial" w:cs="Arial" w:eastAsia="Arial" w:hAnsi="Arial"/>
          <w:sz w:val="12"/>
          <w:szCs w:val="12"/>
          <w:color w:val="auto"/>
        </w:rPr>
        <w:t>Previously filed with the Commission as an Exhibit to, and incorporated herein by reference to, the Registrant’s current report on Form 8-K filed on October 25, 2004.</w:t>
      </w:r>
    </w:p>
    <w:p>
      <w:pPr>
        <w:spacing w:after="0" w:line="59" w:lineRule="exact"/>
        <w:rPr>
          <w:sz w:val="20"/>
          <w:szCs w:val="20"/>
          <w:color w:val="auto"/>
        </w:rPr>
      </w:pPr>
    </w:p>
    <w:p>
      <w:pPr>
        <w:ind w:left="1400" w:hanging="713"/>
        <w:spacing w:after="0"/>
        <w:tabs>
          <w:tab w:leader="none" w:pos="1400" w:val="left"/>
        </w:tabs>
        <w:numPr>
          <w:ilvl w:val="0"/>
          <w:numId w:val="86"/>
        </w:numPr>
        <w:rPr>
          <w:rFonts w:ascii="Arial" w:cs="Arial" w:eastAsia="Arial" w:hAnsi="Arial"/>
          <w:sz w:val="12"/>
          <w:szCs w:val="12"/>
          <w:color w:val="auto"/>
        </w:rPr>
      </w:pPr>
      <w:r>
        <w:rPr>
          <w:rFonts w:ascii="Arial" w:cs="Arial" w:eastAsia="Arial" w:hAnsi="Arial"/>
          <w:sz w:val="12"/>
          <w:szCs w:val="12"/>
          <w:color w:val="auto"/>
        </w:rPr>
        <w:t>Previously filed with the Commission as an Exhibit to, and incorporated by reference to, the Registrant’s Registration Statement on Form S-3, File No. 333-117360.</w:t>
      </w:r>
    </w:p>
    <w:p>
      <w:pPr>
        <w:spacing w:after="0" w:line="59" w:lineRule="exact"/>
        <w:rPr>
          <w:sz w:val="20"/>
          <w:szCs w:val="20"/>
          <w:color w:val="auto"/>
        </w:rPr>
      </w:pPr>
    </w:p>
    <w:p>
      <w:pPr>
        <w:ind w:left="1400" w:hanging="713"/>
        <w:spacing w:after="0"/>
        <w:tabs>
          <w:tab w:leader="none" w:pos="1400" w:val="left"/>
        </w:tabs>
        <w:numPr>
          <w:ilvl w:val="0"/>
          <w:numId w:val="87"/>
        </w:numPr>
        <w:rPr>
          <w:rFonts w:ascii="Arial" w:cs="Arial" w:eastAsia="Arial" w:hAnsi="Arial"/>
          <w:sz w:val="12"/>
          <w:szCs w:val="12"/>
          <w:color w:val="auto"/>
        </w:rPr>
      </w:pPr>
      <w:r>
        <w:rPr>
          <w:rFonts w:ascii="Arial" w:cs="Arial" w:eastAsia="Arial" w:hAnsi="Arial"/>
          <w:sz w:val="12"/>
          <w:szCs w:val="12"/>
          <w:color w:val="auto"/>
        </w:rPr>
        <w:t>Previously filed with the Commission as an Exhibit to, and incorporated herein by reference to, the Registrant’s current report on Form 8-K filed on June 17, 2004.</w:t>
      </w:r>
    </w:p>
    <w:p>
      <w:pPr>
        <w:spacing w:after="0" w:line="59" w:lineRule="exact"/>
        <w:rPr>
          <w:sz w:val="20"/>
          <w:szCs w:val="20"/>
          <w:color w:val="auto"/>
        </w:rPr>
      </w:pPr>
    </w:p>
    <w:p>
      <w:pPr>
        <w:ind w:left="1400" w:hanging="713"/>
        <w:spacing w:after="0"/>
        <w:tabs>
          <w:tab w:leader="none" w:pos="1400" w:val="left"/>
        </w:tabs>
        <w:numPr>
          <w:ilvl w:val="0"/>
          <w:numId w:val="88"/>
        </w:numPr>
        <w:rPr>
          <w:rFonts w:ascii="Arial" w:cs="Arial" w:eastAsia="Arial" w:hAnsi="Arial"/>
          <w:sz w:val="12"/>
          <w:szCs w:val="12"/>
          <w:color w:val="auto"/>
        </w:rPr>
      </w:pPr>
      <w:r>
        <w:rPr>
          <w:rFonts w:ascii="Arial" w:cs="Arial" w:eastAsia="Arial" w:hAnsi="Arial"/>
          <w:sz w:val="12"/>
          <w:szCs w:val="12"/>
          <w:color w:val="auto"/>
        </w:rPr>
        <w:t>Previously filed with the Commission as an Exhibit to, and incorporated herein by reference to, the Registrants Registration Statement on Form S-8, File No. 333-118263.</w:t>
      </w:r>
    </w:p>
    <w:p>
      <w:pPr>
        <w:spacing w:after="0" w:line="59" w:lineRule="exact"/>
        <w:rPr>
          <w:sz w:val="20"/>
          <w:szCs w:val="20"/>
          <w:color w:val="auto"/>
        </w:rPr>
      </w:pPr>
    </w:p>
    <w:p>
      <w:pPr>
        <w:ind w:left="1400" w:hanging="713"/>
        <w:spacing w:after="0"/>
        <w:tabs>
          <w:tab w:leader="none" w:pos="1400" w:val="left"/>
        </w:tabs>
        <w:numPr>
          <w:ilvl w:val="0"/>
          <w:numId w:val="89"/>
        </w:numPr>
        <w:rPr>
          <w:rFonts w:ascii="Arial" w:cs="Arial" w:eastAsia="Arial" w:hAnsi="Arial"/>
          <w:sz w:val="12"/>
          <w:szCs w:val="12"/>
          <w:color w:val="auto"/>
        </w:rPr>
      </w:pPr>
      <w:r>
        <w:rPr>
          <w:rFonts w:ascii="Arial" w:cs="Arial" w:eastAsia="Arial" w:hAnsi="Arial"/>
          <w:sz w:val="12"/>
          <w:szCs w:val="12"/>
          <w:color w:val="auto"/>
        </w:rPr>
        <w:t>Previously filed with the Commission as an Exhibit to, and incorporated herein by reference to, the Registrant’s current report on Form 8-K filed on November 9, 2004.</w:t>
      </w:r>
    </w:p>
    <w:p>
      <w:pPr>
        <w:spacing w:after="0" w:line="59" w:lineRule="exact"/>
        <w:rPr>
          <w:sz w:val="20"/>
          <w:szCs w:val="20"/>
          <w:color w:val="auto"/>
        </w:rPr>
      </w:pPr>
    </w:p>
    <w:p>
      <w:pPr>
        <w:ind w:left="1400" w:right="100" w:hanging="713"/>
        <w:spacing w:after="0" w:line="276" w:lineRule="auto"/>
        <w:tabs>
          <w:tab w:leader="none" w:pos="1400" w:val="left"/>
        </w:tabs>
        <w:numPr>
          <w:ilvl w:val="0"/>
          <w:numId w:val="90"/>
        </w:numPr>
        <w:rPr>
          <w:rFonts w:ascii="Arial" w:cs="Arial" w:eastAsia="Arial" w:hAnsi="Arial"/>
          <w:sz w:val="13"/>
          <w:szCs w:val="13"/>
          <w:color w:val="auto"/>
        </w:rPr>
      </w:pPr>
      <w:r>
        <w:rPr>
          <w:rFonts w:ascii="Arial" w:cs="Arial" w:eastAsia="Arial" w:hAnsi="Arial"/>
          <w:sz w:val="13"/>
          <w:szCs w:val="13"/>
          <w:color w:val="auto"/>
        </w:rPr>
        <w:t>Previously filed with the Commission as an Exhibit to and incorporated herein by reference to, the Registrant’s Quarterly Report on Form 10-Q for the quarter ended June 30, 2005.</w:t>
      </w:r>
    </w:p>
    <w:p>
      <w:pPr>
        <w:spacing w:after="0" w:line="10" w:lineRule="exact"/>
        <w:rPr>
          <w:sz w:val="20"/>
          <w:szCs w:val="20"/>
          <w:color w:val="auto"/>
        </w:rPr>
      </w:pPr>
    </w:p>
    <w:p>
      <w:pPr>
        <w:ind w:left="1400" w:hanging="713"/>
        <w:spacing w:after="0"/>
        <w:tabs>
          <w:tab w:leader="none" w:pos="1400" w:val="left"/>
        </w:tabs>
        <w:numPr>
          <w:ilvl w:val="0"/>
          <w:numId w:val="91"/>
        </w:numPr>
        <w:rPr>
          <w:rFonts w:ascii="Arial" w:cs="Arial" w:eastAsia="Arial" w:hAnsi="Arial"/>
          <w:sz w:val="12"/>
          <w:szCs w:val="12"/>
          <w:color w:val="auto"/>
        </w:rPr>
      </w:pPr>
      <w:r>
        <w:rPr>
          <w:rFonts w:ascii="Arial" w:cs="Arial" w:eastAsia="Arial" w:hAnsi="Arial"/>
          <w:sz w:val="12"/>
          <w:szCs w:val="12"/>
          <w:color w:val="auto"/>
        </w:rPr>
        <w:t>Previously filed with the Commission as an Exhibit to and incorporated herein by reference to, the Registrant’s current report on Form 8-K filed on September 7, 2005.</w:t>
      </w:r>
    </w:p>
    <w:p>
      <w:pPr>
        <w:sectPr>
          <w:pgSz w:w="11900" w:h="16838" w:orient="portrait"/>
          <w:cols w:equalWidth="0" w:num="1">
            <w:col w:w="10620"/>
          </w:cols>
          <w:pgMar w:left="220" w:top="343" w:right="1059" w:bottom="1440" w:gutter="0" w:footer="0" w:header="0"/>
          <w:type w:val="continuous"/>
        </w:sectPr>
      </w:pPr>
    </w:p>
    <w:bookmarkStart w:id="80" w:name="page81"/>
    <w:bookmarkEnd w:id="80"/>
    <w:p>
      <w:pPr>
        <w:jc w:val="right"/>
        <w:spacing w:after="0"/>
        <w:rPr>
          <w:sz w:val="20"/>
          <w:szCs w:val="20"/>
          <w:color w:val="auto"/>
        </w:rPr>
      </w:pPr>
      <w:r>
        <w:rPr>
          <w:rFonts w:ascii="Arial" w:cs="Arial" w:eastAsia="Arial" w:hAnsi="Arial"/>
          <w:sz w:val="13"/>
          <w:szCs w:val="13"/>
          <w:b w:val="1"/>
          <w:bCs w:val="1"/>
          <w:color w:val="auto"/>
        </w:rPr>
        <w:t>EXHIBIT 23.1</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CONSENT OF INDEPENDENT REGISTERED PUBLIC ACCOUNTING FIRM</w:t>
      </w:r>
    </w:p>
    <w:p>
      <w:pPr>
        <w:spacing w:after="0" w:line="90" w:lineRule="exact"/>
        <w:rPr>
          <w:sz w:val="20"/>
          <w:szCs w:val="20"/>
          <w:color w:val="auto"/>
        </w:rPr>
      </w:pPr>
    </w:p>
    <w:p>
      <w:pPr>
        <w:ind w:right="20" w:firstLine="161"/>
        <w:spacing w:after="0" w:line="282" w:lineRule="auto"/>
        <w:rPr>
          <w:sz w:val="20"/>
          <w:szCs w:val="20"/>
          <w:color w:val="auto"/>
        </w:rPr>
      </w:pPr>
      <w:r>
        <w:rPr>
          <w:rFonts w:ascii="Arial" w:cs="Arial" w:eastAsia="Arial" w:hAnsi="Arial"/>
          <w:sz w:val="12"/>
          <w:szCs w:val="12"/>
          <w:color w:val="auto"/>
        </w:rPr>
        <w:t>We have issued our reports dated March 3, 2006, accompanying the consolidated financial statements and management’s assessment of the effectiveness of internal control over financial reporting included in the Annual Report of Stemcells, Inc. on Form 10-K for the year ended December 31, 2005. We hereby consent to the incorporation by reference of said reports in the Registration Statements of Stemcells, Inc. on Forms S-3 (File No. 333-128797 effective October 4, 2005 and amended on November 3, 2005, File No. 333-117360 effective July 14, 2004, File No. 333-105664, effective May 29, 2003, File No. 333-83992, effective March 8, 2002, File No. 333-75806, effective December 21, 2001, File No. 333-66692, effective August 3, 2001, and File No. 333-61726, effective June 29, 2001) and Forms S-8 (File No. 333-118263 effective August 16, 2004, File No. 333-66700, effective August 3, 2001, File No. 333-37313, effective October 7, 1997, File No. 333-29335, effective June 16, 1997, File No. 333-10773, effective August 23, 1996, and File No. 33-49524, effective July 10, 1992) and Registration Statements of CytoTherapeutics, Inc. on Forms S-3 (File No. 33-91228, effective April 14, 1995, and File No. 33-68900, effective September 15, 1993).</w:t>
      </w:r>
    </w:p>
    <w:p>
      <w:pPr>
        <w:spacing w:after="0" w:line="128" w:lineRule="exact"/>
        <w:rPr>
          <w:sz w:val="20"/>
          <w:szCs w:val="20"/>
          <w:color w:val="auto"/>
        </w:rPr>
      </w:pPr>
    </w:p>
    <w:p>
      <w:pPr>
        <w:spacing w:after="0"/>
        <w:rPr>
          <w:sz w:val="20"/>
          <w:szCs w:val="20"/>
          <w:color w:val="auto"/>
        </w:rPr>
      </w:pPr>
      <w:r>
        <w:rPr>
          <w:rFonts w:ascii="Arial" w:cs="Arial" w:eastAsia="Arial" w:hAnsi="Arial"/>
          <w:sz w:val="13"/>
          <w:szCs w:val="13"/>
          <w:color w:val="auto"/>
        </w:rPr>
        <w:t>/s/ Grant Thornton LLP</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San Jose, California</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March 3, 2006</w:t>
      </w:r>
    </w:p>
    <w:p>
      <w:pPr>
        <w:sectPr>
          <w:pgSz w:w="11900" w:h="16838" w:orient="portrait"/>
          <w:cols w:equalWidth="0" w:num="1">
            <w:col w:w="11460"/>
          </w:cols>
          <w:pgMar w:left="220" w:top="716" w:right="219" w:bottom="1440" w:gutter="0" w:footer="0" w:header="0"/>
        </w:sectPr>
      </w:pPr>
    </w:p>
    <w:bookmarkStart w:id="81" w:name="page82"/>
    <w:bookmarkEnd w:id="81"/>
    <w:p>
      <w:pPr>
        <w:jc w:val="right"/>
        <w:spacing w:after="0"/>
        <w:rPr>
          <w:sz w:val="20"/>
          <w:szCs w:val="20"/>
          <w:color w:val="auto"/>
        </w:rPr>
      </w:pPr>
      <w:r>
        <w:rPr>
          <w:rFonts w:ascii="Arial" w:cs="Arial" w:eastAsia="Arial" w:hAnsi="Arial"/>
          <w:sz w:val="13"/>
          <w:szCs w:val="13"/>
          <w:b w:val="1"/>
          <w:bCs w:val="1"/>
          <w:color w:val="auto"/>
        </w:rPr>
        <w:t>EXHIBIT 31.1</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Certification of Chief Executive Officer</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under Section 302 of the Sarbanes-Oxley Act</w:t>
      </w:r>
    </w:p>
    <w:p>
      <w:pPr>
        <w:spacing w:after="0" w:line="79" w:lineRule="exact"/>
        <w:rPr>
          <w:sz w:val="20"/>
          <w:szCs w:val="20"/>
          <w:color w:val="auto"/>
        </w:rPr>
      </w:pPr>
    </w:p>
    <w:p>
      <w:pPr>
        <w:spacing w:after="0"/>
        <w:rPr>
          <w:sz w:val="20"/>
          <w:szCs w:val="20"/>
          <w:color w:val="auto"/>
        </w:rPr>
      </w:pPr>
      <w:r>
        <w:rPr>
          <w:rFonts w:ascii="Arial" w:cs="Arial" w:eastAsia="Arial" w:hAnsi="Arial"/>
          <w:sz w:val="13"/>
          <w:szCs w:val="13"/>
          <w:color w:val="auto"/>
        </w:rPr>
        <w:t>I, Martin McGlynn, certify that:</w:t>
      </w:r>
    </w:p>
    <w:p>
      <w:pPr>
        <w:spacing w:after="0" w:line="86" w:lineRule="exact"/>
        <w:rPr>
          <w:sz w:val="20"/>
          <w:szCs w:val="20"/>
          <w:color w:val="auto"/>
        </w:rPr>
      </w:pPr>
    </w:p>
    <w:p>
      <w:pPr>
        <w:ind w:left="680" w:hanging="455"/>
        <w:spacing w:after="0"/>
        <w:tabs>
          <w:tab w:leader="none" w:pos="680" w:val="left"/>
        </w:tabs>
        <w:numPr>
          <w:ilvl w:val="0"/>
          <w:numId w:val="92"/>
        </w:numPr>
        <w:rPr>
          <w:rFonts w:ascii="Arial" w:cs="Arial" w:eastAsia="Arial" w:hAnsi="Arial"/>
          <w:sz w:val="13"/>
          <w:szCs w:val="13"/>
          <w:color w:val="auto"/>
        </w:rPr>
      </w:pPr>
      <w:r>
        <w:rPr>
          <w:rFonts w:ascii="Arial" w:cs="Arial" w:eastAsia="Arial" w:hAnsi="Arial"/>
          <w:sz w:val="13"/>
          <w:szCs w:val="13"/>
          <w:color w:val="auto"/>
        </w:rPr>
        <w:t>I have reviewed this annual report on Form 10-K of StemCells, Inc.;</w:t>
      </w:r>
    </w:p>
    <w:p>
      <w:pPr>
        <w:spacing w:after="0" w:line="96" w:lineRule="exact"/>
        <w:rPr>
          <w:rFonts w:ascii="Arial" w:cs="Arial" w:eastAsia="Arial" w:hAnsi="Arial"/>
          <w:sz w:val="13"/>
          <w:szCs w:val="13"/>
          <w:color w:val="auto"/>
        </w:rPr>
      </w:pPr>
    </w:p>
    <w:p>
      <w:pPr>
        <w:ind w:left="680" w:right="20" w:hanging="455"/>
        <w:spacing w:after="0" w:line="276" w:lineRule="auto"/>
        <w:tabs>
          <w:tab w:leader="none" w:pos="680" w:val="left"/>
        </w:tabs>
        <w:numPr>
          <w:ilvl w:val="0"/>
          <w:numId w:val="92"/>
        </w:numPr>
        <w:rPr>
          <w:rFonts w:ascii="Arial" w:cs="Arial" w:eastAsia="Arial" w:hAnsi="Arial"/>
          <w:sz w:val="13"/>
          <w:szCs w:val="13"/>
          <w:color w:val="auto"/>
        </w:rPr>
      </w:pPr>
      <w:r>
        <w:rPr>
          <w:rFonts w:ascii="Arial" w:cs="Arial" w:eastAsia="Arial" w:hAnsi="Arial"/>
          <w:sz w:val="13"/>
          <w:szCs w:val="13"/>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9" w:lineRule="exact"/>
        <w:rPr>
          <w:rFonts w:ascii="Arial" w:cs="Arial" w:eastAsia="Arial" w:hAnsi="Arial"/>
          <w:sz w:val="13"/>
          <w:szCs w:val="13"/>
          <w:color w:val="auto"/>
        </w:rPr>
      </w:pPr>
    </w:p>
    <w:p>
      <w:pPr>
        <w:ind w:left="680" w:right="40" w:hanging="455"/>
        <w:spacing w:after="0" w:line="276" w:lineRule="auto"/>
        <w:tabs>
          <w:tab w:leader="none" w:pos="680" w:val="left"/>
        </w:tabs>
        <w:numPr>
          <w:ilvl w:val="0"/>
          <w:numId w:val="92"/>
        </w:numPr>
        <w:rPr>
          <w:rFonts w:ascii="Arial" w:cs="Arial" w:eastAsia="Arial" w:hAnsi="Arial"/>
          <w:sz w:val="13"/>
          <w:szCs w:val="13"/>
          <w:color w:val="auto"/>
        </w:rPr>
      </w:pPr>
      <w:r>
        <w:rPr>
          <w:rFonts w:ascii="Arial" w:cs="Arial" w:eastAsia="Arial" w:hAnsi="Arial"/>
          <w:sz w:val="13"/>
          <w:szCs w:val="13"/>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9" w:lineRule="exact"/>
        <w:rPr>
          <w:rFonts w:ascii="Arial" w:cs="Arial" w:eastAsia="Arial" w:hAnsi="Arial"/>
          <w:sz w:val="13"/>
          <w:szCs w:val="13"/>
          <w:color w:val="auto"/>
        </w:rPr>
      </w:pPr>
    </w:p>
    <w:p>
      <w:pPr>
        <w:ind w:left="680" w:right="140" w:hanging="455"/>
        <w:spacing w:after="0" w:line="276" w:lineRule="auto"/>
        <w:tabs>
          <w:tab w:leader="none" w:pos="680" w:val="left"/>
        </w:tabs>
        <w:numPr>
          <w:ilvl w:val="0"/>
          <w:numId w:val="92"/>
        </w:numPr>
        <w:rPr>
          <w:rFonts w:ascii="Arial" w:cs="Arial" w:eastAsia="Arial" w:hAnsi="Arial"/>
          <w:sz w:val="13"/>
          <w:szCs w:val="13"/>
          <w:color w:val="auto"/>
        </w:rPr>
      </w:pPr>
      <w:r>
        <w:rPr>
          <w:rFonts w:ascii="Arial" w:cs="Arial" w:eastAsia="Arial" w:hAnsi="Arial"/>
          <w:sz w:val="13"/>
          <w:szCs w:val="13"/>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9" w:lineRule="exact"/>
        <w:rPr>
          <w:rFonts w:ascii="Arial" w:cs="Arial" w:eastAsia="Arial" w:hAnsi="Arial"/>
          <w:sz w:val="13"/>
          <w:szCs w:val="13"/>
          <w:color w:val="auto"/>
        </w:rPr>
      </w:pPr>
    </w:p>
    <w:p>
      <w:pPr>
        <w:ind w:left="1360" w:right="180" w:hanging="447"/>
        <w:spacing w:after="0" w:line="320" w:lineRule="auto"/>
        <w:tabs>
          <w:tab w:leader="none" w:pos="1360" w:val="left"/>
        </w:tabs>
        <w:numPr>
          <w:ilvl w:val="1"/>
          <w:numId w:val="92"/>
        </w:numPr>
        <w:rPr>
          <w:rFonts w:ascii="Arial" w:cs="Arial" w:eastAsia="Arial" w:hAnsi="Arial"/>
          <w:sz w:val="12"/>
          <w:szCs w:val="12"/>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5" w:lineRule="exact"/>
        <w:rPr>
          <w:rFonts w:ascii="Arial" w:cs="Arial" w:eastAsia="Arial" w:hAnsi="Arial"/>
          <w:sz w:val="12"/>
          <w:szCs w:val="12"/>
          <w:color w:val="auto"/>
        </w:rPr>
      </w:pPr>
    </w:p>
    <w:p>
      <w:pPr>
        <w:ind w:left="1360" w:right="40" w:hanging="447"/>
        <w:spacing w:after="0" w:line="320" w:lineRule="auto"/>
        <w:tabs>
          <w:tab w:leader="none" w:pos="1360" w:val="left"/>
        </w:tabs>
        <w:numPr>
          <w:ilvl w:val="1"/>
          <w:numId w:val="92"/>
        </w:numPr>
        <w:rPr>
          <w:rFonts w:ascii="Arial" w:cs="Arial" w:eastAsia="Arial" w:hAnsi="Arial"/>
          <w:sz w:val="12"/>
          <w:szCs w:val="12"/>
          <w:color w:val="auto"/>
        </w:rPr>
      </w:pPr>
      <w:r>
        <w:rPr>
          <w:rFonts w:ascii="Arial" w:cs="Arial" w:eastAsia="Arial" w:hAnsi="Arial"/>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5" w:lineRule="exact"/>
        <w:rPr>
          <w:rFonts w:ascii="Arial" w:cs="Arial" w:eastAsia="Arial" w:hAnsi="Arial"/>
          <w:sz w:val="12"/>
          <w:szCs w:val="12"/>
          <w:color w:val="auto"/>
        </w:rPr>
      </w:pPr>
    </w:p>
    <w:p>
      <w:pPr>
        <w:ind w:left="1360" w:right="100" w:hanging="447"/>
        <w:spacing w:after="0" w:line="276" w:lineRule="auto"/>
        <w:tabs>
          <w:tab w:leader="none" w:pos="1360" w:val="left"/>
        </w:tabs>
        <w:numPr>
          <w:ilvl w:val="1"/>
          <w:numId w:val="92"/>
        </w:numPr>
        <w:rPr>
          <w:rFonts w:ascii="Arial" w:cs="Arial" w:eastAsia="Arial" w:hAnsi="Arial"/>
          <w:sz w:val="13"/>
          <w:szCs w:val="13"/>
          <w:color w:val="auto"/>
        </w:rPr>
      </w:pPr>
      <w:r>
        <w:rPr>
          <w:rFonts w:ascii="Arial" w:cs="Arial" w:eastAsia="Arial" w:hAnsi="Arial"/>
          <w:sz w:val="13"/>
          <w:szCs w:val="13"/>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9" w:lineRule="exact"/>
        <w:rPr>
          <w:rFonts w:ascii="Arial" w:cs="Arial" w:eastAsia="Arial" w:hAnsi="Arial"/>
          <w:sz w:val="13"/>
          <w:szCs w:val="13"/>
          <w:color w:val="auto"/>
        </w:rPr>
      </w:pPr>
    </w:p>
    <w:p>
      <w:pPr>
        <w:ind w:left="1360" w:right="20" w:hanging="447"/>
        <w:spacing w:after="0" w:line="320" w:lineRule="auto"/>
        <w:tabs>
          <w:tab w:leader="none" w:pos="1360" w:val="left"/>
        </w:tabs>
        <w:numPr>
          <w:ilvl w:val="1"/>
          <w:numId w:val="92"/>
        </w:numPr>
        <w:rPr>
          <w:rFonts w:ascii="Arial" w:cs="Arial" w:eastAsia="Arial" w:hAnsi="Arial"/>
          <w:sz w:val="12"/>
          <w:szCs w:val="12"/>
          <w:color w:val="auto"/>
        </w:rPr>
      </w:pPr>
      <w:r>
        <w:rPr>
          <w:rFonts w:ascii="Arial" w:cs="Arial" w:eastAsia="Arial" w:hAnsi="Arial"/>
          <w:sz w:val="12"/>
          <w:szCs w:val="1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5" w:lineRule="exact"/>
        <w:rPr>
          <w:rFonts w:ascii="Arial" w:cs="Arial" w:eastAsia="Arial" w:hAnsi="Arial"/>
          <w:sz w:val="12"/>
          <w:szCs w:val="12"/>
          <w:color w:val="auto"/>
        </w:rPr>
      </w:pPr>
    </w:p>
    <w:p>
      <w:pPr>
        <w:ind w:left="680" w:right="520" w:hanging="455"/>
        <w:spacing w:after="0" w:line="276" w:lineRule="auto"/>
        <w:tabs>
          <w:tab w:leader="none" w:pos="680" w:val="left"/>
        </w:tabs>
        <w:numPr>
          <w:ilvl w:val="0"/>
          <w:numId w:val="92"/>
        </w:numPr>
        <w:rPr>
          <w:rFonts w:ascii="Arial" w:cs="Arial" w:eastAsia="Arial" w:hAnsi="Arial"/>
          <w:sz w:val="13"/>
          <w:szCs w:val="13"/>
          <w:color w:val="auto"/>
        </w:rPr>
      </w:pPr>
      <w:r>
        <w:rPr>
          <w:rFonts w:ascii="Arial" w:cs="Arial" w:eastAsia="Arial" w:hAnsi="Arial"/>
          <w:sz w:val="13"/>
          <w:szCs w:val="13"/>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49" w:lineRule="exact"/>
        <w:rPr>
          <w:rFonts w:ascii="Arial" w:cs="Arial" w:eastAsia="Arial" w:hAnsi="Arial"/>
          <w:sz w:val="13"/>
          <w:szCs w:val="13"/>
          <w:color w:val="auto"/>
        </w:rPr>
      </w:pPr>
    </w:p>
    <w:p>
      <w:pPr>
        <w:ind w:left="1360" w:right="80" w:hanging="447"/>
        <w:spacing w:after="0" w:line="276" w:lineRule="auto"/>
        <w:tabs>
          <w:tab w:leader="none" w:pos="1360" w:val="left"/>
        </w:tabs>
        <w:numPr>
          <w:ilvl w:val="1"/>
          <w:numId w:val="92"/>
        </w:numPr>
        <w:rPr>
          <w:rFonts w:ascii="Arial" w:cs="Arial" w:eastAsia="Arial" w:hAnsi="Arial"/>
          <w:sz w:val="13"/>
          <w:szCs w:val="13"/>
          <w:color w:val="auto"/>
        </w:rPr>
      </w:pPr>
      <w:r>
        <w:rPr>
          <w:rFonts w:ascii="Arial" w:cs="Arial" w:eastAsia="Arial" w:hAnsi="Arial"/>
          <w:sz w:val="13"/>
          <w:szCs w:val="13"/>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59" w:lineRule="exact"/>
        <w:rPr>
          <w:rFonts w:ascii="Arial" w:cs="Arial" w:eastAsia="Arial" w:hAnsi="Arial"/>
          <w:sz w:val="13"/>
          <w:szCs w:val="13"/>
          <w:color w:val="auto"/>
        </w:rPr>
      </w:pPr>
    </w:p>
    <w:p>
      <w:pPr>
        <w:ind w:left="1360" w:hanging="447"/>
        <w:spacing w:after="0"/>
        <w:tabs>
          <w:tab w:leader="none" w:pos="1360" w:val="left"/>
        </w:tabs>
        <w:numPr>
          <w:ilvl w:val="1"/>
          <w:numId w:val="92"/>
        </w:numPr>
        <w:rPr>
          <w:rFonts w:ascii="Arial" w:cs="Arial" w:eastAsia="Arial" w:hAnsi="Arial"/>
          <w:sz w:val="13"/>
          <w:szCs w:val="13"/>
          <w:color w:val="auto"/>
        </w:rPr>
      </w:pPr>
      <w:r>
        <w:rPr>
          <w:rFonts w:ascii="Arial" w:cs="Arial" w:eastAsia="Arial" w:hAnsi="Arial"/>
          <w:sz w:val="13"/>
          <w:szCs w:val="13"/>
          <w:color w:val="auto"/>
        </w:rPr>
        <w:t>any fraud, whether or not material, that involves management or other employees who have a significant role in the registrant’s internal control over financial reporting.</w:t>
      </w:r>
    </w:p>
    <w:p>
      <w:pPr>
        <w:spacing w:after="0" w:line="165" w:lineRule="exact"/>
        <w:rPr>
          <w:sz w:val="20"/>
          <w:szCs w:val="20"/>
          <w:color w:val="auto"/>
        </w:rPr>
      </w:pPr>
    </w:p>
    <w:p>
      <w:pPr>
        <w:spacing w:after="0"/>
        <w:rPr>
          <w:sz w:val="20"/>
          <w:szCs w:val="20"/>
          <w:color w:val="auto"/>
        </w:rPr>
      </w:pPr>
      <w:r>
        <w:rPr>
          <w:rFonts w:ascii="Arial" w:cs="Arial" w:eastAsia="Arial" w:hAnsi="Arial"/>
          <w:sz w:val="13"/>
          <w:szCs w:val="13"/>
          <w:color w:val="auto"/>
        </w:rPr>
        <w:t>Date: March 14, 2006</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/s/ Martin McGlynn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2396490" cy="635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2396490" cy="6350"/>
                    </a:xfrm>
                    <a:prstGeom prst="rect">
                      <a:avLst/>
                    </a:prstGeom>
                    <a:noFill/>
                  </pic:spPr>
                </pic:pic>
              </a:graphicData>
            </a:graphic>
          </wp:anchor>
        </w:drawing>
      </w:r>
    </w:p>
    <w:p>
      <w:pPr>
        <w:spacing w:after="0"/>
        <w:rPr>
          <w:sz w:val="20"/>
          <w:szCs w:val="20"/>
          <w:color w:val="auto"/>
        </w:rPr>
      </w:pPr>
      <w:r>
        <w:rPr>
          <w:rFonts w:ascii="Arial" w:cs="Arial" w:eastAsia="Arial" w:hAnsi="Arial"/>
          <w:sz w:val="13"/>
          <w:szCs w:val="13"/>
          <w:color w:val="auto"/>
        </w:rPr>
        <w:t>Martin McGlynn</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President and Chief Executive Officer</w:t>
      </w:r>
    </w:p>
    <w:p>
      <w:pPr>
        <w:sectPr>
          <w:pgSz w:w="11900" w:h="16838" w:orient="portrait"/>
          <w:cols w:equalWidth="0" w:num="1">
            <w:col w:w="11460"/>
          </w:cols>
          <w:pgMar w:left="220" w:top="717" w:right="219" w:bottom="1440" w:gutter="0" w:footer="0" w:header="0"/>
        </w:sectPr>
      </w:pPr>
    </w:p>
    <w:bookmarkStart w:id="82" w:name="page83"/>
    <w:bookmarkEnd w:id="82"/>
    <w:p>
      <w:pPr>
        <w:jc w:val="right"/>
        <w:spacing w:after="0"/>
        <w:rPr>
          <w:sz w:val="20"/>
          <w:szCs w:val="20"/>
          <w:color w:val="auto"/>
        </w:rPr>
      </w:pPr>
      <w:r>
        <w:rPr>
          <w:rFonts w:ascii="Arial" w:cs="Arial" w:eastAsia="Arial" w:hAnsi="Arial"/>
          <w:sz w:val="13"/>
          <w:szCs w:val="13"/>
          <w:b w:val="1"/>
          <w:bCs w:val="1"/>
          <w:color w:val="auto"/>
        </w:rPr>
        <w:t>EXHIBIT 31.2</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Certification of Chief Financial Officer</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under Section 302 of the Sarbanes-Oxley Act</w:t>
      </w:r>
    </w:p>
    <w:p>
      <w:pPr>
        <w:spacing w:after="0" w:line="79" w:lineRule="exact"/>
        <w:rPr>
          <w:sz w:val="20"/>
          <w:szCs w:val="20"/>
          <w:color w:val="auto"/>
        </w:rPr>
      </w:pPr>
    </w:p>
    <w:p>
      <w:pPr>
        <w:spacing w:after="0"/>
        <w:rPr>
          <w:sz w:val="20"/>
          <w:szCs w:val="20"/>
          <w:color w:val="auto"/>
        </w:rPr>
      </w:pPr>
      <w:r>
        <w:rPr>
          <w:rFonts w:ascii="Arial" w:cs="Arial" w:eastAsia="Arial" w:hAnsi="Arial"/>
          <w:sz w:val="13"/>
          <w:szCs w:val="13"/>
          <w:color w:val="auto"/>
        </w:rPr>
        <w:t>I, Rodney K.B. Young, certify that:</w:t>
      </w:r>
    </w:p>
    <w:p>
      <w:pPr>
        <w:spacing w:after="0" w:line="86" w:lineRule="exact"/>
        <w:rPr>
          <w:sz w:val="20"/>
          <w:szCs w:val="20"/>
          <w:color w:val="auto"/>
        </w:rPr>
      </w:pPr>
    </w:p>
    <w:p>
      <w:pPr>
        <w:ind w:left="680" w:hanging="455"/>
        <w:spacing w:after="0"/>
        <w:tabs>
          <w:tab w:leader="none" w:pos="680" w:val="left"/>
        </w:tabs>
        <w:numPr>
          <w:ilvl w:val="0"/>
          <w:numId w:val="93"/>
        </w:numPr>
        <w:rPr>
          <w:rFonts w:ascii="Arial" w:cs="Arial" w:eastAsia="Arial" w:hAnsi="Arial"/>
          <w:sz w:val="13"/>
          <w:szCs w:val="13"/>
          <w:color w:val="auto"/>
        </w:rPr>
      </w:pPr>
      <w:r>
        <w:rPr>
          <w:rFonts w:ascii="Arial" w:cs="Arial" w:eastAsia="Arial" w:hAnsi="Arial"/>
          <w:sz w:val="13"/>
          <w:szCs w:val="13"/>
          <w:color w:val="auto"/>
        </w:rPr>
        <w:t>I have reviewed this annual report on Form 10-K of StemCells, Inc.;</w:t>
      </w:r>
    </w:p>
    <w:p>
      <w:pPr>
        <w:spacing w:after="0" w:line="96" w:lineRule="exact"/>
        <w:rPr>
          <w:rFonts w:ascii="Arial" w:cs="Arial" w:eastAsia="Arial" w:hAnsi="Arial"/>
          <w:sz w:val="13"/>
          <w:szCs w:val="13"/>
          <w:color w:val="auto"/>
        </w:rPr>
      </w:pPr>
    </w:p>
    <w:p>
      <w:pPr>
        <w:ind w:left="680" w:right="20" w:hanging="455"/>
        <w:spacing w:after="0" w:line="276" w:lineRule="auto"/>
        <w:tabs>
          <w:tab w:leader="none" w:pos="680" w:val="left"/>
        </w:tabs>
        <w:numPr>
          <w:ilvl w:val="0"/>
          <w:numId w:val="93"/>
        </w:numPr>
        <w:rPr>
          <w:rFonts w:ascii="Arial" w:cs="Arial" w:eastAsia="Arial" w:hAnsi="Arial"/>
          <w:sz w:val="13"/>
          <w:szCs w:val="13"/>
          <w:color w:val="auto"/>
        </w:rPr>
      </w:pPr>
      <w:r>
        <w:rPr>
          <w:rFonts w:ascii="Arial" w:cs="Arial" w:eastAsia="Arial" w:hAnsi="Arial"/>
          <w:sz w:val="13"/>
          <w:szCs w:val="13"/>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9" w:lineRule="exact"/>
        <w:rPr>
          <w:rFonts w:ascii="Arial" w:cs="Arial" w:eastAsia="Arial" w:hAnsi="Arial"/>
          <w:sz w:val="13"/>
          <w:szCs w:val="13"/>
          <w:color w:val="auto"/>
        </w:rPr>
      </w:pPr>
    </w:p>
    <w:p>
      <w:pPr>
        <w:ind w:left="680" w:right="40" w:hanging="455"/>
        <w:spacing w:after="0" w:line="276" w:lineRule="auto"/>
        <w:tabs>
          <w:tab w:leader="none" w:pos="680" w:val="left"/>
        </w:tabs>
        <w:numPr>
          <w:ilvl w:val="0"/>
          <w:numId w:val="93"/>
        </w:numPr>
        <w:rPr>
          <w:rFonts w:ascii="Arial" w:cs="Arial" w:eastAsia="Arial" w:hAnsi="Arial"/>
          <w:sz w:val="13"/>
          <w:szCs w:val="13"/>
          <w:color w:val="auto"/>
        </w:rPr>
      </w:pPr>
      <w:r>
        <w:rPr>
          <w:rFonts w:ascii="Arial" w:cs="Arial" w:eastAsia="Arial" w:hAnsi="Arial"/>
          <w:sz w:val="13"/>
          <w:szCs w:val="13"/>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9" w:lineRule="exact"/>
        <w:rPr>
          <w:rFonts w:ascii="Arial" w:cs="Arial" w:eastAsia="Arial" w:hAnsi="Arial"/>
          <w:sz w:val="13"/>
          <w:szCs w:val="13"/>
          <w:color w:val="auto"/>
        </w:rPr>
      </w:pPr>
    </w:p>
    <w:p>
      <w:pPr>
        <w:ind w:left="680" w:right="140" w:hanging="455"/>
        <w:spacing w:after="0" w:line="276" w:lineRule="auto"/>
        <w:tabs>
          <w:tab w:leader="none" w:pos="680" w:val="left"/>
        </w:tabs>
        <w:numPr>
          <w:ilvl w:val="0"/>
          <w:numId w:val="93"/>
        </w:numPr>
        <w:rPr>
          <w:rFonts w:ascii="Arial" w:cs="Arial" w:eastAsia="Arial" w:hAnsi="Arial"/>
          <w:sz w:val="13"/>
          <w:szCs w:val="13"/>
          <w:color w:val="auto"/>
        </w:rPr>
      </w:pPr>
      <w:r>
        <w:rPr>
          <w:rFonts w:ascii="Arial" w:cs="Arial" w:eastAsia="Arial" w:hAnsi="Arial"/>
          <w:sz w:val="13"/>
          <w:szCs w:val="13"/>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9" w:lineRule="exact"/>
        <w:rPr>
          <w:rFonts w:ascii="Arial" w:cs="Arial" w:eastAsia="Arial" w:hAnsi="Arial"/>
          <w:sz w:val="13"/>
          <w:szCs w:val="13"/>
          <w:color w:val="auto"/>
        </w:rPr>
      </w:pPr>
    </w:p>
    <w:p>
      <w:pPr>
        <w:ind w:left="1360" w:right="180" w:hanging="447"/>
        <w:spacing w:after="0" w:line="320" w:lineRule="auto"/>
        <w:tabs>
          <w:tab w:leader="none" w:pos="1360" w:val="left"/>
        </w:tabs>
        <w:numPr>
          <w:ilvl w:val="1"/>
          <w:numId w:val="93"/>
        </w:numPr>
        <w:rPr>
          <w:rFonts w:ascii="Arial" w:cs="Arial" w:eastAsia="Arial" w:hAnsi="Arial"/>
          <w:sz w:val="12"/>
          <w:szCs w:val="12"/>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5" w:lineRule="exact"/>
        <w:rPr>
          <w:sz w:val="20"/>
          <w:szCs w:val="20"/>
          <w:color w:val="auto"/>
        </w:rPr>
      </w:pPr>
    </w:p>
    <w:p>
      <w:pPr>
        <w:ind w:left="1360" w:right="40" w:hanging="447"/>
        <w:spacing w:after="0" w:line="320" w:lineRule="auto"/>
        <w:tabs>
          <w:tab w:leader="none" w:pos="1360" w:val="left"/>
        </w:tabs>
        <w:numPr>
          <w:ilvl w:val="1"/>
          <w:numId w:val="94"/>
        </w:numPr>
        <w:rPr>
          <w:rFonts w:ascii="Arial" w:cs="Arial" w:eastAsia="Arial" w:hAnsi="Arial"/>
          <w:sz w:val="12"/>
          <w:szCs w:val="12"/>
          <w:color w:val="auto"/>
        </w:rPr>
      </w:pPr>
      <w:r>
        <w:rPr>
          <w:rFonts w:ascii="Arial" w:cs="Arial" w:eastAsia="Arial" w:hAnsi="Arial"/>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5" w:lineRule="exact"/>
        <w:rPr>
          <w:rFonts w:ascii="Arial" w:cs="Arial" w:eastAsia="Arial" w:hAnsi="Arial"/>
          <w:sz w:val="12"/>
          <w:szCs w:val="12"/>
          <w:color w:val="auto"/>
        </w:rPr>
      </w:pPr>
    </w:p>
    <w:p>
      <w:pPr>
        <w:ind w:left="1360" w:right="100" w:hanging="447"/>
        <w:spacing w:after="0" w:line="276" w:lineRule="auto"/>
        <w:tabs>
          <w:tab w:leader="none" w:pos="1360" w:val="left"/>
        </w:tabs>
        <w:numPr>
          <w:ilvl w:val="1"/>
          <w:numId w:val="94"/>
        </w:numPr>
        <w:rPr>
          <w:rFonts w:ascii="Arial" w:cs="Arial" w:eastAsia="Arial" w:hAnsi="Arial"/>
          <w:sz w:val="13"/>
          <w:szCs w:val="13"/>
          <w:color w:val="auto"/>
        </w:rPr>
      </w:pPr>
      <w:r>
        <w:rPr>
          <w:rFonts w:ascii="Arial" w:cs="Arial" w:eastAsia="Arial" w:hAnsi="Arial"/>
          <w:sz w:val="13"/>
          <w:szCs w:val="13"/>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9" w:lineRule="exact"/>
        <w:rPr>
          <w:rFonts w:ascii="Arial" w:cs="Arial" w:eastAsia="Arial" w:hAnsi="Arial"/>
          <w:sz w:val="13"/>
          <w:szCs w:val="13"/>
          <w:color w:val="auto"/>
        </w:rPr>
      </w:pPr>
    </w:p>
    <w:p>
      <w:pPr>
        <w:ind w:left="1360" w:right="20" w:hanging="447"/>
        <w:spacing w:after="0" w:line="320" w:lineRule="auto"/>
        <w:tabs>
          <w:tab w:leader="none" w:pos="1360" w:val="left"/>
        </w:tabs>
        <w:numPr>
          <w:ilvl w:val="1"/>
          <w:numId w:val="94"/>
        </w:numPr>
        <w:rPr>
          <w:rFonts w:ascii="Arial" w:cs="Arial" w:eastAsia="Arial" w:hAnsi="Arial"/>
          <w:sz w:val="12"/>
          <w:szCs w:val="12"/>
          <w:color w:val="auto"/>
        </w:rPr>
      </w:pPr>
      <w:r>
        <w:rPr>
          <w:rFonts w:ascii="Arial" w:cs="Arial" w:eastAsia="Arial" w:hAnsi="Arial"/>
          <w:sz w:val="12"/>
          <w:szCs w:val="1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5" w:lineRule="exact"/>
        <w:rPr>
          <w:rFonts w:ascii="Arial" w:cs="Arial" w:eastAsia="Arial" w:hAnsi="Arial"/>
          <w:sz w:val="12"/>
          <w:szCs w:val="12"/>
          <w:color w:val="auto"/>
        </w:rPr>
      </w:pPr>
    </w:p>
    <w:p>
      <w:pPr>
        <w:ind w:left="680" w:right="520" w:hanging="455"/>
        <w:spacing w:after="0" w:line="276" w:lineRule="auto"/>
        <w:tabs>
          <w:tab w:leader="none" w:pos="680" w:val="left"/>
        </w:tabs>
        <w:numPr>
          <w:ilvl w:val="0"/>
          <w:numId w:val="95"/>
        </w:numPr>
        <w:rPr>
          <w:rFonts w:ascii="Arial" w:cs="Arial" w:eastAsia="Arial" w:hAnsi="Arial"/>
          <w:sz w:val="13"/>
          <w:szCs w:val="13"/>
          <w:color w:val="auto"/>
        </w:rPr>
      </w:pPr>
      <w:r>
        <w:rPr>
          <w:rFonts w:ascii="Arial" w:cs="Arial" w:eastAsia="Arial" w:hAnsi="Arial"/>
          <w:sz w:val="13"/>
          <w:szCs w:val="13"/>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49" w:lineRule="exact"/>
        <w:rPr>
          <w:rFonts w:ascii="Arial" w:cs="Arial" w:eastAsia="Arial" w:hAnsi="Arial"/>
          <w:sz w:val="13"/>
          <w:szCs w:val="13"/>
          <w:color w:val="auto"/>
        </w:rPr>
      </w:pPr>
    </w:p>
    <w:p>
      <w:pPr>
        <w:ind w:left="1360" w:right="80" w:hanging="447"/>
        <w:spacing w:after="0" w:line="276" w:lineRule="auto"/>
        <w:tabs>
          <w:tab w:leader="none" w:pos="1360" w:val="left"/>
        </w:tabs>
        <w:numPr>
          <w:ilvl w:val="1"/>
          <w:numId w:val="95"/>
        </w:numPr>
        <w:rPr>
          <w:rFonts w:ascii="Arial" w:cs="Arial" w:eastAsia="Arial" w:hAnsi="Arial"/>
          <w:sz w:val="13"/>
          <w:szCs w:val="13"/>
          <w:color w:val="auto"/>
        </w:rPr>
      </w:pPr>
      <w:r>
        <w:rPr>
          <w:rFonts w:ascii="Arial" w:cs="Arial" w:eastAsia="Arial" w:hAnsi="Arial"/>
          <w:sz w:val="13"/>
          <w:szCs w:val="13"/>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59" w:lineRule="exact"/>
        <w:rPr>
          <w:rFonts w:ascii="Arial" w:cs="Arial" w:eastAsia="Arial" w:hAnsi="Arial"/>
          <w:sz w:val="13"/>
          <w:szCs w:val="13"/>
          <w:color w:val="auto"/>
        </w:rPr>
      </w:pPr>
    </w:p>
    <w:p>
      <w:pPr>
        <w:ind w:left="1360" w:hanging="447"/>
        <w:spacing w:after="0"/>
        <w:tabs>
          <w:tab w:leader="none" w:pos="1360" w:val="left"/>
        </w:tabs>
        <w:numPr>
          <w:ilvl w:val="1"/>
          <w:numId w:val="95"/>
        </w:numPr>
        <w:rPr>
          <w:rFonts w:ascii="Arial" w:cs="Arial" w:eastAsia="Arial" w:hAnsi="Arial"/>
          <w:sz w:val="13"/>
          <w:szCs w:val="13"/>
          <w:color w:val="auto"/>
        </w:rPr>
      </w:pPr>
      <w:r>
        <w:rPr>
          <w:rFonts w:ascii="Arial" w:cs="Arial" w:eastAsia="Arial" w:hAnsi="Arial"/>
          <w:sz w:val="13"/>
          <w:szCs w:val="13"/>
          <w:color w:val="auto"/>
        </w:rPr>
        <w:t>any fraud, whether or not material, that involves management or other employees who have a significant role in the registrant’s internal control over financial reporting.</w:t>
      </w:r>
    </w:p>
    <w:p>
      <w:pPr>
        <w:spacing w:after="0" w:line="165" w:lineRule="exact"/>
        <w:rPr>
          <w:sz w:val="20"/>
          <w:szCs w:val="20"/>
          <w:color w:val="auto"/>
        </w:rPr>
      </w:pPr>
    </w:p>
    <w:p>
      <w:pPr>
        <w:spacing w:after="0"/>
        <w:rPr>
          <w:sz w:val="20"/>
          <w:szCs w:val="20"/>
          <w:color w:val="auto"/>
        </w:rPr>
      </w:pPr>
      <w:r>
        <w:rPr>
          <w:rFonts w:ascii="Arial" w:cs="Arial" w:eastAsia="Arial" w:hAnsi="Arial"/>
          <w:sz w:val="13"/>
          <w:szCs w:val="13"/>
          <w:color w:val="auto"/>
        </w:rPr>
        <w:t>Date: March 14, 2006</w:t>
      </w:r>
    </w:p>
    <w:p>
      <w:pPr>
        <w:spacing w:after="0" w:line="165" w:lineRule="exact"/>
        <w:rPr>
          <w:sz w:val="20"/>
          <w:szCs w:val="20"/>
          <w:color w:val="auto"/>
        </w:rPr>
      </w:pPr>
    </w:p>
    <w:p>
      <w:pPr>
        <w:spacing w:after="0"/>
        <w:rPr>
          <w:sz w:val="20"/>
          <w:szCs w:val="20"/>
          <w:color w:val="auto"/>
        </w:rPr>
      </w:pPr>
      <w:r>
        <w:rPr>
          <w:rFonts w:ascii="Arial" w:cs="Arial" w:eastAsia="Arial" w:hAnsi="Arial"/>
          <w:sz w:val="13"/>
          <w:szCs w:val="13"/>
          <w:color w:val="auto"/>
        </w:rPr>
        <w:t>/s/ Rodney K.B. Young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2396490" cy="635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2396490" cy="635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3"/>
          <w:szCs w:val="13"/>
          <w:color w:val="auto"/>
        </w:rPr>
        <w:t>Rodney K.B. Young</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Chief Financial Officer</w:t>
      </w:r>
    </w:p>
    <w:p>
      <w:pPr>
        <w:sectPr>
          <w:pgSz w:w="11900" w:h="16838" w:orient="portrait"/>
          <w:cols w:equalWidth="0" w:num="1">
            <w:col w:w="11460"/>
          </w:cols>
          <w:pgMar w:left="220" w:top="716" w:right="219" w:bottom="1440" w:gutter="0" w:footer="0" w:header="0"/>
        </w:sectPr>
      </w:pPr>
    </w:p>
    <w:bookmarkStart w:id="83" w:name="page84"/>
    <w:bookmarkEnd w:id="83"/>
    <w:p>
      <w:pPr>
        <w:jc w:val="right"/>
        <w:spacing w:after="0"/>
        <w:rPr>
          <w:sz w:val="20"/>
          <w:szCs w:val="20"/>
          <w:color w:val="auto"/>
        </w:rPr>
      </w:pPr>
      <w:r>
        <w:rPr>
          <w:rFonts w:ascii="Arial" w:cs="Arial" w:eastAsia="Arial" w:hAnsi="Arial"/>
          <w:sz w:val="13"/>
          <w:szCs w:val="13"/>
          <w:b w:val="1"/>
          <w:bCs w:val="1"/>
          <w:color w:val="auto"/>
        </w:rPr>
        <w:t>Exhibit 32.1</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Certification Pursuant to 18 U.S.C. Section 1350, As Adopted Pursuant to Section 906 of the</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Sarbanes-Oxley Act of 2002</w:t>
      </w:r>
    </w:p>
    <w:p>
      <w:pPr>
        <w:spacing w:after="0" w:line="79" w:lineRule="exact"/>
        <w:rPr>
          <w:sz w:val="20"/>
          <w:szCs w:val="20"/>
          <w:color w:val="auto"/>
        </w:rPr>
      </w:pPr>
    </w:p>
    <w:p>
      <w:pPr>
        <w:ind w:right="80"/>
        <w:spacing w:after="0" w:line="264" w:lineRule="auto"/>
        <w:rPr>
          <w:sz w:val="20"/>
          <w:szCs w:val="20"/>
          <w:color w:val="auto"/>
        </w:rPr>
      </w:pPr>
      <w:r>
        <w:rPr>
          <w:rFonts w:ascii="Arial" w:cs="Arial" w:eastAsia="Arial" w:hAnsi="Arial"/>
          <w:sz w:val="13"/>
          <w:szCs w:val="13"/>
          <w:color w:val="auto"/>
        </w:rPr>
        <w:t>In connection with the StemCells, Inc. (the “Company”) Annual Report on Form 10-K for the year ended December 31, 2005 as filed with the Securities and Exchange Commission on the date hereof (the “Report”), I, Martin McGlynn, President and Chief Executive Officer of the Company, certify pursuant to 18 U.S.C. Section 1350, as adopted pursuant to Section 906 of the Sarbanes-Oxley Act of 2002, that, to the best of my knowledge:</w:t>
      </w:r>
    </w:p>
    <w:p>
      <w:pPr>
        <w:spacing w:after="0" w:line="57" w:lineRule="exact"/>
        <w:rPr>
          <w:sz w:val="20"/>
          <w:szCs w:val="20"/>
          <w:color w:val="auto"/>
        </w:rPr>
      </w:pPr>
    </w:p>
    <w:p>
      <w:pPr>
        <w:ind w:left="220"/>
        <w:spacing w:after="0"/>
        <w:tabs>
          <w:tab w:leader="none" w:pos="660" w:val="left"/>
        </w:tabs>
        <w:rPr>
          <w:sz w:val="20"/>
          <w:szCs w:val="20"/>
          <w:color w:val="auto"/>
        </w:rPr>
      </w:pPr>
      <w:r>
        <w:rPr>
          <w:rFonts w:ascii="Arial" w:cs="Arial" w:eastAsia="Arial" w:hAnsi="Arial"/>
          <w:sz w:val="13"/>
          <w:szCs w:val="13"/>
          <w:color w:val="auto"/>
        </w:rPr>
        <w:t>(1).</w:t>
      </w:r>
      <w:r>
        <w:rPr>
          <w:sz w:val="20"/>
          <w:szCs w:val="20"/>
          <w:color w:val="auto"/>
        </w:rPr>
        <w:tab/>
      </w:r>
      <w:r>
        <w:rPr>
          <w:rFonts w:ascii="Arial" w:cs="Arial" w:eastAsia="Arial" w:hAnsi="Arial"/>
          <w:sz w:val="11"/>
          <w:szCs w:val="11"/>
          <w:color w:val="auto"/>
        </w:rPr>
        <w:t>The Report fully complies with the requirements of Section 13(a) or 15(d) of the Securities Exchange Act of 1934, as amended; and</w:t>
      </w:r>
    </w:p>
    <w:p>
      <w:pPr>
        <w:spacing w:after="0" w:line="96" w:lineRule="exact"/>
        <w:rPr>
          <w:sz w:val="20"/>
          <w:szCs w:val="20"/>
          <w:color w:val="auto"/>
        </w:rPr>
      </w:pPr>
    </w:p>
    <w:p>
      <w:pPr>
        <w:ind w:left="220"/>
        <w:spacing w:after="0"/>
        <w:tabs>
          <w:tab w:leader="none" w:pos="660" w:val="left"/>
        </w:tabs>
        <w:rPr>
          <w:sz w:val="20"/>
          <w:szCs w:val="20"/>
          <w:color w:val="auto"/>
        </w:rPr>
      </w:pPr>
      <w:r>
        <w:rPr>
          <w:rFonts w:ascii="Arial" w:cs="Arial" w:eastAsia="Arial" w:hAnsi="Arial"/>
          <w:sz w:val="13"/>
          <w:szCs w:val="13"/>
          <w:color w:val="auto"/>
        </w:rPr>
        <w:t>(2).</w:t>
      </w:r>
      <w:r>
        <w:rPr>
          <w:sz w:val="20"/>
          <w:szCs w:val="20"/>
          <w:color w:val="auto"/>
        </w:rPr>
        <w:tab/>
      </w:r>
      <w:r>
        <w:rPr>
          <w:rFonts w:ascii="Arial" w:cs="Arial" w:eastAsia="Arial" w:hAnsi="Arial"/>
          <w:sz w:val="11"/>
          <w:szCs w:val="11"/>
          <w:color w:val="auto"/>
        </w:rPr>
        <w:t>The information contained in the Report fairly presents, in all material respects, the financial condition and results of operations of the Company.</w:t>
      </w:r>
    </w:p>
    <w:p>
      <w:pPr>
        <w:spacing w:after="0" w:line="165" w:lineRule="exact"/>
        <w:rPr>
          <w:sz w:val="20"/>
          <w:szCs w:val="20"/>
          <w:color w:val="auto"/>
        </w:rPr>
      </w:pPr>
    </w:p>
    <w:p>
      <w:pPr>
        <w:spacing w:after="0"/>
        <w:rPr>
          <w:sz w:val="20"/>
          <w:szCs w:val="20"/>
          <w:color w:val="auto"/>
        </w:rPr>
      </w:pPr>
      <w:r>
        <w:rPr>
          <w:rFonts w:ascii="Arial" w:cs="Arial" w:eastAsia="Arial" w:hAnsi="Arial"/>
          <w:sz w:val="13"/>
          <w:szCs w:val="13"/>
          <w:color w:val="auto"/>
        </w:rPr>
        <w:t>Date: March 14, 2006</w:t>
      </w:r>
    </w:p>
    <w:p>
      <w:pPr>
        <w:spacing w:after="0" w:line="165" w:lineRule="exact"/>
        <w:rPr>
          <w:sz w:val="20"/>
          <w:szCs w:val="20"/>
          <w:color w:val="auto"/>
        </w:rPr>
      </w:pPr>
    </w:p>
    <w:p>
      <w:pPr>
        <w:spacing w:after="0"/>
        <w:rPr>
          <w:sz w:val="20"/>
          <w:szCs w:val="20"/>
          <w:color w:val="auto"/>
        </w:rPr>
      </w:pPr>
      <w:r>
        <w:rPr>
          <w:rFonts w:ascii="Arial" w:cs="Arial" w:eastAsia="Arial" w:hAnsi="Arial"/>
          <w:sz w:val="13"/>
          <w:szCs w:val="13"/>
          <w:color w:val="auto"/>
        </w:rPr>
        <w:t>/s/ Martin McGlynn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2396490" cy="635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2396490" cy="635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3"/>
          <w:szCs w:val="13"/>
          <w:color w:val="auto"/>
        </w:rPr>
        <w:t>Martin McGlynn</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President and Chief Executive Officer</w:t>
      </w:r>
    </w:p>
    <w:p>
      <w:pPr>
        <w:sectPr>
          <w:pgSz w:w="11900" w:h="16838" w:orient="portrait"/>
          <w:cols w:equalWidth="0" w:num="1">
            <w:col w:w="11460"/>
          </w:cols>
          <w:pgMar w:left="220" w:top="716" w:right="219" w:bottom="1440" w:gutter="0" w:footer="0" w:header="0"/>
        </w:sectPr>
      </w:pPr>
    </w:p>
    <w:bookmarkStart w:id="84" w:name="page85"/>
    <w:bookmarkEnd w:id="84"/>
    <w:p>
      <w:pPr>
        <w:jc w:val="right"/>
        <w:spacing w:after="0"/>
        <w:rPr>
          <w:sz w:val="20"/>
          <w:szCs w:val="20"/>
          <w:color w:val="auto"/>
        </w:rPr>
      </w:pPr>
      <w:r>
        <w:rPr>
          <w:rFonts w:ascii="Arial" w:cs="Arial" w:eastAsia="Arial" w:hAnsi="Arial"/>
          <w:sz w:val="13"/>
          <w:szCs w:val="13"/>
          <w:b w:val="1"/>
          <w:bCs w:val="1"/>
          <w:color w:val="auto"/>
        </w:rPr>
        <w:t>Exhibit 32.2</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Certification Pursuant to 18 U.S.C. Section 1350, As Adopted Pursuant to Section 906 of the</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Sarbanes-Oxley Act of 2002</w:t>
      </w:r>
    </w:p>
    <w:p>
      <w:pPr>
        <w:spacing w:after="0" w:line="79" w:lineRule="exact"/>
        <w:rPr>
          <w:sz w:val="20"/>
          <w:szCs w:val="20"/>
          <w:color w:val="auto"/>
        </w:rPr>
      </w:pPr>
    </w:p>
    <w:p>
      <w:pPr>
        <w:ind w:right="80"/>
        <w:spacing w:after="0" w:line="320" w:lineRule="auto"/>
        <w:rPr>
          <w:sz w:val="20"/>
          <w:szCs w:val="20"/>
          <w:color w:val="auto"/>
        </w:rPr>
      </w:pPr>
      <w:r>
        <w:rPr>
          <w:rFonts w:ascii="Arial" w:cs="Arial" w:eastAsia="Arial" w:hAnsi="Arial"/>
          <w:sz w:val="12"/>
          <w:szCs w:val="12"/>
          <w:color w:val="auto"/>
        </w:rPr>
        <w:t>In connection with the StemCells, Inc. (the “Company”) Annual Report on Form 10-K for the year ended December 31, 2005 as filed with the Securities and Exchange Commission on the date hereof (the “Report”), I, Rodney K.B. Young, Chief Financial Officer of the Company, certify pursuant to 18 U.S.C. Section 1350, as adopted pursuant to Section 906 of the Sarbanes-Oxley Act of 2002, that, to the best of my knowledge:</w:t>
      </w:r>
    </w:p>
    <w:p>
      <w:pPr>
        <w:spacing w:after="0" w:line="25" w:lineRule="exact"/>
        <w:rPr>
          <w:sz w:val="20"/>
          <w:szCs w:val="20"/>
          <w:color w:val="auto"/>
        </w:rPr>
      </w:pPr>
    </w:p>
    <w:p>
      <w:pPr>
        <w:ind w:left="220"/>
        <w:spacing w:after="0"/>
        <w:tabs>
          <w:tab w:leader="none" w:pos="660" w:val="left"/>
        </w:tabs>
        <w:rPr>
          <w:sz w:val="20"/>
          <w:szCs w:val="20"/>
          <w:color w:val="auto"/>
        </w:rPr>
      </w:pPr>
      <w:r>
        <w:rPr>
          <w:rFonts w:ascii="Arial" w:cs="Arial" w:eastAsia="Arial" w:hAnsi="Arial"/>
          <w:sz w:val="13"/>
          <w:szCs w:val="13"/>
          <w:color w:val="auto"/>
        </w:rPr>
        <w:t>(1).</w:t>
      </w:r>
      <w:r>
        <w:rPr>
          <w:sz w:val="20"/>
          <w:szCs w:val="20"/>
          <w:color w:val="auto"/>
        </w:rPr>
        <w:tab/>
      </w:r>
      <w:r>
        <w:rPr>
          <w:rFonts w:ascii="Arial" w:cs="Arial" w:eastAsia="Arial" w:hAnsi="Arial"/>
          <w:sz w:val="11"/>
          <w:szCs w:val="11"/>
          <w:color w:val="auto"/>
        </w:rPr>
        <w:t>The Report fully complies with the requirements of Section 13(a) or 15(d) of the Securities Exchange Act of 1934, as amended; and</w:t>
      </w:r>
    </w:p>
    <w:p>
      <w:pPr>
        <w:spacing w:after="0" w:line="96" w:lineRule="exact"/>
        <w:rPr>
          <w:sz w:val="20"/>
          <w:szCs w:val="20"/>
          <w:color w:val="auto"/>
        </w:rPr>
      </w:pPr>
    </w:p>
    <w:p>
      <w:pPr>
        <w:ind w:left="220"/>
        <w:spacing w:after="0"/>
        <w:tabs>
          <w:tab w:leader="none" w:pos="660" w:val="left"/>
        </w:tabs>
        <w:rPr>
          <w:sz w:val="20"/>
          <w:szCs w:val="20"/>
          <w:color w:val="auto"/>
        </w:rPr>
      </w:pPr>
      <w:r>
        <w:rPr>
          <w:rFonts w:ascii="Arial" w:cs="Arial" w:eastAsia="Arial" w:hAnsi="Arial"/>
          <w:sz w:val="13"/>
          <w:szCs w:val="13"/>
          <w:color w:val="auto"/>
        </w:rPr>
        <w:t>(2).</w:t>
      </w:r>
      <w:r>
        <w:rPr>
          <w:sz w:val="20"/>
          <w:szCs w:val="20"/>
          <w:color w:val="auto"/>
        </w:rPr>
        <w:tab/>
      </w:r>
      <w:r>
        <w:rPr>
          <w:rFonts w:ascii="Arial" w:cs="Arial" w:eastAsia="Arial" w:hAnsi="Arial"/>
          <w:sz w:val="11"/>
          <w:szCs w:val="11"/>
          <w:color w:val="auto"/>
        </w:rPr>
        <w:t>The information contained in the Report fairly presents, in all material respects, the financial condition and results of operations of the Company.</w:t>
      </w:r>
    </w:p>
    <w:p>
      <w:pPr>
        <w:spacing w:after="0" w:line="165" w:lineRule="exact"/>
        <w:rPr>
          <w:sz w:val="20"/>
          <w:szCs w:val="20"/>
          <w:color w:val="auto"/>
        </w:rPr>
      </w:pPr>
    </w:p>
    <w:p>
      <w:pPr>
        <w:spacing w:after="0"/>
        <w:rPr>
          <w:sz w:val="20"/>
          <w:szCs w:val="20"/>
          <w:color w:val="auto"/>
        </w:rPr>
      </w:pPr>
      <w:r>
        <w:rPr>
          <w:rFonts w:ascii="Arial" w:cs="Arial" w:eastAsia="Arial" w:hAnsi="Arial"/>
          <w:sz w:val="13"/>
          <w:szCs w:val="13"/>
          <w:color w:val="auto"/>
        </w:rPr>
        <w:t>Date: March 14, 2006</w:t>
      </w:r>
    </w:p>
    <w:p>
      <w:pPr>
        <w:spacing w:after="0" w:line="165" w:lineRule="exact"/>
        <w:rPr>
          <w:sz w:val="20"/>
          <w:szCs w:val="20"/>
          <w:color w:val="auto"/>
        </w:rPr>
      </w:pPr>
    </w:p>
    <w:p>
      <w:pPr>
        <w:spacing w:after="0"/>
        <w:rPr>
          <w:sz w:val="20"/>
          <w:szCs w:val="20"/>
          <w:color w:val="auto"/>
        </w:rPr>
      </w:pPr>
      <w:r>
        <w:rPr>
          <w:rFonts w:ascii="Arial" w:cs="Arial" w:eastAsia="Arial" w:hAnsi="Arial"/>
          <w:sz w:val="13"/>
          <w:szCs w:val="13"/>
          <w:color w:val="auto"/>
        </w:rPr>
        <w:t>/s/ Rodney K.B. Young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2396490" cy="635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2396490" cy="635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3"/>
          <w:szCs w:val="13"/>
          <w:color w:val="auto"/>
        </w:rPr>
        <w:t>Rodney K.B. Young</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Chief Financial Officer</w:t>
      </w:r>
    </w:p>
    <w:sectPr>
      <w:pgSz w:w="11900" w:h="16838" w:orient="portrait"/>
      <w:cols w:equalWidth="0" w:num="1">
        <w:col w:w="11460"/>
      </w:cols>
      <w:pgMar w:left="220" w:top="716" w:right="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644A45C"/>
    <w:multiLevelType w:val="hybridMultilevel"/>
    <w:lvl w:ilvl="0">
      <w:lvlJc w:val="left"/>
      <w:lvlText w:val="☑"/>
      <w:numFmt w:val="bullet"/>
      <w:start w:val="1"/>
    </w:lvl>
  </w:abstractNum>
  <w:abstractNum w:abstractNumId="1">
    <w:nsid w:val="32FFF902"/>
    <w:multiLevelType w:val="hybridMultilevel"/>
    <w:lvl w:ilvl="0">
      <w:lvlJc w:val="left"/>
      <w:lvlText w:val="o"/>
      <w:numFmt w:val="bullet"/>
      <w:start w:val="1"/>
    </w:lvl>
  </w:abstractNum>
  <w:abstractNum w:abstractNumId="2">
    <w:nsid w:val="684A481A"/>
    <w:multiLevelType w:val="hybridMultilevel"/>
    <w:lvl w:ilvl="0">
      <w:lvlJc w:val="left"/>
      <w:lvlText w:val="1"/>
      <w:numFmt w:val="bullet"/>
      <w:start w:val="1"/>
    </w:lvl>
  </w:abstractNum>
  <w:abstractNum w:abstractNumId="3">
    <w:nsid w:val="579478FE"/>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4">
    <w:nsid w:val="749ABB43"/>
    <w:multiLevelType w:val="hybridMultilevel"/>
    <w:lvl w:ilvl="0">
      <w:lvlJc w:val="left"/>
      <w:lvlText w:val="•"/>
      <w:numFmt w:val="bullet"/>
      <w:start w:val="1"/>
    </w:lvl>
    <w:lvl w:ilvl="1">
      <w:lvlJc w:val="left"/>
      <w:lvlText w:val="•"/>
      <w:numFmt w:val="bullet"/>
      <w:start w:val="1"/>
    </w:lvl>
  </w:abstractNum>
  <w:abstractNum w:abstractNumId="5">
    <w:nsid w:val="3DC240FB"/>
    <w:multiLevelType w:val="hybridMultilevel"/>
    <w:lvl w:ilvl="0">
      <w:lvlJc w:val="left"/>
      <w:lvlText w:val="•"/>
      <w:numFmt w:val="bullet"/>
      <w:start w:val="1"/>
    </w:lvl>
    <w:lvl w:ilvl="1">
      <w:lvlJc w:val="left"/>
      <w:lvlText w:val="•"/>
      <w:numFmt w:val="bullet"/>
      <w:start w:val="1"/>
    </w:lvl>
  </w:abstractNum>
  <w:abstractNum w:abstractNumId="6">
    <w:nsid w:val="1BA026FA"/>
    <w:multiLevelType w:val="hybridMultilevel"/>
    <w:lvl w:ilvl="0">
      <w:lvlJc w:val="left"/>
      <w:lvlText w:val="•"/>
      <w:numFmt w:val="bullet"/>
      <w:start w:val="1"/>
    </w:lvl>
  </w:abstractNum>
  <w:abstractNum w:abstractNumId="7">
    <w:nsid w:val="79A1DEAA"/>
    <w:multiLevelType w:val="hybridMultilevel"/>
    <w:lvl w:ilvl="0">
      <w:lvlJc w:val="left"/>
      <w:lvlText w:val="•"/>
      <w:numFmt w:val="bullet"/>
      <w:start w:val="1"/>
    </w:lvl>
  </w:abstractNum>
  <w:abstractNum w:abstractNumId="8">
    <w:nsid w:val="75C6C33A"/>
    <w:multiLevelType w:val="hybridMultilevel"/>
    <w:lvl w:ilvl="0">
      <w:lvlJc w:val="left"/>
      <w:lvlText w:val="(%1)"/>
      <w:numFmt w:val="decimal"/>
      <w:start w:val="1"/>
    </w:lvl>
  </w:abstractNum>
  <w:abstractNum w:abstractNumId="9">
    <w:nsid w:val="12E685FB"/>
    <w:multiLevelType w:val="hybridMultilevel"/>
    <w:lvl w:ilvl="0">
      <w:lvlJc w:val="left"/>
      <w:lvlText w:val="•"/>
      <w:numFmt w:val="bullet"/>
      <w:start w:val="1"/>
    </w:lvl>
  </w:abstractNum>
  <w:abstractNum w:abstractNumId="10">
    <w:nsid w:val="70C6A529"/>
    <w:multiLevelType w:val="hybridMultilevel"/>
    <w:lvl w:ilvl="0">
      <w:lvlJc w:val="left"/>
      <w:lvlText w:val="%1."/>
      <w:numFmt w:val="decimal"/>
      <w:start w:val="2"/>
    </w:lvl>
  </w:abstractNum>
  <w:abstractNum w:abstractNumId="11">
    <w:nsid w:val="520EEDD1"/>
    <w:multiLevelType w:val="hybridMultilevel"/>
    <w:lvl w:ilvl="0">
      <w:lvlJc w:val="left"/>
      <w:lvlText w:val="%1."/>
      <w:numFmt w:val="decimal"/>
      <w:start w:val="4"/>
    </w:lvl>
  </w:abstractNum>
  <w:abstractNum w:abstractNumId="12">
    <w:nsid w:val="374A3FE6"/>
    <w:multiLevelType w:val="hybridMultilevel"/>
    <w:lvl w:ilvl="0">
      <w:lvlJc w:val="left"/>
      <w:lvlText w:val="•"/>
      <w:numFmt w:val="bullet"/>
      <w:start w:val="1"/>
    </w:lvl>
  </w:abstractNum>
  <w:abstractNum w:abstractNumId="13">
    <w:nsid w:val="4F4EF005"/>
    <w:multiLevelType w:val="hybridMultilevel"/>
    <w:lvl w:ilvl="0">
      <w:lvlJc w:val="left"/>
      <w:lvlText w:val="•"/>
      <w:numFmt w:val="bullet"/>
      <w:start w:val="1"/>
    </w:lvl>
  </w:abstractNum>
  <w:abstractNum w:abstractNumId="14">
    <w:nsid w:val="23F9C13C"/>
    <w:multiLevelType w:val="hybridMultilevel"/>
    <w:lvl w:ilvl="0">
      <w:lvlJc w:val="left"/>
      <w:lvlText w:val="•"/>
      <w:numFmt w:val="bullet"/>
      <w:start w:val="1"/>
    </w:lvl>
  </w:abstractNum>
  <w:abstractNum w:abstractNumId="15">
    <w:nsid w:val="649BB77C"/>
    <w:multiLevelType w:val="hybridMultilevel"/>
    <w:lvl w:ilvl="0">
      <w:lvlJc w:val="left"/>
      <w:lvlText w:val="•"/>
      <w:numFmt w:val="bullet"/>
      <w:start w:val="1"/>
    </w:lvl>
  </w:abstractNum>
  <w:abstractNum w:abstractNumId="16">
    <w:nsid w:val="275AC794"/>
    <w:multiLevelType w:val="hybridMultilevel"/>
    <w:lvl w:ilvl="0">
      <w:lvlJc w:val="left"/>
      <w:lvlText w:val="•"/>
      <w:numFmt w:val="bullet"/>
      <w:start w:val="1"/>
    </w:lvl>
  </w:abstractNum>
  <w:abstractNum w:abstractNumId="17">
    <w:nsid w:val="39386575"/>
    <w:multiLevelType w:val="hybridMultilevel"/>
    <w:lvl w:ilvl="0">
      <w:lvlJc w:val="left"/>
      <w:lvlText w:val="(%1)"/>
      <w:numFmt w:val="lowerLetter"/>
      <w:start w:val="1"/>
    </w:lvl>
  </w:abstractNum>
  <w:abstractNum w:abstractNumId="18">
    <w:nsid w:val="1CF10FD8"/>
    <w:multiLevelType w:val="hybridMultilevel"/>
    <w:lvl w:ilvl="0">
      <w:lvlJc w:val="left"/>
      <w:lvlText w:val="•"/>
      <w:numFmt w:val="bullet"/>
      <w:start w:val="1"/>
    </w:lvl>
  </w:abstractNum>
  <w:abstractNum w:abstractNumId="19">
    <w:nsid w:val="180115BE"/>
    <w:multiLevelType w:val="hybridMultilevel"/>
    <w:lvl w:ilvl="0">
      <w:lvlJc w:val="left"/>
      <w:lvlText w:val="•"/>
      <w:numFmt w:val="bullet"/>
      <w:start w:val="1"/>
    </w:lvl>
  </w:abstractNum>
  <w:abstractNum w:abstractNumId="20">
    <w:nsid w:val="235BA861"/>
    <w:multiLevelType w:val="hybridMultilevel"/>
    <w:lvl w:ilvl="0">
      <w:lvlJc w:val="left"/>
      <w:lvlText w:val="(%1)"/>
      <w:numFmt w:val="decimal"/>
      <w:start w:val="1"/>
    </w:lvl>
  </w:abstractNum>
  <w:abstractNum w:abstractNumId="21">
    <w:nsid w:val="47398C89"/>
    <w:multiLevelType w:val="hybridMultilevel"/>
    <w:lvl w:ilvl="0">
      <w:lvlJc w:val="left"/>
      <w:lvlText w:val="(%1)"/>
      <w:numFmt w:val="decimal"/>
      <w:start w:val="1"/>
    </w:lvl>
  </w:abstractNum>
  <w:abstractNum w:abstractNumId="22">
    <w:nsid w:val="354FE9F9"/>
    <w:multiLevelType w:val="hybridMultilevel"/>
    <w:lvl w:ilvl="0">
      <w:lvlJc w:val="left"/>
      <w:lvlText w:val="•"/>
      <w:numFmt w:val="bullet"/>
      <w:start w:val="1"/>
    </w:lvl>
  </w:abstractNum>
  <w:abstractNum w:abstractNumId="23">
    <w:nsid w:val="15B5AF5C"/>
    <w:multiLevelType w:val="hybridMultilevel"/>
    <w:lvl w:ilvl="0">
      <w:lvlJc w:val="left"/>
      <w:lvlText w:val="•"/>
      <w:numFmt w:val="bullet"/>
      <w:start w:val="1"/>
    </w:lvl>
  </w:abstractNum>
  <w:abstractNum w:abstractNumId="24">
    <w:nsid w:val="741226BB"/>
    <w:multiLevelType w:val="hybridMultilevel"/>
    <w:lvl w:ilvl="0">
      <w:lvlJc w:val="left"/>
      <w:lvlText w:val="(%1)"/>
      <w:numFmt w:val="decimal"/>
      <w:start w:val="1"/>
    </w:lvl>
  </w:abstractNum>
  <w:abstractNum w:abstractNumId="25">
    <w:nsid w:val="D34B6A8"/>
    <w:multiLevelType w:val="hybridMultilevel"/>
    <w:lvl w:ilvl="0">
      <w:lvlJc w:val="left"/>
      <w:lvlText w:val="(%1)"/>
      <w:numFmt w:val="decimal"/>
      <w:start w:val="1"/>
    </w:lvl>
  </w:abstractNum>
  <w:abstractNum w:abstractNumId="26">
    <w:nsid w:val="10233C99"/>
    <w:multiLevelType w:val="hybridMultilevel"/>
    <w:lvl w:ilvl="0">
      <w:lvlJc w:val="left"/>
      <w:lvlText w:val="(%1)"/>
      <w:numFmt w:val="decimal"/>
      <w:start w:val="1"/>
    </w:lvl>
  </w:abstractNum>
  <w:abstractNum w:abstractNumId="27">
    <w:nsid w:val="3F6AB60F"/>
    <w:multiLevelType w:val="hybridMultilevel"/>
    <w:lvl w:ilvl="0">
      <w:lvlJc w:val="left"/>
      <w:lvlText w:val="•"/>
      <w:numFmt w:val="bullet"/>
      <w:start w:val="1"/>
    </w:lvl>
  </w:abstractNum>
  <w:abstractNum w:abstractNumId="28">
    <w:nsid w:val="61574095"/>
    <w:multiLevelType w:val="hybridMultilevel"/>
    <w:lvl w:ilvl="0">
      <w:lvlJc w:val="left"/>
      <w:lvlText w:val="•"/>
      <w:numFmt w:val="bullet"/>
      <w:start w:val="1"/>
    </w:lvl>
  </w:abstractNum>
  <w:abstractNum w:abstractNumId="29">
    <w:nsid w:val="7E0C57B1"/>
    <w:multiLevelType w:val="hybridMultilevel"/>
    <w:lvl w:ilvl="0">
      <w:lvlJc w:val="left"/>
      <w:lvlText w:val="•"/>
      <w:numFmt w:val="bullet"/>
      <w:start w:val="1"/>
    </w:lvl>
  </w:abstractNum>
  <w:abstractNum w:abstractNumId="30">
    <w:nsid w:val="77AE35EB"/>
    <w:multiLevelType w:val="hybridMultilevel"/>
    <w:lvl w:ilvl="0">
      <w:lvlJc w:val="left"/>
      <w:lvlText w:val="(%1)"/>
      <w:numFmt w:val="decimal"/>
      <w:start w:val="1"/>
    </w:lvl>
  </w:abstractNum>
  <w:abstractNum w:abstractNumId="31">
    <w:nsid w:val="579BE4F1"/>
    <w:multiLevelType w:val="hybridMultilevel"/>
    <w:lvl w:ilvl="0">
      <w:lvlJc w:val="left"/>
      <w:lvlText w:val="•"/>
      <w:numFmt w:val="bullet"/>
      <w:start w:val="1"/>
    </w:lvl>
  </w:abstractNum>
  <w:abstractNum w:abstractNumId="32">
    <w:nsid w:val="310C50B3"/>
    <w:multiLevelType w:val="hybridMultilevel"/>
    <w:lvl w:ilvl="0">
      <w:lvlJc w:val="left"/>
      <w:lvlText w:val="(%1)"/>
      <w:numFmt w:val="lowerLetter"/>
      <w:start w:val="1"/>
    </w:lvl>
    <w:lvl w:ilvl="1">
      <w:lvlJc w:val="left"/>
      <w:lvlText w:val="(%2)"/>
      <w:numFmt w:val="decimal"/>
      <w:start w:val="1"/>
    </w:lvl>
  </w:abstractNum>
  <w:abstractNum w:abstractNumId="33">
    <w:nsid w:val="5FF87E05"/>
    <w:multiLevelType w:val="hybridMultilevel"/>
    <w:lvl w:ilvl="0">
      <w:lvlJc w:val="left"/>
      <w:lvlText w:val="++"/>
      <w:numFmt w:val="bullet"/>
      <w:start w:val="1"/>
    </w:lvl>
  </w:abstractNum>
  <w:abstractNum w:abstractNumId="34">
    <w:nsid w:val="2F305DEF"/>
    <w:multiLevelType w:val="hybridMultilevel"/>
    <w:lvl w:ilvl="0">
      <w:lvlJc w:val="left"/>
      <w:lvlText w:val="+++"/>
      <w:numFmt w:val="bullet"/>
      <w:start w:val="1"/>
    </w:lvl>
  </w:abstractNum>
  <w:abstractNum w:abstractNumId="35">
    <w:nsid w:val="25A70BF7"/>
    <w:multiLevelType w:val="hybridMultilevel"/>
    <w:lvl w:ilvl="0">
      <w:lvlJc w:val="left"/>
      <w:lvlText w:val="*"/>
      <w:numFmt w:val="bullet"/>
      <w:start w:val="1"/>
    </w:lvl>
  </w:abstractNum>
  <w:abstractNum w:abstractNumId="36">
    <w:nsid w:val="1DBABF00"/>
    <w:multiLevelType w:val="hybridMultilevel"/>
    <w:lvl w:ilvl="0">
      <w:lvlJc w:val="left"/>
      <w:lvlText w:val="#"/>
      <w:numFmt w:val="bullet"/>
      <w:start w:val="1"/>
    </w:lvl>
  </w:abstractNum>
  <w:abstractNum w:abstractNumId="37">
    <w:nsid w:val="4AD084E9"/>
    <w:multiLevelType w:val="hybridMultilevel"/>
    <w:lvl w:ilvl="0">
      <w:lvlJc w:val="left"/>
      <w:lvlText w:val="**"/>
      <w:numFmt w:val="bullet"/>
      <w:start w:val="1"/>
    </w:lvl>
  </w:abstractNum>
  <w:abstractNum w:abstractNumId="38">
    <w:nsid w:val="1F48EAA1"/>
    <w:multiLevelType w:val="hybridMultilevel"/>
    <w:lvl w:ilvl="0">
      <w:lvlJc w:val="left"/>
      <w:lvlText w:val="##"/>
      <w:numFmt w:val="bullet"/>
      <w:start w:val="1"/>
    </w:lvl>
  </w:abstractNum>
  <w:abstractNum w:abstractNumId="39">
    <w:nsid w:val="1381823A"/>
    <w:multiLevelType w:val="hybridMultilevel"/>
    <w:lvl w:ilvl="0">
      <w:lvlJc w:val="left"/>
      <w:lvlText w:val="+"/>
      <w:numFmt w:val="bullet"/>
      <w:start w:val="1"/>
    </w:lvl>
  </w:abstractNum>
  <w:abstractNum w:abstractNumId="40">
    <w:nsid w:val="5DB70AE5"/>
    <w:multiLevelType w:val="hybridMultilevel"/>
    <w:lvl w:ilvl="0">
      <w:lvlJc w:val="left"/>
      <w:lvlText w:val="!"/>
      <w:numFmt w:val="bullet"/>
      <w:start w:val="1"/>
    </w:lvl>
  </w:abstractNum>
  <w:abstractNum w:abstractNumId="41">
    <w:nsid w:val="100F8FCA"/>
    <w:multiLevelType w:val="hybridMultilevel"/>
    <w:lvl w:ilvl="0">
      <w:lvlJc w:val="left"/>
      <w:lvlText w:val="!!"/>
      <w:numFmt w:val="bullet"/>
      <w:start w:val="1"/>
    </w:lvl>
  </w:abstractNum>
  <w:abstractNum w:abstractNumId="42">
    <w:nsid w:val="6590700B"/>
    <w:multiLevelType w:val="hybridMultilevel"/>
    <w:lvl w:ilvl="0">
      <w:lvlJc w:val="left"/>
      <w:lvlText w:val="!!!"/>
      <w:numFmt w:val="bullet"/>
      <w:start w:val="1"/>
    </w:lvl>
  </w:abstractNum>
  <w:abstractNum w:abstractNumId="43">
    <w:nsid w:val="15014ACB"/>
    <w:multiLevelType w:val="hybridMultilevel"/>
    <w:lvl w:ilvl="0">
      <w:lvlJc w:val="left"/>
      <w:lvlText w:val="!!!!"/>
      <w:numFmt w:val="bullet"/>
      <w:start w:val="1"/>
    </w:lvl>
  </w:abstractNum>
  <w:abstractNum w:abstractNumId="44">
    <w:nsid w:val="5F5E7FD0"/>
    <w:multiLevelType w:val="hybridMultilevel"/>
    <w:lvl w:ilvl="0">
      <w:lvlJc w:val="left"/>
      <w:lvlText w:val="***"/>
      <w:numFmt w:val="bullet"/>
      <w:start w:val="1"/>
    </w:lvl>
  </w:abstractNum>
  <w:abstractNum w:abstractNumId="45">
    <w:nsid w:val="98A3148"/>
    <w:multiLevelType w:val="hybridMultilevel"/>
    <w:lvl w:ilvl="0">
      <w:lvlJc w:val="left"/>
      <w:lvlText w:val="****"/>
      <w:numFmt w:val="bullet"/>
      <w:start w:val="1"/>
    </w:lvl>
  </w:abstractNum>
  <w:abstractNum w:abstractNumId="46">
    <w:nsid w:val="799D0247"/>
    <w:multiLevelType w:val="hybridMultilevel"/>
    <w:lvl w:ilvl="0">
      <w:lvlJc w:val="left"/>
      <w:lvlText w:val="###"/>
      <w:numFmt w:val="bullet"/>
      <w:start w:val="1"/>
    </w:lvl>
  </w:abstractNum>
  <w:abstractNum w:abstractNumId="47">
    <w:nsid w:val="6B94764"/>
    <w:multiLevelType w:val="hybridMultilevel"/>
    <w:lvl w:ilvl="0">
      <w:lvlJc w:val="left"/>
      <w:lvlText w:val="$"/>
      <w:numFmt w:val="bullet"/>
      <w:start w:val="1"/>
    </w:lvl>
  </w:abstractNum>
  <w:abstractNum w:abstractNumId="48">
    <w:nsid w:val="42C296BD"/>
    <w:multiLevelType w:val="hybridMultilevel"/>
    <w:lvl w:ilvl="0">
      <w:lvlJc w:val="left"/>
      <w:lvlText w:val="X"/>
      <w:numFmt w:val="bullet"/>
      <w:start w:val="1"/>
    </w:lvl>
  </w:abstractNum>
  <w:abstractNum w:abstractNumId="49">
    <w:nsid w:val="168E121F"/>
    <w:multiLevelType w:val="hybridMultilevel"/>
    <w:lvl w:ilvl="0">
      <w:lvlJc w:val="left"/>
      <w:lvlText w:val="%1"/>
      <w:numFmt w:val="upperLetter"/>
      <w:start w:val="50"/>
    </w:lvl>
  </w:abstractNum>
  <w:abstractNum w:abstractNumId="50">
    <w:nsid w:val="1EBA5D23"/>
    <w:multiLevelType w:val="hybridMultilevel"/>
    <w:lvl w:ilvl="0">
      <w:lvlJc w:val="left"/>
      <w:lvlText w:val="%1"/>
      <w:numFmt w:val="upperLetter"/>
      <w:start w:val="76"/>
    </w:lvl>
  </w:abstractNum>
  <w:abstractNum w:abstractNumId="51">
    <w:nsid w:val="661E3F1E"/>
    <w:multiLevelType w:val="hybridMultilevel"/>
    <w:lvl w:ilvl="0">
      <w:lvlJc w:val="left"/>
      <w:lvlText w:val="&amp;"/>
      <w:numFmt w:val="bullet"/>
      <w:start w:val="1"/>
    </w:lvl>
  </w:abstractNum>
  <w:abstractNum w:abstractNumId="52">
    <w:nsid w:val="5DC79EA8"/>
    <w:multiLevelType w:val="hybridMultilevel"/>
    <w:lvl w:ilvl="0">
      <w:lvlJc w:val="left"/>
      <w:lvlText w:val="&amp;&amp;"/>
      <w:numFmt w:val="bullet"/>
      <w:start w:val="1"/>
    </w:lvl>
  </w:abstractNum>
  <w:abstractNum w:abstractNumId="53">
    <w:nsid w:val="540A471C"/>
    <w:multiLevelType w:val="hybridMultilevel"/>
    <w:lvl w:ilvl="0">
      <w:lvlJc w:val="left"/>
      <w:lvlText w:val="%"/>
      <w:numFmt w:val="bullet"/>
      <w:start w:val="1"/>
    </w:lvl>
  </w:abstractNum>
  <w:abstractNum w:abstractNumId="54">
    <w:nsid w:val="7BD3EE7B"/>
    <w:multiLevelType w:val="hybridMultilevel"/>
    <w:lvl w:ilvl="0">
      <w:lvlJc w:val="left"/>
      <w:lvlText w:val="%%"/>
      <w:numFmt w:val="bullet"/>
      <w:start w:val="1"/>
    </w:lvl>
  </w:abstractNum>
  <w:abstractNum w:abstractNumId="55">
    <w:nsid w:val="51D9C564"/>
    <w:multiLevelType w:val="hybridMultilevel"/>
    <w:lvl w:ilvl="0">
      <w:lvlJc w:val="left"/>
      <w:lvlText w:val="ˆ"/>
      <w:numFmt w:val="bullet"/>
      <w:start w:val="1"/>
    </w:lvl>
  </w:abstractNum>
  <w:abstractNum w:abstractNumId="56">
    <w:nsid w:val="613EFDC5"/>
    <w:multiLevelType w:val="hybridMultilevel"/>
    <w:lvl w:ilvl="0">
      <w:lvlJc w:val="left"/>
      <w:lvlText w:val="ˆˆ"/>
      <w:numFmt w:val="bullet"/>
      <w:start w:val="1"/>
    </w:lvl>
  </w:abstractNum>
  <w:abstractNum w:abstractNumId="57">
    <w:nsid w:val="BF72B14"/>
    <w:multiLevelType w:val="hybridMultilevel"/>
    <w:lvl w:ilvl="0">
      <w:lvlJc w:val="left"/>
      <w:lvlText w:val="ˆˆˆ"/>
      <w:numFmt w:val="bullet"/>
      <w:start w:val="1"/>
    </w:lvl>
  </w:abstractNum>
  <w:abstractNum w:abstractNumId="58">
    <w:nsid w:val="11447B73"/>
    <w:multiLevelType w:val="hybridMultilevel"/>
    <w:lvl w:ilvl="0">
      <w:lvlJc w:val="left"/>
      <w:lvlText w:val="ˆˆˆˆ"/>
      <w:numFmt w:val="bullet"/>
      <w:start w:val="1"/>
    </w:lvl>
  </w:abstractNum>
  <w:abstractNum w:abstractNumId="59">
    <w:nsid w:val="42963E5A"/>
    <w:multiLevelType w:val="hybridMultilevel"/>
    <w:lvl w:ilvl="0">
      <w:lvlJc w:val="left"/>
      <w:lvlText w:val="ˆˆˆˆˆ"/>
      <w:numFmt w:val="bullet"/>
      <w:start w:val="1"/>
    </w:lvl>
  </w:abstractNum>
  <w:abstractNum w:abstractNumId="60">
    <w:nsid w:val="A0382C5"/>
    <w:multiLevelType w:val="hybridMultilevel"/>
    <w:lvl w:ilvl="0">
      <w:lvlJc w:val="left"/>
      <w:lvlText w:val="§"/>
      <w:numFmt w:val="bullet"/>
      <w:start w:val="1"/>
    </w:lvl>
  </w:abstractNum>
  <w:abstractNum w:abstractNumId="61">
    <w:nsid w:val="8F2B15E"/>
    <w:multiLevelType w:val="hybridMultilevel"/>
    <w:lvl w:ilvl="0">
      <w:lvlJc w:val="left"/>
      <w:lvlText w:val="§§"/>
      <w:numFmt w:val="bullet"/>
      <w:start w:val="1"/>
    </w:lvl>
  </w:abstractNum>
  <w:abstractNum w:abstractNumId="62">
    <w:nsid w:val="1A32234B"/>
    <w:multiLevelType w:val="hybridMultilevel"/>
    <w:lvl w:ilvl="0">
      <w:lvlJc w:val="left"/>
      <w:lvlText w:val="++"/>
      <w:numFmt w:val="bullet"/>
      <w:start w:val="1"/>
    </w:lvl>
  </w:abstractNum>
  <w:abstractNum w:abstractNumId="63">
    <w:nsid w:val="3B0FD379"/>
    <w:multiLevelType w:val="hybridMultilevel"/>
    <w:lvl w:ilvl="0">
      <w:lvlJc w:val="left"/>
      <w:lvlText w:val="+++"/>
      <w:numFmt w:val="bullet"/>
      <w:start w:val="1"/>
    </w:lvl>
  </w:abstractNum>
  <w:abstractNum w:abstractNumId="64">
    <w:nsid w:val="68EB2F63"/>
    <w:multiLevelType w:val="hybridMultilevel"/>
    <w:lvl w:ilvl="0">
      <w:lvlJc w:val="left"/>
      <w:lvlText w:val="*"/>
      <w:numFmt w:val="bullet"/>
      <w:start w:val="1"/>
    </w:lvl>
  </w:abstractNum>
  <w:abstractNum w:abstractNumId="65">
    <w:nsid w:val="4962813B"/>
    <w:multiLevelType w:val="hybridMultilevel"/>
    <w:lvl w:ilvl="0">
      <w:lvlJc w:val="left"/>
      <w:lvlText w:val="#"/>
      <w:numFmt w:val="bullet"/>
      <w:start w:val="1"/>
    </w:lvl>
  </w:abstractNum>
  <w:abstractNum w:abstractNumId="66">
    <w:nsid w:val="60B6DF70"/>
    <w:multiLevelType w:val="hybridMultilevel"/>
    <w:lvl w:ilvl="0">
      <w:lvlJc w:val="left"/>
      <w:lvlText w:val="**"/>
      <w:numFmt w:val="bullet"/>
      <w:start w:val="1"/>
    </w:lvl>
  </w:abstractNum>
  <w:abstractNum w:abstractNumId="67">
    <w:nsid w:val="6A5EE64"/>
    <w:multiLevelType w:val="hybridMultilevel"/>
    <w:lvl w:ilvl="0">
      <w:lvlJc w:val="left"/>
      <w:lvlText w:val="##"/>
      <w:numFmt w:val="bullet"/>
      <w:start w:val="1"/>
    </w:lvl>
  </w:abstractNum>
  <w:abstractNum w:abstractNumId="68">
    <w:nsid w:val="14330624"/>
    <w:multiLevelType w:val="hybridMultilevel"/>
    <w:lvl w:ilvl="0">
      <w:lvlJc w:val="left"/>
      <w:lvlText w:val="+"/>
      <w:numFmt w:val="bullet"/>
      <w:start w:val="1"/>
    </w:lvl>
  </w:abstractNum>
  <w:abstractNum w:abstractNumId="69">
    <w:nsid w:val="7FFFCA11"/>
    <w:multiLevelType w:val="hybridMultilevel"/>
    <w:lvl w:ilvl="0">
      <w:lvlJc w:val="left"/>
      <w:lvlText w:val="!"/>
      <w:numFmt w:val="bullet"/>
      <w:start w:val="1"/>
    </w:lvl>
  </w:abstractNum>
  <w:abstractNum w:abstractNumId="70">
    <w:nsid w:val="1A27709E"/>
    <w:multiLevelType w:val="hybridMultilevel"/>
    <w:lvl w:ilvl="0">
      <w:lvlJc w:val="left"/>
      <w:lvlText w:val="!!"/>
      <w:numFmt w:val="bullet"/>
      <w:start w:val="1"/>
    </w:lvl>
  </w:abstractNum>
  <w:abstractNum w:abstractNumId="71">
    <w:nsid w:val="71EA1109"/>
    <w:multiLevelType w:val="hybridMultilevel"/>
    <w:lvl w:ilvl="0">
      <w:lvlJc w:val="left"/>
      <w:lvlText w:val="!!!"/>
      <w:numFmt w:val="bullet"/>
      <w:start w:val="1"/>
    </w:lvl>
  </w:abstractNum>
  <w:abstractNum w:abstractNumId="72">
    <w:nsid w:val="100F59DC"/>
    <w:multiLevelType w:val="hybridMultilevel"/>
    <w:lvl w:ilvl="0">
      <w:lvlJc w:val="left"/>
      <w:lvlText w:val="!!!!"/>
      <w:numFmt w:val="bullet"/>
      <w:start w:val="1"/>
    </w:lvl>
  </w:abstractNum>
  <w:abstractNum w:abstractNumId="73">
    <w:nsid w:val="7FB7E0AA"/>
    <w:multiLevelType w:val="hybridMultilevel"/>
    <w:lvl w:ilvl="0">
      <w:lvlJc w:val="left"/>
      <w:lvlText w:val="***"/>
      <w:numFmt w:val="bullet"/>
      <w:start w:val="1"/>
    </w:lvl>
  </w:abstractNum>
  <w:abstractNum w:abstractNumId="74">
    <w:nsid w:val="6EB5BD4"/>
    <w:multiLevelType w:val="hybridMultilevel"/>
    <w:lvl w:ilvl="0">
      <w:lvlJc w:val="left"/>
      <w:lvlText w:val="****"/>
      <w:numFmt w:val="bullet"/>
      <w:start w:val="1"/>
    </w:lvl>
  </w:abstractNum>
  <w:abstractNum w:abstractNumId="75">
    <w:nsid w:val="6F6DD9AC"/>
    <w:multiLevelType w:val="hybridMultilevel"/>
    <w:lvl w:ilvl="0">
      <w:lvlJc w:val="left"/>
      <w:lvlText w:val="###"/>
      <w:numFmt w:val="bullet"/>
      <w:start w:val="1"/>
    </w:lvl>
  </w:abstractNum>
  <w:abstractNum w:abstractNumId="76">
    <w:nsid w:val="94211F2"/>
    <w:multiLevelType w:val="hybridMultilevel"/>
    <w:lvl w:ilvl="0">
      <w:lvlJc w:val="left"/>
      <w:lvlText w:val="$"/>
      <w:numFmt w:val="bullet"/>
      <w:start w:val="1"/>
    </w:lvl>
  </w:abstractNum>
  <w:abstractNum w:abstractNumId="77">
    <w:nsid w:val="885E1B"/>
    <w:multiLevelType w:val="hybridMultilevel"/>
    <w:lvl w:ilvl="0">
      <w:lvlJc w:val="left"/>
      <w:lvlText w:val="X"/>
      <w:numFmt w:val="bullet"/>
      <w:start w:val="1"/>
    </w:lvl>
  </w:abstractNum>
  <w:abstractNum w:abstractNumId="78">
    <w:nsid w:val="76272110"/>
    <w:multiLevelType w:val="hybridMultilevel"/>
    <w:lvl w:ilvl="0">
      <w:lvlJc w:val="left"/>
      <w:lvlText w:val="%1"/>
      <w:numFmt w:val="upperLetter"/>
      <w:start w:val="50"/>
    </w:lvl>
  </w:abstractNum>
  <w:abstractNum w:abstractNumId="79">
    <w:nsid w:val="4C04A8AF"/>
    <w:multiLevelType w:val="hybridMultilevel"/>
    <w:lvl w:ilvl="0">
      <w:lvlJc w:val="left"/>
      <w:lvlText w:val="%1"/>
      <w:numFmt w:val="upperLetter"/>
      <w:start w:val="76"/>
    </w:lvl>
  </w:abstractNum>
  <w:abstractNum w:abstractNumId="80">
    <w:nsid w:val="1716703B"/>
    <w:multiLevelType w:val="hybridMultilevel"/>
    <w:lvl w:ilvl="0">
      <w:lvlJc w:val="left"/>
      <w:lvlText w:val="&amp;"/>
      <w:numFmt w:val="bullet"/>
      <w:start w:val="1"/>
    </w:lvl>
  </w:abstractNum>
  <w:abstractNum w:abstractNumId="81">
    <w:nsid w:val="14E17E33"/>
    <w:multiLevelType w:val="hybridMultilevel"/>
    <w:lvl w:ilvl="0">
      <w:lvlJc w:val="left"/>
      <w:lvlText w:val="&amp;&amp;"/>
      <w:numFmt w:val="bullet"/>
      <w:start w:val="1"/>
    </w:lvl>
  </w:abstractNum>
  <w:abstractNum w:abstractNumId="82">
    <w:nsid w:val="3222E7CD"/>
    <w:multiLevelType w:val="hybridMultilevel"/>
    <w:lvl w:ilvl="0">
      <w:lvlJc w:val="left"/>
      <w:lvlText w:val="%"/>
      <w:numFmt w:val="bullet"/>
      <w:start w:val="1"/>
    </w:lvl>
  </w:abstractNum>
  <w:abstractNum w:abstractNumId="83">
    <w:nsid w:val="74DE0EE3"/>
    <w:multiLevelType w:val="hybridMultilevel"/>
    <w:lvl w:ilvl="0">
      <w:lvlJc w:val="left"/>
      <w:lvlText w:val="%%"/>
      <w:numFmt w:val="bullet"/>
      <w:start w:val="1"/>
    </w:lvl>
  </w:abstractNum>
  <w:abstractNum w:abstractNumId="84">
    <w:nsid w:val="68EBC550"/>
    <w:multiLevelType w:val="hybridMultilevel"/>
    <w:lvl w:ilvl="0">
      <w:lvlJc w:val="left"/>
      <w:lvlText w:val="ˆ"/>
      <w:numFmt w:val="bullet"/>
      <w:start w:val="1"/>
    </w:lvl>
  </w:abstractNum>
  <w:abstractNum w:abstractNumId="85">
    <w:nsid w:val="2DF6D648"/>
    <w:multiLevelType w:val="hybridMultilevel"/>
    <w:lvl w:ilvl="0">
      <w:lvlJc w:val="left"/>
      <w:lvlText w:val="ˆˆ"/>
      <w:numFmt w:val="bullet"/>
      <w:start w:val="1"/>
    </w:lvl>
  </w:abstractNum>
  <w:abstractNum w:abstractNumId="86">
    <w:nsid w:val="46B7D447"/>
    <w:multiLevelType w:val="hybridMultilevel"/>
    <w:lvl w:ilvl="0">
      <w:lvlJc w:val="left"/>
      <w:lvlText w:val="ˆˆˆ"/>
      <w:numFmt w:val="bullet"/>
      <w:start w:val="1"/>
    </w:lvl>
  </w:abstractNum>
  <w:abstractNum w:abstractNumId="87">
    <w:nsid w:val="4A2AC315"/>
    <w:multiLevelType w:val="hybridMultilevel"/>
    <w:lvl w:ilvl="0">
      <w:lvlJc w:val="left"/>
      <w:lvlText w:val="ˆˆˆˆ"/>
      <w:numFmt w:val="bullet"/>
      <w:start w:val="1"/>
    </w:lvl>
  </w:abstractNum>
  <w:abstractNum w:abstractNumId="88">
    <w:nsid w:val="39EE015C"/>
    <w:multiLevelType w:val="hybridMultilevel"/>
    <w:lvl w:ilvl="0">
      <w:lvlJc w:val="left"/>
      <w:lvlText w:val="ˆˆˆˆˆ"/>
      <w:numFmt w:val="bullet"/>
      <w:start w:val="1"/>
    </w:lvl>
  </w:abstractNum>
  <w:abstractNum w:abstractNumId="89">
    <w:nsid w:val="57FC4FBB"/>
    <w:multiLevelType w:val="hybridMultilevel"/>
    <w:lvl w:ilvl="0">
      <w:lvlJc w:val="left"/>
      <w:lvlText w:val="§"/>
      <w:numFmt w:val="bullet"/>
      <w:start w:val="1"/>
    </w:lvl>
  </w:abstractNum>
  <w:abstractNum w:abstractNumId="90">
    <w:nsid w:val="CC1016F"/>
    <w:multiLevelType w:val="hybridMultilevel"/>
    <w:lvl w:ilvl="0">
      <w:lvlJc w:val="left"/>
      <w:lvlText w:val="§§"/>
      <w:numFmt w:val="bullet"/>
      <w:start w:val="1"/>
    </w:lvl>
  </w:abstractNum>
  <w:abstractNum w:abstractNumId="91">
    <w:nsid w:val="43F18422"/>
    <w:multiLevelType w:val="hybridMultilevel"/>
    <w:lvl w:ilvl="0">
      <w:lvlJc w:val="left"/>
      <w:lvlText w:val="(%1)"/>
      <w:numFmt w:val="decimal"/>
      <w:start w:val="1"/>
    </w:lvl>
    <w:lvl w:ilvl="1">
      <w:lvlJc w:val="left"/>
      <w:lvlText w:val="%2."/>
      <w:numFmt w:val="lowerLetter"/>
      <w:start w:val="1"/>
    </w:lvl>
  </w:abstractNum>
  <w:abstractNum w:abstractNumId="92">
    <w:nsid w:val="60EF0119"/>
    <w:multiLevelType w:val="hybridMultilevel"/>
    <w:lvl w:ilvl="0">
      <w:lvlJc w:val="left"/>
      <w:lvlText w:val="(%1)"/>
      <w:numFmt w:val="decimal"/>
      <w:start w:val="1"/>
    </w:lvl>
    <w:lvl w:ilvl="1">
      <w:lvlJc w:val="left"/>
      <w:lvlText w:val="%2."/>
      <w:numFmt w:val="lowerLetter"/>
      <w:start w:val="1"/>
    </w:lvl>
  </w:abstractNum>
  <w:abstractNum w:abstractNumId="93">
    <w:nsid w:val="26F324BA"/>
    <w:multiLevelType w:val="hybridMultilevel"/>
    <w:lvl w:ilvl="0">
      <w:lvlJc w:val="left"/>
      <w:lvlText w:val="%1"/>
      <w:numFmt w:val="decimal"/>
      <w:start w:val="1"/>
    </w:lvl>
    <w:lvl w:ilvl="1">
      <w:lvlJc w:val="left"/>
      <w:lvlText w:val="%2."/>
      <w:numFmt w:val="lowerLetter"/>
      <w:start w:val="1"/>
    </w:lvl>
  </w:abstractNum>
  <w:abstractNum w:abstractNumId="94">
    <w:nsid w:val="7F01579B"/>
    <w:multiLevelType w:val="hybridMultilevel"/>
    <w:lvl w:ilvl="0">
      <w:lvlJc w:val="left"/>
      <w:lvlText w:val="(%1)"/>
      <w:numFmt w:val="decimal"/>
      <w:start w:val="5"/>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2019-12-11T22:36:46Z</dcterms:created>
  <dcterms:modified xsi:type="dcterms:W3CDTF">2019-12-11T22:36:46Z</dcterms:modified>
</cp:coreProperties>
</file>