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92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September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0925"/>
            <w:bookmarkEnd w:id="6"/>
            <w:r>
              <w:rPr>
                <w:rFonts w:ascii="Times New Roman;Times;Serif" w:hAnsi="Times New Roman;Times;Serif"/>
                <w:b/>
                <w:i w:val="false"/>
                <w:caps w:val="false"/>
                <w:smallCaps w:val="false"/>
                <w:sz w:val="20"/>
              </w:rPr>
              <w:t>000-19871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175 Derby St., </w:t>
      </w:r>
      <w:bookmarkStart w:id="9" w:name="xdx_90B_edei--EntityAddressAddressLine2_"/>
      <w:bookmarkEnd w:id="9"/>
      <w:r>
        <w:rPr>
          <w:rFonts w:ascii="Times New Roman;Times;Serif" w:hAnsi="Times New Roman;Times;Serif"/>
          <w:b/>
          <w:i w:val="false"/>
          <w:caps w:val="false"/>
          <w:smallCaps w:val="false"/>
          <w:sz w:val="20"/>
        </w:rPr>
        <w:t>Bld. 27</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Hingham, </w:t>
      </w:r>
      <w:bookmarkStart w:id="11" w:name="xdx_90A_edei--EntityAddressStateOrProvin"/>
      <w:bookmarkEnd w:id="11"/>
      <w:r>
        <w:rPr>
          <w:rFonts w:ascii="Times New Roman;Times;Serif" w:hAnsi="Times New Roman;Times;Serif"/>
          <w:b/>
          <w:i w:val="false"/>
          <w:caps w:val="false"/>
          <w:smallCaps w:val="false"/>
          <w:sz w:val="20"/>
        </w:rPr>
        <w:t xml:space="preserve">MA </w:t>
      </w:r>
      <w:bookmarkStart w:id="12" w:name="xdx_902_edei--EntityAddressPostalZipCode"/>
      <w:bookmarkEnd w:id="12"/>
      <w:r>
        <w:rPr>
          <w:rFonts w:ascii="Times New Roman;Times;Serif" w:hAnsi="Times New Roman;Times;Serif"/>
          <w:b/>
          <w:i w:val="false"/>
          <w:caps w:val="false"/>
          <w:smallCaps w:val="false"/>
          <w:sz w:val="20"/>
        </w:rPr>
        <w:t>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7_edei--CityAreaCode_c20260925__20"/>
      <w:bookmarkEnd w:id="13"/>
      <w:r>
        <w:rPr>
          <w:rFonts w:ascii="Times New Roman;Times;Serif" w:hAnsi="Times New Roman;Times;Serif"/>
          <w:b/>
          <w:i w:val="false"/>
          <w:caps w:val="false"/>
          <w:smallCaps w:val="false"/>
          <w:sz w:val="20"/>
        </w:rPr>
        <w:t xml:space="preserve">(781) </w:t>
      </w:r>
      <w:bookmarkStart w:id="14" w:name="xdx_904_edei--LocalPhoneNumber_c20260925"/>
      <w:bookmarkEnd w:id="14"/>
      <w:r>
        <w:rPr>
          <w:rFonts w:ascii="Times New Roman;Times;Serif" w:hAnsi="Times New Roman;Times;Serif"/>
          <w:b/>
          <w:i w:val="false"/>
          <w:caps w:val="false"/>
          <w:smallCaps w:val="false"/>
          <w:sz w:val="20"/>
        </w:rPr>
        <w:t>875-3605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C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9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Security12bTitle_c20260925"/>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60925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Microbot Medical Inc. (the “Company”) disseminated a press release updating certain growth strategies. The press release is furnished herewith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the attached exhibit, is being furnished, and shall not be deemed to be filed for purposes of Section 18 of the Securities Exchange Act of 1934, as amended (the “Exchange Act”), or otherwise subject to the liabilities of that section, nor shall it be incorporated by reference into any filings under the Securities Act of 1933, as amended, or the Exchange Act, regardless of any incorporation by reference language of such filing. By furnishing the information in this Current Report on Form 8-K (“Form 8-K”) and the attached exhibit, the Company is making no admission as to the materiality of any information in this Form 8-K or the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Press Release</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25,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3" w:name="ex10-1.htm"/>
      <w:bookmarkStart w:id="24" w:name="ksex101"/>
      <w:bookmarkEnd w:id="23"/>
      <w:bookmarkEnd w:id="2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0096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Highlights Growth Strategy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User Survey Demonstrates High Satisfaction of the LIBERTY System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Expansion of Sales Footprint Expands to Western U.S. as Company Secures First California Customer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HINGHAM, Mass., September 25, 2026 – Microbot Medical Inc. (Nasdaq: MBOT), announced that it highlighted the continuation of its commercial and growth strategy during an analyst meeting held in New York City on Thursday, September 24, 2026. The Company also highlighted select results from a user survey, available on the Company’s website, conveying high satisfaction with the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Key Topics Discussed: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the U.S. footprint is continuing, and the Company is on track to have 12 sales territories by the end of the year, to accelerate growth and support the Company’s first customer in California and its expansion in North Carolina.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commercial strategy has evolved to engage Value Analysis Committee (VAC) process earlier, a four-to-six-month process based on the Company’s current experience, to gain widespread access to hospital systems. The Company believes this approach will accelerate adoption of the LIBERTY System across healthcare systems with multiple hospitals. The Company is now engaged with the VAC at multiple health systems.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Hired three additional Area Sales Managers and an additional Regional Sales Director to focus on new sales territories and expand west.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advance and focus on operating efficiencies, such as adding a second manufacturing line and moving to more efficient manufacturing processes, which the Company expects will result in positive gross margins in 2027.</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expansions to certain international markets, including in Asia and the Middle East, where the Company can leverage its FDA clearance, are in advanced stages, while the Company continues its engagement with regulatory bodies to support future CE mark approval which is expected in late Q4 2026 or early Q1 2027.</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EFEFE" w:val="clear"/>
        </w:rPr>
        <w:t>L</w:t>
      </w:r>
      <w:r>
        <w:rPr>
          <w:rFonts w:ascii="Times New Roman;Times;Serif" w:hAnsi="Times New Roman;Times;Serif"/>
          <w:b w:val="false"/>
          <w:i w:val="false"/>
          <w:caps w:val="false"/>
          <w:smallCaps w:val="false"/>
          <w:sz w:val="20"/>
        </w:rPr>
        <w:t>IBERTY is the only FDA-cleared, single-use, remotely operated robotic system for peripheral endovascular procedures, and it is designed for precise vascular navigation while aiming to reduce radiation exposure and physical strain.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Microbot Medical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(NASDAQ: MBOT) is a commercial stage medical device company focused on transforming endovascular procedures through advanced robotic technology. Microbot’s LIBERTY</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at www.microbotmedical.com and connect on LinkedIn and X.</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market conditions, risks inherent in the commercialization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and in the development of future versions of or applications for the system, uncertainty in the results of regulatory pathways and regulatory approvals, uncertainty resulting from political, social and geopolitical conditions, disruptions resulting from new and ongoing hostilities between Israel and the Palestinians, Iran and other neighboring countries, and maintenance of intellectual property rights. Additional information on risks facing Microbot Medical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can be found under the heading “Risk Factors” in Microbot Medical’s periodic reports filed with the Securities and Exchange Commission (SEC), which are available on the SEC’s web site at www.sec.gov. Microbot Medical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disclaims any intent or obligation to update these forward-looking statements,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IR@microbotmedical.com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Media@microbotmedical.com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1199</Words>
  <Characters>7035</Characters>
  <CharactersWithSpaces>8233</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