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7, 2019</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333-228285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20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4980" w:type="dxa"/>
            <w:vAlign w:val="bottom"/>
            <w:gridSpan w:val="3"/>
          </w:tcPr>
          <w:p>
            <w:pPr>
              <w:ind w:left="460"/>
              <w:spacing w:after="0"/>
              <w:rPr>
                <w:sz w:val="20"/>
                <w:szCs w:val="20"/>
                <w:color w:val="auto"/>
              </w:rPr>
            </w:pPr>
            <w:r>
              <w:rPr>
                <w:rFonts w:ascii="Arial" w:cs="Arial" w:eastAsia="Arial" w:hAnsi="Arial"/>
                <w:sz w:val="18"/>
                <w:szCs w:val="18"/>
                <w:b w:val="1"/>
                <w:bCs w:val="1"/>
                <w:color w:val="auto"/>
                <w:w w:val="98"/>
              </w:rPr>
              <w:t>(Exact Name of Registrant as Specified in Its Charter)</w:t>
            </w:r>
          </w:p>
        </w:tc>
        <w:tc>
          <w:tcPr>
            <w:tcW w:w="2020" w:type="dxa"/>
            <w:vAlign w:val="bottom"/>
          </w:tcPr>
          <w:p>
            <w:pPr>
              <w:spacing w:after="0"/>
              <w:rPr>
                <w:sz w:val="20"/>
                <w:szCs w:val="20"/>
                <w:color w:val="auto"/>
              </w:rPr>
            </w:pPr>
          </w:p>
        </w:tc>
      </w:tr>
      <w:tr>
        <w:trPr>
          <w:trHeight w:val="203"/>
        </w:trPr>
        <w:tc>
          <w:tcPr>
            <w:tcW w:w="2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31"/>
        </w:trPr>
        <w:tc>
          <w:tcPr>
            <w:tcW w:w="2680" w:type="dxa"/>
            <w:vAlign w:val="bottom"/>
          </w:tcPr>
          <w:p>
            <w:pPr>
              <w:jc w:val="center"/>
              <w:ind w:right="390"/>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gridSpan w:val="2"/>
          </w:tcPr>
          <w:p>
            <w:pPr>
              <w:jc w:val="center"/>
              <w:ind w:left="790"/>
              <w:spacing w:after="0"/>
              <w:rPr>
                <w:sz w:val="20"/>
                <w:szCs w:val="20"/>
                <w:color w:val="auto"/>
              </w:rPr>
            </w:pPr>
            <w:r>
              <w:rPr>
                <w:rFonts w:ascii="Arial" w:cs="Arial" w:eastAsia="Arial" w:hAnsi="Arial"/>
                <w:sz w:val="18"/>
                <w:szCs w:val="18"/>
                <w:b w:val="1"/>
                <w:bCs w:val="1"/>
                <w:color w:val="auto"/>
                <w:w w:val="89"/>
              </w:rPr>
              <w:t>2836</w:t>
            </w:r>
          </w:p>
        </w:tc>
        <w:tc>
          <w:tcPr>
            <w:tcW w:w="1260" w:type="dxa"/>
            <w:vAlign w:val="bottom"/>
          </w:tcPr>
          <w:p>
            <w:pPr>
              <w:spacing w:after="0"/>
              <w:rPr>
                <w:sz w:val="24"/>
                <w:szCs w:val="24"/>
                <w:color w:val="auto"/>
              </w:rPr>
            </w:pPr>
          </w:p>
        </w:tc>
        <w:tc>
          <w:tcPr>
            <w:tcW w:w="2020" w:type="dxa"/>
            <w:vAlign w:val="bottom"/>
          </w:tcPr>
          <w:p>
            <w:pPr>
              <w:jc w:val="center"/>
              <w:ind w:left="29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680" w:type="dxa"/>
            <w:vAlign w:val="bottom"/>
          </w:tcPr>
          <w:p>
            <w:pPr>
              <w:jc w:val="center"/>
              <w:ind w:right="430"/>
              <w:spacing w:after="0"/>
              <w:rPr>
                <w:sz w:val="20"/>
                <w:szCs w:val="20"/>
                <w:color w:val="auto"/>
              </w:rPr>
            </w:pPr>
            <w:r>
              <w:rPr>
                <w:rFonts w:ascii="Arial" w:cs="Arial" w:eastAsia="Arial" w:hAnsi="Arial"/>
                <w:sz w:val="18"/>
                <w:szCs w:val="18"/>
                <w:color w:val="auto"/>
                <w:w w:val="92"/>
              </w:rPr>
              <w:t>(State or Other Jurisdiction of</w:t>
            </w:r>
          </w:p>
        </w:tc>
        <w:tc>
          <w:tcPr>
            <w:tcW w:w="860" w:type="dxa"/>
            <w:vAlign w:val="bottom"/>
          </w:tcPr>
          <w:p>
            <w:pPr>
              <w:spacing w:after="0"/>
              <w:rPr>
                <w:sz w:val="18"/>
                <w:szCs w:val="18"/>
                <w:color w:val="auto"/>
              </w:rPr>
            </w:pPr>
          </w:p>
        </w:tc>
        <w:tc>
          <w:tcPr>
            <w:tcW w:w="4120" w:type="dxa"/>
            <w:vAlign w:val="bottom"/>
            <w:gridSpan w:val="2"/>
          </w:tcPr>
          <w:p>
            <w:pPr>
              <w:jc w:val="center"/>
              <w:ind w:right="1220"/>
              <w:spacing w:after="0"/>
              <w:rPr>
                <w:sz w:val="20"/>
                <w:szCs w:val="20"/>
                <w:color w:val="auto"/>
              </w:rPr>
            </w:pPr>
            <w:r>
              <w:rPr>
                <w:rFonts w:ascii="Arial" w:cs="Arial" w:eastAsia="Arial" w:hAnsi="Arial"/>
                <w:sz w:val="18"/>
                <w:szCs w:val="18"/>
                <w:color w:val="auto"/>
                <w:w w:val="91"/>
              </w:rPr>
              <w:t>(Primary Standard Industrial</w:t>
            </w:r>
          </w:p>
        </w:tc>
        <w:tc>
          <w:tcPr>
            <w:tcW w:w="2020" w:type="dxa"/>
            <w:vAlign w:val="bottom"/>
          </w:tcPr>
          <w:p>
            <w:pPr>
              <w:jc w:val="center"/>
              <w:ind w:left="290"/>
              <w:spacing w:after="0"/>
              <w:rPr>
                <w:sz w:val="20"/>
                <w:szCs w:val="20"/>
                <w:color w:val="auto"/>
              </w:rPr>
            </w:pPr>
            <w:r>
              <w:rPr>
                <w:rFonts w:ascii="Arial" w:cs="Arial" w:eastAsia="Arial" w:hAnsi="Arial"/>
                <w:sz w:val="18"/>
                <w:szCs w:val="18"/>
                <w:color w:val="auto"/>
                <w:w w:val="93"/>
              </w:rPr>
              <w:t>(I.R.S. Employer</w:t>
            </w:r>
          </w:p>
        </w:tc>
      </w:tr>
      <w:tr>
        <w:trPr>
          <w:trHeight w:val="230"/>
        </w:trPr>
        <w:tc>
          <w:tcPr>
            <w:tcW w:w="2680" w:type="dxa"/>
            <w:vAlign w:val="bottom"/>
          </w:tcPr>
          <w:p>
            <w:pPr>
              <w:jc w:val="center"/>
              <w:ind w:right="390"/>
              <w:spacing w:after="0"/>
              <w:rPr>
                <w:sz w:val="20"/>
                <w:szCs w:val="20"/>
                <w:color w:val="auto"/>
              </w:rPr>
            </w:pPr>
            <w:r>
              <w:rPr>
                <w:rFonts w:ascii="Arial" w:cs="Arial" w:eastAsia="Arial" w:hAnsi="Arial"/>
                <w:sz w:val="18"/>
                <w:szCs w:val="18"/>
                <w:color w:val="auto"/>
                <w:w w:val="91"/>
              </w:rPr>
              <w:t>Incorporation or Organization)</w:t>
            </w:r>
          </w:p>
        </w:tc>
        <w:tc>
          <w:tcPr>
            <w:tcW w:w="860" w:type="dxa"/>
            <w:vAlign w:val="bottom"/>
          </w:tcPr>
          <w:p>
            <w:pPr>
              <w:spacing w:after="0"/>
              <w:rPr>
                <w:sz w:val="20"/>
                <w:szCs w:val="20"/>
                <w:color w:val="auto"/>
              </w:rPr>
            </w:pPr>
          </w:p>
        </w:tc>
        <w:tc>
          <w:tcPr>
            <w:tcW w:w="4120" w:type="dxa"/>
            <w:vAlign w:val="bottom"/>
            <w:gridSpan w:val="2"/>
          </w:tcPr>
          <w:p>
            <w:pPr>
              <w:jc w:val="center"/>
              <w:ind w:right="1220"/>
              <w:spacing w:after="0"/>
              <w:rPr>
                <w:sz w:val="20"/>
                <w:szCs w:val="20"/>
                <w:color w:val="auto"/>
              </w:rPr>
            </w:pPr>
            <w:r>
              <w:rPr>
                <w:rFonts w:ascii="Arial" w:cs="Arial" w:eastAsia="Arial" w:hAnsi="Arial"/>
                <w:sz w:val="18"/>
                <w:szCs w:val="18"/>
                <w:color w:val="auto"/>
                <w:w w:val="91"/>
              </w:rPr>
              <w:t>Classification Code Number)</w:t>
            </w:r>
          </w:p>
        </w:tc>
        <w:tc>
          <w:tcPr>
            <w:tcW w:w="2020" w:type="dxa"/>
            <w:vAlign w:val="bottom"/>
          </w:tcPr>
          <w:p>
            <w:pPr>
              <w:jc w:val="center"/>
              <w:ind w:left="270"/>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Harel Gadot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Chief Executive Officer, Chairman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tbl>
      <w:tblPr>
        <w:tblLayout w:type="fixed"/>
        <w:tblInd w:w="44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3780" w:type="dxa"/>
            <w:vAlign w:val="bottom"/>
          </w:tcPr>
          <w:p>
            <w:pPr>
              <w:jc w:val="center"/>
              <w:ind w:right="72"/>
              <w:spacing w:after="0"/>
              <w:rPr>
                <w:sz w:val="20"/>
                <w:szCs w:val="20"/>
                <w:color w:val="auto"/>
              </w:rPr>
            </w:pPr>
            <w:r>
              <w:rPr>
                <w:rFonts w:ascii="Arial" w:cs="Arial" w:eastAsia="Arial" w:hAnsi="Arial"/>
                <w:sz w:val="18"/>
                <w:szCs w:val="18"/>
                <w:b w:val="1"/>
                <w:bCs w:val="1"/>
                <w:i w:val="1"/>
                <w:iCs w:val="1"/>
                <w:color w:val="auto"/>
                <w:w w:val="84"/>
              </w:rPr>
              <w:t>Copies to:</w:t>
            </w:r>
          </w:p>
        </w:tc>
        <w:tc>
          <w:tcPr>
            <w:tcW w:w="3020" w:type="dxa"/>
            <w:vAlign w:val="bottom"/>
          </w:tcPr>
          <w:p>
            <w:pPr>
              <w:spacing w:after="0"/>
              <w:rPr>
                <w:sz w:val="20"/>
                <w:szCs w:val="20"/>
                <w:color w:val="auto"/>
              </w:rPr>
            </w:pPr>
          </w:p>
        </w:tc>
      </w:tr>
      <w:tr>
        <w:trPr>
          <w:trHeight w:val="414"/>
        </w:trPr>
        <w:tc>
          <w:tcPr>
            <w:tcW w:w="3460" w:type="dxa"/>
            <w:vAlign w:val="bottom"/>
          </w:tcPr>
          <w:p>
            <w:pPr>
              <w:jc w:val="center"/>
              <w:ind w:right="570"/>
              <w:spacing w:after="0"/>
              <w:rPr>
                <w:sz w:val="20"/>
                <w:szCs w:val="20"/>
                <w:color w:val="auto"/>
              </w:rPr>
            </w:pPr>
            <w:r>
              <w:rPr>
                <w:rFonts w:ascii="Arial" w:cs="Arial" w:eastAsia="Arial" w:hAnsi="Arial"/>
                <w:sz w:val="18"/>
                <w:szCs w:val="18"/>
                <w:b w:val="1"/>
                <w:bCs w:val="1"/>
                <w:color w:val="auto"/>
                <w:w w:val="95"/>
              </w:rPr>
              <w:t>Marc D. Mantell, Esq.</w:t>
            </w:r>
          </w:p>
        </w:tc>
        <w:tc>
          <w:tcPr>
            <w:tcW w:w="378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Stephen E. Fox, Esq.</w:t>
            </w:r>
          </w:p>
        </w:tc>
        <w:tc>
          <w:tcPr>
            <w:tcW w:w="3020" w:type="dxa"/>
            <w:vAlign w:val="bottom"/>
          </w:tcPr>
          <w:p>
            <w:pPr>
              <w:jc w:val="center"/>
              <w:ind w:left="730"/>
              <w:spacing w:after="0"/>
              <w:rPr>
                <w:sz w:val="20"/>
                <w:szCs w:val="20"/>
                <w:color w:val="auto"/>
              </w:rPr>
            </w:pPr>
            <w:r>
              <w:rPr>
                <w:rFonts w:ascii="Arial" w:cs="Arial" w:eastAsia="Arial" w:hAnsi="Arial"/>
                <w:sz w:val="18"/>
                <w:szCs w:val="18"/>
                <w:b w:val="1"/>
                <w:bCs w:val="1"/>
                <w:color w:val="auto"/>
                <w:w w:val="88"/>
              </w:rPr>
              <w:t>Steven Skolnick, Esq.</w:t>
            </w:r>
          </w:p>
        </w:tc>
      </w:tr>
      <w:tr>
        <w:trPr>
          <w:trHeight w:val="216"/>
        </w:trPr>
        <w:tc>
          <w:tcPr>
            <w:tcW w:w="3460" w:type="dxa"/>
            <w:vAlign w:val="bottom"/>
          </w:tcPr>
          <w:p>
            <w:pPr>
              <w:jc w:val="center"/>
              <w:ind w:right="590"/>
              <w:spacing w:after="0"/>
              <w:rPr>
                <w:sz w:val="20"/>
                <w:szCs w:val="20"/>
                <w:color w:val="auto"/>
              </w:rPr>
            </w:pPr>
            <w:r>
              <w:rPr>
                <w:rFonts w:ascii="Arial" w:cs="Arial" w:eastAsia="Arial" w:hAnsi="Arial"/>
                <w:sz w:val="18"/>
                <w:szCs w:val="18"/>
                <w:b w:val="1"/>
                <w:bCs w:val="1"/>
                <w:color w:val="auto"/>
                <w:w w:val="92"/>
              </w:rPr>
              <w:t>Mintz, Levin, Cohn, Ferris, Glovsky</w:t>
            </w:r>
          </w:p>
        </w:tc>
        <w:tc>
          <w:tcPr>
            <w:tcW w:w="378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Ruskin Moscou Faltischek PC</w:t>
            </w:r>
          </w:p>
        </w:tc>
        <w:tc>
          <w:tcPr>
            <w:tcW w:w="3020" w:type="dxa"/>
            <w:vAlign w:val="bottom"/>
          </w:tcPr>
          <w:p>
            <w:pPr>
              <w:jc w:val="center"/>
              <w:ind w:left="730"/>
              <w:spacing w:after="0"/>
              <w:rPr>
                <w:sz w:val="20"/>
                <w:szCs w:val="20"/>
                <w:color w:val="auto"/>
              </w:rPr>
            </w:pPr>
            <w:r>
              <w:rPr>
                <w:rFonts w:ascii="Arial" w:cs="Arial" w:eastAsia="Arial" w:hAnsi="Arial"/>
                <w:sz w:val="18"/>
                <w:szCs w:val="18"/>
                <w:b w:val="1"/>
                <w:bCs w:val="1"/>
                <w:color w:val="auto"/>
                <w:w w:val="91"/>
              </w:rPr>
              <w:t>Michael Lerner, Esq.</w:t>
            </w:r>
          </w:p>
        </w:tc>
      </w:tr>
      <w:tr>
        <w:trPr>
          <w:trHeight w:val="216"/>
        </w:trPr>
        <w:tc>
          <w:tcPr>
            <w:tcW w:w="3460" w:type="dxa"/>
            <w:vAlign w:val="bottom"/>
          </w:tcPr>
          <w:p>
            <w:pPr>
              <w:jc w:val="center"/>
              <w:ind w:right="570"/>
              <w:spacing w:after="0"/>
              <w:rPr>
                <w:sz w:val="20"/>
                <w:szCs w:val="20"/>
                <w:color w:val="auto"/>
              </w:rPr>
            </w:pPr>
            <w:r>
              <w:rPr>
                <w:rFonts w:ascii="Arial" w:cs="Arial" w:eastAsia="Arial" w:hAnsi="Arial"/>
                <w:sz w:val="18"/>
                <w:szCs w:val="18"/>
                <w:b w:val="1"/>
                <w:bCs w:val="1"/>
                <w:color w:val="auto"/>
                <w:w w:val="87"/>
              </w:rPr>
              <w:t>and Popeo, P.C.</w:t>
            </w:r>
          </w:p>
        </w:tc>
        <w:tc>
          <w:tcPr>
            <w:tcW w:w="3780" w:type="dxa"/>
            <w:vAlign w:val="bottom"/>
          </w:tcPr>
          <w:p>
            <w:pPr>
              <w:jc w:val="center"/>
              <w:ind w:right="32"/>
              <w:spacing w:after="0"/>
              <w:rPr>
                <w:sz w:val="20"/>
                <w:szCs w:val="20"/>
                <w:color w:val="auto"/>
              </w:rPr>
            </w:pPr>
            <w:r>
              <w:rPr>
                <w:rFonts w:ascii="Arial" w:cs="Arial" w:eastAsia="Arial" w:hAnsi="Arial"/>
                <w:sz w:val="18"/>
                <w:szCs w:val="18"/>
                <w:b w:val="1"/>
                <w:bCs w:val="1"/>
                <w:color w:val="auto"/>
                <w:w w:val="93"/>
              </w:rPr>
              <w:t>1425 RXR Plaza</w:t>
            </w:r>
          </w:p>
        </w:tc>
        <w:tc>
          <w:tcPr>
            <w:tcW w:w="3020" w:type="dxa"/>
            <w:vAlign w:val="bottom"/>
          </w:tcPr>
          <w:p>
            <w:pPr>
              <w:jc w:val="center"/>
              <w:ind w:left="730"/>
              <w:spacing w:after="0"/>
              <w:rPr>
                <w:sz w:val="20"/>
                <w:szCs w:val="20"/>
                <w:color w:val="auto"/>
              </w:rPr>
            </w:pPr>
            <w:r>
              <w:rPr>
                <w:rFonts w:ascii="Arial" w:cs="Arial" w:eastAsia="Arial" w:hAnsi="Arial"/>
                <w:sz w:val="18"/>
                <w:szCs w:val="18"/>
                <w:b w:val="1"/>
                <w:bCs w:val="1"/>
                <w:color w:val="auto"/>
                <w:w w:val="91"/>
              </w:rPr>
              <w:t>Lowenstein Sandler LLP</w:t>
            </w:r>
          </w:p>
        </w:tc>
      </w:tr>
      <w:tr>
        <w:trPr>
          <w:trHeight w:val="221"/>
        </w:trPr>
        <w:tc>
          <w:tcPr>
            <w:tcW w:w="3460" w:type="dxa"/>
            <w:vAlign w:val="bottom"/>
          </w:tcPr>
          <w:p>
            <w:pPr>
              <w:jc w:val="center"/>
              <w:ind w:right="590"/>
              <w:spacing w:after="0"/>
              <w:rPr>
                <w:sz w:val="20"/>
                <w:szCs w:val="20"/>
                <w:color w:val="auto"/>
              </w:rPr>
            </w:pPr>
            <w:r>
              <w:rPr>
                <w:rFonts w:ascii="Arial" w:cs="Arial" w:eastAsia="Arial" w:hAnsi="Arial"/>
                <w:sz w:val="18"/>
                <w:szCs w:val="18"/>
                <w:b w:val="1"/>
                <w:bCs w:val="1"/>
                <w:color w:val="auto"/>
                <w:w w:val="92"/>
              </w:rPr>
              <w:t>One Financial Center</w:t>
            </w:r>
          </w:p>
        </w:tc>
        <w:tc>
          <w:tcPr>
            <w:tcW w:w="3780" w:type="dxa"/>
            <w:vAlign w:val="bottom"/>
          </w:tcPr>
          <w:p>
            <w:pPr>
              <w:jc w:val="center"/>
              <w:ind w:right="32"/>
              <w:spacing w:after="0" w:line="221" w:lineRule="exact"/>
              <w:rPr>
                <w:sz w:val="20"/>
                <w:szCs w:val="20"/>
                <w:color w:val="auto"/>
              </w:rPr>
            </w:pPr>
            <w:r>
              <w:rPr>
                <w:rFonts w:ascii="Arial" w:cs="Arial" w:eastAsia="Arial" w:hAnsi="Arial"/>
                <w:sz w:val="16"/>
                <w:szCs w:val="16"/>
                <w:b w:val="1"/>
                <w:bCs w:val="1"/>
                <w:color w:val="auto"/>
                <w:w w:val="98"/>
              </w:rPr>
              <w:t>15</w:t>
            </w:r>
            <w:r>
              <w:rPr>
                <w:rFonts w:ascii="Arial" w:cs="Arial" w:eastAsia="Arial" w:hAnsi="Arial"/>
                <w:sz w:val="25"/>
                <w:szCs w:val="25"/>
                <w:b w:val="1"/>
                <w:bCs w:val="1"/>
                <w:color w:val="auto"/>
                <w:w w:val="98"/>
                <w:vertAlign w:val="superscript"/>
              </w:rPr>
              <w:t>th</w:t>
            </w:r>
            <w:r>
              <w:rPr>
                <w:rFonts w:ascii="Arial" w:cs="Arial" w:eastAsia="Arial" w:hAnsi="Arial"/>
                <w:sz w:val="16"/>
                <w:szCs w:val="16"/>
                <w:b w:val="1"/>
                <w:bCs w:val="1"/>
                <w:color w:val="auto"/>
                <w:w w:val="98"/>
              </w:rPr>
              <w:t xml:space="preserve"> Floor, East Tower</w:t>
            </w:r>
          </w:p>
        </w:tc>
        <w:tc>
          <w:tcPr>
            <w:tcW w:w="3020" w:type="dxa"/>
            <w:vAlign w:val="bottom"/>
          </w:tcPr>
          <w:p>
            <w:pPr>
              <w:jc w:val="center"/>
              <w:ind w:left="710"/>
              <w:spacing w:after="0"/>
              <w:rPr>
                <w:sz w:val="20"/>
                <w:szCs w:val="20"/>
                <w:color w:val="auto"/>
              </w:rPr>
            </w:pPr>
            <w:r>
              <w:rPr>
                <w:rFonts w:ascii="Arial" w:cs="Arial" w:eastAsia="Arial" w:hAnsi="Arial"/>
                <w:sz w:val="18"/>
                <w:szCs w:val="18"/>
                <w:b w:val="1"/>
                <w:bCs w:val="1"/>
                <w:color w:val="auto"/>
                <w:w w:val="88"/>
              </w:rPr>
              <w:t>1251 Avenue of the Americas</w:t>
            </w:r>
          </w:p>
        </w:tc>
      </w:tr>
      <w:tr>
        <w:trPr>
          <w:trHeight w:val="216"/>
        </w:trPr>
        <w:tc>
          <w:tcPr>
            <w:tcW w:w="3460" w:type="dxa"/>
            <w:vAlign w:val="bottom"/>
          </w:tcPr>
          <w:p>
            <w:pPr>
              <w:jc w:val="center"/>
              <w:ind w:right="570"/>
              <w:spacing w:after="0"/>
              <w:rPr>
                <w:sz w:val="20"/>
                <w:szCs w:val="20"/>
                <w:color w:val="auto"/>
              </w:rPr>
            </w:pPr>
            <w:r>
              <w:rPr>
                <w:rFonts w:ascii="Arial" w:cs="Arial" w:eastAsia="Arial" w:hAnsi="Arial"/>
                <w:sz w:val="18"/>
                <w:szCs w:val="18"/>
                <w:b w:val="1"/>
                <w:bCs w:val="1"/>
                <w:color w:val="auto"/>
                <w:w w:val="85"/>
              </w:rPr>
              <w:t>Boston, Massachusetts 02111</w:t>
            </w:r>
          </w:p>
        </w:tc>
        <w:tc>
          <w:tcPr>
            <w:tcW w:w="3780" w:type="dxa"/>
            <w:vAlign w:val="bottom"/>
          </w:tcPr>
          <w:p>
            <w:pPr>
              <w:jc w:val="center"/>
              <w:ind w:right="32"/>
              <w:spacing w:after="0"/>
              <w:rPr>
                <w:sz w:val="20"/>
                <w:szCs w:val="20"/>
                <w:color w:val="auto"/>
              </w:rPr>
            </w:pPr>
            <w:r>
              <w:rPr>
                <w:rFonts w:ascii="Arial" w:cs="Arial" w:eastAsia="Arial" w:hAnsi="Arial"/>
                <w:sz w:val="18"/>
                <w:szCs w:val="18"/>
                <w:b w:val="1"/>
                <w:bCs w:val="1"/>
                <w:color w:val="auto"/>
                <w:w w:val="91"/>
              </w:rPr>
              <w:t>Uniondale, New York 11556</w:t>
            </w:r>
          </w:p>
        </w:tc>
        <w:tc>
          <w:tcPr>
            <w:tcW w:w="3020" w:type="dxa"/>
            <w:vAlign w:val="bottom"/>
          </w:tcPr>
          <w:p>
            <w:pPr>
              <w:jc w:val="center"/>
              <w:ind w:left="730"/>
              <w:spacing w:after="0"/>
              <w:rPr>
                <w:sz w:val="20"/>
                <w:szCs w:val="20"/>
                <w:color w:val="auto"/>
              </w:rPr>
            </w:pPr>
            <w:r>
              <w:rPr>
                <w:rFonts w:ascii="Arial" w:cs="Arial" w:eastAsia="Arial" w:hAnsi="Arial"/>
                <w:sz w:val="18"/>
                <w:szCs w:val="18"/>
                <w:b w:val="1"/>
                <w:bCs w:val="1"/>
                <w:color w:val="auto"/>
                <w:w w:val="92"/>
              </w:rPr>
              <w:t>New York, NY 10020</w:t>
            </w:r>
          </w:p>
        </w:tc>
      </w:tr>
      <w:tr>
        <w:trPr>
          <w:trHeight w:val="270"/>
        </w:trPr>
        <w:tc>
          <w:tcPr>
            <w:tcW w:w="3460" w:type="dxa"/>
            <w:vAlign w:val="bottom"/>
          </w:tcPr>
          <w:p>
            <w:pPr>
              <w:jc w:val="center"/>
              <w:ind w:right="570"/>
              <w:spacing w:after="0"/>
              <w:rPr>
                <w:sz w:val="20"/>
                <w:szCs w:val="20"/>
                <w:color w:val="auto"/>
              </w:rPr>
            </w:pPr>
            <w:r>
              <w:rPr>
                <w:rFonts w:ascii="Arial" w:cs="Arial" w:eastAsia="Arial" w:hAnsi="Arial"/>
                <w:sz w:val="18"/>
                <w:szCs w:val="18"/>
                <w:b w:val="1"/>
                <w:bCs w:val="1"/>
                <w:color w:val="auto"/>
                <w:w w:val="90"/>
              </w:rPr>
              <w:t>(617) 542-6000</w:t>
            </w:r>
          </w:p>
        </w:tc>
        <w:tc>
          <w:tcPr>
            <w:tcW w:w="378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(516) 663-6600</w:t>
            </w:r>
          </w:p>
        </w:tc>
        <w:tc>
          <w:tcPr>
            <w:tcW w:w="3020" w:type="dxa"/>
            <w:vAlign w:val="bottom"/>
          </w:tcPr>
          <w:p>
            <w:pPr>
              <w:jc w:val="center"/>
              <w:ind w:left="730"/>
              <w:spacing w:after="0"/>
              <w:rPr>
                <w:sz w:val="20"/>
                <w:szCs w:val="20"/>
                <w:color w:val="auto"/>
              </w:rPr>
            </w:pPr>
            <w:r>
              <w:rPr>
                <w:rFonts w:ascii="Arial" w:cs="Arial" w:eastAsia="Arial" w:hAnsi="Arial"/>
                <w:sz w:val="18"/>
                <w:szCs w:val="18"/>
                <w:b w:val="1"/>
                <w:bCs w:val="1"/>
                <w:color w:val="auto"/>
                <w:w w:val="90"/>
              </w:rPr>
              <w:t>(212) 262-6700</w:t>
            </w:r>
          </w:p>
        </w:tc>
      </w:tr>
    </w:tbl>
    <w:p>
      <w:pPr>
        <w:spacing w:after="0" w:line="198"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As soon as practicable after the effective date of this registration statement.</w:t>
      </w:r>
    </w:p>
    <w:p>
      <w:pPr>
        <w:spacing w:after="0" w:line="252" w:lineRule="exact"/>
        <w:rPr>
          <w:sz w:val="24"/>
          <w:szCs w:val="24"/>
          <w:color w:val="auto"/>
        </w:rPr>
      </w:pPr>
    </w:p>
    <w:p>
      <w:pPr>
        <w:jc w:val="both"/>
        <w:ind w:right="20"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(the “Exchange Act”).</w:t>
      </w:r>
    </w:p>
    <w:p>
      <w:pPr>
        <w:sectPr>
          <w:pgSz w:w="11900" w:h="16838" w:orient="portrait"/>
          <w:cols w:equalWidth="0" w:num="1">
            <w:col w:w="11420"/>
          </w:cols>
          <w:pgMar w:left="240" w:top="445" w:right="239" w:bottom="0" w:gutter="0" w:footer="0" w:header="0"/>
        </w:sectPr>
      </w:pPr>
    </w:p>
    <w:p>
      <w:pPr>
        <w:spacing w:after="0" w:line="14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58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720" w:space="720"/>
            <w:col w:w="3980"/>
          </w:cols>
          <w:pgMar w:left="240" w:top="445" w:right="239" w:bottom="0" w:gutter="0" w:footer="0" w:header="0"/>
          <w:type w:val="continuous"/>
        </w:sectPr>
      </w:pPr>
    </w:p>
    <w:p>
      <w:pPr>
        <w:spacing w:after="0" w:line="32"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225" w:lineRule="exact"/>
        <w:rPr>
          <w:sz w:val="24"/>
          <w:szCs w:val="24"/>
          <w:color w:val="auto"/>
        </w:rPr>
      </w:pPr>
    </w:p>
    <w:p>
      <w:pPr>
        <w:ind w:left="2180"/>
        <w:spacing w:after="0"/>
        <w:tabs>
          <w:tab w:leader="none" w:pos="7180" w:val="left"/>
          <w:tab w:leader="none" w:pos="9800" w:val="left"/>
        </w:tabs>
        <w:rPr>
          <w:sz w:val="20"/>
          <w:szCs w:val="20"/>
          <w:color w:val="auto"/>
        </w:rPr>
      </w:pPr>
      <w:r>
        <w:rPr>
          <w:rFonts w:ascii="Arial" w:cs="Arial" w:eastAsia="Arial" w:hAnsi="Arial"/>
          <w:sz w:val="18"/>
          <w:szCs w:val="18"/>
          <w:b w:val="1"/>
          <w:bCs w:val="1"/>
          <w:color w:val="auto"/>
        </w:rPr>
        <w:t>Title of Each Class of Securities</w:t>
      </w:r>
      <w:r>
        <w:rPr>
          <w:sz w:val="20"/>
          <w:szCs w:val="20"/>
          <w:color w:val="auto"/>
        </w:rPr>
        <w:tab/>
      </w:r>
      <w:r>
        <w:rPr>
          <w:rFonts w:ascii="Arial" w:cs="Arial" w:eastAsia="Arial" w:hAnsi="Arial"/>
          <w:sz w:val="18"/>
          <w:szCs w:val="18"/>
          <w:b w:val="1"/>
          <w:bCs w:val="1"/>
          <w:color w:val="auto"/>
        </w:rPr>
        <w:t>Proposed Maximum</w:t>
      </w:r>
      <w:r>
        <w:rPr>
          <w:sz w:val="20"/>
          <w:szCs w:val="20"/>
          <w:color w:val="auto"/>
        </w:rPr>
        <w:tab/>
      </w:r>
      <w:r>
        <w:rPr>
          <w:rFonts w:ascii="Arial" w:cs="Arial" w:eastAsia="Arial" w:hAnsi="Arial"/>
          <w:sz w:val="16"/>
          <w:szCs w:val="16"/>
          <w:b w:val="1"/>
          <w:bCs w:val="1"/>
          <w:color w:val="auto"/>
        </w:rPr>
        <w:t>Amount of</w:t>
      </w:r>
    </w:p>
    <w:p>
      <w:pPr>
        <w:sectPr>
          <w:pgSz w:w="11900" w:h="16838" w:orient="portrait"/>
          <w:cols w:equalWidth="0" w:num="1">
            <w:col w:w="11420"/>
          </w:cols>
          <w:pgMar w:left="240" w:top="445"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800" w:type="dxa"/>
            <w:vAlign w:val="bottom"/>
          </w:tcPr>
          <w:p>
            <w:pPr>
              <w:ind w:left="2680"/>
              <w:spacing w:after="0"/>
              <w:rPr>
                <w:sz w:val="20"/>
                <w:szCs w:val="20"/>
                <w:color w:val="auto"/>
              </w:rPr>
            </w:pPr>
            <w:r>
              <w:rPr>
                <w:rFonts w:ascii="Arial" w:cs="Arial" w:eastAsia="Arial" w:hAnsi="Arial"/>
                <w:sz w:val="18"/>
                <w:szCs w:val="18"/>
                <w:b w:val="1"/>
                <w:bCs w:val="1"/>
                <w:color w:val="auto"/>
              </w:rPr>
              <w:t>to be Registered(1)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2"/>
              </w:rPr>
              <w:t>Aggregate Offering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3"/>
              </w:rPr>
              <w:t>Registration Fee(3)</w:t>
            </w:r>
          </w:p>
        </w:tc>
      </w:tr>
      <w:tr>
        <w:trPr>
          <w:trHeight w:val="241"/>
        </w:trPr>
        <w:tc>
          <w:tcPr>
            <w:tcW w:w="6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Price(2)(3)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6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par value $0.01 per share</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11,500,000</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1,393.80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02"/>
        </w:trPr>
        <w:tc>
          <w:tcPr>
            <w:tcW w:w="6800" w:type="dxa"/>
            <w:vAlign w:val="bottom"/>
          </w:tcPr>
          <w:p>
            <w:pPr>
              <w:spacing w:after="0" w:line="201" w:lineRule="exact"/>
              <w:rPr>
                <w:sz w:val="20"/>
                <w:szCs w:val="20"/>
                <w:color w:val="auto"/>
              </w:rPr>
            </w:pPr>
            <w:r>
              <w:rPr>
                <w:rFonts w:ascii="Arial" w:cs="Arial" w:eastAsia="Arial" w:hAnsi="Arial"/>
                <w:sz w:val="18"/>
                <w:szCs w:val="18"/>
                <w:color w:val="auto"/>
                <w:w w:val="92"/>
              </w:rPr>
              <w:t>Pre-funded warrants to purchase shares of common stock and common stock issuable upon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exercise thereof</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5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w w:val="90"/>
              </w:rPr>
              <w:t>Underwriter’s warrants to purchase shares of common stock issuable upon exercise thereof(4)</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718,750</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87.11</w:t>
            </w:r>
          </w:p>
        </w:tc>
        <w:tc>
          <w:tcPr>
            <w:tcW w:w="200" w:type="dxa"/>
            <w:vAlign w:val="bottom"/>
            <w:shd w:val="clear" w:color="auto" w:fill="CCEEFF"/>
          </w:tcPr>
          <w:p>
            <w:pPr>
              <w:spacing w:after="0"/>
              <w:rPr>
                <w:sz w:val="21"/>
                <w:szCs w:val="21"/>
                <w:color w:val="auto"/>
              </w:rPr>
            </w:pPr>
          </w:p>
        </w:tc>
      </w:tr>
      <w:tr>
        <w:trPr>
          <w:trHeight w:val="217"/>
        </w:trPr>
        <w:tc>
          <w:tcPr>
            <w:tcW w:w="6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12,218,750</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1,480.91</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90"/>
              </w:rPr>
              <w:t>(5)</w:t>
            </w:r>
          </w:p>
        </w:tc>
      </w:tr>
      <w:tr>
        <w:trPr>
          <w:trHeight w:val="20"/>
        </w:trPr>
        <w:tc>
          <w:tcPr>
            <w:tcW w:w="6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being registered hereunder include such indeterminate number of additional securities as may be issuable to prevent dilution resulting from stock splits, stock dividends or similar transactions.</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offering price of the common stock proposed to be sold in the offering will be reduced on a dollar-for-dollar basis based on the aggregate offering price of the pre-funded warrants offered and sold in the offering, and therefore, the proposed aggregate maximum offering price of the common stock and pre-funded warrants (including the common stock issuable upon exercise of the pre-funded warrants), if any, is $ 11,500,000.</w:t>
      </w:r>
    </w:p>
    <w:p>
      <w:pPr>
        <w:spacing w:after="0" w:line="18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pursuant to Rule 457(o) of the Securities Act of 1933, as amended. Includes the offering price of any additional securities that the underwriter has the option to purchase.</w:t>
      </w:r>
    </w:p>
    <w:p>
      <w:pPr>
        <w:spacing w:after="0" w:line="170"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warrants issuable to H.C. Wainwright &amp; Co., LLC (the “Underwriter’s Warrants”) to purchase a number of shares of common stock equal to 5% of the number of shares of common stock (including the shares of common stock issued pursuant to the underwriter’s exercise of its over-allotment option and issuable upon the exercise of any pre-funded warrants) being offered at an exercise price equal to 125% of the public offering price. Resales of the Underwriter’s Warrants on a delayed or continuous basis pursuant to Rule 415 under the Securities Act of 1933, as amended, are registered hereby. Resales of shares of common stock issuable upon exercise of the Underwriter’s Warrants are also being similarly registered on a delayed or continuous basis hereby. See “Underwriting.”</w:t>
      </w:r>
    </w:p>
    <w:p>
      <w:pPr>
        <w:spacing w:after="0" w:line="19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21"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FF0000"/>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jurisdiction where the offer or sale is not permitted.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PRELIMINARY PROSPECTUS SUBJECT TO COMPLETION, DATED FEBRUARY 7 ,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154940</wp:posOffset>
            </wp:positionV>
            <wp:extent cx="2143760" cy="875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76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996,016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996,016 Pre-Funded Warrants to Purchase Shares of Common Stock and</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996,016 Shares of Common Stock Underlying the Pre-Funded Warrants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offering up to 996,016 shares of our common stock.</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also offering to certain purchasers whose purchase of shares of common stock in this offering would otherwise result in the purchaser, together with its affiliates and certain related parties, beneficially owning more than 4.99% (or, at the election of the purchaser, 9.99%) of our outstanding common stock immediately following the consummation of this offering, the opportunity to purchase, if any such purchaser so chooses, pre-funded warrants, in lieu of shares of common stock that would otherwise result in such purchaser’s beneficial ownership exceeding 4.99% (or, at the election of the purchaser, 9.99%) of our outstanding common stock. Each pre-funded warrant will be exercisable for one share of our common stock. The purchase price of each pre-funded warrant will be equal to the price per share at which shares of common stock are sold to the public in this offering, minus $0.01, and the exercise price of each pre-funded warrant will be $0.01 per share. This offering also relates to the shares of common stock issuable upon exercise of any pre-funded warrants sold in this offering. The pre-funded warrants will be exercisable immediately and may be exercised at any time until all of the pre-funded warrants are exercised in full. For each pre-funded warrant we sell, the number of shares of common stock we are offering will be decreased on a one-for-one basis.</w:t>
      </w:r>
    </w:p>
    <w:p>
      <w:pPr>
        <w:spacing w:after="0" w:line="16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common stock is listed on The Nasdaq Capital Market under the symbol “MBOT.” On February 5, 2019 , the last reported sale price of our common stock on The Nasdaq Capital Market was $ 10.04 per share. We have assumed a public offering price of $10.04 per share of common stock, the last reported sale price of our common stock on The Nasdaq Capital Market on February 5, 2019, and $10.03 per pre-funded warrant. The actual offering price per share or pre-funded warrant, as the case may be, will be negotiated between us and the underwriter based on the trading of our common stock prior to the offering, among other things, and may be at a discount to the current market price. Therefore, the assumed public offering price used throughout this prospectus may not be indicative of the final offering price. There is no established public trading market for the pre-funded warrants and the Underwriter’s Warrants, and we do not expect a market to develop. Without an active trading market, the liquidity of the pre-funded warrants will be limited. In addition, we do not intend to apply for a listing of the pre-funded warrants and the Underwriter’s Warrants on any national securities exchange or other nationally recognized trading system.</w:t>
      </w:r>
    </w:p>
    <w:p>
      <w:pPr>
        <w:spacing w:after="0" w:line="193"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See the section entitled “Risk Factors” beginning on page 7 of this prospectus and in the documents incorporated by reference into this prospectus for a discussion of risks that should be considered in connection with an investment in our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ind w:right="179"/>
              <w:spacing w:after="0"/>
              <w:rPr>
                <w:sz w:val="20"/>
                <w:szCs w:val="20"/>
                <w:color w:val="auto"/>
              </w:rPr>
            </w:pPr>
            <w:r>
              <w:rPr>
                <w:rFonts w:ascii="Arial" w:cs="Arial" w:eastAsia="Arial" w:hAnsi="Arial"/>
                <w:sz w:val="18"/>
                <w:szCs w:val="18"/>
                <w:b w:val="1"/>
                <w:bCs w:val="1"/>
                <w:color w:val="auto"/>
              </w:rPr>
              <w:t>Per Pre-Funded</w:t>
            </w: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500" w:type="dxa"/>
            <w:vAlign w:val="bottom"/>
          </w:tcPr>
          <w:p>
            <w:pPr>
              <w:spacing w:after="0"/>
              <w:rPr>
                <w:sz w:val="20"/>
                <w:szCs w:val="20"/>
                <w:color w:val="auto"/>
              </w:rPr>
            </w:pPr>
          </w:p>
        </w:tc>
        <w:tc>
          <w:tcPr>
            <w:tcW w:w="2080" w:type="dxa"/>
            <w:vAlign w:val="bottom"/>
            <w:gridSpan w:val="2"/>
          </w:tcPr>
          <w:p>
            <w:pPr>
              <w:ind w:left="480"/>
              <w:spacing w:after="0"/>
              <w:rPr>
                <w:sz w:val="20"/>
                <w:szCs w:val="20"/>
                <w:color w:val="auto"/>
              </w:rPr>
            </w:pPr>
            <w:r>
              <w:rPr>
                <w:rFonts w:ascii="Arial" w:cs="Arial" w:eastAsia="Arial" w:hAnsi="Arial"/>
                <w:sz w:val="18"/>
                <w:szCs w:val="18"/>
                <w:b w:val="1"/>
                <w:bCs w:val="1"/>
                <w:color w:val="auto"/>
              </w:rPr>
              <w:t>Per Share</w:t>
            </w:r>
          </w:p>
        </w:tc>
        <w:tc>
          <w:tcPr>
            <w:tcW w:w="1700" w:type="dxa"/>
            <w:vAlign w:val="bottom"/>
          </w:tcPr>
          <w:p>
            <w:pPr>
              <w:jc w:val="right"/>
              <w:ind w:right="439"/>
              <w:spacing w:after="0"/>
              <w:rPr>
                <w:sz w:val="20"/>
                <w:szCs w:val="20"/>
                <w:color w:val="auto"/>
              </w:rPr>
            </w:pPr>
            <w:r>
              <w:rPr>
                <w:rFonts w:ascii="Arial" w:cs="Arial" w:eastAsia="Arial" w:hAnsi="Arial"/>
                <w:sz w:val="18"/>
                <w:szCs w:val="18"/>
                <w:b w:val="1"/>
                <w:bCs w:val="1"/>
                <w:color w:val="auto"/>
              </w:rPr>
              <w:t>Warrant</w:t>
            </w:r>
          </w:p>
        </w:tc>
        <w:tc>
          <w:tcPr>
            <w:tcW w:w="340" w:type="dxa"/>
            <w:vAlign w:val="bottom"/>
          </w:tcPr>
          <w:p>
            <w:pPr>
              <w:spacing w:after="0"/>
              <w:rPr>
                <w:sz w:val="20"/>
                <w:szCs w:val="20"/>
                <w:color w:val="auto"/>
              </w:rPr>
            </w:pPr>
          </w:p>
        </w:tc>
        <w:tc>
          <w:tcPr>
            <w:tcW w:w="1800" w:type="dxa"/>
            <w:vAlign w:val="bottom"/>
            <w:gridSpan w:val="2"/>
          </w:tcPr>
          <w:p>
            <w:pPr>
              <w:ind w:left="640"/>
              <w:spacing w:after="0"/>
              <w:rPr>
                <w:sz w:val="20"/>
                <w:szCs w:val="20"/>
                <w:color w:val="auto"/>
              </w:rPr>
            </w:pPr>
            <w:r>
              <w:rPr>
                <w:rFonts w:ascii="Arial" w:cs="Arial" w:eastAsia="Arial" w:hAnsi="Arial"/>
                <w:sz w:val="18"/>
                <w:szCs w:val="18"/>
                <w:b w:val="1"/>
                <w:bCs w:val="1"/>
                <w:color w:val="auto"/>
              </w:rPr>
              <w:t>Total</w:t>
            </w:r>
          </w:p>
        </w:tc>
      </w:tr>
      <w:tr>
        <w:trPr>
          <w:trHeight w:val="216"/>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720" w:type="dxa"/>
            <w:vAlign w:val="bottom"/>
            <w:tcBorders>
              <w:top w:val="single" w:sz="8" w:color="auto"/>
            </w:tcBorders>
            <w:shd w:val="clear" w:color="auto" w:fill="CCEEFF"/>
          </w:tcPr>
          <w:p>
            <w:pPr>
              <w:jc w:val="right"/>
              <w:ind w:right="156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153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153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1720" w:type="dxa"/>
            <w:vAlign w:val="bottom"/>
          </w:tcPr>
          <w:p>
            <w:pPr>
              <w:jc w:val="right"/>
              <w:ind w:right="1561"/>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8"/>
                <w:szCs w:val="18"/>
                <w:color w:val="auto"/>
              </w:rPr>
            </w:pPr>
          </w:p>
        </w:tc>
        <w:tc>
          <w:tcPr>
            <w:tcW w:w="1700" w:type="dxa"/>
            <w:vAlign w:val="bottom"/>
          </w:tcPr>
          <w:p>
            <w:pPr>
              <w:jc w:val="right"/>
              <w:ind w:right="1539"/>
              <w:spacing w:after="0"/>
              <w:rPr>
                <w:sz w:val="20"/>
                <w:szCs w:val="20"/>
                <w:color w:val="auto"/>
              </w:rPr>
            </w:pPr>
            <w:r>
              <w:rPr>
                <w:rFonts w:ascii="Arial" w:cs="Arial" w:eastAsia="Arial" w:hAnsi="Arial"/>
                <w:sz w:val="15"/>
                <w:szCs w:val="15"/>
                <w:color w:val="auto"/>
                <w:w w:val="71"/>
              </w:rPr>
              <w:t>$</w:t>
            </w:r>
          </w:p>
        </w:tc>
        <w:tc>
          <w:tcPr>
            <w:tcW w:w="2040" w:type="dxa"/>
            <w:vAlign w:val="bottom"/>
            <w:gridSpan w:val="2"/>
          </w:tcPr>
          <w:p>
            <w:pPr>
              <w:jc w:val="right"/>
              <w:ind w:right="15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720" w:type="dxa"/>
            <w:vAlign w:val="bottom"/>
            <w:shd w:val="clear" w:color="auto" w:fill="CCEEFF"/>
          </w:tcPr>
          <w:p>
            <w:pPr>
              <w:jc w:val="right"/>
              <w:ind w:right="1561"/>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539"/>
              <w:spacing w:after="0"/>
              <w:rPr>
                <w:sz w:val="20"/>
                <w:szCs w:val="20"/>
                <w:color w:val="auto"/>
              </w:rPr>
            </w:pPr>
            <w:r>
              <w:rPr>
                <w:rFonts w:ascii="Arial" w:cs="Arial" w:eastAsia="Arial" w:hAnsi="Arial"/>
                <w:sz w:val="15"/>
                <w:szCs w:val="15"/>
                <w:color w:val="auto"/>
                <w:w w:val="71"/>
              </w:rPr>
              <w:t>$</w:t>
            </w:r>
          </w:p>
        </w:tc>
        <w:tc>
          <w:tcPr>
            <w:tcW w:w="2040" w:type="dxa"/>
            <w:vAlign w:val="bottom"/>
            <w:gridSpan w:val="2"/>
            <w:shd w:val="clear" w:color="auto" w:fill="CCEEFF"/>
          </w:tcPr>
          <w:p>
            <w:pPr>
              <w:jc w:val="right"/>
              <w:ind w:right="153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beginning on page 26 of this prospectus for a description of compensation and reimbursement of expenses payable to the underwriter.</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offering is being underwritten on a firm commitment basis. We have granted the underwriter an option for a period of 30 days from the date of this prospectus to purchase up to an additional 149,402 shares of our common stock at the public offering price per share , less the underwriting discounts and commissions, to cover over-allotments, if any. If the underwriter exercises this option in full, the total underwriting discounts and commissions payable by us</w:t>
      </w:r>
    </w:p>
    <w:p>
      <w:pPr>
        <w:spacing w:after="0"/>
        <w:tabs>
          <w:tab w:leader="none" w:pos="1120" w:val="left"/>
          <w:tab w:leader="none" w:pos="5580" w:val="left"/>
        </w:tabs>
        <w:rPr>
          <w:sz w:val="20"/>
          <w:szCs w:val="20"/>
          <w:color w:val="auto"/>
        </w:rPr>
      </w:pPr>
      <w:r>
        <w:rPr>
          <w:rFonts w:ascii="Arial" w:cs="Arial" w:eastAsia="Arial" w:hAnsi="Arial"/>
          <w:sz w:val="18"/>
          <w:szCs w:val="18"/>
          <w:color w:val="auto"/>
        </w:rPr>
        <w:t>will be $</w:t>
      </w:r>
      <w:r>
        <w:rPr>
          <w:sz w:val="20"/>
          <w:szCs w:val="20"/>
          <w:color w:val="auto"/>
        </w:rPr>
        <w:tab/>
      </w:r>
      <w:r>
        <w:rPr>
          <w:rFonts w:ascii="Arial" w:cs="Arial" w:eastAsia="Arial" w:hAnsi="Arial"/>
          <w:sz w:val="18"/>
          <w:szCs w:val="18"/>
          <w:color w:val="auto"/>
        </w:rPr>
        <w:t>, and the total proceeds to us, before expenses, will be $</w:t>
      </w:r>
      <w:r>
        <w:rPr>
          <w:sz w:val="20"/>
          <w:szCs w:val="20"/>
          <w:color w:val="auto"/>
        </w:rPr>
        <w:tab/>
      </w:r>
      <w:r>
        <w:rPr>
          <w:rFonts w:ascii="Arial" w:cs="Arial" w:eastAsia="Arial" w:hAnsi="Arial"/>
          <w:sz w:val="14"/>
          <w:szCs w:val="14"/>
          <w:color w:val="auto"/>
        </w:rPr>
        <w:t>.</w:t>
      </w:r>
    </w:p>
    <w:p>
      <w:pPr>
        <w:spacing w:after="0" w:line="207" w:lineRule="exact"/>
        <w:rPr>
          <w:sz w:val="20"/>
          <w:szCs w:val="20"/>
          <w:color w:val="auto"/>
        </w:rPr>
      </w:pPr>
    </w:p>
    <w:p>
      <w:pPr>
        <w:jc w:val="both"/>
        <w:ind w:right="20" w:firstLine="36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ectPr>
          <w:pgSz w:w="11900" w:h="16838" w:orient="portrait"/>
          <w:cols w:equalWidth="0" w:num="1">
            <w:col w:w="11420"/>
          </w:cols>
          <w:pgMar w:left="240" w:top="688" w:right="239" w:bottom="285" w:gutter="0" w:footer="0" w:header="0"/>
        </w:sectPr>
      </w:pPr>
    </w:p>
    <w:p>
      <w:pPr>
        <w:spacing w:after="0" w:line="166"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Delivery of the shares of common stock and any pre-funded warrants to purchasers is expected on or about customary closing conditions.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 2019 , subject to certain</w:t>
      </w:r>
    </w:p>
    <w:p>
      <w:pPr>
        <w:spacing w:after="0" w:line="452" w:lineRule="exact"/>
        <w:rPr>
          <w:sz w:val="20"/>
          <w:szCs w:val="20"/>
          <w:color w:val="auto"/>
        </w:rPr>
      </w:pPr>
    </w:p>
    <w:p>
      <w:pPr>
        <w:sectPr>
          <w:pgSz w:w="11900" w:h="16838" w:orient="portrait"/>
          <w:cols w:equalWidth="0" w:num="2">
            <w:col w:w="8800" w:space="720"/>
            <w:col w:w="1900"/>
          </w:cols>
          <w:pgMar w:left="240" w:top="688" w:right="239" w:bottom="285"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Sole Book-Running Manager</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H.C. Wainwright &amp; Co.</w:t>
      </w:r>
    </w:p>
    <w:p>
      <w:pPr>
        <w:sectPr>
          <w:pgSz w:w="11900" w:h="16838" w:orient="portrait"/>
          <w:cols w:equalWidth="0" w:num="1">
            <w:col w:w="11420"/>
          </w:cols>
          <w:pgMar w:left="240" w:top="688" w:right="239" w:bottom="285" w:gutter="0" w:footer="0" w:header="0"/>
          <w:type w:val="continuous"/>
        </w:sectPr>
      </w:pP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The date of this prospectus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 2019</w:t>
      </w:r>
    </w:p>
    <w:p>
      <w:pPr>
        <w:sectPr>
          <w:pgSz w:w="11900" w:h="16838" w:orient="portrait"/>
          <w:cols w:equalWidth="0" w:num="2">
            <w:col w:w="6280" w:space="720"/>
            <w:col w:w="4420"/>
          </w:cols>
          <w:pgMar w:left="240" w:top="688" w:right="239" w:bottom="285"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40" w:type="dxa"/>
            <w:vAlign w:val="bottom"/>
            <w:gridSpan w:val="4"/>
          </w:tcPr>
          <w:p>
            <w:pPr>
              <w:ind w:left="1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b w:val="1"/>
                <w:bCs w:val="1"/>
                <w:color w:val="0000EE"/>
                <w:w w:val="97"/>
              </w:rPr>
            </w:pPr>
            <w:hyperlink w:anchor="page5">
              <w:r>
                <w:rPr>
                  <w:rFonts w:ascii="Arial" w:cs="Arial" w:eastAsia="Arial" w:hAnsi="Arial"/>
                  <w:sz w:val="18"/>
                  <w:szCs w:val="18"/>
                  <w:b w:val="1"/>
                  <w:bCs w:val="1"/>
                  <w:color w:val="0000EE"/>
                  <w:w w:val="97"/>
                </w:rPr>
                <w:t>PROSPECTUS SUMMARY</w:t>
              </w:r>
            </w:hyperlink>
          </w:p>
        </w:tc>
        <w:tc>
          <w:tcPr>
            <w:tcW w:w="858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7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8"/>
          </w:tcPr>
          <w:p>
            <w:pPr>
              <w:spacing w:after="0" w:line="17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7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SPECIAL NOTE REGARDING FORWARD-LOOKING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Borders>
              <w:top w:val="single" w:sz="8" w:color="0000EE"/>
            </w:tcBorders>
            <w:gridSpan w:val="16"/>
          </w:tcPr>
          <w:p>
            <w:pPr>
              <w:spacing w:after="0" w:line="17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USE OF PROCEEDS</w:t>
              </w:r>
            </w:hyperlink>
          </w:p>
        </w:tc>
        <w:tc>
          <w:tcPr>
            <w:tcW w:w="512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b w:val="1"/>
                <w:bCs w:val="1"/>
                <w:color w:val="auto"/>
                <w:w w:val="89"/>
              </w:rPr>
              <w:t>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INFORMATION REGARDING THE MARKET IN OUR COMMON STOCK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40" w:type="dxa"/>
            <w:vAlign w:val="bottom"/>
            <w:tcBorders>
              <w:top w:val="single" w:sz="8" w:color="0000EE"/>
            </w:tcBorders>
            <w:gridSpan w:val="17"/>
          </w:tcPr>
          <w:p>
            <w:pPr>
              <w:spacing w:after="0" w:line="17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DIVIDEND POLICY</w:t>
              </w:r>
            </w:hyperlink>
          </w:p>
        </w:tc>
        <w:tc>
          <w:tcPr>
            <w:tcW w:w="472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b w:val="1"/>
                <w:bCs w:val="1"/>
                <w:color w:val="auto"/>
                <w:w w:val="89"/>
              </w:rPr>
              <w:t>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DILUTION</w:t>
              </w:r>
            </w:hyperlink>
          </w:p>
        </w:tc>
        <w:tc>
          <w:tcPr>
            <w:tcW w:w="986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8"/>
          </w:tcPr>
          <w:p>
            <w:pPr>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EXECUTIVE AND DIRECTOR COMPENSATION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PRINCIPAL STOCKHOLDERS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8"/>
          </w:tcPr>
          <w:p>
            <w:pPr>
              <w:spacing w:after="0" w:line="17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DESCRIPTION OF CAPITAL STOCK</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4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DESCRIPTION OF SECURITIES WE ARE OFFERING</w:t>
              </w:r>
            </w:hyperlink>
          </w:p>
        </w:tc>
        <w:tc>
          <w:tcPr>
            <w:tcW w:w="632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8"/>
          </w:tcPr>
          <w:p>
            <w:pPr>
              <w:spacing w:after="0" w:line="17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UNDERWRITING</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b w:val="1"/>
                <w:bCs w:val="1"/>
                <w:color w:val="0000EE"/>
                <w:w w:val="99"/>
              </w:rPr>
            </w:pPr>
            <w:hyperlink w:anchor="page39">
              <w:r>
                <w:rPr>
                  <w:rFonts w:ascii="Arial" w:cs="Arial" w:eastAsia="Arial" w:hAnsi="Arial"/>
                  <w:sz w:val="18"/>
                  <w:szCs w:val="18"/>
                  <w:b w:val="1"/>
                  <w:bCs w:val="1"/>
                  <w:color w:val="0000EE"/>
                  <w:w w:val="99"/>
                </w:rPr>
                <w:t>LEGAL MATTERS</w:t>
              </w:r>
            </w:hyperlink>
          </w:p>
        </w:tc>
        <w:tc>
          <w:tcPr>
            <w:tcW w:w="922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8"/>
          </w:tcPr>
          <w:p>
            <w:pPr>
              <w:spacing w:after="0" w:line="17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EXPERTS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WHERE YOU CAN FIND ADDITIONAL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8"/>
          </w:tcPr>
          <w:p>
            <w:pPr>
              <w:spacing w:after="0" w:line="17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INCORPORATION OF CERTAIN INFORMATION BY REFERENCE</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FINANCIAL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and the underwriter has not, authorized anyone to provide any information or to make any representations other than those contained in this prospectus or in any free writing prospectuses prepared by or on behalf of us or to which we have referred you. We take no responsibility for, and can provide no assurance as to the reliability of, any other information that others may give you. This prospectus is an offer to sell only the securities offered hereby, and only under circumstances and in jurisdictions where it is lawful to do so. The information contained in this prospectus or in any applicable, authorized free writing prospectus is current only as of its date, and any information in documents incorporated by reference is current only as of the date of the document incorporated by reference, regardless of its time of delivery or any sale of our securities. Our business, financial condition, results of operations and prospects may have changed since that date.</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investors outside the United States: We have not, and the underwriter has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and the distribution of this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8340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2175" cy="8340090"/>
                    </a:xfrm>
                    <a:prstGeom prst="rect">
                      <a:avLst/>
                    </a:prstGeom>
                    <a:noFill/>
                  </pic:spPr>
                </pic:pic>
              </a:graphicData>
            </a:graphic>
          </wp:anchor>
        </w:drawing>
        <w:t>PROSPECTUS SUMMARY</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This summary highlights information contained in other parts of this prospectus or information incorporated by reference into this prospectus from our filings with the Securities and Exchange Commission, or SEC, listed in the section of the prospectus entitled “Incorporation of Certain Information by Reference.” Because it is only a summary, it does not contain all of the information that you should consider before purchasing our securities in this offering and it is qualified in its entirety by, and should be read in conjunction with, the more detailed information appearing elsewhere or incorporated by reference into this prospectus. You should read the entire prospectus, the registration statement of which this prospectus is a part, and the information incorporated by reference herein in their entirety, including the “Risk Factors” and our financial statements and the related notes incorporated by reference into this prospectus, before purchasing our securities in this offering. Unless the context requires otherwise, references in this prospectus to “Microbot,” “we,” “us” and “our” refer to Microbot Medical Inc. together with its wholly owned subsidiaries.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improving surgical outcomes for patients.</w:t>
      </w:r>
    </w:p>
    <w:p>
      <w:pPr>
        <w:spacing w:after="0" w:line="185" w:lineRule="exact"/>
        <w:rPr>
          <w:sz w:val="20"/>
          <w:szCs w:val="20"/>
          <w:color w:val="auto"/>
        </w:rPr>
      </w:pPr>
    </w:p>
    <w:p>
      <w:pPr>
        <w:jc w:val="both"/>
        <w:ind w:firstLine="324"/>
        <w:spacing w:after="0" w:line="207"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30"/>
          <w:szCs w:val="30"/>
          <w:color w:val="auto"/>
          <w:vertAlign w:val="superscript"/>
        </w:rPr>
        <w:t>TM</w:t>
      </w:r>
      <w:r>
        <w:rPr>
          <w:rFonts w:ascii="Arial" w:cs="Arial" w:eastAsia="Arial" w:hAnsi="Arial"/>
          <w:sz w:val="18"/>
          <w:szCs w:val="18"/>
          <w:color w:val="auto"/>
        </w:rPr>
        <w:t>,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TipCAT</w:t>
      </w:r>
      <w:r>
        <w:rPr>
          <w:rFonts w:ascii="Arial" w:cs="Arial" w:eastAsia="Arial" w:hAnsi="Arial"/>
          <w:sz w:val="30"/>
          <w:szCs w:val="30"/>
          <w:color w:val="auto"/>
          <w:vertAlign w:val="superscript"/>
        </w:rPr>
        <w:t>TM</w:t>
      </w:r>
      <w:r>
        <w:rPr>
          <w:rFonts w:ascii="Arial" w:cs="Arial" w:eastAsia="Arial" w:hAnsi="Arial"/>
          <w:sz w:val="18"/>
          <w:szCs w:val="18"/>
          <w:color w:val="auto"/>
        </w:rPr>
        <w:t>, are comprised of proprietary innovative technologies. Using the ViRob platform, Microbot is 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Although the SCS utilizes one of our platforms, we are focused on the development of a Multi Generation Pipeline Portfolio utilizing all three of our proprietary technologies.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Microbot has a patent portfolio of 30 issued/allowed patents and 21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May 25, 2018, Microbot acquired a patent-protected technology from CardioSert Ltd., a privately-held medical device company based in Israel.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CardioSert was part of a technological incubator supported by the Israel Innovation Authorities (formerly known as the Office of the Chief Scientist, or OCS), and a device based on the technology has successfully completed pre-clinical testing.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219075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850"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6642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2175" cy="6642100"/>
                    </a:xfrm>
                    <a:prstGeom prst="rect">
                      <a:avLst/>
                    </a:prstGeom>
                    <a:noFill/>
                  </pic:spPr>
                </pic:pic>
              </a:graphicData>
            </a:graphic>
          </wp:anchor>
        </w:drawing>
        <w:t>Industry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CSF Management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Hydrocephalus is a medical condition in which there is an abnormal accumulation of cerebrospinal fluid, or CSF, in the brain that can cause increased intracranial pressure. It is estimated that one in every 500 babies are born with hydrocephalus, and over 1,000,000 people in the United States currently live with hydrocephalus.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Symptoms of hydrocephalus vary with age, disease progression and individual tolerance to the condition, but they can include convulsion, tunnel vision, mental disability or dementia-like symptoms and even death. NPH is a type of hydrocephalus that usually occurs in older adults. NPH is generally treated as distinct from other types of hydrocephalus because it develops slowly over time. In NPH, the drainage of CSF is blocked gradually and the excess fluid builds up slowly. This slow accumulation means that the fluid pressure may not be as high as in other types of hydrocephalus. It is estimated that more than 700,000 Americans have NPH, but less than 20% receive an appropriate diagnosis.</w:t>
      </w:r>
    </w:p>
    <w:p>
      <w:pPr>
        <w:spacing w:after="0" w:line="1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Hydrocephalus is most often treated by the surgical insertion of a shunt system. The shunt system diverts the flow of CSF from the brain’s ventricles (or the lumbar subarachnoid space) to another part of the body where the fluid can be more readily absorbed. Hydrocephalus shunt designs have changed little since their introduction in the 1950s. A shunt system typically consists of three parts: the distal tubing or shunt (a flexible and sturdy plastic tube), the ventricular catheter (the proximal catheter), and a valve. The end of the shunt system with the proximal catheter is placed in the ventricles (within the CSF) and the distal catheter is placed in the site of the body where the CSF can be drained. A valve is located along the shunt to maintain and regulate the rate of CSF flow. Current systems can be created from separate components or bought as complete units.</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treatment of hydrocephalus with existing shunt systems often includes complications. For example, approximately 50% of shunts used in the pediatric population fail within two years of placement and repeated neurosurgical operations are often required. Ventricular catheter blockage, or occlusion, is by far the most frequent event that results in shunt failure. Shunt occlusion occurs when there is a partial or complete blockage of the shunt that causes it to function intermittently or not at all. Such a shunt blockage can be caused by the accumulation of blood cells, tissue, or bacteria in any part of the shunt system. In the event of shunt occlusion, CSF begins to accumulate in the brain or lumbar region again and the symptoms of untreated hydrocephalus can reappear until a shunt replacement surgery is performed.</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Although several companies are active in the field of hydrocephalus treatment and the manufacturing of shunt systems and shunt components, Microbot believes that the majority of those companies are focusing on the development of valves. The development of a “smart shunt” – a shunt that could provide data to the physician on patient conditions and shunt function with sensor-based controls, or correct the high failure rate of existing shunt systems – is for the most part at an academic and conceptual level only. Reports of smart shunt technologies are typically focused on a subset of components with remaining factors left unspecified, such as hardware, control algorithms or power management. Microbot does not believe that a smart shunt that can prevent functional failures has been developed to date. Because of the limited innovation in this area, Microbot believes an opportunity exists to provide patients suffering from hydrocephalus or NPH with a more effective instrument for treating their condition.</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alternative, short-term solution to hydrocephalus is the implantation of an External Ventricular Drainage, or EVD, an implanted device used in neurosurgery for the short-term treatment and monitoring of elevated intracranial pressure when the normal flow of CSF inside the brain is obstructed. If after using an EVD, the underlying hydrocephalus does not eventually resolve, the EVD may then be converted to a cerebral shunt, a fully internalized, long-term treatment for hydrocephalus.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EVDs are also used in other instances when the normal flow of CSF inside the brain is obstructed, such as a result of head trauma, intracerebral hemorrhage, brain tumors and infection. The EVD serves to divert excess fluids from the brain and allows for the monitoring of intracranial pressure. An EVD must be placed in a center with full neurosurgical capabilities because immediate neurosurgical intervention may be needed if a complication of EVD placement, such as bleeding, is encountered. EVD is one of the most commonly used and most important life-saving procedures in the neurologic ICU, with more than 200,000 neuro-intensive patients requiring EVD insertions annually.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850" w:right="399" w:bottom="1440" w:gutter="0" w:footer="0" w:header="0"/>
        </w:sectPr>
      </w:pPr>
    </w:p>
    <w:bookmarkStart w:id="6" w:name="page7"/>
    <w:bookmarkEnd w:id="6"/>
    <w:p>
      <w:pPr>
        <w:jc w:val="both"/>
        <w:ind w:firstLine="32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69164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2175" cy="6916420"/>
                    </a:xfrm>
                    <a:prstGeom prst="rect">
                      <a:avLst/>
                    </a:prstGeom>
                    <a:noFill/>
                  </pic:spPr>
                </pic:pic>
              </a:graphicData>
            </a:graphic>
          </wp:anchor>
        </w:drawing>
        <w:t>Similar to shunts, EVDs are also prone to occlusion, mostly due to cellular debris, such as blood clots and/or tissue fragments. Studies have shown that approximately 1-7% of EVDs require replacement secondary to occlusion. Current solutions for EVD occlusion include irrigation and replacement, which we believe may be ineffective (in the case of irrigation) or costly (in the case of replacement) and in either case, put the patient at risk of unintended side effects. Microbot believes that with its portfolio of technologies, and its initial pre-clinical results, it is well-positioned to explore and expand its offerings as an alternative solution for EVD occlusion.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Minimally Invasive Endovascular Neurosurgery</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market is expected to exceed $50 billion by 2019, with a CAGR of over 20% through 2023. MIS involves three major category of devices: surgical, monitoring and visualization, and endoscopy. The market for surgical devices, including ablation, electrosurgery and medical robotic systems, accounts for the largest share of revenue and is also expected to show the highest rate of growth.</w:t>
      </w:r>
    </w:p>
    <w:p>
      <w:pPr>
        <w:spacing w:after="0" w:line="17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a subset of MIS, endovascular neurosurgery refers to surgeries performed by using devices that pass through the blood vessels to diagnose and treat neurological diseases and conditions such as stroke, arteriovenous malformations, aneurysms and atherosclerosis, rather than using open surgery.</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global neurovascular device market was valued at $1.62 billion in 2015 and is expected to reach a value of $2.92 billion by 2024, growing at a CAGR of 6.5%. Increases in the geriatric population and a rise in the number of patients suffering from neurovascular disorders, implementation of advanced technological platforms, and favorable reimbursement policies across established markets are expected to drive this market’s growth. On the other hand, the high cost of the endovascular devices and scarcity of neurovascular surgeons may impede such growth.</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Stroke is a devastating condition, affecting 33 million people worldwide every year. In the United States alone, there are nearly 800,000 instances of stroke yearly, with about three in four being first-time strokes. This number is expected to increase to one million annually in 2021. Stroke is the fifth leading cause of death in the United States and is a leading cause of long-term disability, with related care costs estimated at $70 billion annually.</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Mechanical thrombectomy has only been approved as a first-line treatment for ischemic stroke since 2016. Prior to such approval, chemical thrombolysis using tissue plasminogen activators was the only first-line treatment available, limiting the therapeutic window for ischemic stroke patients to as little as 3-4 hours from the onset of symptoms. With mechanical thrombectomy, treatment can be started within 6-24 hours of the time the patient was last known to be well. The US mechanical thrombectomy market is projected to grow at a CAGR of 23.9% between 2014-2020, to reach a value over $350 million.</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According to the Brain Aneurysm Foundation, an estimated 6 million people in the United States have an unruptured brain aneurysm, or 1 in 50 people. The annual rate of rupture is approximately 8 – 10 per 100,000 people, or about 30,000 people in the United States annually. Embolic coiling is the established gold-standard treatment for aneurysms, and the most established product line in the neurovascular market – it is a strong but relatively stagnant market, projected to grow at a CAGR of 1.7% between 2014-2020, to reach a value of over $800 million. New devices that improve treatment of complex aneurysms, such as embolization-enabling stents, bifurcations stents, flow-diversion stents, liquid embolics and intrasaccular devices, are expected to boost market growth.</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 companies in the field of neurovascular devices include Stryker Corporation, Medtronic Plc., Cerenovus (Johnson &amp; Johnson), Terumo Corporation and Penumbra, Inc. Neurovascular access devices are the means for delivering neurovascular treatment tools and devices from an opening in the femoral or radial arteries into the brain vasculature. Such access devices include sheaths, guidewires and microcatheters. Wires and catheters account for 18.6% of the overall neurovascular market.</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Navigating and placing access devices through tortuous and highly delicate brain arteries is a complex procedure that requires high-level surgical skills with specialist training. In many procedures, surgeons exchange numerous access devices before reaching the target and applying the therapeutic agent or device, increasing the risk of adverse events and the exposure of both patient and physician to radiation. Adverse events, such as perforation of brain arteries or the release of embolies from a thrombus or atherosclerotic lesion can have devastating or even fatal results.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854" w:right="399" w:bottom="1440" w:gutter="0" w:footer="0" w:header="0"/>
        </w:sectPr>
      </w:pPr>
    </w:p>
    <w:bookmarkStart w:id="7" w:name="page8"/>
    <w:bookmarkEnd w:id="7"/>
    <w:p>
      <w:pPr>
        <w:jc w:val="both"/>
        <w:ind w:firstLine="324"/>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10072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2175" cy="10072370"/>
                    </a:xfrm>
                    <a:prstGeom prst="rect">
                      <a:avLst/>
                    </a:prstGeom>
                    <a:noFill/>
                  </pic:spPr>
                </pic:pic>
              </a:graphicData>
            </a:graphic>
          </wp:anchor>
        </w:drawing>
        <w:t>Microbot believes that with its portfolio of technologies specifically CardioSert and TipCAT, it is well-positioned to explore and develop such technologies as neurovascular access devices, with a focus on improving the ease and access and enhancing the safety of endovascular neurosurgery.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Self-Cleaning Shunt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SCS device is designed to act as the ventricular catheter portion of a CSF shunt system that is used to relieve hydrocephalus and NPH. It is designed to work as an alternative to any ventricular catheter options currently on the market and to connect to all existing shunt system valves currently on the market; therefore, the successful commercialization of the SCS is not dependent on any single shunt system. Initially, Microbot expects the SCS device to be an aftermarket purchase that would be deployed to modify existing products by the end user. Microbot believes that the use of its SCS device will be able to reduce, and potentially eliminate, shunt occlusions, and by doing so, Microbot believes its SCS has the potential to become the gold standard ventricular shunt in the treatment of hydrocephalus and NPH.</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SCS device embeds an internal robotic cleaning mechanism in the lumen, or inside space, of the ventricular catheter which prevents cell accumulation and tissue ingrowth into the catheter. The SCS device consists of a silicone tube with a perforated titanium tip, which connects to a standard shunt valve at its distal end. The internal cleaning mechanism is embedded in the lumen of the titanium tip. Once activated, the cleaning mechanism keeps tissue from entering the catheter perforations while maintaining the CSF flow in the ventricular catheter.</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internal cleaning mechanism of the SCS device is activated by means of an induced magnetic field, which is currently designed to be externally generated by the patient through a user-friendly headset that transmits the magnetic field at a pre-determined frequency and operating sequence protocol. The magnetic field that is created by the headset is then captured by a flexible coil and circuit board that is placed just under the patient’s scalp in the location where the valve is located. The circuit board assembly converts the magnetic field into the power necessary to activate the cleaning mechanism within the proximal part of the ventricular catheter.</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Microbot has completed the development of an SCS prototype and is currently completing the safety testing, general proof of concept testing and performance testing for the device, which Microbot began in mid-2013. In May 2018, Microbot announced the results of two pre-clinical studies assessing the SCS, an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study and a small animal study. The in-vitro study, which was performed at Wayne State University by Dr. Carolyn Harris, supports the SCS’s potential as a viable technology for preventing occlusion in shunts used to treat hydrocephalus. The animal study designed to assess the safety profile of the SCS, which was performed by James Patterson McAllister, PhD, a Professor of Neurosurgery at Washington University School of Medicine in St. Louis, met the primary goal to determine the safety of the SCS device that aims to prevent obstruction in CSF catheters. Since the completion of these initial studies, Microbot has commenced a follow-up study to further evaluate the safety and to investigate the efficacy of the SCS. The follow-up study is also being conducted by leading hydrocephalus experts at Washington University and Wayne State University. The study will include a larger sample size compared to the initial studies and the primary and secondary endpoints will seek to validate the safety and efficacy of the SCS that will be activated in both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(lab) and </w:t>
      </w:r>
      <w:r>
        <w:rPr>
          <w:rFonts w:ascii="Arial" w:cs="Arial" w:eastAsia="Arial" w:hAnsi="Arial"/>
          <w:sz w:val="16"/>
          <w:szCs w:val="16"/>
          <w:i w:val="1"/>
          <w:iCs w:val="1"/>
          <w:color w:val="auto"/>
        </w:rPr>
        <w:t>in-vivo</w:t>
      </w:r>
      <w:r>
        <w:rPr>
          <w:rFonts w:ascii="Arial" w:cs="Arial" w:eastAsia="Arial" w:hAnsi="Arial"/>
          <w:sz w:val="16"/>
          <w:szCs w:val="16"/>
          <w:color w:val="auto"/>
        </w:rPr>
        <w:t xml:space="preserve"> (animal) models. Microbot plans to use the findings for initial regulatory submissions in the United States, Europe and other jurisdictions, although upon the completion of animal studies, Microbot may conduct clinical trials if they are requested by the FDA or if Microbot decides that the data from such trials would improve the marketability of the product candidate.</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In conjunction with initiating this follow-up study, Microbot also contracted with Envigo CRS Israel, a leading provider of non-clinical contract research services, to conduct an </w:t>
      </w:r>
      <w:r>
        <w:rPr>
          <w:rFonts w:ascii="Arial" w:cs="Arial" w:eastAsia="Arial" w:hAnsi="Arial"/>
          <w:sz w:val="17"/>
          <w:szCs w:val="17"/>
          <w:i w:val="1"/>
          <w:iCs w:val="1"/>
          <w:color w:val="auto"/>
        </w:rPr>
        <w:t>in-vitro</w:t>
      </w:r>
      <w:r>
        <w:rPr>
          <w:rFonts w:ascii="Arial" w:cs="Arial" w:eastAsia="Arial" w:hAnsi="Arial"/>
          <w:sz w:val="17"/>
          <w:szCs w:val="17"/>
          <w:color w:val="auto"/>
        </w:rPr>
        <w:t xml:space="preserve"> study designed to evaluate the operational performance of the SCS. The Envigo study used human brain glioblastoma cells in order to assess the performance of the SCS in a test system with accelerated cell growth, accumulation, and obstruction rates. The performance of a constantly activated (always-on) SCS to prevent shunt occlusion in the laboratory study was compared with a non-operating SCS after 30 days, and the results were captured with photographs shared by Microbot in a press release issued on January 14, 2019. While significant cell growth and accumulation was seen in the cell cultures with a non-operating SCS, the shunt openings within the cells seeded with a constantly operating SCS remained clear, with little to no cell attachment on the robotic brush (ViRob) and on the opening where the robotic brush (ViRob) operates after 30 days of cell culturing and growth. We believe this experiment validates the operational effectiveness of the SCS to prevent shunt occlusion and provides additional data to support the device’s proof of concept. We believe the </w:t>
      </w:r>
      <w:r>
        <w:rPr>
          <w:rFonts w:ascii="Arial" w:cs="Arial" w:eastAsia="Arial" w:hAnsi="Arial"/>
          <w:sz w:val="17"/>
          <w:szCs w:val="17"/>
          <w:i w:val="1"/>
          <w:iCs w:val="1"/>
          <w:color w:val="auto"/>
        </w:rPr>
        <w:t>in-vitro</w:t>
      </w:r>
      <w:r>
        <w:rPr>
          <w:rFonts w:ascii="Arial" w:cs="Arial" w:eastAsia="Arial" w:hAnsi="Arial"/>
          <w:sz w:val="17"/>
          <w:szCs w:val="17"/>
          <w:color w:val="auto"/>
        </w:rPr>
        <w:t xml:space="preserve"> laboratory study further confirms that the SCS has the ability to operate after cells have accumulated on the catheter holes and the robotic brush (ViRob) and to potentially disintegrate existing occlusions formed on the robotic brush (ViRob) and on the opening where the robotic brush (ViRob) operates, based on the results from a third test group in which cells were allowed to grow for 4 weeks and then exposed to an activated SCS device. The images captured by Envigo and Microbot demonstrate that the cleaning mechanism of the SCS is powerful enough to clear accumulated cells at blocked pores, as significant improvements were observed in the degree of shunt obstruction after only a short period of time following activation of the SCS.</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Microbot believes that the animal study results of its first generation SCS device should be available during the second half of 2019 and we expect to submit that data to the FDA as part of a pre-submission meeting request. The proposed indication for use of the SCS device would be for the treatment of hydrocephalus as a component of a shunt system when draining or shunting of CSF is indicated. It continues to be possible that the FDA could require us to conduct a human clinical study to support the safety and efficacy of the SCS and that such clinical data would need to be part of the future regulatory submission to authorize marketing of the medical device in the U.S.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Microbot may also conduct clinical trials for the SCS in other countries where such trials are necessary for Microbot to sell its SCS device in such country’s market, although it has no current plans to do so.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TipCAT prototype was shown to self-propel and self-navigate in curved plastic pipes and curved ex-vivo colon. In addition, in its first feasibility study, the prototype device was tested in a live animal experiment and successfully self-propelled through segments of the animal’s colon, with no post-procedural damage. All tests were conducted at AMIT (Alfred Mann Institute of Technology at the Technion), prior to the licensing of TipCAT by Microbot.</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Microbot is no longer pursuing the development of the TipCAT as a colonoscopy tool but is currently exploring the use of the TipCAT for minimally invasive endovascular neurosurgical applications.</w:t>
      </w:r>
    </w:p>
    <w:p>
      <w:pPr>
        <w:sectPr>
          <w:pgSz w:w="11900" w:h="16838" w:orient="portrait"/>
          <w:cols w:equalWidth="0" w:num="1">
            <w:col w:w="11100"/>
          </w:cols>
          <w:pgMar w:left="400" w:top="854" w:right="399" w:bottom="31" w:gutter="0" w:footer="0" w:header="0"/>
        </w:sectPr>
      </w:pPr>
    </w:p>
    <w:bookmarkStart w:id="8" w:name="page9"/>
    <w:bookmarkEnd w:id="8"/>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8536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2175" cy="8536940"/>
                    </a:xfrm>
                    <a:prstGeom prst="rect">
                      <a:avLst/>
                    </a:prstGeom>
                    <a:noFill/>
                  </pic:spPr>
                </pic:pic>
              </a:graphicData>
            </a:graphic>
          </wp:anchor>
        </w:drawing>
        <w:t>Risks Associated with Our Business and this Offering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business and our ability to implement our business strategy are subject to numerous risks, as more fully described in the section of this prospectus entitled “Risk Factors” and under similarly titled headings of the documents incorporated herein by reference. You should read these risks before you invest in our securities. We may be unable, for many reasons, including those that are beyond our control, to implement our business strategy. In particular, risks associated with our business include:</w:t>
      </w:r>
    </w:p>
    <w:p>
      <w:pPr>
        <w:spacing w:after="0" w:line="187" w:lineRule="exact"/>
        <w:rPr>
          <w:sz w:val="20"/>
          <w:szCs w:val="20"/>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to raise significant additional capital to support our operations.</w:t>
      </w:r>
    </w:p>
    <w:p>
      <w:pPr>
        <w:spacing w:after="0" w:line="225" w:lineRule="exact"/>
        <w:rPr>
          <w:rFonts w:ascii="Arial" w:cs="Arial" w:eastAsia="Arial" w:hAnsi="Arial"/>
          <w:sz w:val="18"/>
          <w:szCs w:val="18"/>
          <w:color w:val="auto"/>
        </w:rPr>
      </w:pPr>
    </w:p>
    <w:p>
      <w:pPr>
        <w:ind w:left="660" w:right="2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 and our future profitability is uncertain.</w:t>
      </w:r>
    </w:p>
    <w:p>
      <w:pPr>
        <w:spacing w:after="0" w:line="170" w:lineRule="exact"/>
        <w:rPr>
          <w:rFonts w:ascii="Arial" w:cs="Arial" w:eastAsia="Arial" w:hAnsi="Arial"/>
          <w:sz w:val="18"/>
          <w:szCs w:val="18"/>
          <w:color w:val="auto"/>
        </w:rPr>
      </w:pPr>
    </w:p>
    <w:p>
      <w:pPr>
        <w:ind w:left="660" w:hanging="331"/>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product candidates must undergo rigorous clinical testing, such clinical testing may fail to demonstrate safety and efficacy and any of our product candidates could cause undesirable side effects, which would substantially delay or prevent regulatory approval or commercialization.</w:t>
      </w:r>
    </w:p>
    <w:p>
      <w:pPr>
        <w:spacing w:after="0" w:line="123" w:lineRule="exact"/>
        <w:rPr>
          <w:rFonts w:ascii="Arial" w:cs="Arial" w:eastAsia="Arial" w:hAnsi="Arial"/>
          <w:sz w:val="16"/>
          <w:szCs w:val="16"/>
          <w:color w:val="auto"/>
        </w:rPr>
      </w:pPr>
    </w:p>
    <w:p>
      <w:pPr>
        <w:ind w:left="660" w:right="2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patents and proprietary technology. If we fail to adequately protect this intellectual property or if we otherwise do not have exclusivity for the marketing of our products, our ability to commercialize products could suffer.</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competitors are able to develop and market products that are more effective, safer or more affordable than ours, or obtain marketing approval before we do, our commercial opportunities may be limited.</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you purchase our securities in this offering, you will incur immediate and substantial dilution.</w:t>
      </w:r>
    </w:p>
    <w:p>
      <w:pPr>
        <w:spacing w:after="0" w:line="225" w:lineRule="exact"/>
        <w:rPr>
          <w:rFonts w:ascii="Arial" w:cs="Arial" w:eastAsia="Arial" w:hAnsi="Arial"/>
          <w:sz w:val="18"/>
          <w:szCs w:val="18"/>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have broad discretion in the use of the net proceeds from this offering and may not use them effectively.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Information</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were incorporated on August 2, 1988 in the State of Delaware under the name Cellular Transplants, Inc. The original Certificate of Incorporation was restated on February 14, 1992 to change our name to CytoTherapeutics, Inc. On May 24, 2000, the Certificate of Incorporation as restated was further amended to change our name to StemCells, Inc. On November 28, 2016, C&amp;RD Israel Ltd., a wholly-owned subsidiary of ours,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On November 29, 2016, our common stock began trading on the Nasdaq Capital Market under the symbol “MBOT”.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w:t>
      </w:r>
    </w:p>
    <w:p>
      <w:pPr>
        <w:spacing w:after="0" w:line="183"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In May 2016, we effected a 1-for-12 reverse split of our common stock, and in November 2016, we effected a 1-for-9 reverse split of our common stock in connection with the Merger. In September 2018, we effected a 1-for-15 reverse split of our common stock. The share and per share information described in this prospectus that occurred prior to these reverse splits have been adjusted to give retrospective effect to the reverse splits.</w:t>
      </w:r>
    </w:p>
    <w:p>
      <w:pPr>
        <w:spacing w:after="0" w:line="147"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 xml:space="preserve">Our principal executive offices are located at 25 Recreation Park Drive, Unit 108, Hingham, MA 02043. The telephone number at our principal executive office is (781) 875-3605. Our website address is </w:t>
      </w:r>
      <w:r>
        <w:rPr>
          <w:rFonts w:ascii="Arial" w:cs="Arial" w:eastAsia="Arial" w:hAnsi="Arial"/>
          <w:sz w:val="17"/>
          <w:szCs w:val="17"/>
          <w:i w:val="1"/>
          <w:iCs w:val="1"/>
          <w:color w:val="auto"/>
        </w:rPr>
        <w:t>www.microbotmedical.com</w:t>
      </w:r>
      <w:r>
        <w:rPr>
          <w:rFonts w:ascii="Arial" w:cs="Arial" w:eastAsia="Arial" w:hAnsi="Arial"/>
          <w:sz w:val="17"/>
          <w:szCs w:val="17"/>
          <w:color w:val="auto"/>
        </w:rPr>
        <w:t>.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our securities in this offering.</w:t>
      </w:r>
    </w:p>
    <w:p>
      <w:pPr>
        <w:spacing w:after="0" w:line="17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This prospectus contains references to our trademarks and to trademarks and trade names belonging to other entities. Solely for convenience, trademarks and trade names referred to in this prospectus, including logos, artwork and other visual displays,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“smaller reporting company” as defined in the Exchange Act and have elected to take advantage of certain of the scaled disclosures available to smaller reporting companies, including certain of the reduced disclosure obligations in the registration statement of which this prospectus is a part.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31" w:right="39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242175" cy="10153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2175" cy="10153015"/>
                    </a:xfrm>
                    <a:prstGeom prst="rect">
                      <a:avLst/>
                    </a:prstGeom>
                    <a:noFill/>
                  </pic:spPr>
                </pic:pic>
              </a:graphicData>
            </a:graphic>
          </wp:anchor>
        </w:drawing>
        <w:t>The Offering</w:t>
      </w:r>
    </w:p>
    <w:p>
      <w:pPr>
        <w:sectPr>
          <w:pgSz w:w="11900" w:h="16838" w:orient="portrait"/>
          <w:cols w:equalWidth="0" w:num="1">
            <w:col w:w="11100"/>
          </w:cols>
          <w:pgMar w:left="400" w:top="931" w:right="399" w:bottom="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offered by us in this offering</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996,016 shares of our common stock</w:t>
      </w:r>
    </w:p>
    <w:p>
      <w:pPr>
        <w:spacing w:after="0" w:line="200" w:lineRule="exact"/>
        <w:rPr>
          <w:sz w:val="20"/>
          <w:szCs w:val="20"/>
          <w:color w:val="auto"/>
        </w:rPr>
      </w:pPr>
    </w:p>
    <w:p>
      <w:pPr>
        <w:sectPr>
          <w:pgSz w:w="11900" w:h="16838" w:orient="portrait"/>
          <w:cols w:equalWidth="0" w:num="2">
            <w:col w:w="3300" w:space="720"/>
            <w:col w:w="7080"/>
          </w:cols>
          <w:pgMar w:left="400" w:top="931" w:right="39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Pre-funded warrants offered by us in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are also offering to certain purchasers whose purchase of shares of common stock in this offering would otherwise result in the purchaser, together with its affiliates and certain related parties, beneficially owning more than 4.99% (or, at the election of the purchaser, 9.99%) of our outstanding common stock immediately following the consummation of this offering, the opportunity to purchase, if such purchasers so choose, pre-funded warrants, in lieu of shares of common stock that would otherwise result in any such purchaser’s beneficial ownership exceeding 4.99% (or, at the election of the purchaser, 9.99%) of our outstanding common stock. Each pre-funded warrant will be exercisable for one share of our common stock. The purchase price of each pre-funded warrant will equal the price per share at which the shares of common stock are being sold to the public in this offering, minus $0.01, and the exercise price of each pre-funded warrant will be $0.01 per share. The pre-funded warrants will be exercisable immediately and may be exercised at any time until all of the pre-funded warrants are exercised in full. This offering also relates to the shares of common stock issuable upon exercise of any pre-funded warrants sold in this offering. For each pre-funded warrant we sell, the number of shares of common stock we are offering will be decreased on a one-for-one basis.</w:t>
      </w:r>
    </w:p>
    <w:p>
      <w:pPr>
        <w:spacing w:after="0" w:line="169" w:lineRule="exact"/>
        <w:rPr>
          <w:sz w:val="20"/>
          <w:szCs w:val="20"/>
          <w:color w:val="auto"/>
        </w:rPr>
      </w:pPr>
    </w:p>
    <w:p>
      <w:pPr>
        <w:sectPr>
          <w:pgSz w:w="11900" w:h="16838" w:orient="portrait"/>
          <w:cols w:equalWidth="0" w:num="2">
            <w:col w:w="3580" w:space="440"/>
            <w:col w:w="7080"/>
          </w:cols>
          <w:pgMar w:left="400" w:top="931" w:right="399" w:bottom="0" w:gutter="0" w:footer="0" w:header="0"/>
          <w:type w:val="continuous"/>
        </w:sectPr>
      </w:pPr>
    </w:p>
    <w:p>
      <w:pPr>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8"/>
          <w:szCs w:val="18"/>
          <w:color w:val="auto"/>
        </w:rPr>
        <w:t>The underwriter has an option to purchase up to an additional 149,402 shares of our common stock at the public offering price per share , less underwriting discounts and commissions, to cover over-allotments, if any. The underwriter may exercise this option for a period of 30 days from the date of this prospectus.</w:t>
      </w:r>
    </w:p>
    <w:p>
      <w:pPr>
        <w:spacing w:after="0" w:line="187" w:lineRule="exact"/>
        <w:rPr>
          <w:sz w:val="20"/>
          <w:szCs w:val="20"/>
          <w:color w:val="auto"/>
        </w:rPr>
      </w:pPr>
    </w:p>
    <w:p>
      <w:pPr>
        <w:sectPr>
          <w:pgSz w:w="11900" w:h="16838" w:orient="portrait"/>
          <w:cols w:equalWidth="0" w:num="2">
            <w:col w:w="3300" w:space="720"/>
            <w:col w:w="7080"/>
          </w:cols>
          <w:pgMar w:left="400" w:top="931" w:right="399" w:bottom="0" w:gutter="0" w:footer="0" w:header="0"/>
          <w:type w:val="continuous"/>
        </w:sectPr>
      </w:pPr>
    </w:p>
    <w:p>
      <w:pPr>
        <w:spacing w:after="0"/>
        <w:rPr>
          <w:sz w:val="20"/>
          <w:szCs w:val="20"/>
          <w:color w:val="auto"/>
        </w:rPr>
      </w:pPr>
      <w:r>
        <w:rPr>
          <w:rFonts w:ascii="Arial" w:cs="Arial" w:eastAsia="Arial" w:hAnsi="Arial"/>
          <w:sz w:val="16"/>
          <w:szCs w:val="16"/>
          <w:color w:val="auto"/>
        </w:rPr>
        <w:t>Common stock outstanding before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4,307,666 shares</w:t>
      </w:r>
    </w:p>
    <w:p>
      <w:pPr>
        <w:spacing w:after="0" w:line="211" w:lineRule="exact"/>
        <w:rPr>
          <w:sz w:val="20"/>
          <w:szCs w:val="20"/>
          <w:color w:val="auto"/>
        </w:rPr>
      </w:pPr>
    </w:p>
    <w:p>
      <w:pPr>
        <w:sectPr>
          <w:pgSz w:w="11900" w:h="16838" w:orient="portrait"/>
          <w:cols w:equalWidth="0" w:num="2">
            <w:col w:w="3420" w:space="600"/>
            <w:col w:w="7080"/>
          </w:cols>
          <w:pgMar w:left="400" w:top="931" w:right="39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5,303,682 shares of common stock, assuming no sale of any pre-funded warrants (or 5,453,084 shares of common stock if the underwriter exercises in full its option to purchase additional shares of common stock, assuming no sale of pre-funded warrants).</w:t>
      </w:r>
    </w:p>
    <w:p>
      <w:pPr>
        <w:spacing w:after="0" w:line="181" w:lineRule="exact"/>
        <w:rPr>
          <w:sz w:val="20"/>
          <w:szCs w:val="20"/>
          <w:color w:val="auto"/>
        </w:rPr>
      </w:pPr>
    </w:p>
    <w:p>
      <w:pPr>
        <w:sectPr>
          <w:pgSz w:w="11900" w:h="16838" w:orient="portrait"/>
          <w:cols w:equalWidth="0" w:num="2">
            <w:col w:w="3680" w:space="340"/>
            <w:col w:w="7080"/>
          </w:cols>
          <w:pgMar w:left="400" w:top="931" w:right="399" w:bottom="0" w:gutter="0" w:footer="0" w:header="0"/>
          <w:type w:val="continuous"/>
        </w:sectPr>
      </w:pPr>
    </w:p>
    <w:p>
      <w:pPr>
        <w:spacing w:after="0"/>
        <w:rPr>
          <w:sz w:val="20"/>
          <w:szCs w:val="20"/>
          <w:color w:val="auto"/>
        </w:rPr>
      </w:pPr>
      <w:r>
        <w:rPr>
          <w:rFonts w:ascii="Arial" w:cs="Arial" w:eastAsia="Arial" w:hAnsi="Arial"/>
          <w:sz w:val="17"/>
          <w:szCs w:val="17"/>
          <w:color w:val="auto"/>
        </w:rPr>
        <w:t>Public offering price</w:t>
      </w:r>
    </w:p>
    <w:p>
      <w:pPr>
        <w:spacing w:after="0" w:line="20" w:lineRule="exact"/>
        <w:rPr>
          <w:sz w:val="20"/>
          <w:szCs w:val="20"/>
          <w:color w:val="auto"/>
        </w:rPr>
      </w:pPr>
      <w:r>
        <w:rPr>
          <w:sz w:val="20"/>
          <w:szCs w:val="20"/>
          <w:color w:val="auto"/>
        </w:rPr>
        <w:br w:type="column"/>
      </w:r>
    </w:p>
    <w:p>
      <w:pPr>
        <w:jc w:val="both"/>
        <w:spacing w:after="0" w:line="276" w:lineRule="auto"/>
        <w:rPr>
          <w:sz w:val="20"/>
          <w:szCs w:val="20"/>
          <w:color w:val="auto"/>
        </w:rPr>
      </w:pPr>
      <w:r>
        <w:rPr>
          <w:rFonts w:ascii="Arial" w:cs="Arial" w:eastAsia="Arial" w:hAnsi="Arial"/>
          <w:sz w:val="17"/>
          <w:szCs w:val="17"/>
          <w:color w:val="auto"/>
        </w:rPr>
        <w:t>The assumed public offering price is $10.04 per share and $10.03 per pre-funded warrant, which is based on the last reported sale price of our common stock on The Nasdaq Capital Market on February 5, 2019. The actual offering price per share and pre-funded warrant will be negotiated between us and the underwriter based on the trading of our common stock prior to the offering, among other things, and may be at a discount to the current market price.</w:t>
      </w:r>
    </w:p>
    <w:p>
      <w:pPr>
        <w:spacing w:after="0" w:line="173" w:lineRule="exact"/>
        <w:rPr>
          <w:sz w:val="20"/>
          <w:szCs w:val="20"/>
          <w:color w:val="auto"/>
        </w:rPr>
      </w:pPr>
    </w:p>
    <w:p>
      <w:pPr>
        <w:sectPr>
          <w:pgSz w:w="11900" w:h="16838" w:orient="portrait"/>
          <w:cols w:equalWidth="0" w:num="2">
            <w:col w:w="3300" w:space="720"/>
            <w:col w:w="7080"/>
          </w:cols>
          <w:pgMar w:left="400" w:top="931" w:right="399" w:bottom="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spacing w:after="0" w:line="288" w:lineRule="auto"/>
        <w:rPr>
          <w:sz w:val="20"/>
          <w:szCs w:val="20"/>
          <w:color w:val="auto"/>
        </w:rPr>
      </w:pPr>
      <w:r>
        <w:rPr>
          <w:rFonts w:ascii="Arial" w:cs="Arial" w:eastAsia="Arial" w:hAnsi="Arial"/>
          <w:sz w:val="16"/>
          <w:szCs w:val="16"/>
          <w:color w:val="auto"/>
        </w:rPr>
        <w:t>We currently intend to use the net proceeds from this offering for the continuous development of our SCS device for the treatment of hydrocephalus and NPH; expanding and developing the applications of our existing ViRob and SCS IP and prototypes into other areas of CSF management, such as EVD; expanding and developing additional applications deriving from our existing IP portfolio, including the potential addition of complementary assets to the CardioSert portfolio either through internal development, in-license or acquisition; and entering into collaborations to explore additional early stage projects to supplement our existing assets and products under development. We may also use a portion of the net proceeds from this offering to in-license, acquire, or invest in complementary businesses, technologies, products or assets. However, we have no current commitments or obligations to do so.</w:t>
      </w:r>
    </w:p>
    <w:p>
      <w:pPr>
        <w:spacing w:after="0" w:line="169" w:lineRule="exact"/>
        <w:rPr>
          <w:sz w:val="20"/>
          <w:szCs w:val="20"/>
          <w:color w:val="auto"/>
        </w:rPr>
      </w:pPr>
    </w:p>
    <w:p>
      <w:pPr>
        <w:sectPr>
          <w:pgSz w:w="11900" w:h="16838" w:orient="portrait"/>
          <w:cols w:equalWidth="0" w:num="2">
            <w:col w:w="3300" w:space="720"/>
            <w:col w:w="7080"/>
          </w:cols>
          <w:pgMar w:left="400" w:top="931" w:right="399" w:bottom="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You should read the “Risk Factors” section of this prospectus for a discussion of certain of the factors to consider carefully before deciding to purchase any shares of our common stock or pre-funded warrants in this offering.</w:t>
      </w:r>
    </w:p>
    <w:p>
      <w:pPr>
        <w:spacing w:after="0" w:line="181" w:lineRule="exact"/>
        <w:rPr>
          <w:sz w:val="20"/>
          <w:szCs w:val="20"/>
          <w:color w:val="auto"/>
        </w:rPr>
      </w:pPr>
    </w:p>
    <w:p>
      <w:pPr>
        <w:sectPr>
          <w:pgSz w:w="11900" w:h="16838" w:orient="portrait"/>
          <w:cols w:equalWidth="0" w:num="2">
            <w:col w:w="3300" w:space="720"/>
            <w:col w:w="7080"/>
          </w:cols>
          <w:pgMar w:left="400" w:top="931" w:right="399" w:bottom="0" w:gutter="0" w:footer="0" w:header="0"/>
          <w:type w:val="continuous"/>
        </w:sectPr>
      </w:pPr>
    </w:p>
    <w:p>
      <w:pPr>
        <w:spacing w:after="0"/>
        <w:rPr>
          <w:sz w:val="20"/>
          <w:szCs w:val="20"/>
          <w:color w:val="auto"/>
        </w:rPr>
      </w:pPr>
      <w:r>
        <w:rPr>
          <w:rFonts w:ascii="Arial" w:cs="Arial" w:eastAsia="Arial" w:hAnsi="Arial"/>
          <w:sz w:val="16"/>
          <w:szCs w:val="16"/>
          <w:color w:val="auto"/>
        </w:rPr>
        <w:t>National Securities Exchange Listing</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Our common stock is listed on The Nasdaq Capital Market under the symbol “MBOT.” We do not intend to list the pre-funded warrants on any securities exchange or nationally recognized trading system.</w:t>
      </w:r>
    </w:p>
    <w:p>
      <w:pPr>
        <w:spacing w:after="0" w:line="181" w:lineRule="exact"/>
        <w:rPr>
          <w:sz w:val="20"/>
          <w:szCs w:val="20"/>
          <w:color w:val="auto"/>
        </w:rPr>
      </w:pPr>
    </w:p>
    <w:p>
      <w:pPr>
        <w:sectPr>
          <w:pgSz w:w="11900" w:h="16838" w:orient="portrait"/>
          <w:cols w:equalWidth="0" w:num="2">
            <w:col w:w="3300" w:space="720"/>
            <w:col w:w="7080"/>
          </w:cols>
          <w:pgMar w:left="400" w:top="931" w:right="399" w:bottom="0" w:gutter="0" w:footer="0" w:header="0"/>
          <w:type w:val="continuous"/>
        </w:sectPr>
      </w:pPr>
    </w:p>
    <w:p>
      <w:pPr>
        <w:ind w:left="440"/>
        <w:spacing w:after="0"/>
        <w:rPr>
          <w:sz w:val="20"/>
          <w:szCs w:val="20"/>
          <w:color w:val="auto"/>
        </w:rPr>
      </w:pPr>
      <w:r>
        <w:rPr>
          <w:rFonts w:ascii="Arial" w:cs="Arial" w:eastAsia="Arial" w:hAnsi="Arial"/>
          <w:sz w:val="16"/>
          <w:szCs w:val="16"/>
          <w:color w:val="auto"/>
        </w:rPr>
        <w:t>The number of shares of our common stock to be outstanding after this offering is based on 4,307,666 shares of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5, 2019, and excludes, as of February 5, 2019:</w:t>
      </w:r>
    </w:p>
    <w:p>
      <w:pPr>
        <w:spacing w:after="0" w:line="238" w:lineRule="exact"/>
        <w:rPr>
          <w:sz w:val="20"/>
          <w:szCs w:val="20"/>
          <w:color w:val="auto"/>
        </w:rPr>
      </w:pPr>
    </w:p>
    <w:p>
      <w:pPr>
        <w:ind w:left="660" w:right="20" w:hanging="331"/>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434,108 shares of our common stock issuable upon the exercise of outstanding stock options, with exercise prices ranging from $0 to $19.35 and having a weighted-average exercise price of $11.60 per share;</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189,609 shares of our common stock reserved for future grant under our 2017 Equity Incentive Plan;</w:t>
      </w:r>
    </w:p>
    <w:p>
      <w:pPr>
        <w:spacing w:after="0" w:line="225" w:lineRule="exact"/>
        <w:rPr>
          <w:rFonts w:ascii="Arial" w:cs="Arial" w:eastAsia="Arial" w:hAnsi="Arial"/>
          <w:sz w:val="18"/>
          <w:szCs w:val="18"/>
          <w:color w:val="auto"/>
        </w:rPr>
      </w:pPr>
    </w:p>
    <w:p>
      <w:pPr>
        <w:ind w:left="660" w:right="20" w:hanging="331"/>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22,767 shares of common stock issuable upon exercise of the warrants issued to the placement agent in connection with the registered direct offering consummated on January 15, 2019 with an exercise price of $8.125;</w:t>
      </w:r>
    </w:p>
    <w:p>
      <w:pPr>
        <w:spacing w:after="0" w:line="170" w:lineRule="exact"/>
        <w:rPr>
          <w:rFonts w:ascii="Arial" w:cs="Arial" w:eastAsia="Arial" w:hAnsi="Arial"/>
          <w:sz w:val="18"/>
          <w:szCs w:val="18"/>
          <w:color w:val="auto"/>
        </w:rPr>
      </w:pPr>
    </w:p>
    <w:p>
      <w:pPr>
        <w:ind w:left="660" w:right="20" w:hanging="331"/>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29,500 shares of common stock issuable upon exercise of the warrants issued to the placement agent in connection with the registered direct offering consummated on January 17, 2019 with an exercise price of $12.50; and</w:t>
      </w:r>
    </w:p>
    <w:p>
      <w:pPr>
        <w:spacing w:after="0" w:line="170" w:lineRule="exact"/>
        <w:rPr>
          <w:rFonts w:ascii="Arial" w:cs="Arial" w:eastAsia="Arial" w:hAnsi="Arial"/>
          <w:sz w:val="18"/>
          <w:szCs w:val="18"/>
          <w:color w:val="auto"/>
        </w:rPr>
      </w:pPr>
    </w:p>
    <w:p>
      <w:pPr>
        <w:ind w:left="660" w:right="20" w:hanging="331"/>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Approximately 3,636 shares of our common stock issuable upon the exercise of other outstanding warrants, with exercise prices ranging from approximately $40.00 to $2,725 per share and having a weighted-average exercise price of approximately $424 per share.</w:t>
      </w:r>
    </w:p>
    <w:p>
      <w:pPr>
        <w:sectPr>
          <w:pgSz w:w="11900" w:h="16838" w:orient="portrait"/>
          <w:cols w:equalWidth="0" w:num="1">
            <w:col w:w="11100"/>
          </w:cols>
          <w:pgMar w:left="400" w:top="931" w:right="399" w:bottom="0" w:gutter="0" w:footer="0" w:header="0"/>
          <w:type w:val="continuous"/>
        </w:sectPr>
      </w:pPr>
    </w:p>
    <w:bookmarkStart w:id="11" w:name="page12"/>
    <w:bookmarkEnd w:id="11"/>
    <w:p>
      <w:pPr>
        <w:ind w:firstLine="32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160020</wp:posOffset>
            </wp:positionH>
            <wp:positionV relativeFrom="page">
              <wp:posOffset>88900</wp:posOffset>
            </wp:positionV>
            <wp:extent cx="7242175" cy="2073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2175" cy="2073275"/>
                    </a:xfrm>
                    <a:prstGeom prst="rect">
                      <a:avLst/>
                    </a:prstGeom>
                    <a:noFill/>
                  </pic:spPr>
                </pic:pic>
              </a:graphicData>
            </a:graphic>
          </wp:anchor>
        </w:drawing>
        <w:t>Our shares of common stock outstanding as of February 5, 2019 also exclude the following warrants issued in the private placement and to the placement agent in connection with the registered direct offering and private placement consummated on January 25, 2019:</w:t>
      </w:r>
    </w:p>
    <w:p>
      <w:pPr>
        <w:spacing w:after="0" w:line="170" w:lineRule="exact"/>
        <w:rPr>
          <w:sz w:val="20"/>
          <w:szCs w:val="20"/>
          <w:color w:val="auto"/>
        </w:rPr>
      </w:pPr>
    </w:p>
    <w:p>
      <w:pPr>
        <w:ind w:left="660" w:right="20" w:hanging="331"/>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250,000 shares of common stock issuable upon exercise, at an exercise price of $10.00 per share, of the warrants issued in the private placement; and</w:t>
      </w:r>
    </w:p>
    <w:p>
      <w:pPr>
        <w:spacing w:after="0" w:line="170" w:lineRule="exact"/>
        <w:rPr>
          <w:rFonts w:ascii="Arial" w:cs="Arial" w:eastAsia="Arial" w:hAnsi="Arial"/>
          <w:sz w:val="18"/>
          <w:szCs w:val="18"/>
          <w:color w:val="auto"/>
        </w:rPr>
      </w:pPr>
    </w:p>
    <w:p>
      <w:pPr>
        <w:ind w:left="660" w:right="20" w:hanging="331"/>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12,500 shares of common stock issuable upon exercise, at an exercise price of $12.50, of the warrants issued to the placement agent as compensation.</w:t>
      </w:r>
    </w:p>
    <w:p>
      <w:pPr>
        <w:spacing w:after="0" w:line="170"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Unless otherwise indicated, all information contained in this prospectus assumes no exercise by the underwriter of its over-allotment option, no sale of any pre-funded warrants in this offering and no exercise by the underwriter of its warrants to purchase up to 57,271 shares of our common stock (including warrants issuable to the underwriter upon exercise of the option to purchase additional securities) at an exercise price per share which is equal to 125% of the public offering price per share of the shares of common stock offered in this offering.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341" w:right="3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Investing in our securities involves a high degree of risk. You should consider carefully the additional risks described below, together with all of the other information included or incorporated by reference in this prospectus, including the risks and uncertainties discussed under “Risk Factors” in our Annual Report on Form 10-K for the fiscal year ended December 31, 2017 and in our Quarterly Report on Form 10-Q for the fiscal quarter ended September 30, 2018, before deciding whether to purchase our securities in this offering. All of these risk factors are incorporated herein in their entirety. The risks described below and incorporated by reference are material risks currently known, expected or reasonably foreseeable by us. However, the risks described below or that we incorporate by reference are not the only ones that we face. Additional risks not presently known to us or that we currently deem immaterial may also affect our business, operating results, prospects or financial condition. If any of these risks actually materialize, our business, prospects, financial condition, and results of operations could be seriously harmed. This could cause the trading price of our common stock and the value of the warrants to decline, resulting in a loss of all or part of your investment.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Relating to the Development and Commercialization of Microbot’s Product Candidates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business depends heavily on the success of its lead product candidate, the SCS. If Microbot is unable to commercialize the SCS or experiences significant delays in doing so, Microbot’s business will be materially harmed.</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January 27, 2017, Microbot entered into a research agreement with Washington University in St. Louis to develop the protocol for and to execute the necessary animal study to determine the effectiveness of the Microbot’s SCS prototype. The initial research was completed in 2017 with a comprehensive study expected to be completed in 2019. Upon the completion of animal studies, Microbot may conduct clinical trials if they are requested by the FDA or if Microbot decides that the data from such trials would improve the marketability of the product candidate. After all necessary clinical and performance data supporting the safety and effectiveness of SCS are collected, Microbot must still obtain FDA clearance or approval to market the device and those regulatory processes can take several months to several years to be completed. Therefore, Microbot’s ability to generate product revenues will not occur for at least the next few years, if at all, and will depend heavily on the successful commercialization of SCS in the treatment of hydrocephalus. The success of commercializing SCS will depend on a number of factors, including the following:</w:t>
      </w:r>
    </w:p>
    <w:p>
      <w:pPr>
        <w:spacing w:after="0" w:line="17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additional capital;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 completion of animal studies and, if necessary, human clinical trials and the collection of sufficient data to demonstrate that the device is safe and effective for its intended use;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receipt of marketing approvals or clearances from the FDA and other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one or more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protecting Microbot’s rights in its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generating commercial sales of SCS, if and when approved, whether alone or in collaboration with other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acceptance of SCS, if and when commercially launched, by the medical community, patients and third-party payors;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effectively competing with existing shunt and endoscope products on the market and any new competing products that may enter the market;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quality and an acceptable safety profile of SCS following clearance or approval.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Microbot does not achieve one or more of these factors in a timely manner or at all, it could experience significant delays or an inability to successfully commercialize SCS, which would materially harm its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ability to expand our technology platforms for other uses, including endovascular neurosurgery other than for the treatment of hydrocephalus, may be limited.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After spending time working with experts in the field, Microbot has recently decided to no longer pursue the use of TipCAT in colonoscopy and has instead committed to focus on expanding all of its technology platforms for use in segments of the endovascular neurosurgery market, including traumatic brain injury, to capitalize on its existing competencies in hydrocephalus and the market’s needs. Microbot’s ability to expand its technology platforms for use in the endovascular neurosurgery market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competitors that have developed or are developing endoluminal robotics surgical systems include Corindus Vascular Robotics, Inc., Hansen Medical, Inc. Auris Health, Inc., Stereotaxis, Inc., Medrobotics Corporation and others. 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 SCS and products that it is seeking to develop or commercialize with respect to its other product candidates in the future.</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 SCS or any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At this time, Microbot does not know whether the FDA will require it to submit clinical data in support of its future marketing applications for its SCS product candidate, particularly in light of recent initiatives by the FDA to enhance and modernize its approach to medical device safety and innovation, which creates uncertainty for Microbot as well as the possibility of increased product development costs and time to market.</w:t>
      </w:r>
    </w:p>
    <w:p>
      <w:pPr>
        <w:spacing w:after="0" w:line="14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Microbot has identified a predicate device for its lead product candidate, the SCS, which it intends to use in its 510(k) application to support a substantial equivalence determination. If the FDA agrees with the Company’s determination, the SCS will be classified by the FDA as Class II and eligible for marketing pursuant to FDA clearance through the 510(k) application. However, in light of recent initiatives by the FDA relating to safety and efficacy, there is no guarantee that the FDA will agree with the Company’s determination or that the FDA would accept the predicate device that Microbot intends to submit in its 510(k). The FDA also may request additional data in response to a 510(k), or require Microbot to conduct further testing or compile more data in support of its 510(k). Such additional data could include clinical data that must be derived from human clinical studies that are designed appropriately to address the potential questions from the FDA regarding a proposed product’s safety or effectiveness. It is unclear at this time whether and how various activities recently initiated or announced by the FDA to modernize the U.S. medical device regulatory system could affect the marketing pathway or timeline for our product candidate, given the timing and the undeveloped nature of some of the FDA’s new medical device safety and innovation initiatives. One of the recent initiatives was announced in April 2018, when the FDA Commissioner issued a statement with the release of a Medical Device Safety Action Plan. Among other key areas of the Medical Device Safety Action Plan, the Commissioner stated that the FDA is “exploring what further actions we can take to spur innovation towards technologies that can make devices and their use safer. For instance, our Breakthrough Device Program that helps address unmet medical needs can be used to facilitate patient access to innovative new devices that have important improvements to patient safety. We’re considering developing a similar program to support the development of safer devices that do not otherwise meet the Breakthrough Program criteria, but are clearly intended to be safer than currently available technologies.” This type of program may negatively affect our existing development plan for the SCS product candidate or it may benefit Microbot, but at this time those potential impacts from recent FDA medical device initiatives are unknown and uncertain. Similarly, the FDA Commissioner announced various agency goals under a Medical Innovation Access Plan in 2017.</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the FDA does require clinical data to be submitted as part of the SCS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if the clinical study involves a “significant risk” (as defined by the FDA) to human health,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Thus, the addition of one or more mandatory clinical trials to the development timeline for the SCS would significantly increase the costs associated with developing and commercializing the product and delay the timing of U.S. regulatory authorization. The current uncertainty regarding near-term medical device regulatory changes by the FDA could further affect our development plans for the SCS, depending on their nature, scope and applicability. Microbot and its business, financial condition and operating results could be materially and adversely affected as a result of any such costs, delays or uncertainty.</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may disagree with Microbot’s determination that the SCS is a Class II device or that the chosen predicate device (or any predicate device) is appropriate for a substantial equivalence comparison to the SCS.</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Although the Company intends to submit a 501(k) application for its lead product candidate, the SCS, the FDA may determine that the SCS is a Class III device because there is no appropriate predicate device for substantial equivalence comparison, which would require Microbot to submit a De Novo</w:t>
      </w:r>
    </w:p>
    <w:p>
      <w:pPr>
        <w:sectPr>
          <w:pgSz w:w="11900" w:h="16975" w:orient="portrait"/>
          <w:cols w:equalWidth="0" w:num="1">
            <w:col w:w="11420"/>
          </w:cols>
          <w:pgMar w:left="240" w:top="692" w:right="239" w:bottom="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classification request or an application for premarket approval (“PMA”). Both De Novo requests and PMA applications require applicants to prepare information and data about device safety and efficacy in addition to the 510(k) requirements, including a benefit-risk analysis, a discussion of proposed general and special controls to eliminate or mitigate device risks, and additional testing data. PMA applications almost always require data from human clinical studies, and while De Novo requests do not require human clinical study data, in most cases, such data is necessary to demonstrate that the FDA can appropriately classify the device as Class II.</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jc w:val="both"/>
        <w:ind w:firstLine="324"/>
        <w:spacing w:after="0" w:line="269" w:lineRule="auto"/>
        <w:rPr>
          <w:sz w:val="20"/>
          <w:szCs w:val="20"/>
          <w:color w:val="auto"/>
        </w:rPr>
      </w:pPr>
      <w:r>
        <w:rPr>
          <w:rFonts w:ascii="Arial" w:cs="Arial" w:eastAsia="Arial" w:hAnsi="Arial"/>
          <w:sz w:val="17"/>
          <w:szCs w:val="17"/>
          <w:color w:val="auto"/>
        </w:rPr>
        <w:t>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if the clinical study involves a “significant risk” (as defined by the FDA) to human health,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 Thus, the addition of one or more mandatory clinical trials to the development timeline for the SCS would significantly increase the costs associated with developing and commercializing the product and delay the timing of U.S. regulatory authorization.</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if Microbot is required to submit a De Novo request or PMA application instead of a 510(k), the FDA review process may take significantly more time. While the FDA commits to reviewing 510(k)s in 90 days, the review period for De Novo requests and PMA applications is 150 days and 180 days, respectively. After an initial review of our De Novo request or PMA application, the FDA may request additional information or data which can significantly delay an ultimate decision on our submission.</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Thus, submitting a De Novo request or PMA application for the SCS would significantly increase the costs associated with developing and commercializing the product and delay the timing of U.S. regulatory authorization. Microbot and its business, financial condition and operating results could be materially and adversely affected as a result of any such costs or delays.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and substantial dilution if you purchase securities in this offering.</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September 30, 2018, our net tangible book value was approximately $6.57 million, or $2.2066 per share. You will suffer substantial dilution with respect to the net tangible book value of the common stock or common stock issuable upon the exercise of the pre-funded warrants you purchase in this offering. Based on the assumed public offering price of $10.04 per share of common stock (or common stock equivalent) being sold in this offering (the last reported sale price of our common stock on The Nasdaq Capital Market on February 5, 2019), and our net tangible book value per share as of September 30, 2018, as adjusted to reflect the consummation of offerings of our securities consummated subsequent to such date, if you purchase shares of common stock in this offering, you will suffer immediate and substantial dilution of $5.2834 per share. See the section entitled “Dilution” for a more detailed discussion of the dilution you will incur if you purchase common stock in this offering. The discussion above assumes (i) no sale of pre-funded warrants, which, if sold, would reduce the number of shares of common stock that we are offering on a one-for-one basis until such warrants are exercised and (ii) no exercise by the underwriter of the Underwriter’s Warrants.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public market for the pre-funded warrants being offered in this offering.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is no established public trading market for the pre-funded warrants being offered in this offering, and we do not expect a market to develop. In addition, we do not intend to apply to list the pre-funded warrants on any securities exchange or nationally recognized trading system, including The Nasdaq Capital Market. Without an active market, the liquidity of the pre-funded warrants will be limited.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may not apply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or as otherwise provided in our investment policies in effect from time to time.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i w:val="1"/>
          <w:iCs w:val="1"/>
          <w:color w:val="auto"/>
        </w:rPr>
        <w:t>There may be future sales of our securities or other dilution of our equity, which may adversely affect the market price of our common stock.</w:t>
      </w:r>
    </w:p>
    <w:p>
      <w:pPr>
        <w:spacing w:after="0" w:line="23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generally not restricted from issuing additional common stock, including any securities that are convertible into or exchangeable for, or that represent the right to receive, common stock. The market price of our common stock could decline as a result of sales of common stock or securities that are convertible into or exchangeable for, or that represent the right to receive, common stock after this offering or the perception that such sales could occur.</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Holders of pre-funded warrants purchased in this offering will have no rights as common stockholders until such holders exercise their pre-funded warrants and acquire our common stock.</w:t>
      </w:r>
    </w:p>
    <w:p>
      <w:pPr>
        <w:spacing w:after="0" w:line="17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Until holders of pre-funded warrants acquire shares of our common stock upon exercise of the pre-funded warrants, holders of pre-funded warrants will have no rights with respect to the shares of our common stock underlying such pre-funded warrants. Upon exercise of the pre-funded warrants, the holders will be entitled to exercise the rights of a common stockholder only as to matters for which the record date occurs after the exercise date.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will need to raise additional capital in the future to continue operations, which may not be available on acceptable terms, or at all. Failure to obtain this necessary capital when needed may force us to delay, limit or terminate our product development efforts or other operations.</w:t>
      </w:r>
    </w:p>
    <w:p>
      <w:pPr>
        <w:spacing w:after="0" w:line="18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had significant recurring losses from operations and we do not generate any cash from operations and must raise additional funds in order to continue operating our business. We expect to continue to fund our operations in the future primarily through equity and debt financings, grants from the Israel Innovation Authority and other sources. If additional capital is not available to us when needed or on acceptable terms, we may not be able to continue to operate our business pursuant to our business plan or we may have to discontinue our operations entirely. As of September 30, 2018, we had cash and cash equivalents of approximately $6.7 million. In January 2019, we raised approximately $11.3 million in gross proceeds through a series of registered direct offerings. We estimate that we will receive net proceeds of approximately $8.9 million from the sale of the securities offered by us in this offering, based on the assumed public offering price of $10.04 per share (the last reported sale price of our common stock on The Nasdaq Capital Market on February 5, 2019) and after deducting the estimated underwriting discounts and commissions and estimated offering expenses payable by us, and excluding the proceeds, if any, from the exercise of the pre-funded warrants issued pursuant to this offering. In the event of a decrease in the net proceeds to us from this offering as a result of a decrease in the assumed public offering price or the number of shares offered by us, if the Plaintiffs succeed in the Matter or if our use of proceeds changes from our plans as described under “Use of Proceeds”, we may need to raise additional capital sooner than we anticipate. In addition, we cannot provide assurances that our plans will not change or that changed circumstances will not result in the depletion of our capital resources more rapidly than we currently anticipate.</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Our ability to raise additional funds will depend, in part, on the success of our product development activities, any clinical trials, regulatory events, our ability to identify and enter into in-licensing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are unable to secure additional funds when needed or on acceptable terms, we may be required to defer, reduce or eliminate significant planned expenditures, restructure, curtail or eliminate some or all of our development programs or other operations, dispose of technology or assets, pursue an acquisition of our company by a third party at a price that may result in a loss on investment for our stockholders, enter into arrangements that may require us to relinquish rights to certain of our product candidates, technologies or potential markets, file for bankruptcy or cease operations altogether. Any of these events could have a material adverse effect on our business, financial condition and results of operations. Moreover, if we are unable to obtain additional funds on a timely basis, there will be substantial doubt about our ability to continue as a going concern and increased risk of insolvency and up to a total loss of investment by our stockholders.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We are subject to a lawsuit that could adversely affect our business and our use of proceeds from this offering.</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named as the defendant in a lawsuit, which we refer to as the Matter, captioned Sabby Healthcare Master Fund Ltd. and Sabby Volatility Warrant Master Fund Ltd., Plaintiffs, against Microbot Medical Inc., Defendant, pending in the Supreme Court of the State of New York, County of New York (the “Court”) (Index No. 654581/2017). The complaint alleges, among other things, that we breached multiple representations and warranties contained in the Securities Purchase Agreement (the “SPA”) related to our June 8, 2017 equity financing, or the Financing, of which the Plaintiffs participated. The complaint seeks rescission of the SPA and return of the Plaintiffs’ $3,375,000 purchase price with respect to the Financing, and damages in an amount to be determined at trial, but alleged to exceed $1 million. On August 3, 2018, both Plaintiffs and Defendant filed motions for summary judgment. On September 27, 2018, the Court heard oral argument on the parties’ respective summary judgment motions. After oral argument, the Court denied Plaintiffs’ motion in its entirety from the bench. On September 28, 2018, the Court issued a decision granting our motion for summary judgment regarding Plaintiffs’ claim for monetary damages and denying our motion for summary judgment on Plaintiffs’ claim for rescission, finding that there were material questions of fact that would need to be resolved at trial. A trial date has been set for February 11, 2019. On January 8, 2019, the plaintiffs filed a motion seeking to amend the complaint to also pursue rescission on a material misrepresentation theory. On January 25, 2019, the Court denied plaintiffs’ motion to file an amended complaint but granted the motion to the extent that the Court would conform the pleadings to the evidence actually presented at trial.</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4, 2018, we entered into a Tolling and Standstill Agreement with Empery Asset Master, Ltd., Empery Tax Efficient LP, Empery Tax Efficient II LP, and Hudson Bay Master Fund, Ltd., the other investors in the Financing, of whom we refer to as the Other Investors. Pursuant to the Tolling Agreement, among other things, (a) the Other Investors agree not to bring any claims against us arising out of the Matter, (b) the parties agree that if we reach an agreement to settle the claims asserted by the Sabby Funds in the above suit, we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believe that the claims are without merit and have been and intend to continue to defend the action vigorously. However, management is unable to assess the likelihood of the claim and the amount of potential damages, if any, to be awarded. Accordingly, no assurance can be given that any adverse outcome would not be material to our consolidated financial position. Additionally, in the event the court holds for the Plaintiffs in the Matter and we lose our appeals, we will likely be required to use the proceeds from this offering or available cash towards payment of damages to the Plaintiffs and the Other Investors, that we otherwise would have used to build our business and develop our technologies into commercial products. In such event, we would be required to raise additional capital sooner than we otherwise would, of which we can give no assurance of success.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and the documents incorporated by reference herein contain forward-looking statements. The forward-looking statements are contained principally in the sections entitled “Prospectus Summary,” “Risk Factors,” “Management’s Discussion and Analysis of Financial Condition and Results of Operations” and “Business” in this prospectus or the documents incorporated herein by reference. These statements relate to future events or to our future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include, but are not limited to, statements about:</w:t>
      </w:r>
    </w:p>
    <w:p>
      <w:pPr>
        <w:spacing w:after="0" w:line="19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regarding anticipated operating losses, capital requirements and needs for additional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raise additional capital when needed and to continue as a going concern;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manufacture, or otherwise secure the manufacture of, sufficient amounts of our product candidates for our preclinical studies and clinical trials;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find and develop applications for our technologies for other neurosurgical conditions besides hydrocephalus;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clinical development and other research and development plans and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safety and efficacy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anticipated regulatory pathways for our product candidates;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complete preclinical and clinical development of, and obtain regulatory approval of our product candidates and commercialize any approved products on our expected timeframes or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content and timing of submissions to and decisions made by the U.S. Food and Drug Administration and other regulatory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leverage the experience of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keep management and other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capacities and performance of our suppliers, manufacturers and other third parties over whom we have limited control;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actions of our competitors and success of competing products that are or may become available;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expectations with respect to future growth and investments in our infrastructure, and our ability to effectively manage any such growth;</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size and potential growth of the markets for any of our product candidates, and our ability to capture share in or impact the size of those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benefits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and industry trends;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of any litigation in which we or any of our officers or directors may be involved, including with respect to the Matter;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government regulation and regulatory developments, and our ability and the ability of the third parties with whom we engage to comply with applicable regulatory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accuracy of our estimates regarding future expenses, revenues, capital requirements and need for additional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future planned expenditures;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achieve and maintain effective internal control over financial reporting in accordance with Section 404 of the Sarbanes-Oxley Act;</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maintain and successfully enforce adequate patent and other intellectual property protection of any of our products and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expected use of the net proceeds from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the intellectual property rights of others.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some cases, you can identify these statements by terms such as “anticipate,” “believe,” “could,” “estimate,” “expect,” “intend,” “may,” “plan,” “potential,” “predict,” “project,” “should,” “will,” “would” or the negative of those terms, and similar expressions that convey uncertainty of future events or outcomes. These forward-looking statements reflect our management’s beliefs and views with respect to future events and are based on estimates and assumptions as of the date of this prospectus and are subject to risks and uncertainties. We discuss many of these risks in greater detail in the documents incorporated by reference herein, usually under the heading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w:t>
      </w:r>
    </w:p>
    <w:p>
      <w:pPr>
        <w:sectPr>
          <w:pgSz w:w="11900" w:h="16838" w:orient="portrait"/>
          <w:cols w:equalWidth="0" w:num="1">
            <w:col w:w="11420"/>
          </w:cols>
          <w:pgMar w:left="240" w:top="688" w:right="239" w:bottom="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review of, all potentially available relevant information. These statements are inherently uncertain. Given these uncertainties, you should not place undue reliance on these forward-looking statements.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should carefully read this prospectus, the documents that we incorporate by reference into this prospectus and the documents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estimate that we will receive net proceeds of approximately $8.9 million (or approximately $10.3 million if the underwriter’s over-allotment option is exercised in full) from the sale of the securities offered by us in this offering, based on the assumed public offering price of $10.04 per share (the last reported sale price of our common stock on The Nasdaq Capital Market on February 5, 2019), and after deducting the estimated underwriting discounts and commissions and estimated offering expenses payable by us, and excluding the proceeds, if any, from the exercise of any pre-funded warrants issued pursuant to this offering.</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$0.25 increase (decrease) in the assumed public offering price of $10.04 per share would increase (decrease) the expected net proceeds to us from this offering by approximately $0.229 million, assuming that the number of shares offered by us, as set forth on the cover page of this prospectus, remains the same and after deducting the estimated underwriting discounts and commissions and estimated offering expenses payable by us and excluding the proceeds, if any, from the exercise of the pre-funded warrants issued pursuant to this offering.</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Similarly, a 500,000 share increase (decrease) in the number of shares offered by us, as set forth on the cover page of this prospectus, would increase (decrease) the net proceeds to us by approximately $4.6 million, assuming the assumed public offering price of $10.04 per share remains the same, and after deducting estimated underwriting discounts and commissions and estimated offering expenses payable by us and excluding the proceeds, if any, from the exercise of the pre-funded warrants issued pursuant to this offering</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currently intend to use the net proceeds from this offering for the continuous development of our SCS device for the treatment of hydrocephalus and NPH; expanding and developing the applications of our existing ViRob and SCS IP and prototypes into other areas of CSF management, such as EVD; expanding and developing additional applications deriving from our existing IP portfolio, including the potential addition of complementary assets to the CardioSert portfolio either through internal development, in-license or acquisition; and entering into collaborations to explore additional early stage projects to supplement our existing assets and products under development. We may also use a portion of the net proceeds from this offering to in-license, acquire, or invest in complementary businesses, technologies, products or assets. However, we have no current commitments or obligations to do so. See “Risk Factors” for a discussion of certain risks that may affect our intended use of the net proceeds from this offering, including with respect to the Matter.</w:t>
      </w:r>
    </w:p>
    <w:p>
      <w:pPr>
        <w:spacing w:after="0" w:line="1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currently anticipate that our existing resources, together with the expected net proceeds from this offering, will be sufficient to fund our planned operations until the first quarter of 2021 .</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expected use of net proceeds from this offering represents our current intentions based upon our present plans and business condition. As of the date of this prospectus, we cannot currently allocate specific percentages of the net proceeds that we may use for the purposes specified above, and we cannot predict with certainty all of the particular uses for the net proceeds to be received upon the completion of this offering, or the amounts that we will actually spend on the uses set forth above. The amounts and timing of our actual use of the net proceeds will vary depending on numerous factors, including our ability to obtain additional financing, the progress, cost and results of our preclinical and clinical development programs and whether we are able to enter into future licensing or collaboration arrangements. We may find it necessary or advisable to use the net proceeds for other purposes, and our management will have broad discretion in the application of the net proceeds, and investors will be relying on our judgment regarding the application of the net proceeds from this offering.</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Pending the use of the net proceeds from this offering, we intend to invest the net proceeds in investment-grade, interest-bearing instruments.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INFORMATION REGARDING THE MARKET IN OUR COMMON STOCK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“MBOT.” On February 5, 2019 , the closing price for our common stock as reported on The Nasdaq Capital Market was $ 10.04 per share.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February 5, 2019 , there were approximately 176 holders of record of our common stock, which excludes stockholders whose shares were held in nominee or street name by brokers.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you invest in our securities, you will experience immediate and substantial dilution to the extent of the difference between the amount per share of common stock (or common stock equivalent) paid in this offering and the adjusted net tangible book value per share of our common stock immediately after the offering.</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net tangible book value per share is determined by subtracting our total liabilities from our total tangible assets, which is total assets less intangible assets, and dividing this amount by the number of shares of common stock outstanding. The historical net tangible book value of our common stock as of September 30, 2018 was approximately $6,566,000, or $2.2066 per share, based on 2,975,676 shares of our common stock outstanding at September 30, 2018.</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pro forma net tangible book value as of September 30, 2018, was approximately $16,143,082, or approximately $3.7797 per share, on an adjusted basis to give effect to (i) the registered direct offering of 455,323 shares of common stock (or common stock equivalent) at the offering price of $6.50 per share that closed on January 15, 2019, after deducting the estimated placement agent’s fees and estimated offering expenses payable by us and assuming the exercise of the 125,323 Pre-Funded Warrants sold in such offering, (ii) the registered direct offering of 590,000 shares of common stock at the offering price of $10.00 per share that closed on January 17, 2019, after deducting the estimated placement agent’s fees and estimated offering expenses payable by us and (iii) the registered direct offering of 250,000 shares of common stock at the offering price of $9.875 per share that closed on January 25, 2019, after deducting the estimated placement agent’s fees and estimated offering expenses payable by us.</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After giving effect to the issuance and sale in this offering of 996,016 shares of common stock at the assumed public offering price of $10.04 per share (the last reported sale price of our common stock on The Nasdaq Capital Market on February 5, 2019), assuming no sale of any pre-funded warrants in this offering and after deducting the estimated underwriting discounts and commissions and estimated offering expenses payable by us, our pro forma as adjusted net tangible book value on September 30, 2018, would have been approximately $25,053,082, or $4.7566 per share. This represents an immediate increase in the pro forma net tangible book value of $0.9769 per share attributable to this offering.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The following table illustrates the immediate dilution to new investors:</w:t>
            </w:r>
          </w:p>
        </w:tc>
        <w:tc>
          <w:tcPr>
            <w:tcW w:w="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Historical net tangible book value per share on September 30, 2018</w:t>
            </w:r>
          </w:p>
        </w:tc>
        <w:tc>
          <w:tcPr>
            <w:tcW w:w="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2.2066</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tangible book value per share on September 30, 2018</w:t>
            </w:r>
          </w:p>
        </w:tc>
        <w:tc>
          <w:tcPr>
            <w:tcW w:w="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3.7797</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this offering</w:t>
            </w:r>
          </w:p>
        </w:tc>
        <w:tc>
          <w:tcPr>
            <w:tcW w:w="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0.9769</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Pro forma as adjusted net tangible book value per share as of September 30, 2018, after giving effect to this</w:t>
            </w:r>
          </w:p>
        </w:tc>
        <w:tc>
          <w:tcPr>
            <w:tcW w:w="7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offering</w:t>
            </w:r>
          </w:p>
        </w:tc>
        <w:tc>
          <w:tcPr>
            <w:tcW w:w="74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the investor in this offering</w:t>
            </w: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5.2834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If the underwriter exercises in full its option to purchase up to 149,402 additional shares of common stock at the assumed public offering price of $10.04 per share (the last reported sale price of our common stock on The Nasdaq Capital Market on February 5, 2019), and assuming no sale of any pre-funded warrants in this offering, the as adjusted net tangible book value after this offering would be approximately $26,433,082, or $4.8802 per share, representing an increase in net tangible book value of $1.1005 per share to existing stockholders and immediate dilution in net tangible book value of $5.1598 per share to investors purchasing our securities in this offering at the assumed public offering price.</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$0.25 increase (decrease) in the assumed public offering price of $10.04 per share of common stock would increase (decrease) the as adjusted net tangible book value by $0.0435 per share of common stock and the dilution to new investors by $0.2065 per share, assuming that the number of shares offered by us, as set forth on the cover page of this prospectus, remains the same, after deducting the estimated underwriter discount, commissions and estimated offering expenses payable by 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3" w:name="page24"/>
    <w:bookmarkEnd w:id="23"/>
    <w:p>
      <w:pPr>
        <w:jc w:val="both"/>
        <w:ind w:firstLine="324"/>
        <w:spacing w:after="0" w:line="270" w:lineRule="auto"/>
        <w:rPr>
          <w:sz w:val="20"/>
          <w:szCs w:val="20"/>
          <w:color w:val="auto"/>
        </w:rPr>
      </w:pPr>
      <w:r>
        <w:rPr>
          <w:rFonts w:ascii="Arial" w:cs="Arial" w:eastAsia="Arial" w:hAnsi="Arial"/>
          <w:sz w:val="17"/>
          <w:szCs w:val="17"/>
          <w:color w:val="auto"/>
        </w:rPr>
        <w:t>We may also increase or decrease the number of shares we are offering. An increase of 500,000 shares offered by us, as set forth on the cover page of this prospectus, would increase our as adjusted net tangible book value by approximately $4.6 million, or approximately $0.3884 per share of common stock, and decrease the dilution per share to investors in this offering by approximately $0.3884 per share, assuming that the assumed public offering price per share of common stock remains the same, and after deducting the estimated underwriter discount, commissions and estimated offering expenses payable by us. Similarly, a decrease of 500,000 shares offered by us, as set forth on the cover page of this prospectus, would decrease our as adjusted net tangible book value by approximately $4.6 million, or approximately $0.4699 per share, and increase the dilution per share to investors in this offering by approximately $0.4699 per share, assuming that the assumed public offering price per share of common stock remains the same, and after deducting the estimated underwriter discount, commissions and estimated offering expenses payable by us. The information discussed above is illustrative only and will adjust based on the actual public offering price, the actual number of shares of common stock that we offer in this offering, our actual expenses, and other terms of this offering determined at pricing.</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foregoing discussion and table does not take into account further dilution to investors in this offering that could occur upon the exercise of outstanding options and warrants, including the pre-funded warrants offered pursuant to this offering and the Underwriter’s Warrants, having a per share exercise price less than the public offering price per share in this offering.</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above discussion and table are based on 2,975,676, 4,270,999 and 5,267,015 actual, pro forma and pro forma as adjusted shares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respectively, and exclude, as of that date:</w:t>
      </w:r>
    </w:p>
    <w:p>
      <w:pPr>
        <w:spacing w:after="0" w:line="211"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422,478 shares of our common stock issuable upon the exercise of outstanding stock options, with exercise prices ranging from $0 to $19.35 and having a weighted-average exercise price of $11.70 per share;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201,238 shares of our common stock reserved for future grant under our 2017 Equity Incentive Plan;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7,531 shares of our common stock issuable upon the exercise of outstanding warrants, with exercise prices ranging from approximately $40.00 to $2,885 per share and having a weighted-average exercise price of approximately $1,967 per share;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aggregate of approximately 36,667 shares of our common stock issuable upon the conversion of 550 shares of our Series A Convertible Preferred Stock, all of which were converted subsequent to September 30, 2018;</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22,767 shares of common stock issuable upon exercise of the warrants issued to the placement agent in connection with the registered direct offering consummated on January 15, 2019 with an exercise price of $8.125;</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29,500 shares of common stock issuable upon exercise of the warrants issued to the placement agent in connection with the registered direct offering consummated on January 17, 2019 with an exercise price of $12.50 per share;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250,000 shares of common stock issuable upon exercise of the warrants issued in the private placement consummated on January 25, 2019 with an exercise price of $10.00 per share;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12,500 shares of common stock issuable upon exercise of the warrants issued to the placement agent in connection with the registered direct offering consummated on January 25, 2019 with an exercise price of $12.50 per share.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exercise of any such securities may increase dilution to purchasers in this offering. In addition, depending on market conditions, our capital requirements and strategic considerations, it is likely that we will need to pursue additional equity or convertible debt financings in the near term. Also, we may issue equity or convertible debt securities for other purposes, including, among others, stock splits, acquiring other businesses or assets or in connection with strategic alliances, attracting and retaining employees with equity compensation, anti-takeover purposes or other transactions. To the extent we raise additional capital or pursue any of these other purposes through the sale of equity or convertible debt securities, the issuance of these securities could result in further dilution to our stockholders.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regarding each element of compensation that was paid or awarded to the named executive officers of the Company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Non-Equity</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Stock</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Option</w:t>
            </w:r>
          </w:p>
        </w:tc>
        <w:tc>
          <w:tcPr>
            <w:tcW w:w="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Incentive Plan</w:t>
            </w: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Salary</w:t>
            </w: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Bonus</w:t>
            </w: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Awards</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Awards</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Compensation</w:t>
            </w: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ind w:left="460"/>
              <w:spacing w:after="0"/>
              <w:rPr>
                <w:sz w:val="20"/>
                <w:szCs w:val="20"/>
                <w:color w:val="auto"/>
              </w:rPr>
            </w:pPr>
            <w:r>
              <w:rPr>
                <w:rFonts w:ascii="Arial" w:cs="Arial" w:eastAsia="Arial" w:hAnsi="Arial"/>
                <w:sz w:val="18"/>
                <w:szCs w:val="18"/>
                <w:b w:val="1"/>
                <w:bCs w:val="1"/>
                <w:color w:val="auto"/>
              </w:rPr>
              <w:t>Name and Principal Position</w:t>
            </w:r>
          </w:p>
        </w:tc>
        <w:tc>
          <w:tcPr>
            <w:tcW w:w="100" w:type="dxa"/>
            <w:vAlign w:val="bottom"/>
          </w:tcPr>
          <w:p>
            <w:pPr>
              <w:spacing w:after="0"/>
              <w:rPr>
                <w:sz w:val="20"/>
                <w:szCs w:val="20"/>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w:t>
            </w: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3"/>
              </w:rPr>
              <w:t>($) (1)</w:t>
            </w:r>
          </w:p>
        </w:tc>
        <w:tc>
          <w:tcPr>
            <w:tcW w:w="100" w:type="dxa"/>
            <w:vAlign w:val="bottom"/>
          </w:tcPr>
          <w:p>
            <w:pPr>
              <w:spacing w:after="0"/>
              <w:rPr>
                <w:sz w:val="20"/>
                <w:szCs w:val="20"/>
                <w:color w:val="auto"/>
              </w:rPr>
            </w:pPr>
          </w:p>
        </w:tc>
        <w:tc>
          <w:tcPr>
            <w:tcW w:w="12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3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Harel Gadot</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2018</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360,000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55,000(2)</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580,667</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1,009,467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389,000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158,000</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156,219</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275,000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Hezi Himelfarb</w:t>
            </w:r>
            <w:r>
              <w:rPr>
                <w:rFonts w:ascii="Arial" w:cs="Arial" w:eastAsia="Arial" w:hAnsi="Arial"/>
                <w:sz w:val="18"/>
                <w:szCs w:val="18"/>
                <w:color w:val="auto"/>
              </w:rPr>
              <w:t>(7)</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2018</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280,067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12,931(4)</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425,101</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Former Chief Operating Officer &amp;</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228,653(6)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40,625</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92,205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General Manager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16,000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David Ben Naim</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2018</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70,026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66,000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69"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included in the Company’s Form 10-K for the fiscal year ended December 31, 2017.</w:t>
      </w:r>
    </w:p>
    <w:p>
      <w:pPr>
        <w:spacing w:after="0" w:line="2" w:lineRule="exact"/>
        <w:rPr>
          <w:rFonts w:ascii="Arial" w:cs="Arial" w:eastAsia="Arial" w:hAnsi="Arial"/>
          <w:sz w:val="17"/>
          <w:szCs w:val="17"/>
          <w:color w:val="auto"/>
        </w:rPr>
      </w:pPr>
    </w:p>
    <w:p>
      <w:pPr>
        <w:ind w:left="340" w:right="2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remaining portion of Mr. Gadot’s 2017 bonus, which was paid in 2018. Mr. Gadot’s bonus for the 2018 fiscal year has not yet been determined.</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Compensation includes Mr. Gadot’s monthly automobile allowance and tax gross-up.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remaining portion of Mr. Himelfarb’s 2017 bonus, which was paid in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Compensation includes Mr. Himelfarb’s yearly automobile allowance.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salary includes $13,000 for Mr. Himelfarb’s yearly automobile allowance.</w:t>
      </w:r>
    </w:p>
    <w:p>
      <w:pPr>
        <w:spacing w:after="0" w:line="9"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as of February 1, 2019, Mr. Himelfarb, a member of the Board of Directors of the Company, and the Company’s Chief Operating Officer, resigned from all positions with the Company. Effective as of February 1, 2019, Mr. Himelfarb also resigned from his position as General Manager of Microbot Medical Ltd., a wholly-owned subsidiary of the Company. Notwithstanding the foregoing, Mr. Himelfarb is expected to stay on until February 28, 2019 to assist with the transaction of his duties.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outstanding equity awards held by each of the named executive officers as of the end of the fiscal year ended December 31,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8"/>
                <w:szCs w:val="18"/>
                <w:b w:val="1"/>
                <w:bCs w:val="1"/>
                <w:color w:val="auto"/>
              </w:rPr>
              <w:t>Option Awards</w:t>
            </w:r>
          </w:p>
        </w:tc>
        <w:tc>
          <w:tcPr>
            <w:tcW w:w="9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ind w:left="380"/>
              <w:spacing w:after="0"/>
              <w:rPr>
                <w:sz w:val="20"/>
                <w:szCs w:val="20"/>
                <w:color w:val="auto"/>
              </w:rPr>
            </w:pPr>
            <w:r>
              <w:rPr>
                <w:rFonts w:ascii="Arial" w:cs="Arial" w:eastAsia="Arial" w:hAnsi="Arial"/>
                <w:sz w:val="18"/>
                <w:szCs w:val="18"/>
                <w:b w:val="1"/>
                <w:bCs w:val="1"/>
                <w:color w:val="auto"/>
              </w:rPr>
              <w:t>Stock Awards</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Incentive</w:t>
            </w:r>
          </w:p>
        </w:tc>
        <w:tc>
          <w:tcPr>
            <w:tcW w:w="16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Plan</w:t>
            </w:r>
          </w:p>
        </w:tc>
        <w:tc>
          <w:tcPr>
            <w:tcW w:w="16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Awards:</w:t>
            </w:r>
          </w:p>
        </w:tc>
        <w:tc>
          <w:tcPr>
            <w:tcW w:w="16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or Payout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Number</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Market</w:t>
            </w:r>
          </w:p>
        </w:tc>
        <w:tc>
          <w:tcPr>
            <w:tcW w:w="14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of</w:t>
            </w:r>
          </w:p>
        </w:tc>
        <w:tc>
          <w:tcPr>
            <w:tcW w:w="16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of</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value of</w:t>
            </w:r>
          </w:p>
        </w:tc>
        <w:tc>
          <w:tcPr>
            <w:tcW w:w="1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1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Shares</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or Units</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of Units</w:t>
            </w:r>
          </w:p>
        </w:tc>
        <w:tc>
          <w:tcPr>
            <w:tcW w:w="14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Units or</w:t>
            </w:r>
          </w:p>
        </w:tc>
        <w:tc>
          <w:tcPr>
            <w:tcW w:w="16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Units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Securities</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Securities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of Stock</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of Stock</w:t>
            </w:r>
          </w:p>
        </w:tc>
        <w:tc>
          <w:tcPr>
            <w:tcW w:w="14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Underlying</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Underlying</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That</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That</w:t>
            </w:r>
          </w:p>
        </w:tc>
        <w:tc>
          <w:tcPr>
            <w:tcW w:w="14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Rights</w:t>
            </w:r>
          </w:p>
        </w:tc>
        <w:tc>
          <w:tcPr>
            <w:tcW w:w="16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Rights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Unexercised</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Unexercised</w:t>
            </w:r>
          </w:p>
        </w:tc>
        <w:tc>
          <w:tcPr>
            <w:tcW w:w="14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Option</w:t>
            </w: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Option</w:t>
            </w: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Have</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Have</w:t>
            </w:r>
          </w:p>
        </w:tc>
        <w:tc>
          <w:tcPr>
            <w:tcW w:w="14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That</w:t>
            </w:r>
          </w:p>
        </w:tc>
        <w:tc>
          <w:tcPr>
            <w:tcW w:w="16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Options</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Exercise</w:t>
            </w: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Expiration</w:t>
            </w: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Not</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Not</w:t>
            </w:r>
          </w:p>
        </w:tc>
        <w:tc>
          <w:tcPr>
            <w:tcW w:w="140" w:type="dxa"/>
            <w:vAlign w:val="bottom"/>
          </w:tcPr>
          <w:p>
            <w:pPr>
              <w:spacing w:after="0"/>
              <w:rPr>
                <w:sz w:val="18"/>
                <w:szCs w:val="18"/>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Have Not</w:t>
            </w:r>
          </w:p>
        </w:tc>
        <w:tc>
          <w:tcPr>
            <w:tcW w:w="16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Have Not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60" w:type="dxa"/>
            <w:vAlign w:val="bottom"/>
          </w:tcPr>
          <w:p>
            <w:pPr>
              <w:ind w:left="106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Exercisable</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8"/>
              </w:rPr>
              <w:t>Unexercisable</w:t>
            </w:r>
          </w:p>
        </w:tc>
        <w:tc>
          <w:tcPr>
            <w:tcW w:w="14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Date</w:t>
            </w: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Vested</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Vested</w:t>
            </w:r>
          </w:p>
        </w:tc>
        <w:tc>
          <w:tcPr>
            <w:tcW w:w="140" w:type="dxa"/>
            <w:vAlign w:val="bottom"/>
          </w:tcPr>
          <w:p>
            <w:pPr>
              <w:spacing w:after="0"/>
              <w:rPr>
                <w:sz w:val="20"/>
                <w:szCs w:val="20"/>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Vested</w:t>
            </w:r>
          </w:p>
        </w:tc>
        <w:tc>
          <w:tcPr>
            <w:tcW w:w="160" w:type="dxa"/>
            <w:vAlign w:val="bottom"/>
          </w:tcPr>
          <w:p>
            <w:pPr>
              <w:spacing w:after="0"/>
              <w:rPr>
                <w:sz w:val="20"/>
                <w:szCs w:val="20"/>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Vested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Harel Gadot</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77,846</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4.20</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9/01/2024</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48,672</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72,175</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15.75</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9/14/2027</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Hezi Himelfarb</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29,003</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43,505</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19.35</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10/15/2027</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David Ben Naim</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2,000</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3,000</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15.30</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12/28/2027</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Simon Sharon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9.00</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08/13/2028</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data in the table above reflects the number of shares adjusted to retroactively reflect the 1:15 Reverse Split effected on September 4,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Harel Gadot Employment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Pursuant to the terms of the Gadot Agreement, Mr. Gadot shall receive an annual base salary of $360,000. The salary will be reviewed on an annual basis by the Compensation Committee of the Company to determine potential increases taking into account such performance metrics and criteria as established by the Executive and the Company.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Gadot shall also be entitled to receive a target annual cash bonus of up to a maximum amount of 40% of base salary, which maximum amount was paid for the 2018 fiscal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Mr. Gadot shall be further entitled to a monthly automobile allowance and tax gross up on such allowance of $1,150, and shall be granted options to purchase shares of common stock of the Company representing 5% of the issued and outstanding shares of the Company, based on vesting and other terms to be determined by the Compensation Committee of the Board of Directors.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by the Company for cause, Mr. Gadot would be entitled to receive any compensation then due and payable incurred up to the date of termination.</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Hezi Himelfarb Employment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entered into an employment agreement (the “Himelfarb Agreement”) with Mr. Himelfarb on December 5, 2016, to serve as our Chief Operating Office and General Manager, on an indefinite basis subject to the termination provisions described in the Himelfarb Agreement. Pursuant to the terms of the Himelfarb Agreement, Mr. Himelfarb shall receive a base salary of 64,000 New Israeli Shekel (NIS) per month or NIS 768,000 per year, or the equivalent of approximately $203,714 per annum based on an exchange rate of $.265 for NIS 1.0. The salary will be reviewed on an annual basis by the Company’s Board of Directors to determine potential salary increases.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Mr. Himelfarb shall be entitled to grants or payments subject to the adoption by the Company at its discretion of a bonus plan or policy.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bonus for 2018 has not yet been determined by the Company. Mr. Himelfarb shall also entitled participate in the Company’s motor vehicle program and receive a motor vehicle from the Company’s vehicle pool, which shall be leased or rented by the Company for use by Mr. Himelfarb. The Company shall pay an amount equal to 8.33% of Mr. Himelfarb’s salary, which shall be allocated to a fund for severance pay to Mr. Himelfarb, and an additional amount equal to 6.25% of Mr. Himelfarb’s salary (6.5% as of January 1, 2017), which shall be allocated to a pension plan, in addition to disability insurance contributions and as otherwise may be required by applicable Israeli law from time to time. The Company shall also contribute to an educational fund an amount equal to 7.5% of each monthly payment of Mr. Himelfarb’s full salary. Mr. Himelfarb is also entitled to options to purchase 1,087,627 shares of the Company’s common stock, which represents 3% of the Company’s issued and outstanding shares of common stock as of the closing of the Company’s merger transaction with the Subsidiary on November 28, 2016. Such options have not yet been granted.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Himelfarb Agreement contains customary non-competition provisions pursuant to which Mr. Himelfarb agrees not to compete with the Company.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Himelfarb also agreed to customary terms regarding confidentiality and ownership of intellectual property.</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Effective as of February 1, 2019, Mr. Himelfarb, a member of the Board of Directors of the Company, and the Company’s Chief Operating Officer, resigned from all positions with the Company. Effective as of February 1, 2019, Mr. Himelfarb also resigned from his position as General Manager of Microbot Medical Ltd., a wholly-owned subsidiary of the Company. Notwithstanding the foregoing, Mr. Himelfarb is expected to stay on until February 28, 2019 to assist with the transaction of his duties.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David Ben Naim Services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 services agreement (the “Services Agreement”) with DBN Finance Services effective October 31, 2016, to provide outsourced CFO services. Pursuant to the terms of the Services Agreement, DBN Finance Services will provide its services exclusively through Mr. David Ben Naim, who will serve as the principal financial and accounting officer of Microbot Israel and the Company. Mr. Ben Naim’s engagement will continue on an indefinite basis subject to the termination provisions described in the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Agreement, the Company shall pay the Service Provider a fixed fee of NIS 22,000, or the equivalent of approximately $5,835 per month based on an exchange rate of $.265 for NIS1.0, plus VAT per month, and the Company shall reimburse DBN Finance Services for reasonable and customary out of pocket expenses incurred by it or Mr. Ben Naim connection with the performance of the duties under the Services Agreement. In addition, the Company shall maintain for the benefit of Mr. Ben Naim, a Directors and Officers insurance policy, according to the Company’s policy for other directors and officers of the Company.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Both the Company and DBN Finance Services shall have the right to terminate the Agreement for any reason or without reason at any time by furnishing the other party with a 30-day notice of termination. The Company shall further be entitled to terminate the Services Agreement for “cause” without notice, in which case neither DBN Finance Services nor Mr. Ben Naim shall be entitled to any compensation due to such early termination.</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DBN Finance Services and Mr. Ben Naim agreed to customary provisions regarding confidentiality and intellectual property ownership. The Services Agreement also contains customary non-competition and non-solicitation provisions pursuant to which DBN Finance Services and Mr. Ben Naim agree not to compete and solicit with the Company during the term of the Agreement and for a period of twelve months following the termination of the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Liability and Indemnification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certificate of incorporation eliminates the personal liability of our directors to the fullest extent permitted by law. The certificate of incorporation further provides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adopted a compensation package for the non-management members of its Board, pursuant to which each such Board member would receive for his services $12,000 per annum, $750 per duly called Board meeting and $250 per unanimous written consent. Furthermore, each member of the Audit Committee of the Board receives an additional $10,000 per annum, and other committee members receive an additional $5,000 per annum. Board members are also entitled to receive equity awards. Upon joining the Board, a member would receive an initial grant of $40,000 of stock options (calculated as the product of the exercise price on the date of grant multiplied by the number of shares underlying the stock option award required to equal $40,000), with an additional grant of stock options each year thereafter, to purchase such number of shares of the Company’s common stock equal to $20,000, subject to the member of the Board having served on the Board for at least twelve continuous months, and having attended at least 80% of the Board meetings over the prior year.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The following table summarizes cash-based and equity compensation information for our outside directors, including annual Board and committee retainer fees and meeting attendance fees, for the year ended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Fees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Nonqualified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earned 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Non-Equity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Deferred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paid 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Option</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9"/>
              </w:rPr>
              <w:t>Incentive Plan</w:t>
            </w:r>
          </w:p>
        </w:tc>
        <w:tc>
          <w:tcPr>
            <w:tcW w:w="14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5"/>
              </w:rPr>
              <w:t>Compensation</w:t>
            </w:r>
          </w:p>
        </w:tc>
        <w:tc>
          <w:tcPr>
            <w:tcW w:w="12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All Other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gridSpan w:val="2"/>
          </w:tcPr>
          <w:p>
            <w:pPr>
              <w:ind w:left="1300"/>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20"/>
                <w:szCs w:val="2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cash</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Awards</w:t>
            </w:r>
          </w:p>
        </w:tc>
        <w:tc>
          <w:tcPr>
            <w:tcW w:w="10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Awards (1)</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7"/>
              </w:rPr>
              <w:t>Compensation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1480" w:type="dxa"/>
            <w:vAlign w:val="bottom"/>
            <w:gridSpan w:val="4"/>
          </w:tcPr>
          <w:p>
            <w:pPr>
              <w:spacing w:after="0"/>
              <w:rPr>
                <w:sz w:val="20"/>
                <w:szCs w:val="20"/>
                <w:color w:val="auto"/>
              </w:rPr>
            </w:pPr>
            <w:r>
              <w:rPr>
                <w:rFonts w:ascii="Arial" w:cs="Arial" w:eastAsia="Arial" w:hAnsi="Arial"/>
                <w:sz w:val="18"/>
                <w:szCs w:val="18"/>
                <w:b w:val="1"/>
                <w:bCs w:val="1"/>
                <w:color w:val="auto"/>
              </w:rPr>
              <w:t>Compensation</w:t>
            </w: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Yoav Waizer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Yoseph Bornstein</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Burell</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Madden</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Prattipati Laxminarain</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79"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Amounts shown do not reflect cash compensation actually received by the director. Instead, the amounts shown are the non-cash aggregate grant date fair values of stock option awards made during the period presented as determined pursuant to ASC Topic 718 and excludes the effect of forfeiture assumptions. The assumptions used to calculate the fair value of stock option awards are set forth under Note 10 to the Consolidated Financial Statements of the Company included in the Company’s Form 10-K for the fiscal year ended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Messrs. Gadot and Himelfarb received compensation for their services to the Company as set forth under the summary compensation table above.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beneficial ownership of our capital stock, as of February 5, 2019 , by:</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those known by us to be to a beneficial owner of more than 5% of the Company’s common stock.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general, “beneficial ownership” refers to shares that an individual or entity has the power to vote or dispose of, and any rights to acquire common stock that are currently exercisable or will become exercisable within 60 days of February 5, 2019. We calculated percentage ownership in accordance with the rules of the SEC. The percentage of common stock beneficially owned is based on 4,307,666 shares outstanding as of February 5, 2019. In addition, shares issuable pursuant to options or other convertible securities that may be acquired within 60 days of February 5, 2019 are deemed to be issued and outstanding and have been treated as outstanding in calculating and determining the beneficial ownership and percentage ownership of those persons possessing those securities, but not for any other persons.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table is based on information supplied by each prospective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 of the Company listed is: c/o Microbot Medical Inc., 25 Recreation Park Drive, Unit 108, Hingham, MA 02043.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4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Percentage of Common Stock</w:t>
            </w:r>
          </w:p>
        </w:tc>
      </w:tr>
      <w:tr>
        <w:trPr>
          <w:trHeight w:val="241"/>
        </w:trPr>
        <w:tc>
          <w:tcPr>
            <w:tcW w:w="5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Number of Shares</w:t>
            </w:r>
          </w:p>
        </w:tc>
        <w:tc>
          <w:tcPr>
            <w:tcW w:w="3940" w:type="dxa"/>
            <w:vAlign w:val="bottom"/>
            <w:gridSpan w:val="4"/>
          </w:tcPr>
          <w:p>
            <w:pPr>
              <w:jc w:val="right"/>
              <w:ind w:right="1300"/>
              <w:spacing w:after="0"/>
              <w:rPr>
                <w:sz w:val="20"/>
                <w:szCs w:val="20"/>
                <w:color w:val="auto"/>
              </w:rPr>
            </w:pPr>
            <w:r>
              <w:rPr>
                <w:rFonts w:ascii="Arial" w:cs="Arial" w:eastAsia="Arial" w:hAnsi="Arial"/>
                <w:sz w:val="18"/>
                <w:szCs w:val="18"/>
                <w:b w:val="1"/>
                <w:bCs w:val="1"/>
                <w:color w:val="auto"/>
              </w:rPr>
              <w:t>Beneficially Owned</w:t>
            </w:r>
          </w:p>
        </w:tc>
      </w:tr>
      <w:tr>
        <w:trPr>
          <w:trHeight w:val="237"/>
        </w:trPr>
        <w:tc>
          <w:tcPr>
            <w:tcW w:w="5220" w:type="dxa"/>
            <w:vAlign w:val="bottom"/>
            <w:gridSpan w:val="2"/>
          </w:tcPr>
          <w:p>
            <w:pPr>
              <w:ind w:left="1840"/>
              <w:spacing w:after="0"/>
              <w:rPr>
                <w:sz w:val="20"/>
                <w:szCs w:val="20"/>
                <w:color w:val="auto"/>
              </w:rPr>
            </w:pPr>
            <w:r>
              <w:rPr>
                <w:rFonts w:ascii="Arial" w:cs="Arial" w:eastAsia="Arial" w:hAnsi="Arial"/>
                <w:sz w:val="18"/>
                <w:szCs w:val="18"/>
                <w:b w:val="1"/>
                <w:bCs w:val="1"/>
                <w:color w:val="auto"/>
              </w:rPr>
              <w:t>Beneficial Owner</w:t>
            </w:r>
          </w:p>
        </w:tc>
        <w:tc>
          <w:tcPr>
            <w:tcW w:w="2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Beneficially Owned</w:t>
            </w:r>
          </w:p>
        </w:tc>
        <w:tc>
          <w:tcPr>
            <w:tcW w:w="208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Before Offering</w:t>
            </w:r>
          </w:p>
        </w:tc>
        <w:tc>
          <w:tcPr>
            <w:tcW w:w="17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After Offering(1)</w:t>
            </w:r>
          </w:p>
        </w:tc>
        <w:tc>
          <w:tcPr>
            <w:tcW w:w="160" w:type="dxa"/>
            <w:vAlign w:val="bottom"/>
          </w:tcPr>
          <w:p>
            <w:pPr>
              <w:spacing w:after="0"/>
              <w:rPr>
                <w:sz w:val="20"/>
                <w:szCs w:val="20"/>
                <w:color w:val="auto"/>
              </w:rPr>
            </w:pPr>
          </w:p>
        </w:tc>
      </w:tr>
      <w:tr>
        <w:trPr>
          <w:trHeight w:val="216"/>
        </w:trPr>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Directors and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Harel Gadot</w:t>
            </w:r>
            <w:r>
              <w:rPr>
                <w:rFonts w:ascii="Arial" w:cs="Arial" w:eastAsia="Arial" w:hAnsi="Arial"/>
                <w:sz w:val="29"/>
                <w:szCs w:val="29"/>
                <w:color w:val="auto"/>
                <w:vertAlign w:val="superscript"/>
              </w:rPr>
              <w:t>(2)</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310,066</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6.98%</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5.70%</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Yoav Waizer</w:t>
            </w:r>
            <w:r>
              <w:rPr>
                <w:rFonts w:ascii="Arial" w:cs="Arial" w:eastAsia="Arial" w:hAnsi="Arial"/>
                <w:sz w:val="29"/>
                <w:szCs w:val="29"/>
                <w:color w:val="auto"/>
                <w:vertAlign w:val="superscript"/>
              </w:rPr>
              <w:t>(3)</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1,788</w:t>
            </w:r>
          </w:p>
        </w:tc>
        <w:tc>
          <w:tcPr>
            <w:tcW w:w="2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Yoseph Bornstein</w:t>
            </w:r>
            <w:r>
              <w:rPr>
                <w:rFonts w:ascii="Arial" w:cs="Arial" w:eastAsia="Arial" w:hAnsi="Arial"/>
                <w:sz w:val="29"/>
                <w:szCs w:val="29"/>
                <w:color w:val="auto"/>
                <w:vertAlign w:val="superscript"/>
              </w:rPr>
              <w:t>(4)</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300,482</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6.97%</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5.66%</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Scott Burell</w:t>
            </w:r>
            <w:r>
              <w:rPr>
                <w:rFonts w:ascii="Arial" w:cs="Arial" w:eastAsia="Arial" w:hAnsi="Arial"/>
                <w:sz w:val="29"/>
                <w:szCs w:val="29"/>
                <w:color w:val="auto"/>
                <w:vertAlign w:val="superscript"/>
              </w:rPr>
              <w:t>(3)</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1,788</w:t>
            </w:r>
          </w:p>
        </w:tc>
        <w:tc>
          <w:tcPr>
            <w:tcW w:w="2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Martin Madden</w:t>
            </w:r>
            <w:r>
              <w:rPr>
                <w:rFonts w:ascii="Arial" w:cs="Arial" w:eastAsia="Arial" w:hAnsi="Arial"/>
                <w:sz w:val="29"/>
                <w:szCs w:val="29"/>
                <w:color w:val="auto"/>
                <w:vertAlign w:val="superscript"/>
              </w:rPr>
              <w:t>(3)</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1,788</w:t>
            </w:r>
          </w:p>
        </w:tc>
        <w:tc>
          <w:tcPr>
            <w:tcW w:w="2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David Ben Naim</w:t>
            </w:r>
            <w:r>
              <w:rPr>
                <w:rFonts w:ascii="Arial" w:cs="Arial" w:eastAsia="Arial" w:hAnsi="Arial"/>
                <w:sz w:val="29"/>
                <w:szCs w:val="29"/>
                <w:color w:val="auto"/>
                <w:vertAlign w:val="superscript"/>
              </w:rPr>
              <w:t>(3)</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2,375</w:t>
            </w:r>
          </w:p>
        </w:tc>
        <w:tc>
          <w:tcPr>
            <w:tcW w:w="2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Prattipati Laxminarain</w:t>
            </w:r>
            <w:r>
              <w:rPr>
                <w:rFonts w:ascii="Arial" w:cs="Arial" w:eastAsia="Arial" w:hAnsi="Arial"/>
                <w:sz w:val="29"/>
                <w:szCs w:val="29"/>
                <w:color w:val="auto"/>
                <w:vertAlign w:val="superscript"/>
              </w:rPr>
              <w:t>(3)</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1,788</w:t>
            </w:r>
          </w:p>
        </w:tc>
        <w:tc>
          <w:tcPr>
            <w:tcW w:w="2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Yehezkel (Hezi) Himelfarb </w:t>
            </w:r>
            <w:r>
              <w:rPr>
                <w:rFonts w:ascii="Arial" w:cs="Arial" w:eastAsia="Arial" w:hAnsi="Arial"/>
                <w:sz w:val="29"/>
                <w:szCs w:val="29"/>
                <w:color w:val="auto"/>
                <w:vertAlign w:val="superscript"/>
              </w:rPr>
              <w:t>(3)(8)</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34,442</w:t>
            </w:r>
          </w:p>
        </w:tc>
        <w:tc>
          <w:tcPr>
            <w:tcW w:w="2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w w:val="94"/>
              </w:rPr>
              <w:t>All current directors and executive officers as a group ( 7 persons)</w:t>
            </w:r>
            <w:r>
              <w:rPr>
                <w:rFonts w:ascii="Arial" w:cs="Arial" w:eastAsia="Arial" w:hAnsi="Arial"/>
                <w:sz w:val="29"/>
                <w:szCs w:val="29"/>
                <w:color w:val="auto"/>
                <w:w w:val="94"/>
                <w:vertAlign w:val="superscript"/>
              </w:rPr>
              <w:t>(5)</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620,075</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13.94%</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11.38%</w:t>
            </w: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Five Percent Shareholders</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LSA - Life Science Accelerator Ltd.</w:t>
            </w:r>
            <w:r>
              <w:rPr>
                <w:rFonts w:ascii="Arial" w:cs="Arial" w:eastAsia="Arial" w:hAnsi="Arial"/>
                <w:sz w:val="29"/>
                <w:szCs w:val="29"/>
                <w:color w:val="auto"/>
                <w:vertAlign w:val="superscript"/>
              </w:rPr>
              <w:t>(4)</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299,710</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9.95%</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3.72%</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MEDX Ventures Group LLC</w:t>
            </w:r>
            <w:r>
              <w:rPr>
                <w:rFonts w:ascii="Arial" w:cs="Arial" w:eastAsia="Arial" w:hAnsi="Arial"/>
                <w:sz w:val="29"/>
                <w:szCs w:val="29"/>
                <w:color w:val="auto"/>
                <w:vertAlign w:val="superscript"/>
              </w:rPr>
              <w:t>(6)</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254,711</w:t>
            </w: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5.81%</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w:t>
            </w:r>
          </w:p>
        </w:tc>
      </w:tr>
      <w:tr>
        <w:trPr>
          <w:trHeight w:val="390"/>
        </w:trPr>
        <w:tc>
          <w:tcPr>
            <w:tcW w:w="5220" w:type="dxa"/>
            <w:vAlign w:val="bottom"/>
            <w:gridSpan w:val="2"/>
          </w:tcPr>
          <w:p>
            <w:pPr>
              <w:spacing w:after="0"/>
              <w:rPr>
                <w:sz w:val="20"/>
                <w:szCs w:val="20"/>
                <w:color w:val="auto"/>
              </w:rPr>
            </w:pPr>
            <w:r>
              <w:rPr>
                <w:rFonts w:ascii="Arial" w:cs="Arial" w:eastAsia="Arial" w:hAnsi="Arial"/>
                <w:sz w:val="18"/>
                <w:szCs w:val="18"/>
                <w:color w:val="auto"/>
              </w:rPr>
              <w:t>Saber Holding GmbH</w:t>
            </w:r>
            <w:r>
              <w:rPr>
                <w:rFonts w:ascii="Arial" w:cs="Arial" w:eastAsia="Arial" w:hAnsi="Arial"/>
                <w:sz w:val="30"/>
                <w:szCs w:val="30"/>
                <w:color w:val="auto"/>
                <w:vertAlign w:val="superscript"/>
              </w:rPr>
              <w:t>(7)</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287,134</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6.67%</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5.41%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898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8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340" w:hanging="332"/>
        <w:spacing w:after="0" w:line="281"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Assumes the sale of 996,016 shares of our common stock and common stock underlying pre-funded warrants offered by us in this offering and does not include any shares of our common stock underlying the underwriter’s option to cover over-allotments, or underlying the Underwriter’s Warrants.</w:t>
      </w:r>
    </w:p>
    <w:p>
      <w:pPr>
        <w:spacing w:after="0" w:line="1"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77,864 shares of our common stock issuable upon the exercise of options granted to MEDX Ventures Group and 55,355 shares of our common stock issuable upon the exercise of options granted to Mr. Gadot. All of such shares and 77,864 options are held by MEDX Ventures Group LLC, which is beneficially owned by Mr. Gadot. See Note 6 below.</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options to acquire shares of our common stock.</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representations and other information made or provided to the Company by Mr. Bornstein, Mr. Bornstein is the CEO and Director of LSA and of Shizim, and Mr. Bornstein is the majority equity owner of Shizim. Shizim is the majority equity owner of LSA. Accordingly, Mr. Bornstein may be deemed to share voting and investment power over the shares beneficially owned by these entities and has an address of 16 Iris Street, Rosh-Ha’Ayin Israel 4858022. Includes 1,788 shares of our common stock issuable upon exercise of options.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shares of our common stock issuable upon the exercise of options as set forth in footnotes (1), (2) and (3).</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77,864 shares of our common stock issuable upon the exercise of options granted to MEDX Ventures Group. Mr. Gadot is the Chief Executive Officer, Company Group Chairman and majority equity owner of MEDX Venture Group and thus may be deemed to share voting and investment power over the shares beneficially owned by this entity. Does not include 55,355 shares of our common stock issuable upon the exercise of options granted to Mr. Gadot directly. See Note 1 above.</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Pursuant to a Schedule 13D/A-2 filed on June 20, 2017, Mrs. Sandra Berkson owns 100% of the equity of Saber Holding GmbH. Mr. Avram Berkson and Mrs. Sandra Berkson have shared power with Saber to vote or direct the vote, and to dispose or direct the disposition, of such shares. Saber’s address is Krummbaumgasse 10/20, 1020 Wein, Austria.</w:t>
      </w:r>
    </w:p>
    <w:p>
      <w:pPr>
        <w:spacing w:after="0" w:line="1"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 as of February 1, 2019, Mr. Himelfarb, a member of the Board of Directors of the Company, and the Company’s Chief Operating Officer, resigned from all positions with the Company. Effective as of February 1, 2019, Mr. Himelfarb also resigned from his position as General Manager of Microbot Medical Ltd., a wholly-owned subsidiary of the Company. Notwithstanding the foregoing, Mr. Himelfarb is expected to stay in until february 28, 2019 to assist with the transaction of his duties.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302"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the date of this prospectus, we are authorized to issue up to 221,000,000 shares of capital stock, par value $0.01 per share, divided into two classes designated, respectively, “common stock” and undesignated “preferred stock.” Of such shares authorized, 220,000,000 shares are designated as common stock, and 1,000,000 shares are designated as undesignated preferred stock.</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is a summary of the material terms of our capital stock and certain provisions of our restated certificate of incorporation and amended and restated bylaws. Since the terms of our certificate of incorporation and bylaws, and Delaware law, are more detailed than the general information provided below, you should only rely on the actual provisions of those documents and Delaware law. If you would like to read those documents, they are on file with the SEC, as described under the heading “Where You Can Find Additional Information” below. The summary below is also qualified by provisions of applicable law.</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September 4, 2018, we filed a Certificate of Amendment (the “Amendment”) to our Restated Certificate of Incorporation to implement a 1-for-15 reverse split of our common stock (the “Reverse Stock Split”). As a result of the Reverse Stock Split, each fifteen shares of our issued and outstanding common stock were automatically combined and converted into one issued and outstanding share of common stock. The Reverse Stock Split affected all issued and outstanding shares of the Company’s common stock and preferred stock, as well as common stock underlying stock options, preferred stock and warrants outstanding immediately prior to the effectiveness of the Reverse Stock Split. The Amendment did not decrease the number of authorized shares of the Company’s common stock, nor did it alter the par value of common stock, which remained at $0.01 per share, or modify any voting rights or other terms of our common stock or preferred stock. Unless otherwise indicated, all information set forth in this prospectus gives effect to the Reverse Stock Split.</w:t>
      </w:r>
    </w:p>
    <w:p>
      <w:pPr>
        <w:spacing w:after="0" w:line="1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February 5, 2019, there were 4,307,666 shares of common stock outstanding that were held of record by approximately 176 stockholders, although we believe that there is a significantly larger number of beneficial owners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7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authority to issue up to 1,000,000 shares of preferred stock, par value $0.01 per share. There are currently no shares of preferred stock issued or outstanding.</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1" w:name="page32"/>
    <w:bookmarkEnd w:id="31"/>
    <w:p>
      <w:pPr>
        <w:ind w:left="340"/>
        <w:spacing w:after="0"/>
        <w:rPr>
          <w:sz w:val="20"/>
          <w:szCs w:val="20"/>
          <w:color w:val="auto"/>
        </w:rPr>
      </w:pPr>
      <w:r>
        <w:rPr>
          <w:rFonts w:ascii="Arial" w:cs="Arial" w:eastAsia="Arial" w:hAnsi="Arial"/>
          <w:sz w:val="17"/>
          <w:szCs w:val="17"/>
          <w:color w:val="auto"/>
        </w:rPr>
        <w:t>If we issue a specific series of preferred stock, we will file a copy of the certificate establishing the terms of the preferred stock with the Secretary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 of the State of Delaware and with the SEC. To the extent required, this description will include:</w:t>
      </w:r>
    </w:p>
    <w:p>
      <w:pPr>
        <w:spacing w:after="0" w:line="21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per share and the purchase price;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Warrants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2018, we had outstanding:</w:t>
      </w:r>
    </w:p>
    <w:p>
      <w:pPr>
        <w:spacing w:after="0" w:line="225"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warrants to purchase approximately 2,770 shares of our common stock at an exercise price of approximately $40.00 per share, which are exercisable through March 14, 2022, and which are subject to “full ratchet” price-based anti-dilution adjustments;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warrants to purchase approximately 683 shares of our common stock at an exercise price of approximately $1,363 per share, which are exercisable through April 30, 2020;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warrants to purchase approximately 183 shares of our common stock at an exercise price of approximately $2,725 per share, which are exercisable through April 9,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Nasdaq Capital Market under the symbol “MBOT.”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firstLine="360"/>
        <w:spacing w:after="0" w:line="280"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Meidinger Tower, 462 South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Louisville, KY 40202.</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DESCRIPTION OF SECURITIES WE ARE OFFERING</w:t>
      </w:r>
    </w:p>
    <w:p>
      <w:pPr>
        <w:spacing w:after="0" w:line="22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We are offering 996,016 shares of our common stock or pre-funded warrants to purchase one share of our common stock. For each pre-funded warrant we sell, the number of shares of common stock we are offering will be decreased on a one-for-one basis . We are also registering the shares of common stock issuable from time to time upon exercise of the pre-funded warrants offered hereby.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material terms and provisions of our common stock and each other class of our securities which qualifies or limits our common stock are described under the caption “Description of Capital Stock” in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The following summary of certain terms and provisions of pre-funded warrants that are being offered hereby is not complete and is subject to, and qualified in its entirety by, the provisions of the pre-funded warrant, the form of which is filed as an exhibit to the registration statement of which this prospectus forms a part. Prospective investors should carefully review the terms and provisions of the form of pre-funded warrant for a complete description of the terms and conditions of the pre-funded warrants.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Duration and Exercise Price. </w:t>
      </w:r>
      <w:r>
        <w:rPr>
          <w:rFonts w:ascii="Arial" w:cs="Arial" w:eastAsia="Arial" w:hAnsi="Arial"/>
          <w:sz w:val="18"/>
          <w:szCs w:val="18"/>
          <w:color w:val="auto"/>
        </w:rPr>
        <w:t>Each pre-funded warrant offered hereby will have an initial exercise price per share equal to $0.01. The pre-funded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will be 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Exercisability. </w:t>
      </w:r>
      <w:r>
        <w:rPr>
          <w:rFonts w:ascii="Arial" w:cs="Arial" w:eastAsia="Arial" w:hAnsi="Arial"/>
          <w:sz w:val="17"/>
          <w:szCs w:val="17"/>
          <w:color w:val="auto"/>
        </w:rPr>
        <w:t>The pre-funded warrants will be exercisable, at the option of each holder, in whole or in part, by delivering to us a duly executed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notice accompanied by payment in full for the number of shares of our common stock purchased upon such exercise (except in the case of a cashless exercise as discussed below). A holder (together with its affiliates) may not exercise any portion of the pre-funded warrant to the extent that the holder would own more than 4.99% of the outstanding common stock immediately after exercise, except that upon at least 61 days’ prior notice from the holder to us, the holder may increase the amount of ownership of outstanding stock after exercising the holder’s pre-funded warrants up to 9.99% of the number of shares of our common stock outstanding immediately after giving effect to the exercise, as such percentage ownership is determined in accordance with the terms of the pre-funded warrants. Purchasers of pre-funded warrants in this offering may also elect prior to the issuance of the pre-funded warrants to have the initial exercise limitation set at 9.99% of our outstanding common stock. No fractional shares of common stock will be issued in connection with the exercise of a pre-funded warrant. In lieu of fractional shares, we will either pay the holder an amount in cash equal to the fractional amount multiplied by the exercise price or round up to the next whole share.</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Cashless Exercise. </w:t>
      </w:r>
      <w:r>
        <w:rPr>
          <w:rFonts w:ascii="Arial" w:cs="Arial" w:eastAsia="Arial" w:hAnsi="Arial"/>
          <w:sz w:val="16"/>
          <w:szCs w:val="16"/>
          <w:color w:val="auto"/>
        </w:rPr>
        <w:t>If, at the time a holder exercises its pre-funded warrants, a registration statement registering the issuance of the shares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underlying the pre-funded warrants under the Securities Act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pre-funded warrants.</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Subject to applicable laws, a pre-funded warrant may be transferred at the option of the holder upon surrender of the pre-funded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to us together with the appropriate instruments of transfer.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Exchange Listing. </w:t>
      </w:r>
      <w:r>
        <w:rPr>
          <w:rFonts w:ascii="Arial" w:cs="Arial" w:eastAsia="Arial" w:hAnsi="Arial"/>
          <w:sz w:val="16"/>
          <w:szCs w:val="16"/>
          <w:color w:val="auto"/>
        </w:rPr>
        <w:t>There is no trading market available for the pre-funded warrants on any securities exchange or nationally recognized trading system.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intend to list the pre-funded warrants on any securities exchange or nationally recognized trading system.</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Right as a Stockholder. </w:t>
      </w:r>
      <w:r>
        <w:rPr>
          <w:rFonts w:ascii="Arial" w:cs="Arial" w:eastAsia="Arial" w:hAnsi="Arial"/>
          <w:sz w:val="18"/>
          <w:szCs w:val="18"/>
          <w:color w:val="auto"/>
        </w:rPr>
        <w:t>Except as otherwise provided in the pre-funded warrants or by virtue of such holder’s ownership of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 holders of the pre-funded warrants do not have the rights or privileges of holders of our common stock, including any voting rights, until they exercise their pre-funded warrants.</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Fundamental Transaction</w:t>
      </w:r>
      <w:r>
        <w:rPr>
          <w:rFonts w:ascii="Arial" w:cs="Arial" w:eastAsia="Arial" w:hAnsi="Arial"/>
          <w:sz w:val="17"/>
          <w:szCs w:val="17"/>
          <w:color w:val="auto"/>
        </w:rPr>
        <w:t>. In the event of a fundamental transaction, as described in the pre-funded warrants and generally including any reorganization,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660"/>
        <w:spacing w:after="0"/>
        <w:tabs>
          <w:tab w:leader="none" w:pos="5580" w:val="left"/>
        </w:tabs>
        <w:rPr>
          <w:sz w:val="20"/>
          <w:szCs w:val="20"/>
          <w:color w:val="auto"/>
        </w:rPr>
      </w:pPr>
      <w:r>
        <w:rPr>
          <w:rFonts w:ascii="Arial" w:cs="Arial" w:eastAsia="Arial" w:hAnsi="Arial"/>
          <w:sz w:val="18"/>
          <w:szCs w:val="18"/>
          <w:color w:val="auto"/>
        </w:rPr>
        <w:t>We have entered into an underwriting agreement dated</w:t>
      </w:r>
      <w:r>
        <w:rPr>
          <w:sz w:val="20"/>
          <w:szCs w:val="20"/>
          <w:color w:val="auto"/>
        </w:rPr>
        <w:tab/>
      </w:r>
      <w:r>
        <w:rPr>
          <w:rFonts w:ascii="Arial" w:cs="Arial" w:eastAsia="Arial" w:hAnsi="Arial"/>
          <w:sz w:val="17"/>
          <w:szCs w:val="17"/>
          <w:color w:val="auto"/>
        </w:rPr>
        <w:t>, 2019 with H.C. Wainwright &amp; Co., LLC, as underwriter, with respect to the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securities being offered hereby. Subject to the terms and conditions of the underwriting agreement, we have agreed to sell to the underwriter and the underwriter has agreed to purchase from us, at the public offering price less the underwriting discounts and commissions set forth on the cover page of this prospectus, shares of our common stock and pre-funded warrants.</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terms and subject to the conditions contained in the underwriting agreement, we have agreed to sell to the underwriter named below, and the underwriter has agreed to purchase from us, the respective number of shares of common stock and pre-funded warrants set forth opposite its name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3180" w:type="dxa"/>
            <w:vAlign w:val="bottom"/>
          </w:tcPr>
          <w:p>
            <w:pPr>
              <w:jc w:val="center"/>
              <w:ind w:left="1790"/>
              <w:spacing w:after="0"/>
              <w:rPr>
                <w:sz w:val="20"/>
                <w:szCs w:val="20"/>
                <w:color w:val="auto"/>
              </w:rPr>
            </w:pPr>
            <w:r>
              <w:rPr>
                <w:rFonts w:ascii="Arial" w:cs="Arial" w:eastAsia="Arial" w:hAnsi="Arial"/>
                <w:sz w:val="18"/>
                <w:szCs w:val="18"/>
                <w:b w:val="1"/>
                <w:bCs w:val="1"/>
                <w:color w:val="auto"/>
                <w:w w:val="91"/>
              </w:rPr>
              <w:t>Number of</w:t>
            </w:r>
          </w:p>
        </w:tc>
        <w:tc>
          <w:tcPr>
            <w:tcW w:w="1700" w:type="dxa"/>
            <w:vAlign w:val="bottom"/>
          </w:tcPr>
          <w:p>
            <w:pPr>
              <w:spacing w:after="0"/>
              <w:rPr>
                <w:sz w:val="17"/>
                <w:szCs w:val="17"/>
                <w:color w:val="auto"/>
              </w:rPr>
            </w:pPr>
          </w:p>
        </w:tc>
      </w:tr>
      <w:tr>
        <w:trPr>
          <w:trHeight w:val="189"/>
        </w:trPr>
        <w:tc>
          <w:tcPr>
            <w:tcW w:w="4260" w:type="dxa"/>
            <w:vAlign w:val="bottom"/>
          </w:tcPr>
          <w:p>
            <w:pPr>
              <w:spacing w:after="0"/>
              <w:rPr>
                <w:sz w:val="16"/>
                <w:szCs w:val="16"/>
                <w:color w:val="auto"/>
              </w:rPr>
            </w:pPr>
          </w:p>
        </w:tc>
        <w:tc>
          <w:tcPr>
            <w:tcW w:w="3180" w:type="dxa"/>
            <w:vAlign w:val="bottom"/>
          </w:tcPr>
          <w:p>
            <w:pPr>
              <w:jc w:val="center"/>
              <w:ind w:left="1790"/>
              <w:spacing w:after="0" w:line="189" w:lineRule="exact"/>
              <w:rPr>
                <w:sz w:val="20"/>
                <w:szCs w:val="20"/>
                <w:color w:val="auto"/>
              </w:rPr>
            </w:pPr>
            <w:r>
              <w:rPr>
                <w:rFonts w:ascii="Arial" w:cs="Arial" w:eastAsia="Arial" w:hAnsi="Arial"/>
                <w:sz w:val="18"/>
                <w:szCs w:val="18"/>
                <w:b w:val="1"/>
                <w:bCs w:val="1"/>
                <w:color w:val="auto"/>
                <w:w w:val="85"/>
              </w:rPr>
              <w:t>Shares of</w:t>
            </w:r>
          </w:p>
        </w:tc>
        <w:tc>
          <w:tcPr>
            <w:tcW w:w="1700" w:type="dxa"/>
            <w:vAlign w:val="bottom"/>
          </w:tcPr>
          <w:p>
            <w:pPr>
              <w:spacing w:after="0"/>
              <w:rPr>
                <w:sz w:val="16"/>
                <w:szCs w:val="16"/>
                <w:color w:val="auto"/>
              </w:rPr>
            </w:pPr>
          </w:p>
        </w:tc>
      </w:tr>
      <w:tr>
        <w:trPr>
          <w:trHeight w:val="189"/>
        </w:trPr>
        <w:tc>
          <w:tcPr>
            <w:tcW w:w="4260" w:type="dxa"/>
            <w:vAlign w:val="bottom"/>
          </w:tcPr>
          <w:p>
            <w:pPr>
              <w:spacing w:after="0"/>
              <w:rPr>
                <w:sz w:val="16"/>
                <w:szCs w:val="16"/>
                <w:color w:val="auto"/>
              </w:rPr>
            </w:pPr>
          </w:p>
        </w:tc>
        <w:tc>
          <w:tcPr>
            <w:tcW w:w="3180" w:type="dxa"/>
            <w:vAlign w:val="bottom"/>
          </w:tcPr>
          <w:p>
            <w:pPr>
              <w:jc w:val="center"/>
              <w:ind w:left="1790"/>
              <w:spacing w:after="0" w:line="189" w:lineRule="exact"/>
              <w:rPr>
                <w:sz w:val="20"/>
                <w:szCs w:val="20"/>
                <w:color w:val="auto"/>
              </w:rPr>
            </w:pPr>
            <w:r>
              <w:rPr>
                <w:rFonts w:ascii="Arial" w:cs="Arial" w:eastAsia="Arial" w:hAnsi="Arial"/>
                <w:sz w:val="18"/>
                <w:szCs w:val="18"/>
                <w:b w:val="1"/>
                <w:bCs w:val="1"/>
                <w:color w:val="auto"/>
                <w:w w:val="89"/>
              </w:rPr>
              <w:t>Common</w:t>
            </w:r>
          </w:p>
        </w:tc>
        <w:tc>
          <w:tcPr>
            <w:tcW w:w="17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3"/>
              </w:rPr>
              <w:t>Number of Pre-</w:t>
            </w:r>
          </w:p>
        </w:tc>
      </w:tr>
      <w:tr>
        <w:trPr>
          <w:trHeight w:val="228"/>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Underwriter</w:t>
            </w:r>
          </w:p>
        </w:tc>
        <w:tc>
          <w:tcPr>
            <w:tcW w:w="3180" w:type="dxa"/>
            <w:vAlign w:val="bottom"/>
            <w:tcBorders>
              <w:bottom w:val="single" w:sz="8" w:color="auto"/>
            </w:tcBorders>
          </w:tcPr>
          <w:p>
            <w:pPr>
              <w:jc w:val="center"/>
              <w:ind w:left="1790"/>
              <w:spacing w:after="0"/>
              <w:rPr>
                <w:sz w:val="20"/>
                <w:szCs w:val="20"/>
                <w:color w:val="auto"/>
              </w:rPr>
            </w:pPr>
            <w:r>
              <w:rPr>
                <w:rFonts w:ascii="Arial" w:cs="Arial" w:eastAsia="Arial" w:hAnsi="Arial"/>
                <w:sz w:val="18"/>
                <w:szCs w:val="18"/>
                <w:b w:val="1"/>
                <w:bCs w:val="1"/>
                <w:color w:val="auto"/>
                <w:w w:val="85"/>
              </w:rPr>
              <w:t>Stock</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funded Warrants</w:t>
            </w:r>
          </w:p>
        </w:tc>
      </w:tr>
      <w:tr>
        <w:trPr>
          <w:trHeight w:val="189"/>
        </w:trPr>
        <w:tc>
          <w:tcPr>
            <w:tcW w:w="4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H.C. Wainwright &amp; Co., LLC</w:t>
            </w:r>
          </w:p>
        </w:tc>
        <w:tc>
          <w:tcPr>
            <w:tcW w:w="3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bl>
    <w:p>
      <w:pPr>
        <w:spacing w:after="0" w:line="202"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The underwriting agreement provides that the obligation of the underwriter to purchase the shares of common stock and/or pre-funded warrants offered by this prospectus is subject to certain conditions. The underwriter is obligated to purchase all of the shares of common stock and/or pre-funded warrants if any of the securities are purchased, other than those shares covered by the option to purchase additional securities described below. Delivery of the shares of</w:t>
      </w:r>
    </w:p>
    <w:p>
      <w:pPr>
        <w:spacing w:after="0"/>
        <w:tabs>
          <w:tab w:leader="none" w:pos="6460" w:val="left"/>
        </w:tabs>
        <w:rPr>
          <w:sz w:val="20"/>
          <w:szCs w:val="20"/>
          <w:color w:val="auto"/>
        </w:rPr>
      </w:pPr>
      <w:r>
        <w:rPr>
          <w:rFonts w:ascii="Arial" w:cs="Arial" w:eastAsia="Arial" w:hAnsi="Arial"/>
          <w:sz w:val="18"/>
          <w:szCs w:val="18"/>
          <w:color w:val="auto"/>
        </w:rPr>
        <w:t>common stock and any pre-funded warrants to purchasers is expected on or about</w:t>
      </w:r>
      <w:r>
        <w:rPr>
          <w:sz w:val="20"/>
          <w:szCs w:val="20"/>
          <w:color w:val="auto"/>
        </w:rPr>
        <w:tab/>
      </w:r>
      <w:r>
        <w:rPr>
          <w:rFonts w:ascii="Arial" w:cs="Arial" w:eastAsia="Arial" w:hAnsi="Arial"/>
          <w:sz w:val="16"/>
          <w:szCs w:val="16"/>
          <w:color w:val="auto"/>
        </w:rPr>
        <w:t>, 2019 , subject to certain customary closing conditions.</w:t>
      </w:r>
    </w:p>
    <w:p>
      <w:pPr>
        <w:spacing w:after="0" w:line="211" w:lineRule="exact"/>
        <w:rPr>
          <w:sz w:val="20"/>
          <w:szCs w:val="20"/>
          <w:color w:val="auto"/>
        </w:rPr>
      </w:pPr>
    </w:p>
    <w:p>
      <w:pPr>
        <w:jc w:val="both"/>
        <w:ind w:right="20" w:firstLine="360"/>
        <w:spacing w:after="0" w:line="291" w:lineRule="auto"/>
        <w:rPr>
          <w:sz w:val="20"/>
          <w:szCs w:val="20"/>
          <w:color w:val="auto"/>
        </w:rPr>
      </w:pPr>
      <w:r>
        <w:rPr>
          <w:rFonts w:ascii="Arial" w:cs="Arial" w:eastAsia="Arial" w:hAnsi="Arial"/>
          <w:sz w:val="16"/>
          <w:szCs w:val="16"/>
          <w:color w:val="auto"/>
        </w:rPr>
        <w:t>The underwriter proposes to offer the shares of common stock and/or pre-funded warrants purchased pursuant to the underwriting agreement to the public at the public offering price set forth on the cover page of this prospectus and to certain dealers at that price less a concession not in excess of $</w:t>
      </w:r>
    </w:p>
    <w:p>
      <w:pPr>
        <w:jc w:val="both"/>
        <w:spacing w:after="0" w:line="261" w:lineRule="auto"/>
        <w:rPr>
          <w:sz w:val="20"/>
          <w:szCs w:val="20"/>
          <w:color w:val="auto"/>
        </w:rPr>
      </w:pPr>
      <w:r>
        <w:rPr>
          <w:rFonts w:ascii="Arial" w:cs="Arial" w:eastAsia="Arial" w:hAnsi="Arial"/>
          <w:sz w:val="18"/>
          <w:szCs w:val="18"/>
          <w:color w:val="auto"/>
        </w:rPr>
        <w:t>per share or per pre-funded warrant. After this offering, the public offering price and concession may be changed by the underwriter. No such change shall change the amount of proceeds to be received by us as set forth on the cover page of this prospectus.</w:t>
      </w:r>
    </w:p>
    <w:p>
      <w:pPr>
        <w:spacing w:after="0" w:line="184"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In connection with the sale of the common stock and/or pre-funded warrants to be purchased by the underwriter, the underwriter will be deemed to have received compensation in the form of underwriting commissions and discounts. The underwriter’s commissions and discounts will be 7% of the gross</w:t>
      </w:r>
    </w:p>
    <w:p>
      <w:pPr>
        <w:spacing w:after="0"/>
        <w:tabs>
          <w:tab w:leader="none" w:pos="2620" w:val="left"/>
        </w:tabs>
        <w:rPr>
          <w:sz w:val="20"/>
          <w:szCs w:val="20"/>
          <w:color w:val="auto"/>
        </w:rPr>
      </w:pPr>
      <w:r>
        <w:rPr>
          <w:rFonts w:ascii="Arial" w:cs="Arial" w:eastAsia="Arial" w:hAnsi="Arial"/>
          <w:sz w:val="18"/>
          <w:szCs w:val="18"/>
          <w:color w:val="auto"/>
        </w:rPr>
        <w:t>proceeds of this offering, or $</w:t>
      </w:r>
      <w:r>
        <w:rPr>
          <w:sz w:val="20"/>
          <w:szCs w:val="20"/>
          <w:color w:val="auto"/>
        </w:rPr>
        <w:tab/>
      </w:r>
      <w:r>
        <w:rPr>
          <w:rFonts w:ascii="Arial" w:cs="Arial" w:eastAsia="Arial" w:hAnsi="Arial"/>
          <w:sz w:val="16"/>
          <w:szCs w:val="16"/>
          <w:color w:val="auto"/>
        </w:rPr>
        <w:t>per share of common stock or per pre-funded warrant.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 Commissions and Expenses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shows the public offering price, underwriting discounts and commissions and proceeds, before expenses to us. These amounts are shown assuming both no exercise and full exercise of the underwriter’s option to purchase additional shares of common stock.</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Per Pre-</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funded</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5"/>
              </w:rPr>
              <w:t>Without</w:t>
            </w:r>
          </w:p>
        </w:tc>
        <w:tc>
          <w:tcPr>
            <w:tcW w:w="3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Total With</w:t>
            </w:r>
          </w:p>
        </w:tc>
      </w:tr>
      <w:tr>
        <w:trPr>
          <w:trHeight w:val="241"/>
        </w:trPr>
        <w:tc>
          <w:tcPr>
            <w:tcW w:w="526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rPr>
              <w:t>Per Share</w:t>
            </w:r>
          </w:p>
        </w:tc>
        <w:tc>
          <w:tcPr>
            <w:tcW w:w="3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3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32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Option</w:t>
            </w:r>
          </w:p>
        </w:tc>
      </w:tr>
      <w:tr>
        <w:trPr>
          <w:trHeight w:val="216"/>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also agreed to pay to the underwriter a management fee equal to 1% of the aggregate gross proceeds raised in this offering. We estimate the total expenses payable by us for this offering, excluding the underwriting discounts and commissions and the 1% management fee , to be approximately $ 290,000 , which includes (i) a $ 35,000 non-accountable expense allowance payable to the underwriter, (ii) reimbursement of the accountable expenses of the underwriter up to $ 125,000 , including the legal fees of the underwriter, (iii) if applicable, reimbursement of documented costs of clearing agent settlement up to $ 10,000 and (iv) other estimated expenses, which include legal, accounting, printing costs and various fees associated with the registration and listing of our securities sold in this offering in a total estimated amount of $ 120,000 .</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4" w:name="page35"/>
    <w:bookmarkEnd w:id="34"/>
    <w:p>
      <w:pPr>
        <w:jc w:val="both"/>
        <w:ind w:firstLine="648"/>
        <w:spacing w:after="0" w:line="257" w:lineRule="auto"/>
        <w:rPr>
          <w:sz w:val="20"/>
          <w:szCs w:val="20"/>
          <w:color w:val="auto"/>
        </w:rPr>
      </w:pPr>
      <w:r>
        <w:rPr>
          <w:rFonts w:ascii="Arial" w:cs="Arial" w:eastAsia="Arial" w:hAnsi="Arial"/>
          <w:sz w:val="18"/>
          <w:szCs w:val="18"/>
          <w:color w:val="auto"/>
        </w:rPr>
        <w:t>We have also agreed to pay the underwriter a tail fee equal to the cash and warrant compensation in this offering if any investor which the underwriter contacted or introduced us to during the term of the underwriter’s engagement (other than investors who have a pre-existing relationship with us) provides us with further capital in a public or private offering or capital raising transaction and such offering or transaction is consummated during the six-month period following termination or expiration of that certain engagement letter, dated October 12, 2018, as amended, entered into between us and the underwriter.</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we have agreed to issue to the underwriter warrants (the “Underwriter’s Warrants”) to purchase a number of shares of our common stock equal to 5% of the aggregate number of shares of common stock sold in this offering (including the shares of common stock issued pursuant to the</w:t>
      </w:r>
    </w:p>
    <w:p>
      <w:pPr>
        <w:jc w:val="both"/>
        <w:spacing w:after="0" w:line="267" w:lineRule="auto"/>
        <w:rPr>
          <w:sz w:val="20"/>
          <w:szCs w:val="20"/>
          <w:color w:val="auto"/>
        </w:rPr>
      </w:pPr>
      <w:r>
        <w:rPr>
          <w:rFonts w:ascii="Arial" w:cs="Arial" w:eastAsia="Arial" w:hAnsi="Arial"/>
          <w:sz w:val="17"/>
          <w:szCs w:val="17"/>
          <w:color w:val="auto"/>
        </w:rPr>
        <w:t>underwriter’s exercise of its over-allotment option and issuable upon the exercise of the pre-funded warrants ), at an exercise price of $ per share (representing 125% of the public offering price per share of common stock to be sold in this offering). The Underwriter’s Warrants will have a term of 3.5 years and are not exercisable for a period of six months following their issuance . Pursuant to FINRA Rule 5110(g), the Underwriter’s Warrants and any shares issued upon exercise of the Underwriter’s Warrants shall not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this offering, except the transfer of any security: (i) by operation of law or by reason of our reorganization; (ii) to any FINRA member firm participating in the offering and the officers or partners thereof, if all securities so transferred remain subject to the lock-up restriction set forth above for the remainder of the time period; (iii) if the aggregate amount of our securities held by the underwriter or related persons do not exceed 1% of the securities being offered; (iv) that is beneficially owned on a pro-rata basis by all equity owners of an investment fund, provided that no participating member manages or otherwise directs investments by the fund and the participating members in the aggregate do not own more than 10% of the equity in the fund; or (v) the exercise or conversion of any security, if all securities remain subject to the lock-up restriction set forth above for the remainder of the time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granted to the underwriter an option, exercisable not later than 30 days after the date of this prospectus, to purchase up to an additional 149,402 shares of common stock at the public offering price per share , less the underwriting discounts and commissions, set forth on the cover page of this prospectus. If any additional shares of common stock are purchased pursuant to such option, the underwriter will offer these securities on the same terms as those on which the securities are being offered hereby.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also granted the underwriter a right of first refusal for a period of twelve months following the closing of this offering to act as sole book-running manager, sole underwriter or sole placement agent for each and every future public offering or private placement of equity or debt securities by us or any of our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Section 16 (under the Exchange Act) officers and directors have agreed with the underwriter to be subject to a lock-up period of 21 days following the date of this prospectus . This means that during the applicable lock-up period, such persons may not offer for sale, contract to sell, sell, distribute, grant any option, right or warrant to purchase, pledge, hypothecate or otherwise dispose of, directly or indirectly, any of our shares of common stock or any securities convertible into, or exercisable or exchangeable for, shares of common stock. Certain limited transfers are permitted during the lock-up period if the transferee agrees to these lock-up restrictions.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also agreed, in the underwriting agreement, to similar lock-up restrictions on the issuance and sale of our shares of common stock, or any securities convertible into, or exercisable or exchangeable for, shares of common stock, for 90 days following the closing of this offering, subject to certain exceptions.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underwriter may, in its sole discretion and without notice, waive the terms of any of these lock-up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underwriter may engage in syndicate covering transactions, stabilizing transactions and penalty bids or purchases for the purpose of pegging, fixing or maintaining the price of our common stock:</w:t>
      </w:r>
    </w:p>
    <w:p>
      <w:pPr>
        <w:spacing w:after="0" w:line="170" w:lineRule="exact"/>
        <w:rPr>
          <w:sz w:val="20"/>
          <w:szCs w:val="20"/>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securities in the open market after the distribution has been completed in order to cover syndicate short positions. Such a naked short position would be closed out by buying securities in the open market. A naked short position is more likely to be created if the underwriter is concerned that there could be downward pressure on the price of the securities in the open market after pricing that could adversely affect investors who purchase in the offering.</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specific maximum.</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Penalty bids permit the underwriter to reclaim a selling concession from a syndicate member when the securities originally sold by the syndicate member are purchased in a stabilizing or syndicate covering transaction to cover syndicate short positions.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5" w:name="page36"/>
    <w:bookmarkEnd w:id="35"/>
    <w:p>
      <w:pPr>
        <w:jc w:val="both"/>
        <w:ind w:firstLine="648"/>
        <w:spacing w:after="0" w:line="276" w:lineRule="auto"/>
        <w:rPr>
          <w:sz w:val="20"/>
          <w:szCs w:val="20"/>
          <w:color w:val="auto"/>
        </w:rPr>
      </w:pPr>
      <w:r>
        <w:rPr>
          <w:rFonts w:ascii="Arial" w:cs="Arial" w:eastAsia="Arial" w:hAnsi="Arial"/>
          <w:sz w:val="17"/>
          <w:szCs w:val="17"/>
          <w:color w:val="auto"/>
        </w:rPr>
        <w:t>These syndicate covering transactions, stabilizing transactions and penalty bids may have the effect of raising or maintaining the market prices of our securities or preventing or retarding a decline in the market prices of our securities. As a result, the price of our common stock may be higher than the price that might otherwise exist in the open market. Neither we nor the underwriter make any representation or prediction as to the effect that the transactions described above may have on the price of our common stock. These transactions may be effected on the Nasdaq Capital Market, in the over-the-counter market or on any other trading market and, if commenced, may be discontinued at any time.</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this offering, the underwriter also may engage in passive market making transactions in our common stock in accordance with Regulation M during a period before the commencement of offers or sales of our securities in this offering and extending through the completion of the distribution. In general, a passive market maker must display its bid at a price not in excess of the highest independent bid for that security. However, if all independent bids are lowered below the passive market maker’s bid that bid must then be lowered when specific purchase limits are exceeded. Passive market making may stabilize the market price of the securities at a level above that which might otherwise prevail in the open market and, if commenced, may be discontinued at any time.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Neither we nor the underwriter make any representation or prediction as to the direction or magnitude of any effect that the transactions described above may have on the prices of our securities. In addition, neither we nor the underwriter make any representation that the underwriter will engage in these transactions or that any transactions, once commenced, will not be discontinued without notice.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agreed to indemnify the underwriter against certain liabilities, including certain liabilities arising under the Securities Act, or to contribute to payments that the underwriter may be required to make for these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actual offering price of the securities we are offering will be negotiated between us and the underwriter based on the trading of our common stock prior to the offering, among other things, and may be at a discount to the current market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 of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prospectus in electronic format may be made available on the websites maintained by the underwriter, if any, participating in this offering and the underwriter may distribute prospectuses electronically. Other than the prospectus in electronic format, the information on these websites is not part of this prospectus or the registration statement of which this prospectus form a part, has not been approved or endorsed by us or the underwriter, and should not be relied upon by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underwriter and its respective affiliates may in the future engage in investment banking and other commercial dealings in the ordinary course of business with us or our affiliates.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underwriter acted as our placement agent in connection with (i) our registered direct offering that was consummated on January 15, 2019, for which it received compensation, including a cash fee equal to 7.0% of the gross proceeds received by the Company from the sale of securities in such offering, a management fee equal to 1.0% of such gross proceeds, a non-accountable expense allowance of $25,000 for such offering, $75,000 for fees and expenses of legal counsel for such offering and warrants to purchase up to 22,767 shares of our common stock with an exercise price of $8.125 per share; (ii) our registered direct offering that was consummated on January 17, 2019, for which it received compensation, including a cash fee equal to 7.0% of the gross proceeds received by the Company from the sale of securities in such offering, a management fee equal to 1.0% of such gross proceeds, a non-accountable expense allowance of $20,000 for such offering, $50,000 for fees and expenses of legal counsel for such offering and warrants to purchase up to 29,500 shares of our common stock with an exercise price of $12.50 per share; (iii) our registered direct offering that was consummated on January 25, 2019, for which it received compensation, including a cash fee equal to 7.0% of the gross proceeds received by the Company from the sale of securities in such offering, a management fee equal to 1.0% of such gross proceeds, a non-accountable expense allowance of $70,000 and warrants to purchase up to 12,500 shares of our common stock with an exercise price of $12.50 per share, and (iv) the private placement of warrants that was consummated on January 25, 2019, for which it received compensation, including a cash fee equal to 7.0% of the gross proceeds received by the Company from the sale of securities in such offering and a management fee equal to 1.0% of such gross proceeds.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“MBOT.” We do not plan to list the pre-funded warrants or the Underwriter’s Warrants on The Nasdaq Capital Market or any other securities exchange or trading market.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Belgium</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offering is exclusively conducted under applicable private placement exemptions and therefore it has not been and will not be notified to, and this document or any other offering material relating to the securities has not been and will not be approved by, the Belgian Banking, Finance and Insurance Commission (“Commission bancaire, financière et des assurances/Commissie voor het Bank, Financie en Assurantiewezen”). Any representation to the contrary is unlawful.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923" w:gutter="0" w:footer="0" w:header="0"/>
        </w:sectPr>
      </w:pPr>
    </w:p>
    <w:bookmarkStart w:id="36" w:name="page37"/>
    <w:bookmarkEnd w:id="36"/>
    <w:p>
      <w:pPr>
        <w:jc w:val="both"/>
        <w:ind w:firstLine="648"/>
        <w:spacing w:after="0" w:line="291" w:lineRule="auto"/>
        <w:rPr>
          <w:sz w:val="20"/>
          <w:szCs w:val="20"/>
          <w:color w:val="auto"/>
        </w:rPr>
      </w:pPr>
      <w:r>
        <w:rPr>
          <w:rFonts w:ascii="Arial" w:cs="Arial" w:eastAsia="Arial" w:hAnsi="Arial"/>
          <w:sz w:val="16"/>
          <w:szCs w:val="16"/>
          <w:color w:val="auto"/>
        </w:rPr>
        <w:t>The underwriter has undertaken not to offer sell, resell, transfer or deliver directly or indirectly, any units, or to take any steps relating/ancillary thereto, and not to distribute or publish this document or any other material relating to the units or to the offering in a manner which would be construed as:</w:t>
      </w:r>
    </w:p>
    <w:p>
      <w:pPr>
        <w:jc w:val="both"/>
        <w:ind w:firstLine="8"/>
        <w:spacing w:after="0" w:line="255" w:lineRule="auto"/>
        <w:tabs>
          <w:tab w:leader="none" w:pos="25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public offering under the Belgian Royal Decree of 7 July 1999 on the public character of financial transactions; or (b) an offering of securities to the public under Directive 2003/71/EC which triggers an obligation to publish a prospectus in Belgium. Any action contrary to these restrictions will cause the recipient and the Company to be in violation of the Belgian securities laws.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Neither this prospectus nor any other offering material relating to the securities has been submitted to the clearance procedures of the Autorité des marchés financiers in France. The securities have not been offered or sold and will not be offered or sold, directly or indirectly, to the public in France. Neither this prospectus nor any other offering material relating to the securities has been or will be: (a) released, issued, distributed or caused to be released, issued or distributed to the public in France; or (b) used in connection with any offer for subscription or sale of the securities to the public in France. Such offers, sales and distributions will be made in France only: (i) to qualified investors (investisseurs qualifiés) and/or to a restricted circle of investors (cercle restreint d’investisseurs), in each case investing for their own account, all as defined in and in accordance with Articles L.411-2, D.411-1, D.411-2, D.734-1,D.744-1, D.754-1 and D.764-1 of the French Code monétaire et financier; (ii) to investment services providers authorised to engage in portfolio management on behalf of third parties; or (iii) in a transaction that, in accordance with article L.411-2-II-1°-or-2°-or 3° of the French Code monétaire et financier and article 211-2 of the General Regulations (Règlement Général) of the Autorité des marchés financiers, does not constitute a public offer (appel public à l’épargne). Such securities may be resold only in compliance with Articles L.411-1, L.411-2, L.412-1 and L.621-8 through L.621-8-3 of the French Code monétaire et financier.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Kingdom/Germany/Norway/The Netherlands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securities which are the subject of the offering contemplated by this prospectus may not be made in that Relevant Member State other than the offers contemplated in this prospectus in name(s) of Member State(s) where prospectus will be approved or passported for the purposes of a non-exempt offer once this prospectus has been approved by the competent authority in such Member State and published and passported in accordance with the Prospectus Directive as implemented in name(s) of relevant Member State(s) except that an offer to the public in that Relevant Member State of any security may be made at any time under the following exemptions under the Prospectus Directive, if they have been implemented in that Relevant Member State:</w:t>
      </w:r>
    </w:p>
    <w:p>
      <w:pPr>
        <w:spacing w:after="0" w:line="189" w:lineRule="exact"/>
        <w:rPr>
          <w:sz w:val="20"/>
          <w:szCs w:val="20"/>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legal entities which are authorised or regulated to operate in the financial markets or, if not so authorised or regulated, whose corporate purpose is solely to invest in securities;</w:t>
      </w:r>
    </w:p>
    <w:p>
      <w:pPr>
        <w:spacing w:after="0" w:line="17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 the representative to fewer than 100 natural or legal persons (other than qualified investors as defined in the Prospectus Directive); or</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units shall result in a requirement for the publication by the company or any underwriter of a prospectus pursuant to Article 3 of the Prospectus Directive.</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 the purposes of this provision, the expression an “offer to the public” in relation to any units in any Relevant Member State means the communication in any form and by any means of sufficient information on the terms of the offer and any units to be offered so as to enable an investor to decide to purchase any units,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underwriter has represented, warranted and agreed that:</w:t>
      </w:r>
    </w:p>
    <w:p>
      <w:pPr>
        <w:spacing w:after="0" w:line="225" w:lineRule="exact"/>
        <w:rPr>
          <w:sz w:val="20"/>
          <w:szCs w:val="20"/>
          <w:color w:val="auto"/>
        </w:rPr>
      </w:pPr>
    </w:p>
    <w:p>
      <w:pPr>
        <w:jc w:val="both"/>
        <w:ind w:left="340" w:hanging="332"/>
        <w:spacing w:after="0" w:line="286"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any invitation or inducement to engage in investment activity (within the meaning of section 21 of the Financial Services and Markets Act 2000 (the FSMA)) received by it in connection with the issue or sale of any units in circumstances in which section 21(1) of the FSMA does not apply to the company; and</w:t>
      </w:r>
    </w:p>
    <w:p>
      <w:pPr>
        <w:spacing w:after="0" w:line="165"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Israel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qualified investors. Qualified investors will be required to submit written confirmation that they fall within the scope of the Addendum.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Italy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offering of the securities offered hereby in Italy has not been registered with the Commissione Nazionale per la Società e la Borsa (“CONSOB”) pursuant to Italian securities legislation and, accordingly, the securities offered hereby cannot be offered, sold or delivered in the Republic of Italy (“Italy”) nor may any copy of this prospectus or any other document relating to the securities offered hereby be distributed in Italy other than to professional investors (operatori qualificati) as defined in Article 31, second paragraph, of CONSOB Regulation No. 11522 of 1 July, 1998 as subsequently amended. Any offer, sale or delivery of the securities offered hereby or distribution of copies of this prospectus or any other document relating to the securities offered hereby in Italy must be made:</w:t>
      </w:r>
    </w:p>
    <w:p>
      <w:pPr>
        <w:spacing w:after="0" w:line="193" w:lineRule="exact"/>
        <w:rPr>
          <w:sz w:val="20"/>
          <w:szCs w:val="20"/>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an investment firm, bank or intermediary permitted to conduct such activities in Italy in accordance with Legislative Decree No. 58 of 24 February 1998 and Legislative Decree No. 385 of 1 September 1993 (the “Banking Act”);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compliance with Article 129 of the Banking Act and the implementing guidelines of the Bank of Italy;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compliance with any other applicable laws and regulations and other possible requirements or limitations which may be imposed by Italian authorities.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Sweden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prospectus has not been nor will it be registered with or approved by Finansinspektionen (the Swedish Financial Supervisory Authority). Accordingly, this prospectus may not be made available, nor may the securities offered hereunder be marketed and offered for sale in Sweden, other than under circumstances which are deemed not to require a prospectus under the Financial Instruments Trading Act (1991: 980).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Switzerland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securities offered pursuant to this prospectus will not be offered, directly or indirectly, to the public in Switzerland and this prospectus does not constitute a public offering prospectus as that term is understood pursuant to art. 652a or art. 1156 of the Swiss Federal Code of Obligations. The company has not applied for a listing of the securities being offered pursuant to this prospectus on the SWX Swiss Exchange or on any other regulated securities market, and consequently, the information presented in this prospectus does not necessarily comply with the information standards set out in the relevant listing rules. The securities being offered pursuant to this prospectus have not been registered with the Swiss Federal Banking Commission as foreign investment funds, and the investor protection afforded to acquirers of investment fund certificates does not extend to acquirers of securities.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Investors are advised to contact their legal, financial or tax advisers to obtain an independent assessment of the financial and tax consequences of an investment in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validity of the securities being offered by this prospectus will be passed upon for us by Mintz, Levin, Cohn, Ferris, Glovsky and Popeo P.C., Boston, Massachusetts. The underwriter is being represented by Lowenstein Sandler, LLP,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Microbot Medical Inc. appearing it its Annual Report on Form 10-K for the year ended December 31, 2017, have been audited by Brightman Almagor Zohar &amp; Co., a Member of Deloitte Touche Tohmatsu Limited,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securities being offered by this prospectus. This prospectus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subject to the information and periodic reporting requirements of the Exchange Act, and we file periodic reports, proxy statements and other information with the SEC. These periodic reports, proxy statements and other information are available for inspection and copying at the public reference room and website of the SEC referred to above. We maintain a website at www.microbotmedical.com.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information contained in, or that can be accessed through, our website is not incorporated by reference in, and is not part of, this prospectus.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6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incorporate by reference into this prospectus and the registration statement of which this prospectus is a part the information or documents listed below that we have filed with the SEC (Commission File No. 001-19871):</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 filed with the SEC on April 2, 2018;</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2018, June 30, 2018 and September 30, 2018, filed with the SEC on May 15, 2018, August 14, 2018, and November 14, 2018 respectively;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with the SEC on July 27, 2018;</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current reports on Form 8-K and any amendments thereto on Form 8-K/A, filed with the SEC on January 8, 2018; January 31, 2018; March 28, 2018; April 5, 2018; April 16, 2018; September 4, 2018, October 1, 2018, November 19, 2018, November 30, 2018 ; December 12, 2018 ; January 14, 2019; January 16, 2019; January 17, 2019; January 25, 2019; and February 5, 2019 (in each case, except for information contained therein which is furnished rather than filed); and</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August 3, 1998, including all amendments and reports filed for the purpose of updating such description.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9" w:name="page40"/>
    <w:bookmarkEnd w:id="39"/>
    <w:p>
      <w:pPr>
        <w:jc w:val="both"/>
        <w:ind w:right="20" w:firstLine="324"/>
        <w:spacing w:after="0" w:line="308" w:lineRule="auto"/>
        <w:rPr>
          <w:sz w:val="20"/>
          <w:szCs w:val="20"/>
          <w:color w:val="auto"/>
        </w:rPr>
      </w:pPr>
      <w:r>
        <w:rPr>
          <w:rFonts w:ascii="Arial" w:cs="Arial" w:eastAsia="Arial" w:hAnsi="Arial"/>
          <w:sz w:val="17"/>
          <w:szCs w:val="17"/>
          <w:color w:val="auto"/>
        </w:rPr>
        <w:t>In addition, all documents subsequently filed by us pursuant to Sections 13(a), 13(c), 14 or 15(d) of the Exchange Act, prior to the termination of the offering (excluding any information furnished rather than filed) shall be deemed to be incorporated by reference into this prospectus.</w:t>
      </w:r>
    </w:p>
    <w:p>
      <w:pPr>
        <w:spacing w:after="0" w:line="14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will provide to each person, including any beneficial owners, to whom a prospectus is delivered, a copy of any or all of the reports or documents that have been incorporated by reference in the prospectus contained in the registration statement but not delivered with the prospectus. We will provide these reports or documents upon written or oral request at no cost to the requester. You should direct any written requests for documents to Microbot Medical Inc. Attn: Chief Financial Officer, 25 Recreation Park Drive, Unit 108, Hingham, Massachusetts 02043. You may also telephone us at (781) 875-3605.</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60" w:type="dxa"/>
            <w:vAlign w:val="bottom"/>
            <w:gridSpan w:val="9"/>
          </w:tcPr>
          <w:p>
            <w:pPr>
              <w:jc w:val="center"/>
              <w:ind w:right="3580"/>
              <w:spacing w:after="0"/>
              <w:rPr>
                <w:sz w:val="20"/>
                <w:szCs w:val="20"/>
                <w:color w:val="auto"/>
              </w:rPr>
            </w:pPr>
            <w:r>
              <w:rPr>
                <w:rFonts w:ascii="Arial" w:cs="Arial" w:eastAsia="Arial" w:hAnsi="Arial"/>
                <w:sz w:val="18"/>
                <w:szCs w:val="18"/>
                <w:b w:val="1"/>
                <w:bCs w:val="1"/>
                <w:color w:val="auto"/>
              </w:rPr>
              <w:t>MICROBOT MEDICAL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40" w:type="dxa"/>
            <w:vAlign w:val="bottom"/>
            <w:gridSpan w:val="12"/>
          </w:tcPr>
          <w:p>
            <w:pPr>
              <w:jc w:val="center"/>
              <w:ind w:right="180"/>
              <w:spacing w:after="0"/>
              <w:rPr>
                <w:sz w:val="20"/>
                <w:szCs w:val="20"/>
                <w:color w:val="auto"/>
              </w:rPr>
            </w:pPr>
            <w:r>
              <w:rPr>
                <w:rFonts w:ascii="Arial" w:cs="Arial" w:eastAsia="Arial" w:hAnsi="Arial"/>
                <w:sz w:val="18"/>
                <w:szCs w:val="18"/>
                <w:b w:val="1"/>
                <w:bCs w:val="1"/>
                <w:color w:val="auto"/>
              </w:rPr>
              <w:t>INDEX TO CONSOLIDATED FINANCIAL STATEMENTS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3"/>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Report of Independent Registered Public Accounting Firm</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3"/>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Consolidated Balance Sheets as of December 31, 2017, and 2016</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1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Consolidated Statements of Comprehensive Loss for the years ended December 31, 2017 and 2016</w:t>
              </w:r>
            </w:hyperlink>
          </w:p>
        </w:tc>
        <w:tc>
          <w:tcPr>
            <w:tcW w:w="364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3"/>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Consolidated Statements of Shareholders’ Equity (Deficit) for the years ended December 31, 2017 and 2016</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3"/>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Consolidated Statements of Cash Flows for the years ended December 31, 2017 and 2016</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4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Notes to the Consolidated Financial Statements</w:t>
              </w:r>
            </w:hyperlink>
          </w:p>
        </w:tc>
        <w:tc>
          <w:tcPr>
            <w:tcW w:w="432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3"/>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Interim Consolidated Balance Sheets as of September 30, 2018 (unaudited) and December 31, 2017</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1"/>
              </w:rPr>
              <w:t>F-29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3"/>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Interim Consolidated Statements of Comprehensive Loss for the three and nine months ended September 30, 2018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3"/>
          </w:tcPr>
          <w:p>
            <w:pPr>
              <w:spacing w:after="0" w:line="17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Interim Consolidated Statements of Shareholders’ Equity for the year ended December 31, 2018 and the nine months ended September 30, 2018</w:t>
              </w:r>
            </w:hyperlink>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4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(unaudited)</w:t>
              </w:r>
            </w:hyperlink>
          </w:p>
        </w:tc>
        <w:tc>
          <w:tcPr>
            <w:tcW w:w="38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1"/>
              </w:rPr>
              <w:t>F-31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3"/>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Interim Consolidated Statements of Cash Flows for the three and nine months ended September 30, 2018 and 2017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4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Notes to the Interim Consolidated Financial Statements</w:t>
              </w:r>
            </w:hyperlink>
          </w:p>
        </w:tc>
        <w:tc>
          <w:tcPr>
            <w:tcW w:w="162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1"/>
              </w:rPr>
              <w:t>F-33</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258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gridSpan w:val="8"/>
          </w:tcPr>
          <w:p>
            <w:pPr>
              <w:jc w:val="center"/>
              <w:ind w:right="4060"/>
              <w:spacing w:after="0"/>
              <w:rPr>
                <w:sz w:val="20"/>
                <w:szCs w:val="20"/>
                <w:color w:val="auto"/>
              </w:rPr>
            </w:pPr>
            <w:r>
              <w:rPr>
                <w:rFonts w:ascii="Arial" w:cs="Arial" w:eastAsia="Arial" w:hAnsi="Arial"/>
                <w:sz w:val="18"/>
                <w:szCs w:val="18"/>
                <w:color w:val="auto"/>
                <w:w w:val="96"/>
              </w:rPr>
              <w:t>F-1</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41" w:name="page42"/>
    <w:bookmarkEnd w:id="41"/>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2143760" cy="4718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2143760" cy="471805"/>
                    </a:xfrm>
                    <a:prstGeom prst="rect">
                      <a:avLst/>
                    </a:prstGeom>
                    <a:noFill/>
                  </pic:spPr>
                </pic:pic>
              </a:graphicData>
            </a:graphic>
          </wp:anchor>
        </w:drawing>
      </w:r>
    </w:p>
    <w:p>
      <w:pPr>
        <w:ind w:right="5260"/>
        <w:spacing w:after="0" w:line="266" w:lineRule="auto"/>
        <w:rPr>
          <w:sz w:val="20"/>
          <w:szCs w:val="20"/>
          <w:color w:val="auto"/>
        </w:rPr>
      </w:pPr>
      <w:r>
        <w:rPr>
          <w:rFonts w:ascii="Arial" w:cs="Arial" w:eastAsia="Arial" w:hAnsi="Arial"/>
          <w:sz w:val="18"/>
          <w:szCs w:val="18"/>
          <w:b w:val="1"/>
          <w:bCs w:val="1"/>
          <w:color w:val="auto"/>
        </w:rPr>
        <w:t>REPORT OF INDEPENDENT REGISTERED PUBLIC ACCOUNTING FIRM To the Board of Directors and Stockholders of MICROBOT MEDICAL,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consolidated balance sheets of Microbot Medical, Inc. and its subsidiary (the “Company”) as of December 31, 2017 and 2016 and the related consolidated statements of comprehensive loss, stockholders’ equity and cash flows for each of the two years in the period ended December 31, 2017, and the related notes (collectively referred to as the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present fairly, in all material respects, the financial position of the Company as of December 31, 2017 and 2016, and the results of its operations and its cash flows for each of the two years in the period ended December 31, 2017, in conformity with accounting principles generally accepted in the United States of America.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Brightman Almagor Zohar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277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Member of Deloitte Touche Tohmatsu Limited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2018, except Note 1D, as to which the date is November 8,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402580" cy="15265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0258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Note</w:t>
            </w: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10,787</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Other current assets</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116</w:t>
            </w:r>
          </w:p>
        </w:tc>
        <w:tc>
          <w:tcPr>
            <w:tcW w:w="6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tcBorders>
              <w:bottom w:val="single" w:sz="8" w:color="CCEEFF"/>
            </w:tcBorders>
            <w:gridSpan w:val="2"/>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24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80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450</w:t>
            </w:r>
          </w:p>
        </w:tc>
        <w:tc>
          <w:tcPr>
            <w:tcW w:w="6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Convertible notes</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warrant liability</w:t>
            </w: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CCEEFF"/>
              <w:bottom w:val="single" w:sz="8" w:color="CCEEFF"/>
            </w:tcBorders>
          </w:tcPr>
          <w:p>
            <w:pPr>
              <w:spacing w:after="0"/>
              <w:rPr>
                <w:sz w:val="18"/>
                <w:szCs w:val="18"/>
                <w:color w:val="auto"/>
              </w:rPr>
            </w:pPr>
          </w:p>
        </w:tc>
        <w:tc>
          <w:tcPr>
            <w:tcW w:w="3240" w:type="dxa"/>
            <w:vAlign w:val="bottom"/>
            <w:tcBorders>
              <w:top w:val="single" w:sz="8" w:color="CCEEFF"/>
              <w:bottom w:val="single" w:sz="8" w:color="CCEEFF"/>
            </w:tcBorders>
          </w:tcPr>
          <w:p>
            <w:pPr>
              <w:spacing w:after="0"/>
              <w:rPr>
                <w:sz w:val="18"/>
                <w:szCs w:val="18"/>
                <w:color w:val="auto"/>
              </w:rPr>
            </w:pPr>
          </w:p>
        </w:tc>
        <w:tc>
          <w:tcPr>
            <w:tcW w:w="2040" w:type="dxa"/>
            <w:vAlign w:val="bottom"/>
            <w:tcBorders>
              <w:top w:val="single" w:sz="8" w:color="CCEEFF"/>
              <w:bottom w:val="single" w:sz="8" w:color="CCEEFF"/>
            </w:tcBorders>
          </w:tcPr>
          <w:p>
            <w:pPr>
              <w:spacing w:after="0"/>
              <w:rPr>
                <w:sz w:val="18"/>
                <w:szCs w:val="18"/>
                <w:color w:val="auto"/>
              </w:rPr>
            </w:pPr>
          </w:p>
        </w:tc>
        <w:tc>
          <w:tcPr>
            <w:tcW w:w="104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w:t>
            </w:r>
          </w:p>
        </w:tc>
        <w:tc>
          <w:tcPr>
            <w:tcW w:w="320" w:type="dxa"/>
            <w:vAlign w:val="bottom"/>
            <w:tcBorders>
              <w:top w:val="single" w:sz="8" w:color="CCEEFF"/>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556</w:t>
            </w:r>
          </w:p>
        </w:tc>
        <w:tc>
          <w:tcPr>
            <w:tcW w:w="6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Temporary equity:</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of $0.01 par value; issued and outstanding: 721,107 shares as</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 December 31, 2017 and 2016</w:t>
            </w: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3"/>
          </w:tcPr>
          <w:p>
            <w:pPr>
              <w:spacing w:after="0" w:line="201" w:lineRule="exact"/>
              <w:rPr>
                <w:sz w:val="20"/>
                <w:szCs w:val="20"/>
                <w:color w:val="auto"/>
              </w:rPr>
            </w:pPr>
            <w:r>
              <w:rPr>
                <w:rFonts w:ascii="Arial" w:cs="Arial" w:eastAsia="Arial" w:hAnsi="Arial"/>
                <w:sz w:val="18"/>
                <w:szCs w:val="18"/>
                <w:color w:val="auto"/>
              </w:rPr>
              <w:t>Preferred stock of $0.01 par value; Authorized: 1,000,000 shares as of</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4"/>
          </w:tcPr>
          <w:p>
            <w:pPr>
              <w:spacing w:after="0"/>
              <w:rPr>
                <w:sz w:val="20"/>
                <w:szCs w:val="20"/>
                <w:color w:val="auto"/>
              </w:rPr>
            </w:pPr>
            <w:r>
              <w:rPr>
                <w:rFonts w:ascii="Arial" w:cs="Arial" w:eastAsia="Arial" w:hAnsi="Arial"/>
                <w:sz w:val="18"/>
                <w:szCs w:val="18"/>
                <w:color w:val="auto"/>
                <w:w w:val="94"/>
              </w:rPr>
              <w:t>December 31, 2017 and 2016;issued and outstanding: 4,001 and 9,736 shares</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gridSpan w:val="4"/>
          </w:tcPr>
          <w:p>
            <w:pPr>
              <w:spacing w:after="0"/>
              <w:rPr>
                <w:sz w:val="20"/>
                <w:szCs w:val="20"/>
                <w:color w:val="auto"/>
              </w:rPr>
            </w:pPr>
            <w:r>
              <w:rPr>
                <w:rFonts w:ascii="Arial" w:cs="Arial" w:eastAsia="Arial" w:hAnsi="Arial"/>
                <w:sz w:val="18"/>
                <w:szCs w:val="18"/>
                <w:color w:val="auto"/>
              </w:rPr>
              <w:t>as of December 31, 2017 and 2016, respectively</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of $0.01 par value; Authorized: 220,000,000 as of December</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31, 2017 and 2016; issued and outstanding (**): 2,013,193 and 1,067,777</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as of December 31, 2017, and December 31, 2016, respectively</w:t>
            </w: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6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30,561</w:t>
            </w:r>
          </w:p>
        </w:tc>
        <w:tc>
          <w:tcPr>
            <w:tcW w:w="6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14,713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(20,624)</w:t>
            </w:r>
          </w:p>
        </w:tc>
        <w:tc>
          <w:tcPr>
            <w:tcW w:w="64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 w:type="dxa"/>
            <w:vAlign w:val="bottom"/>
            <w:tcBorders>
              <w:top w:val="single" w:sz="8" w:color="CCEEFF"/>
              <w:bottom w:val="single" w:sz="8" w:color="CCEEFF"/>
            </w:tcBorders>
          </w:tcPr>
          <w:p>
            <w:pPr>
              <w:spacing w:after="0"/>
              <w:rPr>
                <w:sz w:val="22"/>
                <w:szCs w:val="22"/>
                <w:color w:val="auto"/>
              </w:rPr>
            </w:pPr>
          </w:p>
        </w:tc>
        <w:tc>
          <w:tcPr>
            <w:tcW w:w="3240" w:type="dxa"/>
            <w:vAlign w:val="bottom"/>
            <w:tcBorders>
              <w:top w:val="single" w:sz="8" w:color="CCEEFF"/>
              <w:bottom w:val="single" w:sz="8" w:color="CCEEFF"/>
            </w:tcBorders>
          </w:tcPr>
          <w:p>
            <w:pPr>
              <w:spacing w:after="0"/>
              <w:rPr>
                <w:sz w:val="22"/>
                <w:szCs w:val="22"/>
                <w:color w:val="auto"/>
              </w:rPr>
            </w:pPr>
          </w:p>
        </w:tc>
        <w:tc>
          <w:tcPr>
            <w:tcW w:w="2040" w:type="dxa"/>
            <w:vAlign w:val="bottom"/>
            <w:tcBorders>
              <w:top w:val="single" w:sz="8" w:color="CCEEFF"/>
              <w:bottom w:val="single" w:sz="8" w:color="CCEEFF"/>
            </w:tcBorders>
          </w:tcPr>
          <w:p>
            <w:pPr>
              <w:spacing w:after="0"/>
              <w:rPr>
                <w:sz w:val="22"/>
                <w:szCs w:val="22"/>
                <w:color w:val="auto"/>
              </w:rPr>
            </w:pPr>
          </w:p>
        </w:tc>
        <w:tc>
          <w:tcPr>
            <w:tcW w:w="104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CCEEFF"/>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9,964</w:t>
            </w:r>
          </w:p>
        </w:tc>
        <w:tc>
          <w:tcPr>
            <w:tcW w:w="320" w:type="dxa"/>
            <w:vAlign w:val="bottom"/>
            <w:tcBorders>
              <w:top w:val="single" w:sz="8" w:color="CCEEFF"/>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8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11,020</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3,368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firstLine="8"/>
        <w:spacing w:after="0" w:line="261" w:lineRule="auto"/>
        <w:tabs>
          <w:tab w:leader="none" w:pos="3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December 31 2017 and 2016 share data represents the number of shares adjusted to retroactively reflect the 1:15 reverse Stock Split effected on September 4, 2018, as discussed in Note 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Years ended</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Note</w:t>
            </w: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1,100</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4,167</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expenses, net</w:t>
            </w: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(7,589)</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Weighted-average number of common shares outstanding, basic and</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t>
            </w:r>
          </w:p>
        </w:tc>
        <w:tc>
          <w:tcPr>
            <w:tcW w:w="10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2,201,992</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9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December 31 2017 and 2016 share data represents the number of shares adjusted to retroactively reflect the 1:15 reverse Stock Split effected on September 4, 2018, as discussed in Note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58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Preferred A Shares –</w:t>
            </w:r>
          </w:p>
        </w:tc>
        <w:tc>
          <w:tcPr>
            <w:tcW w:w="60" w:type="dxa"/>
            <w:vAlign w:val="bottom"/>
          </w:tcPr>
          <w:p>
            <w:pPr>
              <w:spacing w:after="0"/>
              <w:rPr>
                <w:sz w:val="14"/>
                <w:szCs w:val="14"/>
                <w:color w:val="auto"/>
              </w:rPr>
            </w:pPr>
          </w:p>
        </w:tc>
        <w:tc>
          <w:tcPr>
            <w:tcW w:w="98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w w:val="94"/>
              </w:rPr>
              <w:t>Preferred A</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8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Shares – Microbot</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580" w:type="dxa"/>
            <w:vAlign w:val="bottom"/>
            <w:gridSpan w:val="6"/>
          </w:tcPr>
          <w:p>
            <w:pPr>
              <w:jc w:val="center"/>
              <w:ind w:right="120"/>
              <w:spacing w:after="0" w:line="158" w:lineRule="exact"/>
              <w:rPr>
                <w:sz w:val="20"/>
                <w:szCs w:val="20"/>
                <w:color w:val="auto"/>
              </w:rPr>
            </w:pPr>
            <w:r>
              <w:rPr>
                <w:rFonts w:ascii="Arial" w:cs="Arial" w:eastAsia="Arial" w:hAnsi="Arial"/>
                <w:sz w:val="14"/>
                <w:szCs w:val="14"/>
                <w:b w:val="1"/>
                <w:bCs w:val="1"/>
                <w:color w:val="auto"/>
                <w:w w:val="98"/>
              </w:rPr>
              <w:t>Microbot Medical Ltd.</w:t>
            </w:r>
          </w:p>
        </w:tc>
        <w:tc>
          <w:tcPr>
            <w:tcW w:w="60" w:type="dxa"/>
            <w:vAlign w:val="bottom"/>
          </w:tcPr>
          <w:p>
            <w:pPr>
              <w:spacing w:after="0"/>
              <w:rPr>
                <w:sz w:val="13"/>
                <w:szCs w:val="13"/>
                <w:color w:val="auto"/>
              </w:rPr>
            </w:pPr>
          </w:p>
        </w:tc>
        <w:tc>
          <w:tcPr>
            <w:tcW w:w="980" w:type="dxa"/>
            <w:vAlign w:val="bottom"/>
            <w:gridSpan w:val="3"/>
          </w:tcPr>
          <w:p>
            <w:pPr>
              <w:jc w:val="center"/>
              <w:ind w:left="108"/>
              <w:spacing w:after="0" w:line="158" w:lineRule="exact"/>
              <w:rPr>
                <w:sz w:val="20"/>
                <w:szCs w:val="20"/>
                <w:color w:val="auto"/>
              </w:rPr>
            </w:pPr>
            <w:r>
              <w:rPr>
                <w:rFonts w:ascii="Arial" w:cs="Arial" w:eastAsia="Arial" w:hAnsi="Arial"/>
                <w:sz w:val="14"/>
                <w:szCs w:val="14"/>
                <w:b w:val="1"/>
                <w:bCs w:val="1"/>
                <w:color w:val="auto"/>
                <w:w w:val="95"/>
              </w:rPr>
              <w:t>Medical Inc.</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5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6"/>
              </w:rPr>
              <w:t>(Pre - merger) *</w:t>
            </w:r>
          </w:p>
        </w:tc>
        <w:tc>
          <w:tcPr>
            <w:tcW w:w="60" w:type="dxa"/>
            <w:vAlign w:val="bottom"/>
          </w:tcPr>
          <w:p>
            <w:pPr>
              <w:spacing w:after="0"/>
              <w:rPr>
                <w:sz w:val="17"/>
                <w:szCs w:val="17"/>
                <w:color w:val="auto"/>
              </w:rPr>
            </w:pPr>
          </w:p>
        </w:tc>
        <w:tc>
          <w:tcPr>
            <w:tcW w:w="13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(Post - merger) *</w:t>
            </w:r>
          </w:p>
        </w:tc>
        <w:tc>
          <w:tcPr>
            <w:tcW w:w="17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Common Stock (***)</w:t>
            </w:r>
          </w:p>
        </w:tc>
        <w:tc>
          <w:tcPr>
            <w:tcW w:w="10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paid-in</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shareholders’</w:t>
            </w:r>
          </w:p>
        </w:tc>
        <w:tc>
          <w:tcPr>
            <w:tcW w:w="60" w:type="dxa"/>
            <w:vAlign w:val="bottom"/>
          </w:tcPr>
          <w:p>
            <w:pPr>
              <w:spacing w:after="0"/>
              <w:rPr>
                <w:sz w:val="17"/>
                <w:szCs w:val="17"/>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Temporary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4"/>
                <w:szCs w:val="14"/>
                <w:color w:val="auto"/>
              </w:rPr>
            </w:pPr>
          </w:p>
        </w:tc>
        <w:tc>
          <w:tcPr>
            <w:tcW w:w="10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5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8,708,132</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87</w:t>
            </w: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888,188</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3,212</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(3,372)</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(64)</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 convertible notes and exercise of</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warrants issued upon conversion</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4,746,237</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1,803</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1,851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Effect of reverse recapitalization</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(13,454,369)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w:t>
            </w: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1,030,957</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597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classified as temporary equity</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line="130" w:lineRule="exact"/>
              <w:rPr>
                <w:sz w:val="20"/>
                <w:szCs w:val="20"/>
                <w:color w:val="auto"/>
              </w:rPr>
            </w:pPr>
            <w:r>
              <w:rPr>
                <w:rFonts w:ascii="Arial" w:cs="Arial" w:eastAsia="Arial" w:hAnsi="Arial"/>
                <w:sz w:val="14"/>
                <w:szCs w:val="14"/>
                <w:color w:val="auto"/>
              </w:rPr>
              <w:t>Beneficial Conversion Feature recorded on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gridSpan w:val="2"/>
          </w:tcPr>
          <w:p>
            <w:pPr>
              <w:spacing w:after="0"/>
              <w:rPr>
                <w:sz w:val="20"/>
                <w:szCs w:val="20"/>
                <w:color w:val="auto"/>
              </w:rPr>
            </w:pPr>
            <w:r>
              <w:rPr>
                <w:rFonts w:ascii="Arial" w:cs="Arial" w:eastAsia="Arial" w:hAnsi="Arial"/>
                <w:sz w:val="14"/>
                <w:szCs w:val="14"/>
                <w:color w:val="auto"/>
                <w:w w:val="96"/>
              </w:rPr>
              <w:t>convertible debt acquired in reverse recapitalization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2,029</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2,029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Transaction costs incurred in reverse</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recapitalization</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525,706</w:t>
            </w: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6,890</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6,895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line="130" w:lineRule="exact"/>
              <w:rPr>
                <w:sz w:val="20"/>
                <w:szCs w:val="20"/>
                <w:color w:val="auto"/>
              </w:rPr>
            </w:pPr>
            <w:r>
              <w:rPr>
                <w:rFonts w:ascii="Arial" w:cs="Arial" w:eastAsia="Arial" w:hAnsi="Arial"/>
                <w:sz w:val="14"/>
                <w:szCs w:val="14"/>
                <w:color w:val="auto"/>
              </w:rPr>
              <w:t>Cancellation of ordinary shares and issuance of</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9,736</w:t>
            </w:r>
          </w:p>
        </w:tc>
        <w:tc>
          <w:tcPr>
            <w:tcW w:w="3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(655,967)</w:t>
            </w:r>
          </w:p>
        </w:tc>
        <w:tc>
          <w:tcPr>
            <w:tcW w:w="20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based compensation</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(9,663)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(9,663)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46"/>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Balances, December 31, 2016</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9,736</w:t>
            </w:r>
          </w:p>
        </w:tc>
        <w:tc>
          <w:tcPr>
            <w:tcW w:w="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(**)1,788,884</w:t>
            </w:r>
          </w:p>
        </w:tc>
        <w:tc>
          <w:tcPr>
            <w:tcW w:w="20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14,713</w:t>
            </w:r>
          </w:p>
        </w:tc>
        <w:tc>
          <w:tcPr>
            <w:tcW w:w="1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(13,035)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1,696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299,815</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12,699</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12,702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8,085</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479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options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31,787</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Cashless exercise of warrants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Extinguishment of convertible notes and issuance</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of preferred A shares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3,255</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2,676</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2,676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w w:val="96"/>
              </w:rPr>
              <w:t>Conversion of preferred A shares to common stock</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(8,990)</w:t>
            </w:r>
          </w:p>
        </w:tc>
        <w:tc>
          <w:tcPr>
            <w:tcW w:w="3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605,705</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(7,589)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(7,589)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8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Balances, December 31, 2017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4,001</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**2,734,300</w:t>
            </w:r>
          </w:p>
        </w:tc>
        <w:tc>
          <w:tcPr>
            <w:tcW w:w="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27</w:t>
            </w: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30,561</w:t>
            </w:r>
          </w:p>
        </w:tc>
        <w:tc>
          <w:tcPr>
            <w:tcW w:w="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2"/>
                <w:szCs w:val="12"/>
                <w:b w:val="1"/>
                <w:bCs w:val="1"/>
                <w:color w:val="auto"/>
              </w:rPr>
              <w:t>(20,624</w:t>
            </w:r>
            <w:r>
              <w:rPr>
                <w:rFonts w:ascii="Arial" w:cs="Arial" w:eastAsia="Arial" w:hAnsi="Arial"/>
                <w:sz w:val="20"/>
                <w:szCs w:val="20"/>
                <w:b w:val="1"/>
                <w:bCs w:val="1"/>
                <w:color w:val="auto"/>
                <w:vertAlign w:val="superscript"/>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9,964</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jc w:val="both"/>
        <w:ind w:firstLine="8"/>
        <w:spacing w:after="0" w:line="250" w:lineRule="auto"/>
        <w:tabs>
          <w:tab w:leader="none" w:pos="157"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 data for periods prior to the reverse recapitalization represents the legal equity structure of Microbot Ltd. with the number of shares adjusted to retroactively reflect the one-to-nine Reverse Stock Split effected on November 28, 2016 as well as the reverse recapitalization consummated on November 28, 2016.</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Includes 721,107 common stock classified as temporary equity.</w:t>
      </w:r>
    </w:p>
    <w:p>
      <w:pPr>
        <w:spacing w:after="0" w:line="9" w:lineRule="exact"/>
        <w:rPr>
          <w:rFonts w:ascii="Arial" w:cs="Arial" w:eastAsia="Arial" w:hAnsi="Arial"/>
          <w:sz w:val="18"/>
          <w:szCs w:val="18"/>
          <w:color w:val="auto"/>
        </w:rPr>
      </w:pPr>
    </w:p>
    <w:p>
      <w:pPr>
        <w:ind w:right="20"/>
        <w:spacing w:after="0" w:line="261" w:lineRule="auto"/>
        <w:rPr>
          <w:rFonts w:ascii="Arial" w:cs="Arial" w:eastAsia="Arial" w:hAnsi="Arial"/>
          <w:sz w:val="18"/>
          <w:szCs w:val="18"/>
          <w:color w:val="auto"/>
        </w:rPr>
      </w:pPr>
      <w:r>
        <w:rPr>
          <w:rFonts w:ascii="Arial" w:cs="Arial" w:eastAsia="Arial" w:hAnsi="Arial"/>
          <w:sz w:val="18"/>
          <w:szCs w:val="18"/>
          <w:color w:val="auto"/>
        </w:rPr>
        <w:t>(***) December 31 2017, 2016 and 2015 share data represent the number of shares adjusted to retroactively reflect the 1:15 reverse Stock Split effected on September 4, 2018, as discussed in Note 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Years ended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2"/>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(7,589)</w:t>
            </w: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ind w:left="16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Interest and amortization of discount on convertible notes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ind w:left="160"/>
              <w:spacing w:after="0"/>
              <w:rPr>
                <w:sz w:val="20"/>
                <w:szCs w:val="20"/>
                <w:color w:val="auto"/>
              </w:rPr>
            </w:pPr>
            <w:r>
              <w:rPr>
                <w:rFonts w:ascii="Arial" w:cs="Arial" w:eastAsia="Arial" w:hAnsi="Arial"/>
                <w:sz w:val="18"/>
                <w:szCs w:val="18"/>
                <w:color w:val="auto"/>
              </w:rPr>
              <w:t>Share-based transaction costs incurred in reverse recapitalization</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Financing loss on debt extinguishment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ind w:left="160"/>
              <w:spacing w:after="0"/>
              <w:rPr>
                <w:sz w:val="20"/>
                <w:szCs w:val="20"/>
                <w:color w:val="auto"/>
              </w:rPr>
            </w:pPr>
            <w:r>
              <w:rPr>
                <w:rFonts w:ascii="Arial" w:cs="Arial" w:eastAsia="Arial" w:hAnsi="Arial"/>
                <w:sz w:val="18"/>
                <w:szCs w:val="18"/>
                <w:color w:val="auto"/>
              </w:rPr>
              <w:t>Changes in fair value of derivative warrant liability</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ind w:left="16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gridSpan w:val="6"/>
          </w:tcPr>
          <w:p>
            <w:pPr>
              <w:ind w:left="340"/>
              <w:spacing w:after="0"/>
              <w:rPr>
                <w:sz w:val="20"/>
                <w:szCs w:val="20"/>
                <w:color w:val="auto"/>
              </w:rPr>
            </w:pPr>
            <w:r>
              <w:rPr>
                <w:rFonts w:ascii="Arial" w:cs="Arial" w:eastAsia="Arial" w:hAnsi="Arial"/>
                <w:sz w:val="18"/>
                <w:szCs w:val="18"/>
                <w:color w:val="auto"/>
              </w:rPr>
              <w:t>Other payables and accrued liabilities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60" w:type="dxa"/>
            <w:vAlign w:val="bottom"/>
            <w:gridSpan w:val="6"/>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(4,856)</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6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INVESTMENT ACTIVITIES</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Increase in restricted cash</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Acquisition of a subsidiary in connection with reverse recapitalization</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Transaction costs incurred in reverse recapitalization</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2"/>
              </w:rPr>
              <w:t>Inflows in connection with current assets and liabilities acquired in reverse recapitalization, net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Exercise of warrants issued upon conversion of notes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Issuance of common stock, net of issuance costs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12,702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Issuance of convertible notes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960" w:type="dxa"/>
            <w:vAlign w:val="bottom"/>
            <w:gridSpan w:val="6"/>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13,019</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8,078</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60" w:type="dxa"/>
            <w:vAlign w:val="bottom"/>
            <w:gridSpan w:val="6"/>
          </w:tcPr>
          <w:p>
            <w:pPr>
              <w:spacing w:after="0"/>
              <w:rPr>
                <w:sz w:val="20"/>
                <w:szCs w:val="20"/>
                <w:color w:val="auto"/>
              </w:rPr>
            </w:pPr>
            <w:r>
              <w:rPr>
                <w:rFonts w:ascii="Arial" w:cs="Arial" w:eastAsia="Arial" w:hAnsi="Arial"/>
                <w:sz w:val="18"/>
                <w:szCs w:val="18"/>
                <w:b w:val="1"/>
                <w:bCs w:val="1"/>
                <w:color w:val="auto"/>
              </w:rPr>
              <w:t>Cash and cash equivalents at the beginning of the year</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2,709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960" w:type="dxa"/>
            <w:vAlign w:val="bottom"/>
            <w:gridSpan w:val="6"/>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142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10,787</w:t>
            </w: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6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2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Non-cash financing transactions:</w:t>
            </w:r>
          </w:p>
        </w:tc>
        <w:tc>
          <w:tcPr>
            <w:tcW w:w="444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Cashless exercise of warrants</w:t>
            </w:r>
          </w:p>
        </w:tc>
        <w:tc>
          <w:tcPr>
            <w:tcW w:w="142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Conversion of preferred A shares into common shares</w:t>
            </w:r>
          </w:p>
        </w:tc>
        <w:tc>
          <w:tcPr>
            <w:tcW w:w="1420" w:type="dxa"/>
            <w:vAlign w:val="bottom"/>
            <w:gridSpan w:val="2"/>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Extinguishment of convertible notes in exchange for preferred A shares</w:t>
            </w:r>
          </w:p>
        </w:tc>
        <w:tc>
          <w:tcPr>
            <w:tcW w:w="142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2,083</w:t>
            </w: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MICROBOT MEDICAL INC.</w:t>
            </w:r>
          </w:p>
        </w:tc>
        <w:tc>
          <w:tcPr>
            <w:tcW w:w="22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gridSpan w:val="5"/>
          </w:tcPr>
          <w:p>
            <w:pPr>
              <w:jc w:val="center"/>
              <w:ind w:left="2150"/>
              <w:spacing w:after="0" w:line="196" w:lineRule="exact"/>
              <w:rPr>
                <w:sz w:val="20"/>
                <w:szCs w:val="20"/>
                <w:color w:val="auto"/>
              </w:rPr>
            </w:pPr>
            <w:r>
              <w:rPr>
                <w:rFonts w:ascii="Arial" w:cs="Arial" w:eastAsia="Arial" w:hAnsi="Arial"/>
                <w:sz w:val="18"/>
                <w:szCs w:val="18"/>
                <w:b w:val="1"/>
                <w:bCs w:val="1"/>
                <w:color w:val="auto"/>
                <w:w w:val="88"/>
              </w:rPr>
              <w:t>Consolidated Statements of Cash Flows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8"/>
              </w:rPr>
              <w:t>U.S. dollars in thousands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20" w:type="dxa"/>
            <w:vAlign w:val="bottom"/>
            <w:gridSpan w:val="3"/>
          </w:tcPr>
          <w:p>
            <w:pPr>
              <w:jc w:val="center"/>
              <w:ind w:right="2280"/>
              <w:spacing w:after="0"/>
              <w:rPr>
                <w:sz w:val="20"/>
                <w:szCs w:val="20"/>
                <w:color w:val="auto"/>
              </w:rPr>
            </w:pPr>
            <w:r>
              <w:rPr>
                <w:rFonts w:ascii="Arial" w:cs="Arial" w:eastAsia="Arial" w:hAnsi="Arial"/>
                <w:sz w:val="18"/>
                <w:szCs w:val="18"/>
                <w:b w:val="1"/>
                <w:bCs w:val="1"/>
                <w:color w:val="auto"/>
                <w:w w:val="90"/>
              </w:rPr>
              <w:t>(Except share data)</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9160" w:type="dxa"/>
            <w:vAlign w:val="bottom"/>
            <w:gridSpan w:val="6"/>
          </w:tcPr>
          <w:p>
            <w:pPr>
              <w:spacing w:after="0"/>
              <w:rPr>
                <w:sz w:val="20"/>
                <w:szCs w:val="20"/>
                <w:color w:val="auto"/>
              </w:rPr>
            </w:pPr>
            <w:r>
              <w:rPr>
                <w:rFonts w:ascii="Arial" w:cs="Arial" w:eastAsia="Arial" w:hAnsi="Arial"/>
                <w:sz w:val="18"/>
                <w:szCs w:val="18"/>
                <w:b w:val="1"/>
                <w:bCs w:val="1"/>
                <w:color w:val="auto"/>
              </w:rPr>
              <w:t>Assets acquired (liabilities assumed):</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November 28,</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assets excluding cash and cash equivalents</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Derivative warrant liability</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5"/>
          </w:tcPr>
          <w:p>
            <w:pPr>
              <w:spacing w:after="0"/>
              <w:rPr>
                <w:sz w:val="20"/>
                <w:szCs w:val="20"/>
                <w:color w:val="auto"/>
              </w:rPr>
            </w:pPr>
            <w:r>
              <w:rPr>
                <w:rFonts w:ascii="Arial" w:cs="Arial" w:eastAsia="Arial" w:hAnsi="Arial"/>
                <w:sz w:val="18"/>
                <w:szCs w:val="18"/>
                <w:color w:val="auto"/>
              </w:rPr>
              <w:t>Convertible note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Reverse recapitalization effect on equity</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1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Cash acquired in connection with reverse recapitalization</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16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160" w:type="dxa"/>
            <w:vAlign w:val="bottom"/>
            <w:gridSpan w:val="6"/>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3"/>
          </w:tcPr>
          <w:p>
            <w:pPr>
              <w:jc w:val="center"/>
              <w:ind w:right="2280"/>
              <w:spacing w:after="0"/>
              <w:rPr>
                <w:sz w:val="20"/>
                <w:szCs w:val="20"/>
                <w:color w:val="auto"/>
              </w:rPr>
            </w:pPr>
            <w:r>
              <w:rPr>
                <w:rFonts w:ascii="Arial" w:cs="Arial" w:eastAsia="Arial" w:hAnsi="Arial"/>
                <w:sz w:val="18"/>
                <w:szCs w:val="18"/>
                <w:color w:val="auto"/>
                <w:w w:val="96"/>
              </w:rPr>
              <w:t>F-7</w:t>
            </w: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1600" w:hanging="566"/>
        <w:spacing w:after="0"/>
        <w:tabs>
          <w:tab w:leader="none" w:pos="16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left="1540"/>
        <w:spacing w:after="0" w:line="286" w:lineRule="auto"/>
        <w:rPr>
          <w:sz w:val="20"/>
          <w:szCs w:val="20"/>
          <w:color w:val="auto"/>
        </w:rPr>
      </w:pPr>
      <w:r>
        <w:rPr>
          <w:rFonts w:ascii="Arial" w:cs="Arial" w:eastAsia="Arial" w:hAnsi="Arial"/>
          <w:sz w:val="17"/>
          <w:szCs w:val="17"/>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66" w:lineRule="exact"/>
        <w:rPr>
          <w:sz w:val="20"/>
          <w:szCs w:val="20"/>
          <w:color w:val="auto"/>
        </w:rPr>
      </w:pPr>
    </w:p>
    <w:p>
      <w:pPr>
        <w:jc w:val="both"/>
        <w:ind w:left="1540"/>
        <w:spacing w:after="0" w:line="286" w:lineRule="auto"/>
        <w:rPr>
          <w:sz w:val="20"/>
          <w:szCs w:val="20"/>
          <w:color w:val="auto"/>
        </w:rPr>
      </w:pPr>
      <w:r>
        <w:rPr>
          <w:rFonts w:ascii="Arial" w:cs="Arial" w:eastAsia="Arial" w:hAnsi="Arial"/>
          <w:sz w:val="17"/>
          <w:szCs w:val="17"/>
          <w:color w:val="auto"/>
        </w:rPr>
        <w:t>It was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66" w:lineRule="exact"/>
        <w:rPr>
          <w:sz w:val="20"/>
          <w:szCs w:val="20"/>
          <w:color w:val="auto"/>
        </w:rPr>
      </w:pPr>
    </w:p>
    <w:p>
      <w:pPr>
        <w:jc w:val="both"/>
        <w:ind w:left="1540"/>
        <w:spacing w:after="0" w:line="286" w:lineRule="auto"/>
        <w:rPr>
          <w:sz w:val="20"/>
          <w:szCs w:val="20"/>
          <w:color w:val="auto"/>
        </w:rPr>
      </w:pPr>
      <w:r>
        <w:rPr>
          <w:rFonts w:ascii="Arial" w:cs="Arial" w:eastAsia="Arial" w:hAnsi="Arial"/>
          <w:sz w:val="16"/>
          <w:szCs w:val="16"/>
          <w:color w:val="auto"/>
        </w:rPr>
        <w:t>On November 28, 2016, the Company consummated a transaction pursuant to an Agreement and Plan of Merger, dated August 15, 2016, with Microbot Medical Ltd., a private medical device company organized under the laws of the State of Israel (“Microbot Israel”), and C&amp;RD Israel Ltd. (“Merger Sub”), an Israeli corporation and wholly-owned subsidiary of the Company, whereby Merger Sub merged with and into Microbot Israel and Microbot Israel surviving as a wholly-owned subsidiary of the Company (the “Merger”). Pursuant to the terms of the Merger, at the effective time of the Merger, each outstanding ordinary share of Microbot Israel capital stock was converted into the right to receive approximately 0.2 shares (2.9 shares before the Reverse Split described below) of the Company’s common stock, par value $0.01 per share, after giving effect to a one for nine reverse stock splits of the date of the merger, for an aggregate of 1,788,884 shares (26,550,974 shares before the Reverse Split) of Company’s common Stock issued to the former Microbot Israel shareholders. In addition, all outstanding options to purchase the ordinary shares of Microbot Israel were assumed by the Company and converted into options to purchase an aggregate of 176,181 shares (2,614,916 shares before the Reverse Split) of the Company’s common stock. Additionally, the Company issued an aggregate of 525,706 restricted shares (7,802,639 restricted shares before the Reverse Split) of its common stock or rights to receive the Company’s common stock, to certain advisers. On the same day and in connection with the Merger, the Company changed its name from StemCells, Inc. to Microbot Medical Inc. On November 29, 2016, the Company’s common stock began trading on the Nasdaq Capital Market under the symbol “MBOT”.</w:t>
      </w:r>
    </w:p>
    <w:p>
      <w:pPr>
        <w:spacing w:after="0" w:line="172" w:lineRule="exact"/>
        <w:rPr>
          <w:sz w:val="20"/>
          <w:szCs w:val="20"/>
          <w:color w:val="auto"/>
        </w:rPr>
      </w:pPr>
    </w:p>
    <w:p>
      <w:pPr>
        <w:jc w:val="both"/>
        <w:ind w:left="1540"/>
        <w:spacing w:after="0" w:line="255" w:lineRule="auto"/>
        <w:rPr>
          <w:sz w:val="20"/>
          <w:szCs w:val="20"/>
          <w:color w:val="auto"/>
        </w:rPr>
      </w:pPr>
      <w:r>
        <w:rPr>
          <w:rFonts w:ascii="Arial" w:cs="Arial" w:eastAsia="Arial" w:hAnsi="Arial"/>
          <w:sz w:val="18"/>
          <w:szCs w:val="18"/>
          <w:color w:val="auto"/>
        </w:rPr>
        <w:t>As a result of the Merger, Microbot Israel became a wholly owned subsidiary of the Company. The transaction between the Company and Microbot Israel was accounted for as a reverse recapitalization. As the shareholders of Microbot Israel received the largest ownership interest in the Company, Microbot Israel was determined to be the “accounting acquirer” in the reverse recapitalization. As a result, the historical financial statements of the Company were replaced with the historical financial statements of Microbot Israel. Unless indicated otherwise, pre-acquisition share, options and warrants data included in these financial statements is retroactively adjusted to reflect the Reverse Stock Split and the Merger.</w:t>
      </w:r>
    </w:p>
    <w:p>
      <w:pPr>
        <w:spacing w:after="0" w:line="193" w:lineRule="exact"/>
        <w:rPr>
          <w:sz w:val="20"/>
          <w:szCs w:val="20"/>
          <w:color w:val="auto"/>
        </w:rPr>
      </w:pPr>
    </w:p>
    <w:p>
      <w:pPr>
        <w:jc w:val="both"/>
        <w:ind w:left="1540"/>
        <w:spacing w:after="0" w:line="264" w:lineRule="auto"/>
        <w:rPr>
          <w:sz w:val="20"/>
          <w:szCs w:val="20"/>
          <w:color w:val="auto"/>
        </w:rPr>
      </w:pPr>
      <w:r>
        <w:rPr>
          <w:rFonts w:ascii="Arial" w:cs="Arial" w:eastAsia="Arial" w:hAnsi="Arial"/>
          <w:sz w:val="18"/>
          <w:szCs w:val="18"/>
          <w:color w:val="auto"/>
        </w:rPr>
        <w:t>Prior to the Merger, the Company was a biopharmaceutical company that conducts research, development, and commercialization of stem cell therapeutics and related technologies. Substantially the sale of all material assets relating to the stem cell business were completed on November 29, 2016.</w:t>
      </w:r>
    </w:p>
    <w:p>
      <w:pPr>
        <w:spacing w:after="0" w:line="181" w:lineRule="exact"/>
        <w:rPr>
          <w:sz w:val="20"/>
          <w:szCs w:val="20"/>
          <w:color w:val="auto"/>
        </w:rPr>
      </w:pPr>
    </w:p>
    <w:p>
      <w:pPr>
        <w:jc w:val="both"/>
        <w:ind w:left="1540" w:right="20"/>
        <w:spacing w:after="0" w:line="277" w:lineRule="auto"/>
        <w:rPr>
          <w:sz w:val="20"/>
          <w:szCs w:val="20"/>
          <w:color w:val="auto"/>
        </w:rPr>
      </w:pPr>
      <w:r>
        <w:rPr>
          <w:rFonts w:ascii="Arial" w:cs="Arial" w:eastAsia="Arial" w:hAnsi="Arial"/>
          <w:sz w:val="18"/>
          <w:szCs w:val="18"/>
          <w:color w:val="auto"/>
        </w:rPr>
        <w:t>The Company and its subsidiaries are collectively referred to as the “Company”. “StemCells” or “StemCells, Inc.” refers to the Company prior to the Merger.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8" w:name="page49"/>
    <w:bookmarkEnd w:id="48"/>
    <w:p>
      <w:pPr>
        <w:ind w:left="1600" w:hanging="566"/>
        <w:spacing w:after="0"/>
        <w:tabs>
          <w:tab w:leader="none" w:pos="16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1540"/>
        <w:spacing w:after="0" w:line="288" w:lineRule="auto"/>
        <w:rPr>
          <w:sz w:val="20"/>
          <w:szCs w:val="20"/>
          <w:color w:val="auto"/>
        </w:rPr>
      </w:pPr>
      <w:r>
        <w:rPr>
          <w:rFonts w:ascii="Arial" w:cs="Arial" w:eastAsia="Arial" w:hAnsi="Arial"/>
          <w:sz w:val="16"/>
          <w:szCs w:val="16"/>
          <w:color w:val="auto"/>
        </w:rPr>
        <w:t>To date, the Company has not generated revenues from its operations. As of the date of issuance of these financial statements, the Company has cash and cash equivalent balance of $9.5 million, which management believes is sufficient to fund its operations for more than 12 months from the date of issuance of these financial statements and sufficient to fund its operations necessary to continue development activities of its current proposed products. Due to continuing research and development activities, the Company expects to continue to incur net losses into the foreseeable future. The Company plans to continue to fund its current operations as well as other development activities relating to additional product candidates, through future issuances of either debt and/or equity securities and possibly additional grants from the Israeli Innovation Authority.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65" w:lineRule="exact"/>
        <w:rPr>
          <w:sz w:val="20"/>
          <w:szCs w:val="20"/>
          <w:color w:val="auto"/>
        </w:rPr>
      </w:pPr>
    </w:p>
    <w:p>
      <w:pPr>
        <w:ind w:left="1600" w:hanging="566"/>
        <w:spacing w:after="0"/>
        <w:tabs>
          <w:tab w:leader="none" w:pos="16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83" w:lineRule="exact"/>
        <w:rPr>
          <w:sz w:val="20"/>
          <w:szCs w:val="20"/>
          <w:color w:val="auto"/>
        </w:rPr>
      </w:pPr>
    </w:p>
    <w:p>
      <w:pPr>
        <w:ind w:left="1600" w:hanging="566"/>
        <w:spacing w:after="0"/>
        <w:tabs>
          <w:tab w:leader="none" w:pos="16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jc w:val="both"/>
        <w:ind w:left="1540"/>
        <w:spacing w:after="0" w:line="269" w:lineRule="auto"/>
        <w:rPr>
          <w:sz w:val="20"/>
          <w:szCs w:val="20"/>
          <w:color w:val="auto"/>
        </w:rPr>
      </w:pPr>
      <w:r>
        <w:rPr>
          <w:rFonts w:ascii="Arial" w:cs="Arial" w:eastAsia="Arial" w:hAnsi="Arial"/>
          <w:sz w:val="17"/>
          <w:szCs w:val="17"/>
          <w:color w:val="auto"/>
        </w:rPr>
        <w:t>On September 4, 2018, the Company filed a Certificate of Amendment to its Restated Certificate of Incorporation with the Secretary of State of the State of Delaware to affect a one-for-15 reverse stock split of the Company’s common stock (the “Reverse Split”). As a result of the Reverse Split, every 15 shares of the Company’s old common stock will be converted into one share of the Company’s new common stock. Fractional shares resulting from the Reverse Split will be rounded up to the nearest whole number. The Reverse Split automatically and proportionately adjusted, based on the one-for-fifteen split ratio, all issued and outstanding shares of the Company’s common stock, as well as common stock underlying convertible preferred stock, stock options, warrants and other derivative securities outstanding at the time of the effectiveness of the reverse stock split. The exercise price on outstanding equity based-grants was proportionately increased, while the number of shares available under the Company’s equity-based plans was also proportionately reduced. Share and per share data (except par value) for the periods presented reflect the effects of this Reverse Split. References to numbers of shares of common stock and per share data in the accompanying financial statements and notes thereto have been adjusted to reflect the Reverse Split on a retroactive basis.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1600" w:hanging="566"/>
        <w:spacing w:after="0"/>
        <w:tabs>
          <w:tab w:leader="none" w:pos="16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The financial statements have been prepared in conformity with accounting principles generally accepted in the United States of America (“US GAAP”).</w:t>
      </w:r>
    </w:p>
    <w:p>
      <w:pPr>
        <w:spacing w:after="0" w:line="166" w:lineRule="exact"/>
        <w:rPr>
          <w:sz w:val="20"/>
          <w:szCs w:val="20"/>
          <w:color w:val="auto"/>
        </w:rPr>
      </w:pPr>
    </w:p>
    <w:p>
      <w:pPr>
        <w:ind w:left="1600" w:hanging="566"/>
        <w:spacing w:after="0"/>
        <w:tabs>
          <w:tab w:leader="none" w:pos="16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in U.S. dollars:</w:t>
      </w:r>
    </w:p>
    <w:p>
      <w:pPr>
        <w:spacing w:after="0" w:line="229"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70" w:lineRule="exact"/>
        <w:rPr>
          <w:sz w:val="20"/>
          <w:szCs w:val="20"/>
          <w:color w:val="auto"/>
        </w:rPr>
      </w:pPr>
    </w:p>
    <w:p>
      <w:pPr>
        <w:ind w:left="1540" w:right="20"/>
        <w:spacing w:after="0" w:line="342" w:lineRule="auto"/>
        <w:rPr>
          <w:sz w:val="20"/>
          <w:szCs w:val="20"/>
          <w:color w:val="auto"/>
        </w:rPr>
      </w:pPr>
      <w:r>
        <w:rPr>
          <w:rFonts w:ascii="Arial" w:cs="Arial" w:eastAsia="Arial" w:hAnsi="Arial"/>
          <w:sz w:val="16"/>
          <w:szCs w:val="16"/>
          <w:color w:val="auto"/>
        </w:rPr>
        <w:t>Transactions and balances denominated in dollars are presented at their original amounts. Transactions and balances denominated in foreign currencies have been re-measured to dollars in accordance with the provisions of ASC 830-10, “Foreign Currency Translation”.</w:t>
      </w:r>
    </w:p>
    <w:p>
      <w:pPr>
        <w:spacing w:after="0" w:line="124"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All transaction gains and losses from re-measurement of monetary balance sheet items denominated in non-dollar currencies are reflected in the statement of operations as financial income or expenses, as appropriate.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9" w:name="page50"/>
    <w:bookmarkEnd w:id="49"/>
    <w:p>
      <w:pPr>
        <w:ind w:left="566" w:hanging="566"/>
        <w:spacing w:after="0"/>
        <w:tabs>
          <w:tab w:leader="none" w:pos="566"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506"/>
        <w:spacing w:after="0" w:line="277" w:lineRule="auto"/>
        <w:rPr>
          <w:sz w:val="20"/>
          <w:szCs w:val="20"/>
          <w:color w:val="auto"/>
        </w:rPr>
      </w:pPr>
      <w:r>
        <w:rPr>
          <w:rFonts w:ascii="Arial" w:cs="Arial" w:eastAsia="Arial" w:hAnsi="Arial"/>
          <w:sz w:val="18"/>
          <w:szCs w:val="18"/>
          <w:color w:val="auto"/>
        </w:rPr>
        <w:t>Cash and cash equivalents consist of cash and demand deposits in banks, and other short-term liquid investments (primarily interest-bearing time deposits) with original maturities of less than three months.</w:t>
      </w:r>
    </w:p>
    <w:p>
      <w:pPr>
        <w:spacing w:after="0" w:line="166" w:lineRule="exact"/>
        <w:rPr>
          <w:sz w:val="20"/>
          <w:szCs w:val="20"/>
          <w:color w:val="auto"/>
        </w:rPr>
      </w:pPr>
    </w:p>
    <w:p>
      <w:pPr>
        <w:ind w:left="566" w:hanging="566"/>
        <w:spacing w:after="0"/>
        <w:tabs>
          <w:tab w:leader="none" w:pos="56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506"/>
        <w:spacing w:after="0" w:line="277" w:lineRule="auto"/>
        <w:rPr>
          <w:sz w:val="20"/>
          <w:szCs w:val="20"/>
          <w:color w:val="auto"/>
        </w:rPr>
      </w:pPr>
      <w:r>
        <w:rPr>
          <w:rFonts w:ascii="Arial" w:cs="Arial" w:eastAsia="Arial" w:hAnsi="Arial"/>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70" w:lineRule="exact"/>
        <w:rPr>
          <w:sz w:val="20"/>
          <w:szCs w:val="20"/>
          <w:color w:val="auto"/>
        </w:rPr>
      </w:pPr>
    </w:p>
    <w:p>
      <w:pPr>
        <w:jc w:val="both"/>
        <w:ind w:left="506" w:right="20"/>
        <w:spacing w:after="0" w:line="277" w:lineRule="auto"/>
        <w:rPr>
          <w:sz w:val="20"/>
          <w:szCs w:val="20"/>
          <w:color w:val="auto"/>
        </w:rPr>
      </w:pPr>
      <w:r>
        <w:rPr>
          <w:rFonts w:ascii="Arial" w:cs="Arial" w:eastAsia="Arial" w:hAnsi="Arial"/>
          <w:sz w:val="18"/>
          <w:szCs w:val="18"/>
          <w:color w:val="auto"/>
        </w:rPr>
        <w:t>The Company measures the fair value of certain of its financial instruments (such as the derivative warrant liabilities) on a recurring basis. The method of determining the fair value of derivative warrant liabilities is discussed in Note 8.</w:t>
      </w:r>
    </w:p>
    <w:p>
      <w:pPr>
        <w:spacing w:after="0" w:line="170" w:lineRule="exact"/>
        <w:rPr>
          <w:sz w:val="20"/>
          <w:szCs w:val="20"/>
          <w:color w:val="auto"/>
        </w:rPr>
      </w:pPr>
    </w:p>
    <w:p>
      <w:pPr>
        <w:jc w:val="both"/>
        <w:ind w:left="506"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6" w:lineRule="exact"/>
        <w:rPr>
          <w:sz w:val="20"/>
          <w:szCs w:val="20"/>
          <w:color w:val="auto"/>
        </w:rPr>
      </w:pPr>
    </w:p>
    <w:p>
      <w:pPr>
        <w:ind w:left="506"/>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(unadjusted) in active markets for identical assets and liabilities.</w:t>
      </w:r>
    </w:p>
    <w:p>
      <w:pPr>
        <w:spacing w:after="0" w:line="225" w:lineRule="exact"/>
        <w:rPr>
          <w:sz w:val="20"/>
          <w:szCs w:val="20"/>
          <w:color w:val="auto"/>
        </w:rPr>
      </w:pPr>
    </w:p>
    <w:p>
      <w:pPr>
        <w:jc w:val="both"/>
        <w:ind w:left="506"/>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unadjusted quoted prices for similar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left="506"/>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2" w:lineRule="exact"/>
        <w:rPr>
          <w:sz w:val="20"/>
          <w:szCs w:val="20"/>
          <w:color w:val="auto"/>
        </w:rPr>
      </w:pPr>
    </w:p>
    <w:p>
      <w:pPr>
        <w:ind w:left="566" w:hanging="566"/>
        <w:spacing w:after="0"/>
        <w:tabs>
          <w:tab w:leader="none" w:pos="566"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229" w:lineRule="exact"/>
        <w:rPr>
          <w:sz w:val="20"/>
          <w:szCs w:val="20"/>
          <w:color w:val="auto"/>
        </w:rPr>
      </w:pPr>
    </w:p>
    <w:p>
      <w:pPr>
        <w:ind w:left="506"/>
        <w:spacing w:after="0" w:line="277" w:lineRule="auto"/>
        <w:rPr>
          <w:sz w:val="20"/>
          <w:szCs w:val="20"/>
          <w:color w:val="auto"/>
        </w:rPr>
      </w:pPr>
      <w:r>
        <w:rPr>
          <w:rFonts w:ascii="Arial" w:cs="Arial" w:eastAsia="Arial" w:hAnsi="Arial"/>
          <w:sz w:val="18"/>
          <w:szCs w:val="18"/>
          <w:color w:val="auto"/>
        </w:rPr>
        <w:t>Fixed assets are presented at costs less accumulated depreciation. Depreciation is calculated based on the straight-line method over the estimated useful lives of the assets, as the following annual rates:</w:t>
      </w:r>
    </w:p>
    <w:p>
      <w:pPr>
        <w:spacing w:after="0" w:line="180" w:lineRule="exact"/>
        <w:rPr>
          <w:sz w:val="20"/>
          <w:szCs w:val="20"/>
          <w:color w:val="auto"/>
        </w:rPr>
      </w:pPr>
    </w:p>
    <w:tbl>
      <w:tblPr>
        <w:tblLayout w:type="fixed"/>
        <w:tblInd w:w="526"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18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r>
      <w:tr>
        <w:trPr>
          <w:trHeight w:val="216"/>
        </w:trPr>
        <w:tc>
          <w:tcPr>
            <w:tcW w:w="4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Research equipment and software</w:t>
            </w:r>
          </w:p>
        </w:tc>
        <w:tc>
          <w:tcPr>
            <w:tcW w:w="18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25-33</w:t>
            </w:r>
          </w:p>
        </w:tc>
        <w:tc>
          <w:tcPr>
            <w:tcW w:w="60" w:type="dxa"/>
            <w:vAlign w:val="bottom"/>
            <w:shd w:val="clear" w:color="auto" w:fill="CCEEFF"/>
          </w:tcPr>
          <w:p>
            <w:pPr>
              <w:spacing w:after="0"/>
              <w:rPr>
                <w:sz w:val="18"/>
                <w:szCs w:val="18"/>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840" w:type="dxa"/>
            <w:vAlign w:val="bottom"/>
          </w:tcPr>
          <w:p>
            <w:pPr>
              <w:jc w:val="right"/>
              <w:ind w:right="75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r>
    </w:tbl>
    <w:p>
      <w:pPr>
        <w:spacing w:after="0" w:line="183" w:lineRule="exact"/>
        <w:rPr>
          <w:sz w:val="20"/>
          <w:szCs w:val="20"/>
          <w:color w:val="auto"/>
        </w:rPr>
      </w:pPr>
    </w:p>
    <w:p>
      <w:pPr>
        <w:ind w:left="566" w:hanging="566"/>
        <w:spacing w:after="0"/>
        <w:tabs>
          <w:tab w:leader="none" w:pos="566"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Liabilities due to termination of employment agreements</w:t>
      </w:r>
    </w:p>
    <w:p>
      <w:pPr>
        <w:spacing w:after="0" w:line="229"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w:t>
      </w:r>
    </w:p>
    <w:p>
      <w:pPr>
        <w:spacing w:after="0" w:line="181"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Payments in accordance with Article 14 release Microbot Israel from any future severance payments (under the Israeli Severance Compensation Act, 1963) with respect of those employees. The aforementioned deposits are not recorded as an asset in the Company’s balance sheet,</w:t>
      </w:r>
    </w:p>
    <w:p>
      <w:pPr>
        <w:spacing w:after="0" w:line="177" w:lineRule="exact"/>
        <w:rPr>
          <w:sz w:val="20"/>
          <w:szCs w:val="20"/>
          <w:color w:val="auto"/>
        </w:rPr>
      </w:pPr>
    </w:p>
    <w:p>
      <w:pPr>
        <w:ind w:left="566" w:hanging="566"/>
        <w:spacing w:after="0"/>
        <w:tabs>
          <w:tab w:leader="none" w:pos="566"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229"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Basic net loss per share is computed by dividing net loss, as adjusted to include s by the weighted average number of common shares outstanding during the year. Common shares and preferred shares contingently issuable for little or no cash are included in basic net loss per share on an as issued basis.</w:t>
      </w:r>
    </w:p>
    <w:p>
      <w:pPr>
        <w:spacing w:after="0" w:line="181" w:lineRule="exact"/>
        <w:rPr>
          <w:sz w:val="20"/>
          <w:szCs w:val="20"/>
          <w:color w:val="auto"/>
        </w:rPr>
      </w:pPr>
    </w:p>
    <w:p>
      <w:pPr>
        <w:ind w:left="4506"/>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6"/>
          </w:cols>
          <w:pgMar w:left="1274" w:top="688" w:right="239" w:bottom="1440" w:gutter="0" w:footer="0" w:header="0"/>
        </w:sectPr>
      </w:pPr>
    </w:p>
    <w:bookmarkStart w:id="50" w:name="page51"/>
    <w:bookmarkEnd w:id="50"/>
    <w:p>
      <w:pPr>
        <w:jc w:val="both"/>
        <w:ind w:left="506"/>
        <w:spacing w:after="0" w:line="257" w:lineRule="auto"/>
        <w:rPr>
          <w:sz w:val="20"/>
          <w:szCs w:val="20"/>
          <w:color w:val="auto"/>
        </w:rPr>
      </w:pPr>
      <w:r>
        <w:rPr>
          <w:rFonts w:ascii="Arial" w:cs="Arial" w:eastAsia="Arial" w:hAnsi="Arial"/>
          <w:sz w:val="18"/>
          <w:szCs w:val="18"/>
          <w:color w:val="auto"/>
        </w:rPr>
        <w:t>Diluted net loss per share is computed by dividing net loss, as adjusted to include preferred shares dividend participation rights of preferred shares outstanding during the year as well as of preferred shares that would have been outstanding if all potentially dilutive preferred shares had been issued, by the weighted average number of common shares outstanding during the year, plus the number of common shares that would have been outstanding if all potentially dilutive common shares had been issued, using the treasury stock method, in accordance with ASC 260-10 “Earnings per Share”.</w:t>
      </w:r>
    </w:p>
    <w:p>
      <w:pPr>
        <w:spacing w:after="0" w:line="188" w:lineRule="exact"/>
        <w:rPr>
          <w:sz w:val="20"/>
          <w:szCs w:val="20"/>
          <w:color w:val="auto"/>
        </w:rPr>
      </w:pPr>
    </w:p>
    <w:p>
      <w:pPr>
        <w:jc w:val="both"/>
        <w:ind w:left="506" w:right="20"/>
        <w:spacing w:after="0" w:line="277" w:lineRule="auto"/>
        <w:rPr>
          <w:sz w:val="20"/>
          <w:szCs w:val="20"/>
          <w:color w:val="auto"/>
        </w:rPr>
      </w:pPr>
      <w:r>
        <w:rPr>
          <w:rFonts w:ascii="Arial" w:cs="Arial" w:eastAsia="Arial" w:hAnsi="Arial"/>
          <w:sz w:val="18"/>
          <w:szCs w:val="18"/>
          <w:color w:val="auto"/>
        </w:rPr>
        <w:t>All outstanding stock options and warrants have been excluded from the calculation of the diluted loss per share for the years ended December 31, 2017 and December 31, 2016, since all such securities have an anti-dilutive effect.</w:t>
      </w:r>
    </w:p>
    <w:p>
      <w:pPr>
        <w:spacing w:after="0" w:line="170"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The weighted average number of shares outstanding has been retroactively restated for the equivalent number of shares received by the accounting acquirer as a result of the reverse recapitalization as if these shares had been outstanding as of the beginning of the earliest period presented.</w:t>
      </w:r>
    </w:p>
    <w:p>
      <w:pPr>
        <w:spacing w:after="0" w:line="177" w:lineRule="exact"/>
        <w:rPr>
          <w:sz w:val="20"/>
          <w:szCs w:val="20"/>
          <w:color w:val="auto"/>
        </w:rPr>
      </w:pPr>
    </w:p>
    <w:p>
      <w:pPr>
        <w:ind w:left="566" w:hanging="566"/>
        <w:spacing w:after="0"/>
        <w:tabs>
          <w:tab w:leader="none" w:pos="56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 net:</w:t>
      </w:r>
    </w:p>
    <w:p>
      <w:pPr>
        <w:spacing w:after="0" w:line="229"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Research and development expenses are charged to the statement of operations as incurred. Grants for funding of approved research and development projects are recognized at the time the Company is entitled to such grants, on the basis of the costs incurred and applied as a deduction from the research and development expenses.</w:t>
      </w:r>
    </w:p>
    <w:p>
      <w:pPr>
        <w:spacing w:after="0" w:line="177" w:lineRule="exact"/>
        <w:rPr>
          <w:sz w:val="20"/>
          <w:szCs w:val="20"/>
          <w:color w:val="auto"/>
        </w:rPr>
      </w:pPr>
    </w:p>
    <w:p>
      <w:pPr>
        <w:ind w:left="566" w:hanging="566"/>
        <w:spacing w:after="0"/>
        <w:tabs>
          <w:tab w:leader="none" w:pos="566"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Proceeds from the sale of debt securities with a conversion feature are allocated to equity based on the intrinsic value of such conversion feature in accordance with ASC 470-20 “Debt with Conversion and Other Options”, with a corresponding discount on the debt instrument recorded in liabilities which is amortized in finance expense over the term of the notes.</w:t>
      </w:r>
    </w:p>
    <w:p>
      <w:pPr>
        <w:spacing w:after="0" w:line="181"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Convertible notes with characteristics of both liabilities and equity are classified as either debt or equity based on the characteristics of its monetary value, with convertible notes classified as debt being measured at fair value, in accordance with ASC 480-10, “Accounting for Certain Financial instruments with Characteristics of both Liabilities and Equity”.</w:t>
      </w:r>
    </w:p>
    <w:p>
      <w:pPr>
        <w:spacing w:after="0" w:line="177" w:lineRule="exact"/>
        <w:rPr>
          <w:sz w:val="20"/>
          <w:szCs w:val="20"/>
          <w:color w:val="auto"/>
        </w:rPr>
      </w:pPr>
    </w:p>
    <w:p>
      <w:pPr>
        <w:ind w:left="566" w:hanging="566"/>
        <w:spacing w:after="0"/>
        <w:tabs>
          <w:tab w:leader="none" w:pos="56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The Company applies ASC 718-10, “Share-Based Payment,” which requires the measurement and recognition of compensation expenses for all share-based payment awards made to employees and directors including stock options under the Company’s stock plans based on estimated fair values.</w:t>
      </w:r>
    </w:p>
    <w:p>
      <w:pPr>
        <w:spacing w:after="0" w:line="181"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ASC 718-10 requires companies to estimate the fair value of stock options using an option-pricing model. The value of the portion of the award that is ultimately expected to vest is recognized as an expense over the requisite service periods in the Company’s statement of operations.</w:t>
      </w:r>
    </w:p>
    <w:p>
      <w:pPr>
        <w:spacing w:after="0" w:line="181" w:lineRule="exact"/>
        <w:rPr>
          <w:sz w:val="20"/>
          <w:szCs w:val="20"/>
          <w:color w:val="auto"/>
        </w:rPr>
      </w:pPr>
    </w:p>
    <w:p>
      <w:pPr>
        <w:jc w:val="both"/>
        <w:ind w:left="506"/>
        <w:spacing w:after="0" w:line="259" w:lineRule="auto"/>
        <w:rPr>
          <w:sz w:val="20"/>
          <w:szCs w:val="20"/>
          <w:color w:val="auto"/>
        </w:rPr>
      </w:pPr>
      <w:r>
        <w:rPr>
          <w:rFonts w:ascii="Arial" w:cs="Arial" w:eastAsia="Arial" w:hAnsi="Arial"/>
          <w:sz w:val="18"/>
          <w:szCs w:val="18"/>
          <w:color w:val="auto"/>
        </w:rPr>
        <w:t>The Company accounts for stock-based compensation awards to non-employees in accordance with FASB ASC 505-50, “Equity-Based Payments to Non-Employees” (“FASB ASC 505-50”). Under FASB ASC 505-50, the Company determines the fair value of the warrants or stock-based compensation awards granted as either the fair value of the consideration received or the fair value of the equity instruments issued, whichever is more reliably measurable.</w:t>
      </w:r>
    </w:p>
    <w:p>
      <w:pPr>
        <w:spacing w:after="0" w:line="187" w:lineRule="exact"/>
        <w:rPr>
          <w:sz w:val="20"/>
          <w:szCs w:val="20"/>
          <w:color w:val="auto"/>
        </w:rPr>
      </w:pPr>
    </w:p>
    <w:p>
      <w:pPr>
        <w:jc w:val="both"/>
        <w:ind w:left="506"/>
        <w:spacing w:after="0" w:line="289" w:lineRule="auto"/>
        <w:rPr>
          <w:sz w:val="20"/>
          <w:szCs w:val="20"/>
          <w:color w:val="auto"/>
        </w:rPr>
      </w:pPr>
      <w:r>
        <w:rPr>
          <w:rFonts w:ascii="Arial" w:cs="Arial" w:eastAsia="Arial" w:hAnsi="Arial"/>
          <w:sz w:val="16"/>
          <w:szCs w:val="16"/>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volatility of similar companies in the technology sector for equity awards granted prior to the Merger and on the Company’s trading share price for equity awards granted subsequent to the Merger. The Company has historically not paid dividends and has no foreseeable plans to issue dividends. The risk-free interest rate is based on the yield from governmental zero-coupon bonds with an equivalent term. The expected stock option term is calculated for stock options granted to employees and directors using the “simplified” method. Grants to non-employees are based on the contractual term. Changes in the determination of each of the inputs can affect the fair value of the stock options granted and the results of operations of the Company.</w:t>
      </w:r>
    </w:p>
    <w:p>
      <w:pPr>
        <w:spacing w:after="0" w:line="167" w:lineRule="exact"/>
        <w:rPr>
          <w:sz w:val="20"/>
          <w:szCs w:val="20"/>
          <w:color w:val="auto"/>
        </w:rPr>
      </w:pPr>
    </w:p>
    <w:p>
      <w:pPr>
        <w:ind w:left="4506"/>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6"/>
          </w:cols>
          <w:pgMar w:left="1274" w:top="692" w:right="239" w:bottom="1440" w:gutter="0" w:footer="0" w:header="0"/>
        </w:sectPr>
      </w:pPr>
    </w:p>
    <w:bookmarkStart w:id="51" w:name="page52"/>
    <w:bookmarkEnd w:id="51"/>
    <w:p>
      <w:pPr>
        <w:ind w:left="566" w:hanging="566"/>
        <w:spacing w:after="0"/>
        <w:tabs>
          <w:tab w:leader="none" w:pos="566"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w:t>
      </w:r>
    </w:p>
    <w:p>
      <w:pPr>
        <w:spacing w:after="0" w:line="229" w:lineRule="exact"/>
        <w:rPr>
          <w:sz w:val="20"/>
          <w:szCs w:val="20"/>
          <w:color w:val="auto"/>
        </w:rPr>
      </w:pPr>
    </w:p>
    <w:p>
      <w:pPr>
        <w:ind w:left="506"/>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221" w:lineRule="exact"/>
        <w:rPr>
          <w:sz w:val="20"/>
          <w:szCs w:val="20"/>
          <w:color w:val="auto"/>
        </w:rPr>
      </w:pPr>
    </w:p>
    <w:p>
      <w:pPr>
        <w:ind w:left="566" w:hanging="566"/>
        <w:spacing w:after="0"/>
        <w:tabs>
          <w:tab w:leader="none" w:pos="566"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Costs</w:t>
      </w:r>
    </w:p>
    <w:p>
      <w:pPr>
        <w:spacing w:after="0" w:line="229" w:lineRule="exact"/>
        <w:rPr>
          <w:sz w:val="20"/>
          <w:szCs w:val="20"/>
          <w:color w:val="auto"/>
        </w:rPr>
      </w:pPr>
    </w:p>
    <w:p>
      <w:pPr>
        <w:ind w:left="506"/>
        <w:spacing w:after="0"/>
        <w:rPr>
          <w:sz w:val="20"/>
          <w:szCs w:val="20"/>
          <w:color w:val="auto"/>
        </w:rPr>
      </w:pPr>
      <w:r>
        <w:rPr>
          <w:rFonts w:ascii="Arial" w:cs="Arial" w:eastAsia="Arial" w:hAnsi="Arial"/>
          <w:sz w:val="16"/>
          <w:szCs w:val="16"/>
          <w:color w:val="auto"/>
        </w:rPr>
        <w:t>Transaction costs incurred in the Merger were charged directly to equity to the extent of cash and net other current assets acquired.</w:t>
      </w:r>
    </w:p>
    <w:p>
      <w:pPr>
        <w:spacing w:after="0" w:line="46" w:lineRule="exact"/>
        <w:rPr>
          <w:sz w:val="20"/>
          <w:szCs w:val="20"/>
          <w:color w:val="auto"/>
        </w:rPr>
      </w:pPr>
    </w:p>
    <w:p>
      <w:pPr>
        <w:ind w:left="506"/>
        <w:spacing w:after="0"/>
        <w:rPr>
          <w:sz w:val="20"/>
          <w:szCs w:val="20"/>
          <w:color w:val="auto"/>
        </w:rPr>
      </w:pPr>
      <w:r>
        <w:rPr>
          <w:rFonts w:ascii="Arial" w:cs="Arial" w:eastAsia="Arial" w:hAnsi="Arial"/>
          <w:sz w:val="18"/>
          <w:szCs w:val="18"/>
          <w:color w:val="auto"/>
        </w:rPr>
        <w:t>Transaction costs in excess of cash acquired were charged to general and administrative expenses.</w:t>
      </w:r>
    </w:p>
    <w:p>
      <w:pPr>
        <w:spacing w:after="0" w:line="207" w:lineRule="exact"/>
        <w:rPr>
          <w:sz w:val="20"/>
          <w:szCs w:val="20"/>
          <w:color w:val="auto"/>
        </w:rPr>
      </w:pPr>
    </w:p>
    <w:p>
      <w:pPr>
        <w:ind w:left="566" w:hanging="566"/>
        <w:spacing w:after="0"/>
        <w:tabs>
          <w:tab w:leader="none" w:pos="566"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506"/>
        <w:spacing w:after="0" w:line="257" w:lineRule="auto"/>
        <w:rPr>
          <w:sz w:val="20"/>
          <w:szCs w:val="20"/>
          <w:color w:val="auto"/>
        </w:rPr>
      </w:pPr>
      <w:r>
        <w:rPr>
          <w:rFonts w:ascii="Arial" w:cs="Arial" w:eastAsia="Arial" w:hAnsi="Arial"/>
          <w:sz w:val="18"/>
          <w:szCs w:val="18"/>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2017, and 2016, the Company had a full valuation allowance against deferred tax assets.</w:t>
      </w:r>
    </w:p>
    <w:p>
      <w:pPr>
        <w:spacing w:after="0" w:line="184" w:lineRule="exact"/>
        <w:rPr>
          <w:sz w:val="20"/>
          <w:szCs w:val="20"/>
          <w:color w:val="auto"/>
        </w:rPr>
      </w:pPr>
    </w:p>
    <w:p>
      <w:pPr>
        <w:ind w:left="566" w:hanging="566"/>
        <w:spacing w:after="0"/>
        <w:tabs>
          <w:tab w:leader="none" w:pos="566"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ind w:left="506"/>
        <w:spacing w:after="0" w:line="273" w:lineRule="auto"/>
        <w:rPr>
          <w:sz w:val="20"/>
          <w:szCs w:val="20"/>
          <w:color w:val="auto"/>
        </w:rPr>
      </w:pPr>
      <w:r>
        <w:rPr>
          <w:rFonts w:ascii="Arial" w:cs="Arial" w:eastAsia="Arial" w:hAnsi="Arial"/>
          <w:sz w:val="17"/>
          <w:szCs w:val="17"/>
          <w:color w:val="auto"/>
        </w:rPr>
        <w:t>In May 2014, the FASB issued ASU 2014-09 “Revenue from Contracts with Customers” to provide a single comprehensive model for entities to use in accounting for revenue arising from contracts with customers. The ASU supersedes most current revenue recognition guidance, including industry-specific guidance. The FASB subsequently issued ASU 2015-14, ASU 2016-08 and ASU 2016-12, which clarified the guidance, provided scope improvements and amended the effective date of ASU 2014-09. As a result, ASU 2014-09 becomes effective for the Company in the first quarter of 2018, with early adoption permitted. The Company has not yet generated revenues to date, and does not yet know the impact the standard may have on its consolidated financial statements.</w:t>
      </w:r>
    </w:p>
    <w:p>
      <w:pPr>
        <w:spacing w:after="0" w:line="178" w:lineRule="exact"/>
        <w:rPr>
          <w:sz w:val="20"/>
          <w:szCs w:val="20"/>
          <w:color w:val="auto"/>
        </w:rPr>
      </w:pPr>
    </w:p>
    <w:p>
      <w:pPr>
        <w:jc w:val="both"/>
        <w:ind w:left="506"/>
        <w:spacing w:after="0" w:line="290" w:lineRule="auto"/>
        <w:rPr>
          <w:sz w:val="20"/>
          <w:szCs w:val="20"/>
          <w:color w:val="auto"/>
        </w:rPr>
      </w:pPr>
      <w:r>
        <w:rPr>
          <w:rFonts w:ascii="Arial" w:cs="Arial" w:eastAsia="Arial" w:hAnsi="Arial"/>
          <w:sz w:val="16"/>
          <w:szCs w:val="16"/>
          <w:color w:val="auto"/>
        </w:rPr>
        <w:t>In February 2016, the FASB issued ASU 2016-02 “Leases” to increase transparency and comparability among organizations by recognizing lease assets and lease liabilities on the balance sheet and disclosing key information about leasing arrangements. For operating leases, the ASU requires a lessee to recognize a right-of-use asset and a lease liability, initially measured at the present value of the lease payments, on its balance sheet. The ASU retains the current accounting for lessors and does not make significant changes to the recognition, measurement, and presentation of expenses and cash flows by a lessee. This ASU is effective for the Company in the first quarter of 2019, with early adoption permitted. The Company continues to evaluate the effect of the adoption of this ASU and expects the adoption will result in an increase in the assets and liabilities on the consolidated balance sheets for operating leases (refer to Note 9) and will likely have an insignificant impact on the consolidated statements of comprehensive loss.</w:t>
      </w:r>
    </w:p>
    <w:p>
      <w:pPr>
        <w:spacing w:after="0" w:line="166" w:lineRule="exact"/>
        <w:rPr>
          <w:sz w:val="20"/>
          <w:szCs w:val="20"/>
          <w:color w:val="auto"/>
        </w:rPr>
      </w:pPr>
    </w:p>
    <w:p>
      <w:pPr>
        <w:jc w:val="both"/>
        <w:ind w:left="506"/>
        <w:spacing w:after="0" w:line="257" w:lineRule="auto"/>
        <w:rPr>
          <w:sz w:val="20"/>
          <w:szCs w:val="20"/>
          <w:color w:val="auto"/>
        </w:rPr>
      </w:pPr>
      <w:r>
        <w:rPr>
          <w:rFonts w:ascii="Arial" w:cs="Arial" w:eastAsia="Arial" w:hAnsi="Arial"/>
          <w:sz w:val="18"/>
          <w:szCs w:val="18"/>
          <w:color w:val="auto"/>
        </w:rPr>
        <w:t>In June 2016, the FASB issued ASU 2016-13 “Financial Instruments – Credit Losses” to improve information on credit losses for financial assets and net investment in leases that are not accounted for at fair value through net income. The ASU replaces the current incurred loss impairment methodology with a methodology that reflects expected credit losses. This ASU is effective for the Company in the first quarter of 2020, with early adoption permitted. The Company is currently evaluating the effect the adoption of this ASU will have on its consolidated financial statements.</w:t>
      </w:r>
    </w:p>
    <w:p>
      <w:pPr>
        <w:spacing w:after="0" w:line="188" w:lineRule="exact"/>
        <w:rPr>
          <w:sz w:val="20"/>
          <w:szCs w:val="20"/>
          <w:color w:val="auto"/>
        </w:rPr>
      </w:pPr>
    </w:p>
    <w:p>
      <w:pPr>
        <w:ind w:left="4506"/>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6"/>
          </w:cols>
          <w:pgMar w:left="1274" w:top="688" w:right="239" w:bottom="1440" w:gutter="0" w:footer="0" w:header="0"/>
        </w:sectPr>
      </w:pPr>
    </w:p>
    <w:bookmarkStart w:id="52" w:name="page53"/>
    <w:bookmarkEnd w:id="52"/>
    <w:p>
      <w:pPr>
        <w:jc w:val="both"/>
        <w:ind w:left="1540"/>
        <w:spacing w:after="0" w:line="297" w:lineRule="auto"/>
        <w:rPr>
          <w:sz w:val="20"/>
          <w:szCs w:val="20"/>
          <w:color w:val="auto"/>
        </w:rPr>
      </w:pPr>
      <w:r>
        <w:rPr>
          <w:rFonts w:ascii="Arial" w:cs="Arial" w:eastAsia="Arial" w:hAnsi="Arial"/>
          <w:sz w:val="16"/>
          <w:szCs w:val="16"/>
          <w:color w:val="auto"/>
        </w:rPr>
        <w:t>In November 2016, the FASB issued ASU 2016-18 “Restricted Cash” to provide guidance on the presentation of restricted cash in the statement of cash flows. Currently, the statement of cash flows explained the change in cash and cash equivalents for the period. The ASU requires that the statement of cash flows explain the change in cash, cash equivalents and restricted cash for the period. The ASU is effective for the Company in the first quarter of 2018, with early adoption permitted. The Company does not expect the adoption to have a material effect on the statements of cash flows as the Company’s restricted cash is not expected to be material.</w:t>
      </w:r>
    </w:p>
    <w:p>
      <w:pPr>
        <w:spacing w:after="0" w:line="158" w:lineRule="exact"/>
        <w:rPr>
          <w:sz w:val="20"/>
          <w:szCs w:val="20"/>
          <w:color w:val="auto"/>
        </w:rPr>
      </w:pPr>
    </w:p>
    <w:p>
      <w:pPr>
        <w:jc w:val="both"/>
        <w:ind w:left="1540"/>
        <w:spacing w:after="0" w:line="272" w:lineRule="auto"/>
        <w:rPr>
          <w:sz w:val="20"/>
          <w:szCs w:val="20"/>
          <w:color w:val="auto"/>
        </w:rPr>
      </w:pPr>
      <w:r>
        <w:rPr>
          <w:rFonts w:ascii="Arial" w:cs="Arial" w:eastAsia="Arial" w:hAnsi="Arial"/>
          <w:sz w:val="17"/>
          <w:szCs w:val="17"/>
          <w:color w:val="auto"/>
        </w:rPr>
        <w:t>In May 2017, the Financial Accounting Standards Board (“FASB”) issued Accounting Standards Update (“ASU”) No. 2017-09, “Compensation-Stock Compensation (Topic 718): Scope of Modification Accounting,” which clarifies when a change to terms or conditions of a share-based payment award must be accounted for as a modification. The new guidance requires modification accounting if the vesting condition, fair value or the award classification is not the same both before and after a change to the terms and conditions of the award. The new guidance is effective for the Company on a prospective basis beginning on January 1, 2018 and early adoption is permitted. The Company does not expect to change terms or conditions of share-based payment awards, and therefore, does not expect the adoption of this standard to have a material impact on its consolidated financial statements.</w:t>
      </w:r>
    </w:p>
    <w:p>
      <w:pPr>
        <w:spacing w:after="0" w:line="178" w:lineRule="exact"/>
        <w:rPr>
          <w:sz w:val="20"/>
          <w:szCs w:val="20"/>
          <w:color w:val="auto"/>
        </w:rPr>
      </w:pPr>
    </w:p>
    <w:p>
      <w:pPr>
        <w:jc w:val="both"/>
        <w:ind w:left="1540"/>
        <w:spacing w:after="0" w:line="290" w:lineRule="auto"/>
        <w:rPr>
          <w:sz w:val="20"/>
          <w:szCs w:val="20"/>
          <w:color w:val="auto"/>
        </w:rPr>
      </w:pPr>
      <w:r>
        <w:rPr>
          <w:rFonts w:ascii="Arial" w:cs="Arial" w:eastAsia="Arial" w:hAnsi="Arial"/>
          <w:sz w:val="16"/>
          <w:szCs w:val="16"/>
          <w:color w:val="auto"/>
        </w:rPr>
        <w:t>In July 2017, the FASB issued ASU 2017-11, which includes Part I “Accounting for Certain Financial Instruments with Down Round Features” and Part II “Replacement of the Indefinite Deferral for Mandatorily Redeemable Financial Instruments of Certain Nonpublic Entities and Certain Mandatorily Redeemable Non-Controlling Interests with a Scope Exception”. The ASU makes limited changes to the Board’s guidance on classifying certain financial instruments as either liabilities or equity. The ASU’s objective is to improve (1) the accounting for instruments with “down-round” provisions and (2) the readability of the guidance in ASC 480 on distinguishing liabilities from equity by replacing the indefinite deferral of certain pending content with scope exceptions. The ASU is effective for the Company in the first quarter of 2019, with early adoption permitted. The Company has derivative warranty liabilities as discussed in Note 8 which upon adoption of the new standard are expected to be classified as equity.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NOTE 3 - OTHER CURRENT ASSETS</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As of December 31,</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Deposit in escrow account (*)</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Government institutions</w:t>
            </w:r>
          </w:p>
        </w:tc>
        <w:tc>
          <w:tcPr>
            <w:tcW w:w="10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others</w:t>
            </w:r>
          </w:p>
        </w:tc>
        <w:tc>
          <w:tcPr>
            <w:tcW w:w="10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w:t>
            </w:r>
          </w:p>
        </w:tc>
        <w:tc>
          <w:tcPr>
            <w:tcW w:w="6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602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Purchase Agreement with BOCO</w:t>
      </w:r>
    </w:p>
    <w:p>
      <w:pPr>
        <w:spacing w:after="0" w:line="229" w:lineRule="exact"/>
        <w:rPr>
          <w:sz w:val="20"/>
          <w:szCs w:val="20"/>
          <w:color w:val="auto"/>
        </w:rPr>
      </w:pPr>
    </w:p>
    <w:p>
      <w:pPr>
        <w:jc w:val="both"/>
        <w:ind w:left="1020"/>
        <w:spacing w:after="0" w:line="312" w:lineRule="auto"/>
        <w:rPr>
          <w:sz w:val="20"/>
          <w:szCs w:val="20"/>
          <w:color w:val="auto"/>
        </w:rPr>
      </w:pPr>
      <w:r>
        <w:rPr>
          <w:rFonts w:ascii="Arial" w:cs="Arial" w:eastAsia="Arial" w:hAnsi="Arial"/>
          <w:sz w:val="16"/>
          <w:szCs w:val="16"/>
          <w:color w:val="auto"/>
        </w:rPr>
        <w:t>On November 11, 2016, the Company, together with two of its wholly-owned subsidiaries, Stem Cell Sciences Holdings Limited and StemCells California, Inc. (collectively, with the Company, the “Sellers”), entered into an Asset Purchase Agreement (the “Asset Purchase Agreement”) with BOCO Silicon Valley, Inc., a California corporation and wholly-owned subsidiary of Bright Oceans Corporation (“BOCO US”).</w:t>
      </w:r>
    </w:p>
    <w:p>
      <w:pPr>
        <w:spacing w:after="0" w:line="147" w:lineRule="exact"/>
        <w:rPr>
          <w:sz w:val="20"/>
          <w:szCs w:val="20"/>
          <w:color w:val="auto"/>
        </w:rPr>
      </w:pPr>
    </w:p>
    <w:p>
      <w:pPr>
        <w:jc w:val="both"/>
        <w:ind w:left="1020"/>
        <w:spacing w:after="0" w:line="259" w:lineRule="auto"/>
        <w:rPr>
          <w:sz w:val="20"/>
          <w:szCs w:val="20"/>
          <w:color w:val="auto"/>
        </w:rPr>
      </w:pPr>
      <w:r>
        <w:rPr>
          <w:rFonts w:ascii="Arial" w:cs="Arial" w:eastAsia="Arial" w:hAnsi="Arial"/>
          <w:sz w:val="18"/>
          <w:szCs w:val="18"/>
          <w:color w:val="auto"/>
        </w:rPr>
        <w:t>Pursuant to the terms and subject to the conditions set forth in the Asset Purchase Agreement, the Sellers sold to BOCO US certain stem and progenitor cell lines that have been researched, studied or manufactured by the Company since 2007 (the “Cell Lines”) and certain other tangible and intangible assets, including intellectual property and books and records, related to the foregoing (together with the Cell Lines, the “Assets”) in exchange for $4 million in cash (the “Asset Consideration”).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3" w:name="page54"/>
    <w:bookmarkEnd w:id="53"/>
    <w:p>
      <w:pPr>
        <w:jc w:val="both"/>
        <w:ind w:left="1020"/>
        <w:spacing w:after="0" w:line="273" w:lineRule="auto"/>
        <w:rPr>
          <w:sz w:val="20"/>
          <w:szCs w:val="20"/>
          <w:color w:val="auto"/>
        </w:rPr>
      </w:pPr>
      <w:r>
        <w:rPr>
          <w:rFonts w:ascii="Arial" w:cs="Arial" w:eastAsia="Arial" w:hAnsi="Arial"/>
          <w:sz w:val="17"/>
          <w:szCs w:val="17"/>
          <w:color w:val="auto"/>
        </w:rPr>
        <w:t>Of the Asset Consideration, $300 was provided to the Company prior to November 11, 2016 in exchange for the Sellers’ agreement not to solicit or reach any agreement with any third party pertaining to the sale of the Assets, and $400 will remain in a twelve-month escrow for the benefit of BOCO US to satisfy certain indemnification obligations of the Sellers which may arise and which, subject to any valid indemnification claims of BOCO US, will be released to the Company at the end of such 12-month period. In addition, sixteen former employees of the Company received, in the aggregate, $495 in accordance with their June 2016 agreements with the Company under which each accepted a more than 50% reduction in his or her severance award otherwise payable.</w:t>
      </w:r>
    </w:p>
    <w:p>
      <w:pPr>
        <w:spacing w:after="0" w:line="178"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The Asset Purchase Agreement contains certain covenants prohibiting the Sellers from, during the four-year period immediately following the completion of the Asset Sale, (a) engaging in or having certain financial interests in a business that is engaged in the research, development or commercialization of the Cell Lines, or (b) soliciting for employment employees of BOCO US.</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On November 29, 2016, the Sellers completed the sale of the Assets.</w:t>
      </w:r>
    </w:p>
    <w:p>
      <w:pPr>
        <w:spacing w:after="0" w:line="225"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As of December 31, 2017, the Company received $320 from the escrow account and paid $80 to certain consultant relating to BOCO transaction.</w:t>
      </w:r>
    </w:p>
    <w:p>
      <w:pPr>
        <w:spacing w:after="0" w:line="170"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The opening balance sheet as of the Merger date included a receivable balance with respect to sale of the Assets of $3.5 which fully collected as of December 31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NOTE 4 - FIXED ASSETS, NET</w:t>
            </w:r>
          </w:p>
        </w:tc>
        <w:tc>
          <w:tcPr>
            <w:tcW w:w="2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9"/>
              </w:rPr>
              <w:t>As of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(in thousands)</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2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Research equipment and software</w:t>
            </w:r>
          </w:p>
        </w:tc>
        <w:tc>
          <w:tcPr>
            <w:tcW w:w="29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25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500" w:type="dxa"/>
            <w:vAlign w:val="bottom"/>
            <w:tcBorders>
              <w:top w:val="single" w:sz="8" w:color="CCEEFF"/>
              <w:bottom w:val="single" w:sz="8" w:color="CCEEFF"/>
            </w:tcBorders>
          </w:tcPr>
          <w:p>
            <w:pPr>
              <w:spacing w:after="0"/>
              <w:rPr>
                <w:sz w:val="18"/>
                <w:szCs w:val="18"/>
                <w:color w:val="auto"/>
              </w:rPr>
            </w:pPr>
          </w:p>
        </w:tc>
        <w:tc>
          <w:tcPr>
            <w:tcW w:w="25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w:t>
            </w:r>
          </w:p>
        </w:tc>
        <w:tc>
          <w:tcPr>
            <w:tcW w:w="280" w:type="dxa"/>
            <w:vAlign w:val="bottom"/>
            <w:tcBorders>
              <w:top w:val="single" w:sz="8" w:color="CCEEFF"/>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2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Research equipment and software</w:t>
            </w: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25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3500" w:type="dxa"/>
            <w:vAlign w:val="bottom"/>
            <w:tcBorders>
              <w:top w:val="single" w:sz="8" w:color="CCEEFF"/>
              <w:bottom w:val="single" w:sz="8" w:color="CCEEFF"/>
            </w:tcBorders>
          </w:tcPr>
          <w:p>
            <w:pPr>
              <w:spacing w:after="0"/>
              <w:rPr>
                <w:sz w:val="22"/>
                <w:szCs w:val="22"/>
                <w:color w:val="auto"/>
              </w:rPr>
            </w:pPr>
          </w:p>
        </w:tc>
        <w:tc>
          <w:tcPr>
            <w:tcW w:w="2520" w:type="dxa"/>
            <w:vAlign w:val="bottom"/>
            <w:tcBorders>
              <w:top w:val="single" w:sz="8" w:color="CCEEFF"/>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80" w:type="dxa"/>
            <w:vAlign w:val="bottom"/>
            <w:tcBorders>
              <w:top w:val="single" w:sz="8" w:color="CCEEFF"/>
              <w:bottom w:val="single" w:sz="8" w:color="CCEEFF"/>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980" w:type="dxa"/>
            <w:vAlign w:val="bottom"/>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9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 ACCRUED LIABILITIES</w:t>
            </w:r>
          </w:p>
        </w:tc>
        <w:tc>
          <w:tcPr>
            <w:tcW w:w="2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80" w:type="dxa"/>
            <w:vAlign w:val="bottom"/>
            <w:gridSpan w:val="2"/>
            <w:vMerge w:val="continue"/>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9"/>
              </w:rPr>
              <w:t>As of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(in thousands)</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Employees</w:t>
            </w:r>
          </w:p>
        </w:tc>
        <w:tc>
          <w:tcPr>
            <w:tcW w:w="29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Government institution</w:t>
            </w: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5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w:t>
            </w:r>
          </w:p>
        </w:tc>
        <w:tc>
          <w:tcPr>
            <w:tcW w:w="6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CEEFF"/>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9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2"/>
          </w:tcPr>
          <w:p>
            <w:pPr>
              <w:jc w:val="right"/>
              <w:ind w:right="1410"/>
              <w:spacing w:after="0"/>
              <w:rPr>
                <w:sz w:val="20"/>
                <w:szCs w:val="20"/>
                <w:color w:val="auto"/>
              </w:rPr>
            </w:pPr>
            <w:r>
              <w:rPr>
                <w:rFonts w:ascii="Arial" w:cs="Arial" w:eastAsia="Arial" w:hAnsi="Arial"/>
                <w:sz w:val="18"/>
                <w:szCs w:val="18"/>
                <w:color w:val="auto"/>
              </w:rPr>
              <w:t>F-14</w:t>
            </w:r>
          </w:p>
        </w:tc>
        <w:tc>
          <w:tcPr>
            <w:tcW w:w="1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NOTE 6 - CONVERTIBLE LOAN FROM SHAREHOLDERS</w:t>
      </w:r>
    </w:p>
    <w:p>
      <w:pPr>
        <w:spacing w:after="0" w:line="229" w:lineRule="exact"/>
        <w:rPr>
          <w:sz w:val="20"/>
          <w:szCs w:val="20"/>
          <w:color w:val="auto"/>
        </w:rPr>
      </w:pPr>
    </w:p>
    <w:p>
      <w:pPr>
        <w:jc w:val="both"/>
        <w:ind w:left="1020"/>
        <w:spacing w:after="0" w:line="276" w:lineRule="auto"/>
        <w:rPr>
          <w:sz w:val="20"/>
          <w:szCs w:val="20"/>
          <w:color w:val="auto"/>
        </w:rPr>
      </w:pPr>
      <w:r>
        <w:rPr>
          <w:rFonts w:ascii="Arial" w:cs="Arial" w:eastAsia="Arial" w:hAnsi="Arial"/>
          <w:sz w:val="17"/>
          <w:szCs w:val="17"/>
          <w:color w:val="auto"/>
        </w:rPr>
        <w:t>On October 8, 2015, Microbot Israel entered into a convertible loan agreement with several investors who were also existing shareholders. According to the loan agreement, Microbot Israel received an amount of $419. The loan bore interest of 10% and was converted to both equity shares and preferred shares warrants of Microbot Israel on the nine-month anniversary of the loan. The Company concluded the conversion feature is not a Beneficial Conversion Feature pursuant to the provisions of ASC 470-20, “Debt with Conversion and Other Options”. Accordingly, the proceeds were recorded in liabilities in their entirety at the date of issuance.</w:t>
      </w:r>
    </w:p>
    <w:p>
      <w:pPr>
        <w:spacing w:after="0" w:line="173" w:lineRule="exact"/>
        <w:rPr>
          <w:sz w:val="20"/>
          <w:szCs w:val="20"/>
          <w:color w:val="auto"/>
        </w:rPr>
      </w:pPr>
    </w:p>
    <w:p>
      <w:pPr>
        <w:jc w:val="both"/>
        <w:ind w:left="1020"/>
        <w:spacing w:after="0" w:line="286" w:lineRule="auto"/>
        <w:rPr>
          <w:sz w:val="20"/>
          <w:szCs w:val="20"/>
          <w:color w:val="auto"/>
        </w:rPr>
      </w:pPr>
      <w:r>
        <w:rPr>
          <w:rFonts w:ascii="Arial" w:cs="Arial" w:eastAsia="Arial" w:hAnsi="Arial"/>
          <w:sz w:val="17"/>
          <w:szCs w:val="17"/>
          <w:color w:val="auto"/>
        </w:rPr>
        <w:t>On July 7, 2016, the outstanding principal and accrued interest were converted into 1,315,023 Series A preferred shares, of Microbot Israel (the “Series A Preferred Shares”) and 1,188,275 warrants to purchase the Series A Preferred Shares, at an exercise price of $1.00 per share. The preferred shares warrants were exercised in full in September 2016 for total gross proceeds to Microbot Israel of $410.</w:t>
      </w:r>
    </w:p>
    <w:p>
      <w:pPr>
        <w:spacing w:after="0" w:line="166"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On May 11, 2016, Microbot Israel entered into a convertible loan agreement with several investors who were also existing shareholders. The loan bore interest at a fixed rate of 10% per annum beginning on the issuance date.</w:t>
      </w:r>
    </w:p>
    <w:p>
      <w:pPr>
        <w:spacing w:after="0" w:line="170"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At maturity, all of the outstanding principal and accrued interest was converted into Microbot Israel’s ordinary shares subject to the conversion or default events specified in the loan agreement, based on a conversion price that represents a 20% discount on Microbot Israel’s valuation upon such default events.</w:t>
      </w:r>
    </w:p>
    <w:p>
      <w:pPr>
        <w:spacing w:after="0" w:line="181" w:lineRule="exact"/>
        <w:rPr>
          <w:sz w:val="20"/>
          <w:szCs w:val="20"/>
          <w:color w:val="auto"/>
        </w:rPr>
      </w:pPr>
    </w:p>
    <w:p>
      <w:pPr>
        <w:jc w:val="both"/>
        <w:ind w:left="1020" w:right="20"/>
        <w:spacing w:after="0" w:line="277" w:lineRule="auto"/>
        <w:rPr>
          <w:sz w:val="20"/>
          <w:szCs w:val="20"/>
          <w:color w:val="auto"/>
        </w:rPr>
      </w:pPr>
      <w:r>
        <w:rPr>
          <w:rFonts w:ascii="Arial" w:cs="Arial" w:eastAsia="Arial" w:hAnsi="Arial"/>
          <w:sz w:val="18"/>
          <w:szCs w:val="18"/>
          <w:color w:val="auto"/>
        </w:rPr>
        <w:t>On November 28, 2016, upon the consummation of the Merger, the loan was converted into an aggregate of 151,119 shares (2,242,939 shares before the Reverse Split) of Company’s common stock.</w:t>
      </w:r>
    </w:p>
    <w:p>
      <w:pPr>
        <w:spacing w:after="0" w:line="170" w:lineRule="exact"/>
        <w:rPr>
          <w:sz w:val="20"/>
          <w:szCs w:val="20"/>
          <w:color w:val="auto"/>
        </w:rPr>
      </w:pPr>
    </w:p>
    <w:p>
      <w:pPr>
        <w:jc w:val="both"/>
        <w:ind w:left="1020"/>
        <w:spacing w:after="0" w:line="312" w:lineRule="auto"/>
        <w:rPr>
          <w:sz w:val="20"/>
          <w:szCs w:val="20"/>
          <w:color w:val="auto"/>
        </w:rPr>
      </w:pPr>
      <w:r>
        <w:rPr>
          <w:rFonts w:ascii="Arial" w:cs="Arial" w:eastAsia="Arial" w:hAnsi="Arial"/>
          <w:sz w:val="16"/>
          <w:szCs w:val="16"/>
          <w:color w:val="auto"/>
        </w:rPr>
        <w:t>The Company concluded the value of the loan is predominantly based on a fixed monetary amount known at the date of issuance as represented by the 20% discount on the Company’s valuation. Accordingly, the loan was classified as debt and was measured at its fair value, pursuant to the provisions of ASC 480-10, “Accounting for Certain Financial instruments with Characteristics of both Liabilities and Equity”.</w:t>
      </w:r>
    </w:p>
    <w:p>
      <w:pPr>
        <w:spacing w:after="0" w:line="147"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The fair value of the loan was measured based on observable inputs as the fixed monetary value of the variable number of shares to be issued upon conversion (level 2 measurement).</w:t>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Secured note to Alpha Capital Anstalt:</w:t>
      </w:r>
    </w:p>
    <w:p>
      <w:pPr>
        <w:spacing w:after="0" w:line="229" w:lineRule="exact"/>
        <w:rPr>
          <w:sz w:val="20"/>
          <w:szCs w:val="20"/>
          <w:color w:val="auto"/>
        </w:rPr>
      </w:pPr>
    </w:p>
    <w:p>
      <w:pPr>
        <w:jc w:val="both"/>
        <w:ind w:left="1020"/>
        <w:spacing w:after="0" w:line="291" w:lineRule="auto"/>
        <w:rPr>
          <w:sz w:val="20"/>
          <w:szCs w:val="20"/>
          <w:color w:val="auto"/>
        </w:rPr>
      </w:pPr>
      <w:r>
        <w:rPr>
          <w:rFonts w:ascii="Arial" w:cs="Arial" w:eastAsia="Arial" w:hAnsi="Arial"/>
          <w:sz w:val="16"/>
          <w:szCs w:val="16"/>
          <w:color w:val="auto"/>
        </w:rPr>
        <w:t>On August 15, 2016, concurrent with the execution of the Agreement and Plan of Merger (see Note 1A), StemCells Inc. issued a 6.0% secured note (the “Note”) to Alpha Capital Anstalt (“Alpha Capital”), in the principal amount of $2,000, for value received, payable upon the earlier of</w:t>
      </w:r>
    </w:p>
    <w:p>
      <w:pPr>
        <w:ind w:left="1020" w:firstLine="9"/>
        <w:spacing w:after="0" w:line="261" w:lineRule="auto"/>
        <w:tabs>
          <w:tab w:leader="none" w:pos="1239" w:val="left"/>
        </w:tabs>
        <w:numPr>
          <w:ilvl w:val="0"/>
          <w:numId w:val="43"/>
        </w:numPr>
        <w:rPr>
          <w:rFonts w:ascii="Arial" w:cs="Arial" w:eastAsia="Arial" w:hAnsi="Arial"/>
          <w:sz w:val="18"/>
          <w:szCs w:val="18"/>
          <w:color w:val="auto"/>
        </w:rPr>
      </w:pPr>
      <w:r>
        <w:rPr>
          <w:rFonts w:ascii="Arial" w:cs="Arial" w:eastAsia="Arial" w:hAnsi="Arial"/>
          <w:sz w:val="18"/>
          <w:szCs w:val="18"/>
          <w:color w:val="auto"/>
        </w:rPr>
        <w:t>30 days following the consummation of the Merger and (ii) December 31, 2016. Proceeds from the Note were used for the payment of costs and expenses in connection with the Merger and operational expenses leading to such Closing.</w:t>
      </w:r>
    </w:p>
    <w:p>
      <w:pPr>
        <w:spacing w:after="0" w:line="184"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The Note bears interest at 6% per annum, payable monthly in arrears on the first of the month, beginning on January 1, 2017 until the principal amount is paid in full. In addition, the Note is secured by a first priority security interest in all of the Company’s intellectual property and certain other general assets pursuant to a Security Agreement</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Securities Exchange Agreement with Alpha Capital:</w:t>
      </w:r>
    </w:p>
    <w:p>
      <w:pPr>
        <w:spacing w:after="0" w:line="229" w:lineRule="exact"/>
        <w:rPr>
          <w:sz w:val="20"/>
          <w:szCs w:val="20"/>
          <w:color w:val="auto"/>
        </w:rPr>
      </w:pPr>
    </w:p>
    <w:p>
      <w:pPr>
        <w:jc w:val="both"/>
        <w:ind w:left="1020"/>
        <w:spacing w:after="0" w:line="302" w:lineRule="auto"/>
        <w:rPr>
          <w:sz w:val="20"/>
          <w:szCs w:val="20"/>
          <w:color w:val="auto"/>
        </w:rPr>
      </w:pPr>
      <w:r>
        <w:rPr>
          <w:rFonts w:ascii="Arial" w:cs="Arial" w:eastAsia="Arial" w:hAnsi="Arial"/>
          <w:sz w:val="16"/>
          <w:szCs w:val="16"/>
          <w:color w:val="auto"/>
        </w:rPr>
        <w:t>As of the effective time of the Merger, the Company entered into a Securities Exchange Agreement (the “Exchange Agreement”) with Alpha Capital, providing for the issuance to Alpha Capital of a convertible promissory note by the Company (the “Convertible Note”) in a principal amount of $2,029, which is equal to the principal and accrued interest under the Note, in exchange for (a) the full satisfaction, termination and cancellation of the Note and (b) the release and termination of the Security Agreement and the first priority security interest granted thereunder.</w:t>
      </w:r>
    </w:p>
    <w:p>
      <w:pPr>
        <w:spacing w:after="0" w:line="154"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The Convertible Note was convertible into the Company’s Common Stock any time after November 28, 2017 and until the maturity date of November 28, 2019, based on a conversion price of $9.60 ($0.64 before the Reverse Split), subject to adjustments as provided in the Exchange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5" w:name="page56"/>
    <w:bookmarkEnd w:id="55"/>
    <w:p>
      <w:pPr>
        <w:jc w:val="both"/>
        <w:ind w:left="1020"/>
        <w:spacing w:after="0" w:line="259" w:lineRule="auto"/>
        <w:rPr>
          <w:sz w:val="20"/>
          <w:szCs w:val="20"/>
          <w:color w:val="auto"/>
        </w:rPr>
      </w:pPr>
      <w:r>
        <w:rPr>
          <w:rFonts w:ascii="Arial" w:cs="Arial" w:eastAsia="Arial" w:hAnsi="Arial"/>
          <w:sz w:val="18"/>
          <w:szCs w:val="18"/>
          <w:color w:val="auto"/>
        </w:rPr>
        <w:t>Pursuant to the terms of the Convertible Note, the Company was obligated to pay interest on the outstanding principal amount owed under the Convertible Note at a fixed rate per annum of 6.0%, payable at maturity or earlier upon conversion. The Exchange Agreement contains customary representations and warranties and usual and customary affirmative and negative covenants. The Convertible Note also contained certain customary events of default.</w:t>
      </w:r>
    </w:p>
    <w:p>
      <w:pPr>
        <w:spacing w:after="0" w:line="187" w:lineRule="exact"/>
        <w:rPr>
          <w:sz w:val="20"/>
          <w:szCs w:val="20"/>
          <w:color w:val="auto"/>
        </w:rPr>
      </w:pPr>
    </w:p>
    <w:p>
      <w:pPr>
        <w:jc w:val="both"/>
        <w:ind w:left="1020"/>
        <w:spacing w:after="0" w:line="276" w:lineRule="auto"/>
        <w:rPr>
          <w:sz w:val="20"/>
          <w:szCs w:val="20"/>
          <w:color w:val="auto"/>
        </w:rPr>
      </w:pPr>
      <w:r>
        <w:rPr>
          <w:rFonts w:ascii="Arial" w:cs="Arial" w:eastAsia="Arial" w:hAnsi="Arial"/>
          <w:sz w:val="17"/>
          <w:szCs w:val="17"/>
          <w:color w:val="auto"/>
        </w:rPr>
        <w:t>As the Exchange Agreement represented the consummation of the original intent of the Company and Alpha Capital, as of the date of execution of the Merger Agreement (August 2016), to enter into a $2 million convertible note sale transaction, upon the consummation of the Merger, the Company accounted for the convertible note in accordance with such economic substance, as if it had been issued for a cash consideration equal to the principal and accrued interest on the Note, as of the effective date of the Merger, in the amount of $2,029 (the “Assumed Consideration”), which is equal to the principal amount of the Convertible Note as determined in the Exchange Agreement.</w:t>
      </w:r>
    </w:p>
    <w:p>
      <w:pPr>
        <w:spacing w:after="0" w:line="173" w:lineRule="exact"/>
        <w:rPr>
          <w:sz w:val="20"/>
          <w:szCs w:val="20"/>
          <w:color w:val="auto"/>
        </w:rPr>
      </w:pPr>
    </w:p>
    <w:p>
      <w:pPr>
        <w:jc w:val="both"/>
        <w:ind w:left="1020"/>
        <w:spacing w:after="0" w:line="259" w:lineRule="auto"/>
        <w:rPr>
          <w:sz w:val="20"/>
          <w:szCs w:val="20"/>
          <w:color w:val="auto"/>
        </w:rPr>
      </w:pPr>
      <w:r>
        <w:rPr>
          <w:rFonts w:ascii="Arial" w:cs="Arial" w:eastAsia="Arial" w:hAnsi="Arial"/>
          <w:sz w:val="18"/>
          <w:szCs w:val="18"/>
          <w:color w:val="auto"/>
        </w:rPr>
        <w:t>The Company concluded the conversion feature of the Convertible Note, based on the commitment date of November 28 2016 (the Exchange Agreement date), is a Beneficial Conversion Feature pursuant to the provisions of ASC 470-20, “Debt with Conversion and Other Options”. Accordingly, $2,029 of the Assumed Consideration was recorded in equity with a corresponding discount on the Convertible Note, to be amortized over its term through maturity.</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See also Note 10 – Securities Exchange Agreements with Alpha Capital.</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carrying value of the Convertible Note as of the periods below was calculated as follow:</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As of 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Unamortized discount</w:t>
            </w:r>
          </w:p>
        </w:tc>
        <w:tc>
          <w:tcPr>
            <w:tcW w:w="10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0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WARRANT LIABILITIES</w:t>
      </w:r>
    </w:p>
    <w:p>
      <w:pPr>
        <w:spacing w:after="0" w:line="229" w:lineRule="exact"/>
        <w:rPr>
          <w:sz w:val="20"/>
          <w:szCs w:val="20"/>
          <w:color w:val="auto"/>
        </w:rPr>
      </w:pPr>
    </w:p>
    <w:p>
      <w:pPr>
        <w:jc w:val="both"/>
        <w:ind w:left="1020"/>
        <w:spacing w:after="0" w:line="271" w:lineRule="auto"/>
        <w:rPr>
          <w:sz w:val="20"/>
          <w:szCs w:val="20"/>
          <w:color w:val="auto"/>
        </w:rPr>
      </w:pPr>
      <w:r>
        <w:rPr>
          <w:rFonts w:ascii="Arial" w:cs="Arial" w:eastAsia="Arial" w:hAnsi="Arial"/>
          <w:sz w:val="17"/>
          <w:szCs w:val="17"/>
          <w:color w:val="auto"/>
        </w:rPr>
        <w:t>As part of StemCell’s obligations under the Merger Agreement, in August 2016, StemCells negotiated with certain institutional holders of its 2016 Series A and Series B Warrants, issued by prior to the Merger, to have such holders surrender their 2016 Series B Warrants in exchange for a reduced exercise price of $4.45 ($0.30 before the Reverse Split) per share on their existing 2016 Series A Warrants and the elimination of the anti-dilution price protection in the 2016 Series A Warrants. As a result, the exercise price for all outstanding 2011 Series A Warrants and 2016 Series A and Series B Warrants was reset to of $4.45 ($0.30 before the Reverse Split) per share. Subsequent to the reset of the exercise price, an aggregate of 35,831 (531,814 before the Reverse Split) (from an outstanding aggregate of 38,948 (578,081 before the Reverse Split)) 2011 Series A Warrants were exercised. For the exercise of these warrants, the Company issued 35,831 shares (531,814 shares before the Reverse Split) of its common stock prior to the Merger.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The remaining outstanding warrants and terms as of December 31, 2017 and 2016 is as follows: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Exercisable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as of</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as of</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0"/>
              </w:rPr>
              <w:t>as of</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Exercise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68"/>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Issuance date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2016(*)</w:t>
            </w:r>
          </w:p>
        </w:tc>
        <w:tc>
          <w:tcPr>
            <w:tcW w:w="2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2017(*)</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Price (*)</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8"/>
              </w:rPr>
              <w:t>2017(*)</w:t>
            </w:r>
          </w:p>
        </w:tc>
        <w:tc>
          <w:tcPr>
            <w:tcW w:w="20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18"/>
                <w:szCs w:val="18"/>
                <w:b w:val="1"/>
                <w:bCs w:val="1"/>
                <w:color w:val="auto"/>
                <w:w w:val="89"/>
              </w:rPr>
              <w:t>Exercisable Through</w:t>
            </w:r>
          </w:p>
        </w:tc>
      </w:tr>
      <w:tr>
        <w:trPr>
          <w:trHeight w:val="216"/>
        </w:trPr>
        <w:tc>
          <w:tcPr>
            <w:tcW w:w="1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r>
      <w:tr>
        <w:trPr>
          <w:trHeight w:val="216"/>
        </w:trPr>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Series A (2011)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2016</w:t>
            </w:r>
          </w:p>
        </w:tc>
      </w:tr>
      <w:tr>
        <w:trPr>
          <w:trHeight w:val="216"/>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Series A (2013)</w:t>
            </w:r>
          </w:p>
        </w:tc>
        <w:tc>
          <w:tcPr>
            <w:tcW w:w="1280" w:type="dxa"/>
            <w:vAlign w:val="bottom"/>
          </w:tcPr>
          <w:p>
            <w:pPr>
              <w:jc w:val="right"/>
              <w:spacing w:after="0"/>
              <w:rPr>
                <w:sz w:val="20"/>
                <w:szCs w:val="20"/>
                <w:color w:val="auto"/>
              </w:rPr>
            </w:pPr>
            <w:r>
              <w:rPr>
                <w:rFonts w:ascii="Arial" w:cs="Arial" w:eastAsia="Arial" w:hAnsi="Arial"/>
                <w:sz w:val="18"/>
                <w:szCs w:val="18"/>
                <w:color w:val="auto"/>
              </w:rPr>
              <w:t>3,895</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3,895</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2,885</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3,895</w:t>
            </w: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rPr>
              <w:t>October 2018</w:t>
            </w:r>
          </w:p>
        </w:tc>
      </w:tr>
      <w:tr>
        <w:trPr>
          <w:trHeight w:val="216"/>
        </w:trPr>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Series A (2013)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April 2023</w:t>
            </w:r>
          </w:p>
        </w:tc>
      </w:tr>
      <w:tr>
        <w:trPr>
          <w:trHeight w:val="216"/>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Series A (2015)</w:t>
            </w:r>
          </w:p>
        </w:tc>
        <w:tc>
          <w:tcPr>
            <w:tcW w:w="1280" w:type="dxa"/>
            <w:vAlign w:val="bottom"/>
          </w:tcPr>
          <w:p>
            <w:pPr>
              <w:jc w:val="right"/>
              <w:spacing w:after="0"/>
              <w:rPr>
                <w:sz w:val="20"/>
                <w:szCs w:val="20"/>
                <w:color w:val="auto"/>
              </w:rPr>
            </w:pPr>
            <w:r>
              <w:rPr>
                <w:rFonts w:ascii="Arial" w:cs="Arial" w:eastAsia="Arial" w:hAnsi="Arial"/>
                <w:sz w:val="18"/>
                <w:szCs w:val="18"/>
                <w:color w:val="auto"/>
              </w:rPr>
              <w:t>683</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683</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1,363</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683</w:t>
            </w: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rPr>
              <w:t>April 2020</w:t>
            </w:r>
          </w:p>
        </w:tc>
      </w:tr>
      <w:tr>
        <w:trPr>
          <w:trHeight w:val="216"/>
        </w:trPr>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Series A (2016)(a)</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March 2018</w:t>
            </w:r>
          </w:p>
        </w:tc>
      </w:tr>
      <w:tr>
        <w:trPr>
          <w:trHeight w:val="230"/>
        </w:trPr>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Series B (2016)(a)</w:t>
            </w:r>
          </w:p>
        </w:tc>
        <w:tc>
          <w:tcPr>
            <w:tcW w:w="1280" w:type="dxa"/>
            <w:vAlign w:val="bottom"/>
          </w:tcPr>
          <w:p>
            <w:pPr>
              <w:jc w:val="right"/>
              <w:spacing w:after="0"/>
              <w:rPr>
                <w:sz w:val="20"/>
                <w:szCs w:val="20"/>
                <w:color w:val="auto"/>
              </w:rPr>
            </w:pPr>
            <w:r>
              <w:rPr>
                <w:rFonts w:ascii="Arial" w:cs="Arial" w:eastAsia="Arial" w:hAnsi="Arial"/>
                <w:sz w:val="18"/>
                <w:szCs w:val="18"/>
                <w:color w:val="auto"/>
              </w:rPr>
              <w:t>2,770</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2,770</w:t>
            </w: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rPr>
              <w:t>March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128270</wp:posOffset>
            </wp:positionV>
            <wp:extent cx="16465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08" w:lineRule="exact"/>
        <w:rPr>
          <w:sz w:val="20"/>
          <w:szCs w:val="20"/>
          <w:color w:val="auto"/>
        </w:rPr>
      </w:pPr>
    </w:p>
    <w:p>
      <w:pPr>
        <w:ind w:left="440" w:hanging="426"/>
        <w:spacing w:after="0" w:line="258"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December 31 2017 and 2016 warrants data represents the number of shares adjusted to retroactively reflect the 1:15 Reverse Split effected on September 4, 2018.</w:t>
      </w:r>
    </w:p>
    <w:p>
      <w:pPr>
        <w:spacing w:after="0" w:line="1" w:lineRule="exact"/>
        <w:rPr>
          <w:sz w:val="20"/>
          <w:szCs w:val="20"/>
          <w:color w:val="auto"/>
        </w:rPr>
      </w:pPr>
    </w:p>
    <w:p>
      <w:pPr>
        <w:jc w:val="both"/>
        <w:ind w:left="440" w:hanging="426"/>
        <w:spacing w:after="0" w:line="270" w:lineRule="auto"/>
        <w:tabs>
          <w:tab w:leader="none" w:pos="4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These warrants contain a full ratchet anti-dilution price protection so that, in most situations upon the issuance of any common stock or securities convertible into common stock at a price below the then-existing exercise price of the outstanding warrants, the warrant exercise price will be reset to the lower common stock sales price. As such anti-dilution price protection does not meet the specific conditions for equity classification, the Company is required to classify the fair value of these warrants as a liability, with changes in fair value to be recorded as income (loss) due to change in fair value of warrant liability. The estimated fair value of our warrant liability at December 31, 2017 and December 31, 2016, was approximately $28 and $313, respectively.</w:t>
      </w:r>
    </w:p>
    <w:p>
      <w:pPr>
        <w:spacing w:after="0" w:line="178" w:lineRule="exact"/>
        <w:rPr>
          <w:rFonts w:ascii="Arial" w:cs="Arial" w:eastAsia="Arial" w:hAnsi="Arial"/>
          <w:sz w:val="17"/>
          <w:szCs w:val="17"/>
          <w:color w:val="auto"/>
        </w:rPr>
      </w:pPr>
    </w:p>
    <w:p>
      <w:pPr>
        <w:ind w:left="440" w:right="20"/>
        <w:spacing w:after="0" w:line="277" w:lineRule="auto"/>
        <w:rPr>
          <w:rFonts w:ascii="Arial" w:cs="Arial" w:eastAsia="Arial" w:hAnsi="Arial"/>
          <w:sz w:val="17"/>
          <w:szCs w:val="17"/>
          <w:color w:val="auto"/>
        </w:rPr>
      </w:pPr>
      <w:r>
        <w:rPr>
          <w:rFonts w:ascii="Arial" w:cs="Arial" w:eastAsia="Arial" w:hAnsi="Arial"/>
          <w:sz w:val="18"/>
          <w:szCs w:val="18"/>
          <w:color w:val="auto"/>
        </w:rPr>
        <w:t>As quoted prices in active markets for identical or similar warrants are not available, the Company uses directly observable inputs in the valuation of its derivative warrant liabilities (level 2 measurement).</w:t>
      </w:r>
    </w:p>
    <w:p>
      <w:pPr>
        <w:spacing w:after="0" w:line="170" w:lineRule="exact"/>
        <w:rPr>
          <w:rFonts w:ascii="Arial" w:cs="Arial" w:eastAsia="Arial" w:hAnsi="Arial"/>
          <w:sz w:val="17"/>
          <w:szCs w:val="17"/>
          <w:color w:val="auto"/>
        </w:rPr>
      </w:pPr>
    </w:p>
    <w:p>
      <w:pPr>
        <w:jc w:val="both"/>
        <w:ind w:left="440"/>
        <w:spacing w:after="0" w:line="297" w:lineRule="auto"/>
        <w:rPr>
          <w:rFonts w:ascii="Arial" w:cs="Arial" w:eastAsia="Arial" w:hAnsi="Arial"/>
          <w:sz w:val="17"/>
          <w:szCs w:val="17"/>
          <w:color w:val="auto"/>
        </w:rPr>
      </w:pPr>
      <w:r>
        <w:rPr>
          <w:rFonts w:ascii="Arial" w:cs="Arial" w:eastAsia="Arial" w:hAnsi="Arial"/>
          <w:sz w:val="16"/>
          <w:szCs w:val="16"/>
          <w:color w:val="auto"/>
        </w:rPr>
        <w:t>The Company uses the Black-Scholes valuation model to estimate fair value of these warrants. In using this model, the Company makes certain assumptions about risk-free interest rates, dividend yields, volatility, expected term of the warrants and other assumptions. Risk-free interest rates are derived from the yield on U.S. Treasury debt securities. Dividend yields are based on our historical dividend payments, which have been zero to date. Volatility is estimated from the historical volatility of our common stock as traded on NASDAQ. The expected term of the warrants is based on the time to expiration of the warrants from the date of measurement.</w:t>
      </w:r>
    </w:p>
    <w:p>
      <w:pPr>
        <w:spacing w:after="0" w:line="158" w:lineRule="exact"/>
        <w:rPr>
          <w:rFonts w:ascii="Arial" w:cs="Arial" w:eastAsia="Arial" w:hAnsi="Arial"/>
          <w:sz w:val="17"/>
          <w:szCs w:val="17"/>
          <w:color w:val="auto"/>
        </w:rPr>
      </w:pPr>
    </w:p>
    <w:p>
      <w:pPr>
        <w:ind w:left="440" w:hanging="426"/>
        <w:spacing w:after="0" w:line="277"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March 2017, an institutional holder executed a cashless exercise of 51 warrants (768 before the Reverse Split) and 24 shares (359 shares before the Reverse Split) of Common Stock were issued in connection therewith.</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observable inputs used in the valuation of the derivative warrant liabilities as of December 31,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Series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rPr>
              <w:t>A</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Series A</w:t>
            </w:r>
          </w:p>
        </w:tc>
        <w:tc>
          <w:tcPr>
            <w:tcW w:w="1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Series A</w:t>
            </w:r>
          </w:p>
        </w:tc>
        <w:tc>
          <w:tcPr>
            <w:tcW w:w="12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Arial" w:cs="Arial" w:eastAsia="Arial" w:hAnsi="Arial"/>
                <w:sz w:val="18"/>
                <w:szCs w:val="18"/>
                <w:b w:val="1"/>
                <w:bCs w:val="1"/>
                <w:color w:val="auto"/>
              </w:rPr>
              <w:t>Series A</w:t>
            </w:r>
          </w:p>
        </w:tc>
        <w:tc>
          <w:tcPr>
            <w:tcW w:w="6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Series A</w:t>
            </w:r>
          </w:p>
        </w:tc>
        <w:tc>
          <w:tcPr>
            <w:tcW w:w="1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5"/>
              </w:rPr>
              <w:t>Series 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8"/>
        </w:trPr>
        <w:tc>
          <w:tcPr>
            <w:tcW w:w="270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(2013)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(2013)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(2015)</w:t>
            </w:r>
          </w:p>
        </w:tc>
        <w:tc>
          <w:tcPr>
            <w:tcW w:w="220" w:type="dxa"/>
            <w:vAlign w:val="bottom"/>
          </w:tcPr>
          <w:p>
            <w:pPr>
              <w:spacing w:after="0"/>
              <w:rPr>
                <w:sz w:val="23"/>
                <w:szCs w:val="23"/>
                <w:color w:val="auto"/>
              </w:rPr>
            </w:pPr>
          </w:p>
        </w:tc>
        <w:tc>
          <w:tcPr>
            <w:tcW w:w="7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(2016)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Total</w:t>
            </w:r>
          </w:p>
        </w:tc>
      </w:tr>
      <w:tr>
        <w:trPr>
          <w:trHeight w:val="223"/>
        </w:trPr>
        <w:tc>
          <w:tcPr>
            <w:tcW w:w="27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w w:val="90"/>
              </w:rPr>
              <w:t>(in thousands)</w:t>
            </w: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2016</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Exercised</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2700" w:type="dxa"/>
            <w:vAlign w:val="bottom"/>
          </w:tcPr>
          <w:p>
            <w:pPr>
              <w:spacing w:after="0"/>
              <w:rPr>
                <w:sz w:val="20"/>
                <w:szCs w:val="20"/>
                <w:color w:val="auto"/>
              </w:rPr>
            </w:pPr>
            <w:r>
              <w:rPr>
                <w:rFonts w:ascii="Arial" w:cs="Arial" w:eastAsia="Arial" w:hAnsi="Arial"/>
                <w:sz w:val="18"/>
                <w:szCs w:val="18"/>
                <w:color w:val="auto"/>
              </w:rPr>
              <w:t>Changes in fair value</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r>
      <w:tr>
        <w:trPr>
          <w:trHeight w:val="230"/>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2017</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137160</wp:posOffset>
            </wp:positionV>
            <wp:extent cx="16465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22" w:lineRule="exact"/>
        <w:rPr>
          <w:sz w:val="20"/>
          <w:szCs w:val="20"/>
          <w:color w:val="auto"/>
        </w:rPr>
      </w:pPr>
    </w:p>
    <w:p>
      <w:pPr>
        <w:ind w:left="440" w:hanging="426"/>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520" w:right="660" w:hanging="4506"/>
        <w:spacing w:after="0" w:line="511" w:lineRule="auto"/>
        <w:tabs>
          <w:tab w:leader="none" w:pos="4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Share data represents the number of shares adjusted to retroactively reflect the 1:15 Reverse Split effected on September 4, 2018. 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-147320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00"/>
          </w:cols>
          <w:pgMar w:left="1260" w:top="692" w:right="239" w:bottom="1440" w:gutter="0" w:footer="0" w:header="0"/>
        </w:sectPr>
      </w:pPr>
    </w:p>
    <w:bookmarkStart w:id="57" w:name="page58"/>
    <w:bookmarkEnd w:id="57"/>
    <w:p>
      <w:pPr>
        <w:ind w:left="1020"/>
        <w:spacing w:after="0"/>
        <w:rPr>
          <w:sz w:val="20"/>
          <w:szCs w:val="20"/>
          <w:color w:val="auto"/>
        </w:rPr>
      </w:pPr>
      <w:r>
        <w:rPr>
          <w:rFonts w:ascii="Arial" w:cs="Arial" w:eastAsia="Arial" w:hAnsi="Arial"/>
          <w:sz w:val="16"/>
          <w:szCs w:val="16"/>
          <w:color w:val="auto"/>
        </w:rPr>
        <w:t>The following table summarizes the observable inputs used in the valuation of the derivative warrant liabilities as of December 31, 2017 and</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December 31, 2016:</w:t>
      </w:r>
    </w:p>
    <w:p>
      <w:pPr>
        <w:spacing w:after="0" w:line="207"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4"/>
          </w:tcPr>
          <w:p>
            <w:pPr>
              <w:jc w:val="right"/>
              <w:ind w:right="677"/>
              <w:spacing w:after="0"/>
              <w:rPr>
                <w:sz w:val="20"/>
                <w:szCs w:val="20"/>
                <w:color w:val="auto"/>
              </w:rPr>
            </w:pPr>
            <w:r>
              <w:rPr>
                <w:rFonts w:ascii="Arial" w:cs="Arial" w:eastAsia="Arial" w:hAnsi="Arial"/>
                <w:sz w:val="18"/>
                <w:szCs w:val="18"/>
                <w:b w:val="1"/>
                <w:bCs w:val="1"/>
                <w:color w:val="auto"/>
              </w:rPr>
              <w:t>As of</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4"/>
          </w:tcPr>
          <w:p>
            <w:pPr>
              <w:jc w:val="right"/>
              <w:ind w:right="697"/>
              <w:spacing w:after="0"/>
              <w:rPr>
                <w:sz w:val="20"/>
                <w:szCs w:val="20"/>
                <w:color w:val="auto"/>
              </w:rPr>
            </w:pPr>
            <w:r>
              <w:rPr>
                <w:rFonts w:ascii="Arial" w:cs="Arial" w:eastAsia="Arial" w:hAnsi="Arial"/>
                <w:sz w:val="18"/>
                <w:szCs w:val="18"/>
                <w:b w:val="1"/>
                <w:bCs w:val="1"/>
                <w:color w:val="auto"/>
              </w:rPr>
              <w:t>As of</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8"/>
        </w:trPr>
        <w:tc>
          <w:tcPr>
            <w:tcW w:w="2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8"/>
                <w:szCs w:val="18"/>
                <w:b w:val="1"/>
                <w:bCs w:val="1"/>
                <w:color w:val="auto"/>
              </w:rPr>
              <w:t>December 31, 2017(*)</w:t>
            </w:r>
          </w:p>
        </w:tc>
        <w:tc>
          <w:tcPr>
            <w:tcW w:w="44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8"/>
                <w:szCs w:val="18"/>
                <w:b w:val="1"/>
                <w:bCs w:val="1"/>
                <w:color w:val="auto"/>
              </w:rPr>
              <w:t>December 31, 2016(*)</w:t>
            </w:r>
          </w:p>
        </w:tc>
        <w:tc>
          <w:tcPr>
            <w:tcW w:w="44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284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Series A (2016)</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Series B (2016)</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Series A (2016)</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Series B (2016)</w:t>
            </w:r>
          </w:p>
        </w:tc>
        <w:tc>
          <w:tcPr>
            <w:tcW w:w="160" w:type="dxa"/>
            <w:vAlign w:val="bottom"/>
            <w:tcBorders>
              <w:bottom w:val="single" w:sz="8" w:color="CCEEFF"/>
            </w:tcBorders>
          </w:tcPr>
          <w:p>
            <w:pPr>
              <w:spacing w:after="0"/>
              <w:rPr>
                <w:sz w:val="20"/>
                <w:szCs w:val="20"/>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Share price</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6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Exercise price</w:t>
            </w:r>
          </w:p>
        </w:tc>
        <w:tc>
          <w:tcPr>
            <w:tcW w:w="10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880" w:type="dxa"/>
            <w:vAlign w:val="bottom"/>
            <w:gridSpan w:val="2"/>
          </w:tcPr>
          <w:p>
            <w:pPr>
              <w:jc w:val="right"/>
              <w:ind w:right="61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440" w:type="dxa"/>
            <w:vAlign w:val="bottom"/>
            <w:gridSpan w:val="2"/>
          </w:tcPr>
          <w:p>
            <w:pPr>
              <w:jc w:val="right"/>
              <w:ind w:right="17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90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Risk-free interest</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128270</wp:posOffset>
            </wp:positionV>
            <wp:extent cx="16465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08" w:lineRule="exact"/>
        <w:rPr>
          <w:sz w:val="20"/>
          <w:szCs w:val="20"/>
          <w:color w:val="auto"/>
        </w:rPr>
      </w:pPr>
    </w:p>
    <w:p>
      <w:pPr>
        <w:ind w:left="1460" w:right="20" w:hanging="426"/>
        <w:spacing w:after="0" w:line="277" w:lineRule="auto"/>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December 31 2017 and 2016 options data represents the number of shares adjusted to retroactively reflect the 1:15 Reverse Split effected on September 4, 2018.</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Activity in such liabilities measured on a recurring basis is as follows:</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As of December 31, 2016</w:t>
      </w:r>
    </w:p>
    <w:p>
      <w:pPr>
        <w:spacing w:after="0" w:line="46"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Revaluation of warrants</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Exercise warrants</w:t>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226695</wp:posOffset>
            </wp:positionV>
            <wp:extent cx="18097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Less than 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Derivative warrant</w:t>
      </w:r>
    </w:p>
    <w:p>
      <w:pPr>
        <w:spacing w:after="0" w:line="27"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liabilities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8"/>
              </w:rPr>
              <w:t>(in thousands)</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line="201" w:lineRule="exact"/>
              <w:rPr>
                <w:sz w:val="20"/>
                <w:szCs w:val="20"/>
                <w:color w:val="auto"/>
              </w:rPr>
            </w:pPr>
            <w:r>
              <w:rPr>
                <w:rFonts w:ascii="Arial" w:cs="Arial" w:eastAsia="Arial" w:hAnsi="Arial"/>
                <w:sz w:val="18"/>
                <w:szCs w:val="18"/>
                <w:color w:val="auto"/>
              </w:rPr>
              <w:t>313</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(285)</w:t>
            </w:r>
          </w:p>
        </w:tc>
      </w:tr>
      <w:tr>
        <w:trPr>
          <w:trHeight w:val="251"/>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-616585</wp:posOffset>
            </wp:positionV>
            <wp:extent cx="434784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47845" cy="1460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-334010</wp:posOffset>
            </wp:positionV>
            <wp:extent cx="434784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676" w:lineRule="exact"/>
        <w:rPr>
          <w:sz w:val="20"/>
          <w:szCs w:val="20"/>
          <w:color w:val="auto"/>
        </w:rPr>
      </w:pPr>
    </w:p>
    <w:p>
      <w:pPr>
        <w:sectPr>
          <w:pgSz w:w="11900" w:h="16838" w:orient="portrait"/>
          <w:cols w:equalWidth="0" w:num="2">
            <w:col w:w="5240" w:space="720"/>
            <w:col w:w="5460"/>
          </w:cols>
          <w:pgMar w:left="240" w:top="69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As of November 30, 2016</w:t>
      </w:r>
    </w:p>
    <w:p>
      <w:pPr>
        <w:spacing w:after="0" w:line="46"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Revaluation of warrants</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Exercise warrants</w:t>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209550</wp:posOffset>
            </wp:positionV>
            <wp:extent cx="16465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33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Less than 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Derivative warrant</w:t>
      </w:r>
    </w:p>
    <w:p>
      <w:pPr>
        <w:spacing w:after="0" w:line="27"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liabilities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line="201" w:lineRule="exact"/>
              <w:rPr>
                <w:sz w:val="20"/>
                <w:szCs w:val="20"/>
                <w:color w:val="auto"/>
              </w:rPr>
            </w:pPr>
            <w:r>
              <w:rPr>
                <w:rFonts w:ascii="Arial" w:cs="Arial" w:eastAsia="Arial" w:hAnsi="Arial"/>
                <w:sz w:val="18"/>
                <w:szCs w:val="18"/>
                <w:color w:val="auto"/>
              </w:rPr>
              <w:t>575</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(262)</w:t>
            </w: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-616585</wp:posOffset>
            </wp:positionV>
            <wp:extent cx="434784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47845" cy="1460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-334010</wp:posOffset>
            </wp:positionV>
            <wp:extent cx="4347845"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649" w:lineRule="exact"/>
        <w:rPr>
          <w:sz w:val="20"/>
          <w:szCs w:val="20"/>
          <w:color w:val="auto"/>
        </w:rPr>
      </w:pPr>
    </w:p>
    <w:p>
      <w:pPr>
        <w:sectPr>
          <w:pgSz w:w="11900" w:h="16838" w:orient="portrait"/>
          <w:cols w:equalWidth="0" w:num="2">
            <w:col w:w="5240" w:space="720"/>
            <w:col w:w="5460"/>
          </w:cols>
          <w:pgMar w:left="240" w:top="692" w:right="239" w:bottom="1440" w:gutter="0" w:footer="0" w:header="0"/>
          <w:type w:val="continuous"/>
        </w:sectPr>
      </w:pPr>
    </w:p>
    <w:p>
      <w:pPr>
        <w:spacing w:after="0" w:line="25" w:lineRule="exact"/>
        <w:rPr>
          <w:sz w:val="20"/>
          <w:szCs w:val="20"/>
          <w:color w:val="auto"/>
        </w:rPr>
      </w:pPr>
    </w:p>
    <w:p>
      <w:pPr>
        <w:jc w:val="both"/>
        <w:ind w:left="1020"/>
        <w:spacing w:after="0" w:line="255" w:lineRule="auto"/>
        <w:rPr>
          <w:sz w:val="20"/>
          <w:szCs w:val="20"/>
          <w:color w:val="auto"/>
        </w:rPr>
      </w:pPr>
      <w:r>
        <w:rPr>
          <w:rFonts w:ascii="Arial" w:cs="Arial" w:eastAsia="Arial" w:hAnsi="Arial"/>
          <w:sz w:val="18"/>
          <w:szCs w:val="18"/>
          <w:color w:val="auto"/>
        </w:rPr>
        <w:t>In accordance with ASC-820-10-50-2(g), the Company has performed a sensitivity analysis of the derivative warrant liabilities of the Company which are classified as level 3 financial instruments. The Company recalculated the value of warrants by applying a +/- 5% changes to the input variables in the Black-Scholes model that vary overtime, namely, the volatility and the risk-free rate. A 5.0% decrease in volatility would decrease the value of the warrants to $27; a 5.0% increase in volatility would increase the value of the warrants to $29. A 5.0% decrease or increase in the risk-free rate would not have materially changed the value of the warrants; the value of the warrants is not strongly correlated with small changes in interest rates.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CONTIGENCIES</w:t>
      </w:r>
    </w:p>
    <w:p>
      <w:pPr>
        <w:spacing w:after="0" w:line="229" w:lineRule="exact"/>
        <w:rPr>
          <w:sz w:val="20"/>
          <w:szCs w:val="20"/>
          <w:color w:val="auto"/>
        </w:rPr>
      </w:pPr>
    </w:p>
    <w:p>
      <w:pPr>
        <w:jc w:val="both"/>
        <w:ind w:left="1040"/>
        <w:spacing w:after="0" w:line="259"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December 31, 2017 in the total amount of approximately $1,183 and, in return, Microbot Israel is obligated to pay royalties amounting to 3% of its future sales up to the amount of the grant. The grant is linked to the exchange rate of the dollar to the New Israeli Shekel and bears interest of Libor per annum.</w:t>
      </w:r>
    </w:p>
    <w:p>
      <w:pPr>
        <w:spacing w:after="0" w:line="187" w:lineRule="exact"/>
        <w:rPr>
          <w:sz w:val="20"/>
          <w:szCs w:val="20"/>
          <w:color w:val="auto"/>
        </w:rPr>
      </w:pPr>
    </w:p>
    <w:p>
      <w:pPr>
        <w:jc w:val="both"/>
        <w:ind w:left="1040"/>
        <w:spacing w:after="0" w:line="259" w:lineRule="auto"/>
        <w:rPr>
          <w:sz w:val="20"/>
          <w:szCs w:val="20"/>
          <w:color w:val="auto"/>
        </w:rPr>
      </w:pPr>
      <w:r>
        <w:rPr>
          <w:rFonts w:ascii="Arial" w:cs="Arial" w:eastAsia="Arial" w:hAnsi="Arial"/>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58" w:name="page59"/>
    <w:bookmarkEnd w:id="58"/>
    <w:p>
      <w:pPr>
        <w:jc w:val="both"/>
        <w:spacing w:after="0" w:line="264"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June 2016, the Company entered into an office lease agreement, with a term ending on February 28, 2018. According to the lease agreement, the monthly office lease payment is approximately $3.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2016, the Company entered into a cars lease agreement, which will end on December 31, 2019. According to the lease agreement, the monthly car lease payment is approximately $2.5.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2017, the Company entered into an office lease agreement effective from February 1, 2018, with a term ending on December 31, 2020. According to the lease agreement, the monthly office lease payment is approximately $14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liability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incurred compensation commitments of approximately $400 to a former executive that management estimates as remote that this amount will ever be paid out and therefore is not reflected in these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Research Agreement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January 27, 2017, the Company entered into a Contract Research Agreement (the “Research Agreement”) with The Washington University (“Washington U.”), pursuant to which the parties will collaborate to determine the effectiveness of the Company’s self-cleaning shunt.</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22222"/>
        </w:rPr>
        <w:t xml:space="preserve">The study in WU includes several phases. The first phase (initial research) was completed. The parties are in the final stage of planning the next phase, including the related various costs. </w:t>
      </w:r>
      <w:r>
        <w:rPr>
          <w:rFonts w:ascii="Arial" w:cs="Arial" w:eastAsia="Arial" w:hAnsi="Arial"/>
          <w:sz w:val="17"/>
          <w:szCs w:val="17"/>
          <w:color w:val="000000"/>
        </w:rPr>
        <w:t>Pursuant to the Research Agreement, all rights, title and interest in the data, information and results</w:t>
      </w:r>
      <w:r>
        <w:rPr>
          <w:rFonts w:ascii="Arial" w:cs="Arial" w:eastAsia="Arial" w:hAnsi="Arial"/>
          <w:sz w:val="17"/>
          <w:szCs w:val="17"/>
          <w:color w:val="222222"/>
        </w:rPr>
        <w:t xml:space="preserve"> </w:t>
      </w:r>
      <w:r>
        <w:rPr>
          <w:rFonts w:ascii="Arial" w:cs="Arial" w:eastAsia="Arial" w:hAnsi="Arial"/>
          <w:sz w:val="17"/>
          <w:szCs w:val="17"/>
          <w:color w:val="000000"/>
        </w:rPr>
        <w:t>obtained or arrived at by Washington U. in the performance of its services under the Research Agreement, as well as any patentable inventions obtained or arrived at in the performance of such services, will be jointly owned by the Company and Washington U., and each will have full right to practice and grant licenses in joint inventions. Additionally, Washington U. granted to the Company: (a) a non-exclusive, worldwide, royalty-free, fully paid-up, perpetual and irrevocable license to use and practice patentable inventions (other than joint inventions and improvements to Washington U.’s animal models) obtained or arrived at by Washington U. in the provision of its services under the Research Agreement (“University Inventions”) with respect to the self-cleaning shunt; and (b) an exclusive option to obtain an exclusive worldwide license in University Inventions, on terms to be negotiated between the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named as the defendant in a lawsuit, captioned Sabby Healthcare Master Fund Ltd. and Sabby Volatility Warrant Master Fund Ltd., Plaintiffs, against Microbot Medical Inc., Defendant, pending in the Supreme Court of the State of New York, County of New York. The complaint alleges, among other things, that the Company breached multiple representations and warranties contained in the Securities Purchase Agreement (the “SPA”) related to the June 8, 2017 equity financing of the Company (the “Financing”), of which the Plaintiffs participated. The complaint seeks rescission of the SPA and return of the Plaintiffs’ $3,375 purchase price with respect to the Financing, and damages in an amount to be determined at trial, but alleged to exceed $1 million. The parties presently are engaged in discovery.</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Management is unable to assess the likelihood of the claim and the amount of potential damages, if any, to be awarded. Management believes that the claims made against it are without merit and intends to vigorously defend itself against these claims.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 16 – Subsequent Events, below.</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0"/>
          </w:cols>
          <w:pgMar w:left="1280" w:top="692"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NOTE 9 - SHARE CAPITAL</w:t>
      </w:r>
    </w:p>
    <w:p>
      <w:pPr>
        <w:spacing w:after="0" w:line="229" w:lineRule="exact"/>
        <w:rPr>
          <w:sz w:val="20"/>
          <w:szCs w:val="20"/>
          <w:color w:val="auto"/>
        </w:rPr>
      </w:pPr>
    </w:p>
    <w:p>
      <w:pPr>
        <w:jc w:val="both"/>
        <w:ind w:left="1060"/>
        <w:spacing w:after="0" w:line="264" w:lineRule="auto"/>
        <w:rPr>
          <w:sz w:val="20"/>
          <w:szCs w:val="20"/>
          <w:color w:val="auto"/>
        </w:rPr>
      </w:pPr>
      <w:r>
        <w:rPr>
          <w:rFonts w:ascii="Arial" w:cs="Arial" w:eastAsia="Arial" w:hAnsi="Arial"/>
          <w:sz w:val="18"/>
          <w:szCs w:val="18"/>
          <w:color w:val="auto"/>
        </w:rPr>
        <w:t>Each share of the Series A Convertible Preferred Stock, par value $0.01 per share, issued by the Company in December 2016 and in May 2017 (the “Series A Convertible Preferred Stock”), is convertible, at the option of the holder, into 67 shares ( 1,000 shares before the Reverse Split) of Common Stock, and confer upon the holder dividend rights on an as converted basis.</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jc w:val="both"/>
        <w:ind w:left="1060"/>
        <w:spacing w:after="0" w:line="277" w:lineRule="auto"/>
        <w:rPr>
          <w:sz w:val="20"/>
          <w:szCs w:val="20"/>
          <w:color w:val="auto"/>
        </w:rPr>
      </w:pPr>
      <w:r>
        <w:rPr>
          <w:rFonts w:ascii="Arial" w:cs="Arial" w:eastAsia="Arial" w:hAnsi="Arial"/>
          <w:sz w:val="18"/>
          <w:szCs w:val="18"/>
          <w:color w:val="auto"/>
        </w:rPr>
        <w:t>On March 2017, an institutional holder exercised, in a cashless transaction, of 52 warrants ( 768 before the Reverse Split) and 24 shares ( 359 shares before the Reverse Split) of Common Stock were issued in connection therewith.</w:t>
      </w:r>
    </w:p>
    <w:p>
      <w:pPr>
        <w:spacing w:after="0" w:line="16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left="1060"/>
        <w:spacing w:after="0" w:line="259" w:lineRule="auto"/>
        <w:rPr>
          <w:sz w:val="20"/>
          <w:szCs w:val="20"/>
          <w:color w:val="auto"/>
        </w:rPr>
      </w:pPr>
      <w:r>
        <w:rPr>
          <w:rFonts w:ascii="Arial" w:cs="Arial" w:eastAsia="Arial" w:hAnsi="Arial"/>
          <w:sz w:val="18"/>
          <w:szCs w:val="18"/>
          <w:color w:val="auto"/>
        </w:rPr>
        <w:t>The authorized capital stock consists of 221,000,000 shares of capital stock, which consists of 220,000,000 shares of Common Stock and 1,000,000 shares of undesignated preferred stock, par value $0.01 (the “Preferred Stock”). As of December 31, 2017, the Company had 2,734,300 shares (40,583,127 shares before the Reverse Split) of Common Stock issued and outstanding, and 4,001 shares of Series A Convertible Preferred Stock issued and outstanding.</w:t>
      </w:r>
    </w:p>
    <w:p>
      <w:pPr>
        <w:spacing w:after="0" w:line="187" w:lineRule="exact"/>
        <w:rPr>
          <w:sz w:val="20"/>
          <w:szCs w:val="20"/>
          <w:color w:val="auto"/>
        </w:rPr>
      </w:pPr>
    </w:p>
    <w:p>
      <w:pPr>
        <w:jc w:val="both"/>
        <w:ind w:left="1060"/>
        <w:spacing w:after="0" w:line="259" w:lineRule="auto"/>
        <w:rPr>
          <w:sz w:val="20"/>
          <w:szCs w:val="20"/>
          <w:color w:val="auto"/>
        </w:rPr>
      </w:pPr>
      <w:r>
        <w:rPr>
          <w:rFonts w:ascii="Arial" w:cs="Arial" w:eastAsia="Arial" w:hAnsi="Arial"/>
          <w:sz w:val="18"/>
          <w:szCs w:val="18"/>
          <w:color w:val="auto"/>
        </w:rPr>
        <w:t>On November 28, 2016, the Company filed a Certificate of Amendment to its Restated Certificate of Incorporation, as amended, with the Secretary of State of the State of Delaware to (i) effect the Reverse Stock Split, (ii) change its name from “StemCells, Inc.” to “Microbot Medical Inc.” and (iii) increase the number of authorized shares of the Common Stock from 200,000,000 to 220,000,000 shares (the “Certificate of Amendment”).</w:t>
      </w:r>
    </w:p>
    <w:p>
      <w:pPr>
        <w:spacing w:after="0" w:line="187" w:lineRule="exact"/>
        <w:rPr>
          <w:sz w:val="20"/>
          <w:szCs w:val="20"/>
          <w:color w:val="auto"/>
        </w:rPr>
      </w:pPr>
    </w:p>
    <w:p>
      <w:pPr>
        <w:jc w:val="both"/>
        <w:ind w:left="1060"/>
        <w:spacing w:after="0" w:line="264" w:lineRule="auto"/>
        <w:rPr>
          <w:sz w:val="20"/>
          <w:szCs w:val="20"/>
          <w:color w:val="auto"/>
        </w:rPr>
      </w:pPr>
      <w:r>
        <w:rPr>
          <w:rFonts w:ascii="Arial" w:cs="Arial" w:eastAsia="Arial" w:hAnsi="Arial"/>
          <w:sz w:val="18"/>
          <w:szCs w:val="18"/>
          <w:color w:val="auto"/>
        </w:rPr>
        <w:t>As a result of the Reverse Stock Split, the number of issued and outstanding shares of the Common Stock immediately prior to the Reverse Stock Split were reduced into a smaller number of shares, such that every nine shares of the Common Stock held by a stockholder immediately prior to the Reverse Stock Split were combined and reclassified into one share of the Common Stock.</w:t>
      </w:r>
    </w:p>
    <w:p>
      <w:pPr>
        <w:spacing w:after="0" w:line="181" w:lineRule="exact"/>
        <w:rPr>
          <w:sz w:val="20"/>
          <w:szCs w:val="20"/>
          <w:color w:val="auto"/>
        </w:rPr>
      </w:pPr>
    </w:p>
    <w:p>
      <w:pPr>
        <w:jc w:val="both"/>
        <w:ind w:left="1060"/>
        <w:spacing w:after="0" w:line="264" w:lineRule="auto"/>
        <w:rPr>
          <w:sz w:val="20"/>
          <w:szCs w:val="20"/>
          <w:color w:val="auto"/>
        </w:rPr>
      </w:pPr>
      <w:r>
        <w:rPr>
          <w:rFonts w:ascii="Arial" w:cs="Arial" w:eastAsia="Arial" w:hAnsi="Arial"/>
          <w:sz w:val="18"/>
          <w:szCs w:val="18"/>
          <w:color w:val="auto"/>
        </w:rPr>
        <w:t>Immediately following the Reverse Stock Split and the Merger, there were 2,442,646 shares (36,254,240 shares before the Reverse Split) of the Common Stock issued and outstanding, which included certain rights to receive shares of Common Stock or equivalent securities but excludes shares underlying outstanding stock options and warrants and the Convertible Note.</w:t>
      </w:r>
    </w:p>
    <w:p>
      <w:pPr>
        <w:spacing w:after="0" w:line="181" w:lineRule="exact"/>
        <w:rPr>
          <w:sz w:val="20"/>
          <w:szCs w:val="20"/>
          <w:color w:val="auto"/>
        </w:rPr>
      </w:pPr>
    </w:p>
    <w:p>
      <w:pPr>
        <w:jc w:val="both"/>
        <w:ind w:left="1060"/>
        <w:spacing w:after="0" w:line="286" w:lineRule="auto"/>
        <w:rPr>
          <w:sz w:val="20"/>
          <w:szCs w:val="20"/>
          <w:color w:val="auto"/>
        </w:rPr>
      </w:pPr>
      <w:r>
        <w:rPr>
          <w:rFonts w:ascii="Arial" w:cs="Arial" w:eastAsia="Arial" w:hAnsi="Arial"/>
          <w:sz w:val="17"/>
          <w:szCs w:val="17"/>
          <w:color w:val="auto"/>
        </w:rPr>
        <w:t>On December 27, 2016, the Company exchanged 655,962 shares (9,735,925 shares before the Reverse Split) or rights to acquire shares of its Common Stock, for 9,736 shares of a newly designated class of Series A Convertible Preferred Stock. See “- Securities Exchange Agreement with Alpha Capital” below. See also Note 6 – Securities Exchange Agreement with Alpha Capital, above.</w:t>
      </w:r>
    </w:p>
    <w:p>
      <w:pPr>
        <w:spacing w:after="0" w:line="166" w:lineRule="exact"/>
        <w:rPr>
          <w:sz w:val="20"/>
          <w:szCs w:val="20"/>
          <w:color w:val="auto"/>
        </w:rPr>
      </w:pPr>
    </w:p>
    <w:p>
      <w:pPr>
        <w:jc w:val="both"/>
        <w:ind w:left="1060"/>
        <w:spacing w:after="0" w:line="259" w:lineRule="auto"/>
        <w:rPr>
          <w:sz w:val="20"/>
          <w:szCs w:val="20"/>
          <w:color w:val="auto"/>
        </w:rPr>
      </w:pPr>
      <w:r>
        <w:rPr>
          <w:rFonts w:ascii="Arial" w:cs="Arial" w:eastAsia="Arial" w:hAnsi="Arial"/>
          <w:sz w:val="18"/>
          <w:szCs w:val="18"/>
          <w:color w:val="auto"/>
        </w:rPr>
        <w:t>On January 5, 2017, the Company entered into a definitive securities purchase agreement with an institutional investor (the “Purchaser”) for the purchase and sale of an aggregate of 47,163 shares (700,000 shares before the Reverse Split) of Common Stock in a registered direct offering for $74 ($5.00 per share before the Reverse Split) or gross proceeds of $3,500. The Company paid the placement agent a fee of $210 plus reimbursement of out-of-pocket expenses, as well as other offering-related expenses.</w:t>
      </w:r>
    </w:p>
    <w:p>
      <w:pPr>
        <w:spacing w:after="0" w:line="187" w:lineRule="exact"/>
        <w:rPr>
          <w:sz w:val="20"/>
          <w:szCs w:val="20"/>
          <w:color w:val="auto"/>
        </w:rPr>
      </w:pPr>
    </w:p>
    <w:p>
      <w:pPr>
        <w:jc w:val="both"/>
        <w:ind w:left="1060"/>
        <w:spacing w:after="0" w:line="259" w:lineRule="auto"/>
        <w:rPr>
          <w:sz w:val="20"/>
          <w:szCs w:val="20"/>
          <w:color w:val="auto"/>
        </w:rPr>
      </w:pPr>
      <w:r>
        <w:rPr>
          <w:rFonts w:ascii="Arial" w:cs="Arial" w:eastAsia="Arial" w:hAnsi="Arial"/>
          <w:sz w:val="18"/>
          <w:szCs w:val="18"/>
          <w:color w:val="auto"/>
        </w:rPr>
        <w:t>On June 5, 2017, the Company entered into a Securities Purchase Agreement with certain institutional investors (the “Investors”) providing for the issuance and sale by the Company to the Investors of an aggregate of 252,658 shares (3,750,000 shares before the Reverse Split) of Common Stock, at a purchase price per share of $40 ($2.70 per share before the Reverse Split). The gross proceeds to the Company was $10,125,000 before deducting placement agent fees and offering expenses of $922.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Employee stock option grant: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2014, Microbot Israel’s board of directors approved a grant of 26,906 (403,592 stock options before the Reverse Split) (77,846 stock options as retroactively adjusted to reflect the Merger and the Reverse Split) to its CEO, through MEDX Venture Group LLC. Each option was exercisable into an ordinary share, at an exercise price of $12 ($0.8 before the Reverse Split) ($4.2 as retroactively adjusted to reflect the Merger and the Reverse Split). The stock options were fully vested at the date of grant.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2, 2016, Microbot Israel’s board of directors approved a grant of 33,333 stock options (500,000 stock options before the Reverse Split) (96,482 as retroactively adjusted to reflect the Merger and the Reverse Split) to certain of its employees and directors. Each stock option was exercisable into an ordinary share, NIS 0.001 par value, of Microbot Israel, at an exercise price equal to the ordinary share’s par value. The stock options were fully vested at the date of grant. As a result, the Company recognized compensation expenses in the amount of $675 included in general and administrative expenses. As the exercise price of the stock options is nominal, Microbot Ltd estimated the fair value of the options as equal to the Company’s share price of $20.25 ($1.35 before the Reverse Split) ($7.05 as retroactively adjusted to reflect the Merger and the Reverse Split) at the date of grant.</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September 12, 2017, the Company adopted the 2017 Equity Incentive Plan (the “Plan”), which Plan authorizes, among other things, the grant of options to purchase shares of Common Stock to directors, officers and employees of the Company and to other individuals.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120,847 shares (1,812,712 shares before the Reverse Split) of Common Stock to Mr. Harel Gadot, the Company’s Chairman of the Board, President and CEO, at an exercise price per share of $15.75 ($1.05 before the Reverse Split). The stock options vest over a period of 3-5 years as outlined in the option agreements. As a result, the Company recognized compensation expenses in the amount of $156 included in general and administrative expenses for the period ended December 31, 2017.</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72,508 shares (1,087,627 shares before the Reverse Split) of Common Stock to Mr. Hezi Himelfarb, the company’s General Manager, COO and a member of the Board, at an exercise price per share of $19.35 ($1.29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in the amount of $92 included in general and administrative expenses for the period ended December 31, 2017.</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6, 2017, the board of directors approved a grant of 12,698 stock options (190,475 stock options before the Reverse Split) to purchase an aggregate of up to 12,698 shares (190,475 shares before the Reverse Split) of Common Stock to certain of its directors, at an exercise price per share of $15.75 ($1.05 before the Reverse Split). The stock options vest over a period of 3 years as outlined in the option agreements. As a result, the Company recognized compensation expenses in the amount of $4 included in general and administrative expenses for the period ended December 31, 2017.</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28, 2017, the board of directors approved a grant of 66,036 stock options (990,543 stock options before the Reverse Split) to purchase an aggregate of up to 66,036 shares (990,543 shares before the Reverse Split) of Common Stock to certain of its employees, at an exercise price per share of $15.3 ($1.02 before the Reverse Split). The stock options vest over a period of 3 years as outlined in the option agreements. As a result, the Company recognized compensation expenses in the amount of $95 included in general and administrative expenses for the period ended December 31, 2017.</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2017, certain employees and consultant exercised 31,453 options (471,794 options before the Reverse Split) to 31,453 ordinary shares (471,794 ordinary shares before the Reverse Split) at exercise price of 0.001 NIS.</w:t>
      </w:r>
    </w:p>
    <w:p>
      <w:pPr>
        <w:spacing w:after="0" w:line="17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60"/>
          </w:cols>
          <w:pgMar w:left="1300" w:top="688" w:right="239" w:bottom="1440" w:gutter="0" w:footer="0" w:header="0"/>
        </w:sectPr>
      </w:pPr>
    </w:p>
    <w:bookmarkStart w:id="61" w:name="page62"/>
    <w:bookmarkEnd w:id="61"/>
    <w:p>
      <w:pPr>
        <w:ind w:left="20"/>
        <w:spacing w:after="0"/>
        <w:rPr>
          <w:sz w:val="20"/>
          <w:szCs w:val="20"/>
          <w:color w:val="auto"/>
        </w:rPr>
      </w:pPr>
      <w:r>
        <w:rPr>
          <w:rFonts w:ascii="Arial" w:cs="Arial" w:eastAsia="Arial" w:hAnsi="Arial"/>
          <w:sz w:val="18"/>
          <w:szCs w:val="18"/>
          <w:color w:val="auto"/>
        </w:rPr>
        <w:t>A summary of the Company’s option activity related to options to employees and directors,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For the year ended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3"/>
              </w:rPr>
              <w:t>December 31, 2017(**)</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6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Number of stock</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80" w:type="dxa"/>
            <w:vAlign w:val="bottom"/>
          </w:tcPr>
          <w:p>
            <w:pPr>
              <w:spacing w:after="0"/>
              <w:rPr>
                <w:sz w:val="17"/>
                <w:szCs w:val="17"/>
                <w:color w:val="auto"/>
              </w:rPr>
            </w:pPr>
          </w:p>
        </w:tc>
        <w:tc>
          <w:tcPr>
            <w:tcW w:w="15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Aggregate intrinsic</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options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 price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174,328</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272,090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1560" w:type="dxa"/>
            <w:vAlign w:val="bottom"/>
          </w:tcPr>
          <w:p>
            <w:pPr>
              <w:jc w:val="right"/>
              <w:spacing w:after="0"/>
              <w:rPr>
                <w:sz w:val="20"/>
                <w:szCs w:val="20"/>
                <w:color w:val="auto"/>
              </w:rPr>
            </w:pPr>
            <w:r>
              <w:rPr>
                <w:rFonts w:ascii="Arial" w:cs="Arial" w:eastAsia="Arial" w:hAnsi="Arial"/>
                <w:sz w:val="18"/>
                <w:szCs w:val="18"/>
                <w:color w:val="auto"/>
              </w:rPr>
              <w:t>142,875</w:t>
            </w:r>
          </w:p>
        </w:tc>
        <w:tc>
          <w:tcPr>
            <w:tcW w:w="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24"/>
                <w:szCs w:val="24"/>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Vested and expected-to-vest at end of period</w:t>
            </w:r>
          </w:p>
        </w:tc>
        <w:tc>
          <w:tcPr>
            <w:tcW w:w="1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174,328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3,739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For the year ended</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3"/>
              </w:rPr>
              <w:t>December 31, 2016(**)</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6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Number of stock</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80" w:type="dxa"/>
            <w:vAlign w:val="bottom"/>
          </w:tcPr>
          <w:p>
            <w:pPr>
              <w:spacing w:after="0"/>
              <w:rPr>
                <w:sz w:val="17"/>
                <w:szCs w:val="17"/>
                <w:color w:val="auto"/>
              </w:rPr>
            </w:pPr>
          </w:p>
        </w:tc>
        <w:tc>
          <w:tcPr>
            <w:tcW w:w="15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Aggregate intrinsic</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options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 price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96,482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1560" w:type="dxa"/>
            <w:vAlign w:val="bottom"/>
          </w:tcPr>
          <w:p>
            <w:pPr>
              <w:jc w:val="right"/>
              <w:spacing w:after="0"/>
              <w:rPr>
                <w:sz w:val="20"/>
                <w:szCs w:val="20"/>
                <w:color w:val="auto"/>
              </w:rPr>
            </w:pPr>
            <w:r>
              <w:rPr>
                <w:rFonts w:ascii="Arial" w:cs="Arial" w:eastAsia="Arial" w:hAnsi="Arial"/>
                <w:sz w:val="18"/>
                <w:szCs w:val="18"/>
                <w:color w:val="auto"/>
              </w:rPr>
              <w:t>174,328</w:t>
            </w:r>
          </w:p>
        </w:tc>
        <w:tc>
          <w:tcPr>
            <w:tcW w:w="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24"/>
                <w:szCs w:val="24"/>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15,624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Vested and expected-to-vest at end of period</w:t>
            </w:r>
          </w:p>
        </w:tc>
        <w:tc>
          <w:tcPr>
            <w:tcW w:w="1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174,328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6465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20" w:firstLine="1"/>
        <w:spacing w:after="0" w:line="261" w:lineRule="auto"/>
        <w:tabs>
          <w:tab w:leader="none" w:pos="371"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December 31 2017 and 2016 options data represents the number of shares adjusted to retroactively reflect the 1:15 Reverse Split effected on September 4, 2018.</w:t>
      </w:r>
    </w:p>
    <w:p>
      <w:pPr>
        <w:spacing w:after="0" w:line="184"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The aggregate intrinsic value in the table above represents the total intrinsic value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2017 and December 31, 2016 respectively,</w:t>
      </w:r>
    </w:p>
    <w:p>
      <w:pPr>
        <w:spacing w:after="0" w:line="18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0"/>
          </w:cols>
          <w:pgMar w:left="1280" w:top="692" w:right="239" w:bottom="1440" w:gutter="0" w:footer="0" w:header="0"/>
        </w:sectPr>
      </w:pPr>
    </w:p>
    <w:bookmarkStart w:id="62" w:name="page63"/>
    <w:bookmarkEnd w:id="62"/>
    <w:p>
      <w:pPr>
        <w:ind w:left="20"/>
        <w:spacing w:after="0"/>
        <w:rPr>
          <w:sz w:val="20"/>
          <w:szCs w:val="20"/>
          <w:color w:val="auto"/>
        </w:rPr>
      </w:pPr>
      <w:r>
        <w:rPr>
          <w:rFonts w:ascii="Arial" w:cs="Arial" w:eastAsia="Arial" w:hAnsi="Arial"/>
          <w:sz w:val="18"/>
          <w:szCs w:val="18"/>
          <w:color w:val="auto"/>
        </w:rPr>
        <w:t>The stock options outstanding as of December 31, 2017 and December 31, 2016, separated by exercise prices,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Weighted average remaining</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8"/>
              </w:rPr>
              <w:t>Stock options outstanding</w:t>
            </w:r>
          </w:p>
        </w:tc>
        <w:tc>
          <w:tcPr>
            <w:tcW w:w="29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contractual life – years as of</w:t>
            </w:r>
          </w:p>
        </w:tc>
        <w:tc>
          <w:tcPr>
            <w:tcW w:w="25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6"/>
              </w:rPr>
              <w:t>Stock options exercisable as of</w:t>
            </w:r>
          </w:p>
        </w:tc>
      </w:tr>
      <w:tr>
        <w:trPr>
          <w:trHeight w:val="241"/>
        </w:trPr>
        <w:tc>
          <w:tcPr>
            <w:tcW w:w="15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Exercise price</w:t>
            </w:r>
          </w:p>
        </w:tc>
        <w:tc>
          <w:tcPr>
            <w:tcW w:w="30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2"/>
              </w:rPr>
              <w:t>as of December 31, (**)</w:t>
            </w:r>
          </w:p>
        </w:tc>
        <w:tc>
          <w:tcPr>
            <w:tcW w:w="29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4"/>
              </w:rPr>
              <w:t>December 31, (**)</w:t>
            </w:r>
          </w:p>
        </w:tc>
        <w:tc>
          <w:tcPr>
            <w:tcW w:w="25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December 31, (**)</w:t>
            </w:r>
          </w:p>
        </w:tc>
      </w:tr>
      <w:tr>
        <w:trPr>
          <w:trHeight w:val="250"/>
        </w:trPr>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r>
      <w:tr>
        <w:trPr>
          <w:trHeight w:val="230"/>
        </w:trPr>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100" w:type="dxa"/>
            <w:vAlign w:val="bottom"/>
            <w:shd w:val="clear" w:color="auto" w:fill="CCEEFF"/>
          </w:tcPr>
          <w:p>
            <w:pPr>
              <w:spacing w:after="0"/>
              <w:rPr>
                <w:sz w:val="18"/>
                <w:szCs w:val="18"/>
                <w:color w:val="auto"/>
              </w:rPr>
            </w:pP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15.75</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133,546</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9.75</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72,508</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66,036</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7"/>
        </w:trPr>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65,029</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96,482</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65,029</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96,482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414,965</w:t>
            </w:r>
          </w:p>
        </w:tc>
        <w:tc>
          <w:tcPr>
            <w:tcW w:w="3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174,328</w:t>
            </w:r>
          </w:p>
        </w:tc>
        <w:tc>
          <w:tcPr>
            <w:tcW w:w="3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142,875</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174,328</w:t>
            </w:r>
          </w:p>
        </w:tc>
        <w:tc>
          <w:tcPr>
            <w:tcW w:w="10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6465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20" w:firstLine="1"/>
        <w:spacing w:after="0" w:line="261" w:lineRule="auto"/>
        <w:tabs>
          <w:tab w:leader="none" w:pos="371"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December 31 2017 and 2016 options data represents the number of shares adjusted to retroactively reflect the 1:15 Reverse Split effected on September 4, 2018.</w:t>
      </w:r>
    </w:p>
    <w:p>
      <w:pPr>
        <w:spacing w:after="0" w:line="184"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Compensation expense recorded by the Company in respect of its stock-based employee compensation awards in accordance with ASC 718-10 for the year ended December 31, 2017 and 2016 was $ 254 and $ 675, respectively.</w:t>
      </w:r>
    </w:p>
    <w:p>
      <w:pPr>
        <w:spacing w:after="0" w:line="170"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The fair value of the stock options is estimated at the date of grant using Black-Scholes options pricing model with the following weighted-average assumptions:</w:t>
      </w:r>
    </w:p>
    <w:p>
      <w:pPr>
        <w:spacing w:after="0" w:line="16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45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1"/>
                <w:szCs w:val="21"/>
                <w:color w:val="auto"/>
              </w:rPr>
            </w:pPr>
          </w:p>
        </w:tc>
      </w:tr>
      <w:tr>
        <w:trPr>
          <w:trHeight w:val="230"/>
        </w:trPr>
        <w:tc>
          <w:tcPr>
            <w:tcW w:w="4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122.5%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Risk-free interest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Expected life of up to (years)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6.25</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bl>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 issued to service provider</w:t>
      </w:r>
    </w:p>
    <w:p>
      <w:pPr>
        <w:spacing w:after="0" w:line="229"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In connection with the Merger, the Company issued an aggregate of 525,706 restricted shares (7,802,639 restricted shares before the Reverse Split) of its Common Stock to certain advisors. The fair value of the award of approximately $10,000 was estimated based on the share price of the Common Stock of $19.2 ($1.28 before the Reverse Split) as of the date of grant. The portion of the expense in excess of the cash and other current assets acquired in the Merger, in the amount of $7,300 was included in general and administrative expenses in the Statements of Comprehensive Loss.</w:t>
      </w:r>
    </w:p>
    <w:p>
      <w:pPr>
        <w:spacing w:after="0" w:line="188"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During 2017 the Company issued an aggregate of 8, 085 nonrefundable shares (120,000 nonrefundable shares before the Reverse Split) of Common Stock to a consultant as part of investor relations services. The Company recorded expenses of approximately $225 with respect to the issuance of these shares included in general and administrative expenses.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Securities Exchange Agreement with Alpha Capital</w:t>
      </w:r>
    </w:p>
    <w:p>
      <w:pPr>
        <w:spacing w:after="0" w:line="229"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On December 16, 2016, the Company entered into a Securities Exchange Agreement with Alpha Capital, pursuant to which Alpha Capital exchanged 655,967 shares (9,736,000 shares before the Reverse Split) of common stock or rights to acquire shares of the common stock held by it, for 9,736 shares of a newly designated class of Series A Convertible Preferred Stock, par value $0.01 per share (the “Preferred Stock”). The common stock and common stock underlying the rights to acquire common stock include all of the shares of common stock issued or issuable to Alpha Capital pursuant to the Merger. The 655,967 shares (9,735,925 shares before the Reverse Split) of common stock and the rights to acquire common stock were cancelled and the Company’s issued and outstanding shares of Common Stock were reduced to 1,786,684 (26,518,315 before the Reverse Split).</w:t>
      </w:r>
    </w:p>
    <w:p>
      <w:pPr>
        <w:spacing w:after="0" w:line="18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0"/>
          </w:cols>
          <w:pgMar w:left="1280" w:top="692" w:right="239" w:bottom="1440" w:gutter="0" w:footer="0" w:header="0"/>
        </w:sectPr>
      </w:pPr>
    </w:p>
    <w:bookmarkStart w:id="63" w:name="page64"/>
    <w:bookmarkEnd w:id="63"/>
    <w:p>
      <w:pPr>
        <w:jc w:val="both"/>
        <w:ind w:left="1060"/>
        <w:spacing w:after="0" w:line="273" w:lineRule="auto"/>
        <w:rPr>
          <w:sz w:val="20"/>
          <w:szCs w:val="20"/>
          <w:color w:val="auto"/>
        </w:rPr>
      </w:pPr>
      <w:r>
        <w:rPr>
          <w:rFonts w:ascii="Arial" w:cs="Arial" w:eastAsia="Arial" w:hAnsi="Arial"/>
          <w:sz w:val="17"/>
          <w:szCs w:val="17"/>
          <w:color w:val="auto"/>
        </w:rPr>
        <w:t>On May 9, 2017, the Company entered into a Securities Exchange Agreement with Alpha Capital pursuant to which the Company agreed to issue 3,254 shares of the Series A Convertible Preferred Stock, in exchange for the full satisfaction, termination and cancellation of the outstanding 6% convertible promissory note of the Company in the principal amount of approximately $2,029 issued on November 28, 2016 and held by Alpha Capital. The Series A Convertible Preferred Stock is the same series of securities as the Company’s existing Series A Convertible Preferred Stock issued in December 2016. As a result of the extinguishment of the convertible note and issuance of the preferred shares, the Company recorded a financial loss in the amount of $2,360</w:t>
      </w:r>
      <w:r>
        <w:rPr>
          <w:rFonts w:ascii="Arial" w:cs="Arial" w:eastAsia="Arial" w:hAnsi="Arial"/>
          <w:sz w:val="17"/>
          <w:szCs w:val="17"/>
          <w:b w:val="1"/>
          <w:bCs w:val="1"/>
          <w:color w:val="auto"/>
        </w:rPr>
        <w:t>.</w:t>
      </w:r>
    </w:p>
    <w:p>
      <w:pPr>
        <w:spacing w:after="0" w:line="178" w:lineRule="exact"/>
        <w:rPr>
          <w:sz w:val="20"/>
          <w:szCs w:val="20"/>
          <w:color w:val="auto"/>
        </w:rPr>
      </w:pPr>
    </w:p>
    <w:p>
      <w:pPr>
        <w:jc w:val="both"/>
        <w:ind w:left="1060"/>
        <w:spacing w:after="0" w:line="264" w:lineRule="auto"/>
        <w:rPr>
          <w:sz w:val="20"/>
          <w:szCs w:val="20"/>
          <w:color w:val="auto"/>
        </w:rPr>
      </w:pPr>
      <w:r>
        <w:rPr>
          <w:rFonts w:ascii="Arial" w:cs="Arial" w:eastAsia="Arial" w:hAnsi="Arial"/>
          <w:sz w:val="18"/>
          <w:szCs w:val="18"/>
          <w:color w:val="auto"/>
        </w:rPr>
        <w:t>During the year 2017, the holder of the Series A Convertible Preferred Stock converted 8,990 shares of the Series A Convertible Preferred Stock for 605,705 shares (8,990,000 shares before the Reverse Split) of Common Stock, pursuant to the terms of conversion of the Series A Convertible Preferred Stock.</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Repurchase of Shares</w:t>
      </w:r>
    </w:p>
    <w:p>
      <w:pPr>
        <w:spacing w:after="0" w:line="229" w:lineRule="exact"/>
        <w:rPr>
          <w:sz w:val="20"/>
          <w:szCs w:val="20"/>
          <w:color w:val="auto"/>
        </w:rPr>
      </w:pPr>
    </w:p>
    <w:p>
      <w:pPr>
        <w:jc w:val="both"/>
        <w:ind w:left="1060"/>
        <w:spacing w:after="0" w:line="255" w:lineRule="auto"/>
        <w:rPr>
          <w:sz w:val="20"/>
          <w:szCs w:val="20"/>
          <w:color w:val="auto"/>
        </w:rPr>
      </w:pPr>
      <w:r>
        <w:rPr>
          <w:rFonts w:ascii="Arial" w:cs="Arial" w:eastAsia="Arial" w:hAnsi="Arial"/>
          <w:sz w:val="18"/>
          <w:szCs w:val="18"/>
          <w:color w:val="auto"/>
        </w:rPr>
        <w:t>The Company intends to enter into a definitive agreement with up to three Israeli shareholders, some of whom are directors of the Company, that were former shareholders of Microbot Israel, pursuant to which the Company would repurchase, at a discount on the fair value of the share at the date of repurchase, up to $500 of Common Stock held by them, in the aggregate, if and to the extent such shareholders are unable to sell enough of their shares to cover certain of their Israeli tax liabilities resulting from the Merger. Such repurchase(s), if any, would occur only after the two-year anniversary of the Merger. The transaction is subject to negotiating final terms and entering into definitive agreements with such shareholders.</w:t>
      </w:r>
    </w:p>
    <w:p>
      <w:pPr>
        <w:spacing w:after="0" w:line="193" w:lineRule="exact"/>
        <w:rPr>
          <w:sz w:val="20"/>
          <w:szCs w:val="20"/>
          <w:color w:val="auto"/>
        </w:rPr>
      </w:pPr>
    </w:p>
    <w:p>
      <w:pPr>
        <w:jc w:val="both"/>
        <w:ind w:left="1060"/>
        <w:spacing w:after="0" w:line="293" w:lineRule="auto"/>
        <w:rPr>
          <w:sz w:val="20"/>
          <w:szCs w:val="20"/>
          <w:color w:val="auto"/>
        </w:rPr>
      </w:pPr>
      <w:r>
        <w:rPr>
          <w:rFonts w:ascii="Arial" w:cs="Arial" w:eastAsia="Arial" w:hAnsi="Arial"/>
          <w:sz w:val="16"/>
          <w:szCs w:val="16"/>
          <w:color w:val="auto"/>
        </w:rPr>
        <w:t>The Company evaluated whether an embedded derivative that requires bifurcation exists within such shares that may be subject to repurchase. The Company concluded the fair value of such derivative instrument would be nominal and, in any case, would represent an asset to the Company as (a) the settlement requires acquiring the shares at a discount on the fair market value of the share at the time of re purchase and in no circumstances the acquisition price will be higher than approximately one dollar per share (representing 25% discount on the fair market value of the share at the merger closing date) and (b) it is assumed that the selling shareholders would use such right as last resort as such repurchase at a discount on the fair market value of such shares results in a loss to be incurred by the selling shareholders.</w:t>
      </w:r>
    </w:p>
    <w:p>
      <w:pPr>
        <w:spacing w:after="0" w:line="165" w:lineRule="exact"/>
        <w:rPr>
          <w:sz w:val="20"/>
          <w:szCs w:val="20"/>
          <w:color w:val="auto"/>
        </w:rPr>
      </w:pPr>
    </w:p>
    <w:p>
      <w:pPr>
        <w:jc w:val="both"/>
        <w:ind w:left="1060"/>
        <w:spacing w:after="0" w:line="277" w:lineRule="auto"/>
        <w:rPr>
          <w:sz w:val="20"/>
          <w:szCs w:val="20"/>
          <w:color w:val="auto"/>
        </w:rPr>
      </w:pPr>
      <w:r>
        <w:rPr>
          <w:rFonts w:ascii="Arial" w:cs="Arial" w:eastAsia="Arial" w:hAnsi="Arial"/>
          <w:sz w:val="18"/>
          <w:szCs w:val="18"/>
          <w:color w:val="auto"/>
        </w:rPr>
        <w:t>In accordance with ASC 480-10-S99-3A (formerly EITF D-98), the Company classified the maximum amount it may be required to pay in the event the repurchase right is exercised ($500) as temporary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color w:val="auto"/>
        </w:rPr>
        <w:t>-</w:t>
      </w:r>
      <w:r>
        <w:rPr>
          <w:rFonts w:ascii="Arial" w:cs="Arial" w:eastAsia="Arial" w:hAnsi="Arial"/>
          <w:sz w:val="18"/>
          <w:szCs w:val="18"/>
          <w:b w:val="1"/>
          <w:bCs w:val="1"/>
          <w:color w:val="auto"/>
        </w:rPr>
        <w:t xml:space="preserve"> BASIC AND DILUTED NET LOSS PER SHARE</w:t>
      </w:r>
    </w:p>
    <w:p>
      <w:pPr>
        <w:spacing w:after="0" w:line="229" w:lineRule="exact"/>
        <w:rPr>
          <w:sz w:val="20"/>
          <w:szCs w:val="20"/>
          <w:color w:val="auto"/>
        </w:rPr>
      </w:pPr>
    </w:p>
    <w:p>
      <w:pPr>
        <w:jc w:val="both"/>
        <w:ind w:left="1060" w:right="20"/>
        <w:spacing w:after="0" w:line="277" w:lineRule="auto"/>
        <w:rPr>
          <w:sz w:val="20"/>
          <w:szCs w:val="20"/>
          <w:color w:val="auto"/>
        </w:rPr>
      </w:pPr>
      <w:r>
        <w:rPr>
          <w:rFonts w:ascii="Arial" w:cs="Arial" w:eastAsia="Arial" w:hAnsi="Arial"/>
          <w:sz w:val="18"/>
          <w:szCs w:val="18"/>
          <w:color w:val="auto"/>
        </w:rPr>
        <w:t>The basic and diluted net loss per share and weighted average number of common shares used in the calculation of basic and diluted net loss per share are as follows (in thousands, except share and per share data):</w:t>
      </w:r>
    </w:p>
    <w:p>
      <w:pPr>
        <w:spacing w:after="0" w:line="166"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Year</w:t>
      </w:r>
    </w:p>
    <w:p>
      <w:pPr>
        <w:spacing w:after="0" w:line="27"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Ended December 31,</w:t>
      </w:r>
    </w:p>
    <w:p>
      <w:pPr>
        <w:spacing w:after="0" w:line="9" w:lineRule="exact"/>
        <w:rPr>
          <w:sz w:val="20"/>
          <w:szCs w:val="20"/>
          <w:color w:val="auto"/>
        </w:rPr>
      </w:pPr>
    </w:p>
    <w:tbl>
      <w:tblPr>
        <w:tblLayout w:type="fixed"/>
        <w:tblInd w:w="1300" w:type="dxa"/>
        <w:tblCellMar>
          <w:top w:w="0" w:type="dxa"/>
          <w:left w:w="0" w:type="dxa"/>
          <w:bottom w:w="0" w:type="dxa"/>
          <w:right w:w="0" w:type="dxa"/>
        </w:tblCellMar>
      </w:tblPr>
      <w:tr>
        <w:trPr>
          <w:trHeight w:val="244"/>
        </w:trPr>
        <w:tc>
          <w:tcPr>
            <w:tcW w:w="50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shareholders of the Company</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shareholders of preferred shares</w:t>
            </w: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16"/>
        </w:trPr>
        <w:tc>
          <w:tcPr>
            <w:tcW w:w="50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used in the calculation of basic net loss per share</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1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 per share</w:t>
            </w:r>
          </w:p>
        </w:tc>
        <w:tc>
          <w:tcPr>
            <w:tcW w:w="94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080" w:type="dxa"/>
            <w:vAlign w:val="bottom"/>
            <w:tcBorders>
              <w:bottom w:val="single" w:sz="8" w:color="CCEEFF"/>
            </w:tcBorders>
            <w:vMerge w:val="continue"/>
          </w:tcPr>
          <w:p>
            <w:pPr>
              <w:spacing w:after="0"/>
              <w:rPr>
                <w:sz w:val="20"/>
                <w:szCs w:val="20"/>
                <w:color w:val="auto"/>
              </w:rPr>
            </w:pPr>
          </w:p>
        </w:tc>
        <w:tc>
          <w:tcPr>
            <w:tcW w:w="9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0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common shares</w:t>
            </w:r>
          </w:p>
        </w:tc>
        <w:tc>
          <w:tcPr>
            <w:tcW w:w="9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2,201,992</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963,047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137160</wp:posOffset>
            </wp:positionV>
            <wp:extent cx="160337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22" w:lineRule="exact"/>
        <w:rPr>
          <w:sz w:val="20"/>
          <w:szCs w:val="20"/>
          <w:color w:val="auto"/>
        </w:rPr>
      </w:pPr>
    </w:p>
    <w:p>
      <w:pPr>
        <w:ind w:left="1300" w:firstLine="5"/>
        <w:spacing w:after="0" w:line="277" w:lineRule="auto"/>
        <w:tabs>
          <w:tab w:leader="none" w:pos="1558"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December 31 2017 and 2016 shares data represents the number of shares adjusted to retroactively reflect the 1:15 Reverse Split effected on September 4,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4" w:name="page65"/>
    <w:bookmarkEnd w:id="64"/>
    <w:p>
      <w:pPr>
        <w:jc w:val="both"/>
        <w:ind w:left="1540"/>
        <w:spacing w:after="0" w:line="277" w:lineRule="auto"/>
        <w:rPr>
          <w:sz w:val="20"/>
          <w:szCs w:val="20"/>
          <w:color w:val="auto"/>
        </w:rPr>
      </w:pPr>
      <w:r>
        <w:rPr>
          <w:rFonts w:ascii="Arial" w:cs="Arial" w:eastAsia="Arial" w:hAnsi="Arial"/>
          <w:sz w:val="18"/>
          <w:szCs w:val="18"/>
          <w:color w:val="auto"/>
        </w:rPr>
        <w:t>As the inclusion of common share equivalents in the calculation would be anti-dilutive for all periods presented, diluted net loss per share is the same as basic net loss per share.</w:t>
      </w:r>
    </w:p>
    <w:p>
      <w:pPr>
        <w:spacing w:after="0" w:line="170" w:lineRule="exact"/>
        <w:rPr>
          <w:sz w:val="20"/>
          <w:szCs w:val="20"/>
          <w:color w:val="auto"/>
        </w:rPr>
      </w:pPr>
    </w:p>
    <w:p>
      <w:pPr>
        <w:jc w:val="both"/>
        <w:ind w:left="1540"/>
        <w:spacing w:after="0" w:line="264" w:lineRule="auto"/>
        <w:rPr>
          <w:sz w:val="20"/>
          <w:szCs w:val="20"/>
          <w:color w:val="auto"/>
        </w:rPr>
      </w:pPr>
      <w:r>
        <w:rPr>
          <w:rFonts w:ascii="Arial" w:cs="Arial" w:eastAsia="Arial" w:hAnsi="Arial"/>
          <w:sz w:val="18"/>
          <w:szCs w:val="18"/>
          <w:color w:val="auto"/>
        </w:rPr>
        <w:t>The weighted average number of common shares outstanding has been retroactively restated for the equivalent number of common shares received by the accounting acquirer as a result of the reverse recapitalization and reverse stock split as if these common shares had been outstanding as of the beginning of the earliest period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NOTE 11 - RESEARCH AND DEVELOPMENT EXPENSES, NET</w:t>
            </w:r>
          </w:p>
        </w:tc>
        <w:tc>
          <w:tcPr>
            <w:tcW w:w="1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180" w:type="dxa"/>
            <w:vAlign w:val="bottom"/>
            <w:tcBorders>
              <w:bottom w:val="single" w:sz="8" w:color="auto"/>
            </w:tcBorders>
            <w:gridSpan w:val="5"/>
          </w:tcPr>
          <w:p>
            <w:pPr>
              <w:jc w:val="right"/>
              <w:ind w:right="245"/>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3060" w:type="dxa"/>
            <w:vAlign w:val="bottom"/>
            <w:gridSpan w:val="2"/>
            <w:shd w:val="clear" w:color="auto" w:fill="CCEEFF"/>
          </w:tcPr>
          <w:p>
            <w:pPr>
              <w:jc w:val="right"/>
              <w:ind w:right="99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Materials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Patents</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Office and maintenance expenses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Rent</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Depreciation</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Less: Grants received from IIA</w:t>
            </w:r>
          </w:p>
        </w:tc>
        <w:tc>
          <w:tcPr>
            <w:tcW w:w="1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3060" w:type="dxa"/>
            <w:vAlign w:val="bottom"/>
            <w:gridSpan w:val="2"/>
          </w:tcPr>
          <w:p>
            <w:pPr>
              <w:jc w:val="right"/>
              <w:ind w:right="993"/>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1,100</w:t>
            </w:r>
          </w:p>
        </w:tc>
        <w:tc>
          <w:tcPr>
            <w:tcW w:w="200" w:type="dxa"/>
            <w:vAlign w:val="bottom"/>
          </w:tcPr>
          <w:p>
            <w:pPr>
              <w:spacing w:after="0"/>
              <w:rPr>
                <w:sz w:val="21"/>
                <w:szCs w:val="21"/>
                <w:color w:val="auto"/>
              </w:rPr>
            </w:pPr>
          </w:p>
        </w:tc>
        <w:tc>
          <w:tcPr>
            <w:tcW w:w="1280" w:type="dxa"/>
            <w:vAlign w:val="bottom"/>
            <w:gridSpan w:val="2"/>
          </w:tcPr>
          <w:p>
            <w:pPr>
              <w:jc w:val="right"/>
              <w:ind w:right="100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 GENERAL AND ADMINISTRATIVE EXPENSES</w:t>
            </w:r>
          </w:p>
        </w:tc>
        <w:tc>
          <w:tcPr>
            <w:tcW w:w="1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180" w:type="dxa"/>
            <w:vAlign w:val="bottom"/>
            <w:tcBorders>
              <w:bottom w:val="single" w:sz="8" w:color="auto"/>
            </w:tcBorders>
            <w:gridSpan w:val="5"/>
          </w:tcPr>
          <w:p>
            <w:pPr>
              <w:jc w:val="right"/>
              <w:ind w:right="245"/>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3060" w:type="dxa"/>
            <w:vAlign w:val="bottom"/>
            <w:gridSpan w:val="2"/>
            <w:shd w:val="clear" w:color="auto" w:fill="CCEEFF"/>
          </w:tcPr>
          <w:p>
            <w:pPr>
              <w:jc w:val="right"/>
              <w:ind w:right="99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Common shares issued for services</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Travel</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Marketing expenses</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Office and maintenance expenses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Depreciation</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Public and Investor Relations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Insurance</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Governmental Fees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9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34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93"/>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0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0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jc w:val="right"/>
              <w:ind w:right="2473"/>
              <w:spacing w:after="0"/>
              <w:rPr>
                <w:sz w:val="20"/>
                <w:szCs w:val="20"/>
                <w:color w:val="auto"/>
              </w:rPr>
            </w:pPr>
            <w:r>
              <w:rPr>
                <w:rFonts w:ascii="Arial" w:cs="Arial" w:eastAsia="Arial" w:hAnsi="Arial"/>
                <w:sz w:val="18"/>
                <w:szCs w:val="18"/>
                <w:color w:val="auto"/>
              </w:rPr>
              <w:t>F-25</w:t>
            </w: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NOTE 13 - FINANCE EXPENSES, NET</w:t>
            </w: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rPr>
              <w:t>Years ended December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w w:val="98"/>
              </w:rPr>
              <w:t>(in thousands)</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Bank fees and interest</w:t>
            </w:r>
          </w:p>
        </w:tc>
        <w:tc>
          <w:tcPr>
            <w:tcW w:w="2480" w:type="dxa"/>
            <w:vAlign w:val="bottom"/>
            <w:gridSpan w:val="2"/>
            <w:shd w:val="clear" w:color="auto" w:fill="CCEEFF"/>
          </w:tcPr>
          <w:p>
            <w:pPr>
              <w:jc w:val="right"/>
              <w:ind w:right="99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5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Change in fair value of derivative warrant liability</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Financing loss on debt extinguishment</w:t>
            </w: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Exchange rate differences</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Revaluation and interest on convertible loans</w:t>
            </w:r>
          </w:p>
        </w:tc>
        <w:tc>
          <w:tcPr>
            <w:tcW w:w="1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Borders>
              <w:bottom w:val="single" w:sz="8" w:color="auto"/>
            </w:tcBorders>
          </w:tcPr>
          <w:p>
            <w:pPr>
              <w:jc w:val="right"/>
              <w:ind w:right="99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5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TRANSACTIONS AND BALANCES WITH INTERESTED AND RELATED PARTIES</w:t>
      </w:r>
    </w:p>
    <w:p>
      <w:pPr>
        <w:spacing w:after="0" w:line="225"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A.</w:t>
            </w:r>
          </w:p>
        </w:tc>
        <w:tc>
          <w:tcPr>
            <w:tcW w:w="3580" w:type="dxa"/>
            <w:vAlign w:val="bottom"/>
          </w:tcPr>
          <w:p>
            <w:pPr>
              <w:ind w:left="60"/>
              <w:spacing w:after="0"/>
              <w:rPr>
                <w:sz w:val="20"/>
                <w:szCs w:val="20"/>
                <w:color w:val="auto"/>
              </w:rPr>
            </w:pPr>
            <w:r>
              <w:rPr>
                <w:rFonts w:ascii="Arial" w:cs="Arial" w:eastAsia="Arial" w:hAnsi="Arial"/>
                <w:sz w:val="18"/>
                <w:szCs w:val="18"/>
                <w:b w:val="1"/>
                <w:bCs w:val="1"/>
                <w:color w:val="auto"/>
              </w:rPr>
              <w:t>Transactions:</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6"/>
          </w:tcPr>
          <w:p>
            <w:pPr>
              <w:jc w:val="center"/>
              <w:ind w:left="450"/>
              <w:spacing w:after="0"/>
              <w:rPr>
                <w:sz w:val="20"/>
                <w:szCs w:val="20"/>
                <w:color w:val="auto"/>
              </w:rPr>
            </w:pPr>
            <w:r>
              <w:rPr>
                <w:rFonts w:ascii="Arial" w:cs="Arial" w:eastAsia="Arial" w:hAnsi="Arial"/>
                <w:sz w:val="18"/>
                <w:szCs w:val="18"/>
                <w:b w:val="1"/>
                <w:bCs w:val="1"/>
                <w:color w:val="auto"/>
                <w:w w:val="90"/>
              </w:rPr>
              <w:t>Year ended</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87"/>
              </w:rPr>
              <w:t>(in thousands)</w:t>
            </w: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1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Directors fees and insurance</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Subcontracted work and consulting</w:t>
            </w: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8"/>
                <w:szCs w:val="18"/>
                <w:b w:val="1"/>
                <w:bCs w:val="1"/>
                <w:color w:val="auto"/>
              </w:rPr>
              <w:t>B.</w:t>
            </w:r>
          </w:p>
        </w:tc>
        <w:tc>
          <w:tcPr>
            <w:tcW w:w="35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Balances:</w:t>
            </w: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 w:type="dxa"/>
            <w:vAlign w:val="bottom"/>
            <w:vMerge w:val="continue"/>
          </w:tcPr>
          <w:p>
            <w:pPr>
              <w:spacing w:after="0"/>
              <w:rPr>
                <w:sz w:val="24"/>
                <w:szCs w:val="24"/>
                <w:color w:val="auto"/>
              </w:rPr>
            </w:pPr>
          </w:p>
        </w:tc>
        <w:tc>
          <w:tcPr>
            <w:tcW w:w="35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6"/>
          </w:tcPr>
          <w:p>
            <w:pPr>
              <w:jc w:val="center"/>
              <w:ind w:left="450"/>
              <w:spacing w:after="0"/>
              <w:rPr>
                <w:sz w:val="20"/>
                <w:szCs w:val="20"/>
                <w:color w:val="auto"/>
              </w:rPr>
            </w:pPr>
            <w:r>
              <w:rPr>
                <w:rFonts w:ascii="Arial" w:cs="Arial" w:eastAsia="Arial" w:hAnsi="Arial"/>
                <w:sz w:val="18"/>
                <w:szCs w:val="18"/>
                <w:b w:val="1"/>
                <w:bCs w:val="1"/>
                <w:color w:val="auto"/>
                <w:w w:val="88"/>
              </w:rPr>
              <w:t>As of</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payable</w:t>
            </w:r>
          </w:p>
        </w:tc>
        <w:tc>
          <w:tcPr>
            <w:tcW w:w="1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TAXES ON INCOME</w:t>
      </w:r>
    </w:p>
    <w:p>
      <w:pPr>
        <w:spacing w:after="0" w:line="22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 Company is subject to income taxes under the Israeli and U.S. tax laws:</w:t>
      </w:r>
    </w:p>
    <w:p>
      <w:pPr>
        <w:spacing w:after="0" w:line="22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Corporate tax rates</w:t>
      </w:r>
    </w:p>
    <w:p>
      <w:pPr>
        <w:spacing w:after="0" w:line="229" w:lineRule="exact"/>
        <w:rPr>
          <w:sz w:val="20"/>
          <w:szCs w:val="20"/>
          <w:color w:val="auto"/>
        </w:rPr>
      </w:pPr>
    </w:p>
    <w:p>
      <w:pPr>
        <w:jc w:val="both"/>
        <w:ind w:left="1060"/>
        <w:spacing w:after="0" w:line="277" w:lineRule="auto"/>
        <w:rPr>
          <w:sz w:val="20"/>
          <w:szCs w:val="20"/>
          <w:color w:val="auto"/>
        </w:rPr>
      </w:pPr>
      <w:r>
        <w:rPr>
          <w:rFonts w:ascii="Arial" w:cs="Arial" w:eastAsia="Arial" w:hAnsi="Arial"/>
          <w:sz w:val="18"/>
          <w:szCs w:val="18"/>
          <w:color w:val="auto"/>
        </w:rPr>
        <w:t>The Company is subject to Israeli corporate tax rate of 25% in the year 2016, 24% in 2017 and 23% from 2018. The Company is subject to a blended U.S. tax rate (Federal as well as state corporate tax) of 35%.</w:t>
      </w:r>
    </w:p>
    <w:p>
      <w:pPr>
        <w:spacing w:after="0" w:line="170" w:lineRule="exact"/>
        <w:rPr>
          <w:sz w:val="20"/>
          <w:szCs w:val="20"/>
          <w:color w:val="auto"/>
        </w:rPr>
      </w:pPr>
    </w:p>
    <w:p>
      <w:pPr>
        <w:jc w:val="both"/>
        <w:ind w:left="1060"/>
        <w:spacing w:after="0" w:line="279" w:lineRule="auto"/>
        <w:rPr>
          <w:sz w:val="20"/>
          <w:szCs w:val="20"/>
          <w:color w:val="auto"/>
        </w:rPr>
      </w:pPr>
      <w:r>
        <w:rPr>
          <w:rFonts w:ascii="Arial" w:cs="Arial" w:eastAsia="Arial" w:hAnsi="Arial"/>
          <w:sz w:val="17"/>
          <w:szCs w:val="17"/>
          <w:color w:val="auto"/>
        </w:rPr>
        <w:t>On December 22, 2017, the Tax Cuts and Jobs Act (the “Tax Act”) was signed into law in the United States. The Tax Act, among other provisions, introduces changes in the U.S corporate tax rate, business related exclusions and deductions and credits, and has internationally tax consequences for companies that operate international. Most of the changes introduced in the Tax Act are effective beginning on January 1, 2018. The Tax Act introduces a reduced federal tax rate of 21% from January 1, 2018 and onward.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6" w:name="page67"/>
    <w:bookmarkEnd w:id="66"/>
    <w:p>
      <w:pPr>
        <w:ind w:left="1620" w:hanging="315"/>
        <w:spacing w:after="0" w:line="277" w:lineRule="auto"/>
        <w:tabs>
          <w:tab w:leader="none" w:pos="162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As of December 31, 2017, the Company generated net operating losses in Israel of approximately $5,267 which may be carried forward and offset against taxable income in the future for an indefinite period.</w:t>
      </w:r>
    </w:p>
    <w:p>
      <w:pPr>
        <w:spacing w:after="0" w:line="170" w:lineRule="exact"/>
        <w:rPr>
          <w:rFonts w:ascii="Arial" w:cs="Arial" w:eastAsia="Arial" w:hAnsi="Arial"/>
          <w:sz w:val="18"/>
          <w:szCs w:val="18"/>
          <w:b w:val="1"/>
          <w:bCs w:val="1"/>
          <w:color w:val="auto"/>
        </w:rPr>
      </w:pPr>
    </w:p>
    <w:p>
      <w:pPr>
        <w:jc w:val="both"/>
        <w:ind w:left="16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December 31, 2017, the Company generated net operating losses in the U.S. of approximately $2,987.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6" w:lineRule="exact"/>
        <w:rPr>
          <w:rFonts w:ascii="Arial" w:cs="Arial" w:eastAsia="Arial" w:hAnsi="Arial"/>
          <w:sz w:val="18"/>
          <w:szCs w:val="18"/>
          <w:b w:val="1"/>
          <w:bCs w:val="1"/>
          <w:color w:val="auto"/>
        </w:rPr>
      </w:pPr>
    </w:p>
    <w:p>
      <w:pPr>
        <w:jc w:val="both"/>
        <w:ind w:left="1620" w:right="20" w:hanging="315"/>
        <w:spacing w:after="0" w:line="264" w:lineRule="auto"/>
        <w:tabs>
          <w:tab w:leader="none" w:pos="162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91"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18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488,603</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481,052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117,265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120,263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Valuation allowance</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(117,265)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(120,263)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 assets</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Reconciliation of Income Taxes:</w:t>
      </w:r>
    </w:p>
    <w:p>
      <w:pPr>
        <w:spacing w:after="0" w:line="229" w:lineRule="exact"/>
        <w:rPr>
          <w:sz w:val="20"/>
          <w:szCs w:val="20"/>
          <w:color w:val="auto"/>
        </w:rPr>
      </w:pPr>
    </w:p>
    <w:p>
      <w:pPr>
        <w:jc w:val="both"/>
        <w:ind w:left="900"/>
        <w:spacing w:after="0" w:line="277" w:lineRule="auto"/>
        <w:rPr>
          <w:sz w:val="20"/>
          <w:szCs w:val="20"/>
          <w:color w:val="auto"/>
        </w:rPr>
      </w:pPr>
      <w:r>
        <w:rPr>
          <w:rFonts w:ascii="Arial" w:cs="Arial" w:eastAsia="Arial" w:hAnsi="Arial"/>
          <w:sz w:val="18"/>
          <w:szCs w:val="18"/>
          <w:color w:val="auto"/>
        </w:rPr>
        <w:t>The following is a reconciliation of the taxes on income assuming that all income is taxed at the ordinary statutory corporate tax rate in Israel and the effective income tax rate:</w:t>
      </w:r>
    </w:p>
    <w:p>
      <w:pPr>
        <w:spacing w:after="0" w:line="180"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5180" w:type="dxa"/>
            <w:vAlign w:val="bottom"/>
          </w:tcPr>
          <w:p>
            <w:pPr>
              <w:spacing w:after="0"/>
              <w:rPr>
                <w:sz w:val="20"/>
                <w:szCs w:val="20"/>
                <w:color w:val="auto"/>
              </w:rPr>
            </w:pPr>
          </w:p>
        </w:tc>
        <w:tc>
          <w:tcPr>
            <w:tcW w:w="27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rPr>
              <w:t>As of December 31,</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51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8"/>
                <w:szCs w:val="18"/>
                <w:b w:val="1"/>
                <w:bCs w:val="1"/>
                <w:color w:val="auto"/>
                <w:w w:val="96"/>
              </w:rPr>
              <w:t>(in thousands)</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 in the statements of operations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Statutory tax rate</w:t>
            </w:r>
          </w:p>
        </w:tc>
        <w:tc>
          <w:tcPr>
            <w:tcW w:w="9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9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Tax under statutory tax rate</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60" w:type="dxa"/>
            <w:vAlign w:val="bottom"/>
            <w:shd w:val="clear" w:color="auto" w:fill="CCEEFF"/>
          </w:tcPr>
          <w:p>
            <w:pPr>
              <w:spacing w:after="0"/>
              <w:rPr>
                <w:sz w:val="18"/>
                <w:szCs w:val="18"/>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94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(1,821)</w:t>
            </w:r>
          </w:p>
        </w:tc>
        <w:tc>
          <w:tcPr>
            <w:tcW w:w="9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(2,416)</w:t>
            </w:r>
          </w:p>
        </w:tc>
      </w:tr>
      <w:tr>
        <w:trPr>
          <w:trHeight w:val="230"/>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Actual income tax</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229" w:lineRule="exact"/>
        <w:rPr>
          <w:sz w:val="20"/>
          <w:szCs w:val="20"/>
          <w:color w:val="auto"/>
        </w:rPr>
      </w:pPr>
    </w:p>
    <w:p>
      <w:pPr>
        <w:jc w:val="both"/>
        <w:ind w:left="900"/>
        <w:spacing w:after="0" w:line="259" w:lineRule="auto"/>
        <w:rPr>
          <w:sz w:val="20"/>
          <w:szCs w:val="20"/>
          <w:color w:val="auto"/>
        </w:rPr>
      </w:pPr>
      <w:r>
        <w:rPr>
          <w:rFonts w:ascii="Arial" w:cs="Arial" w:eastAsia="Arial" w:hAnsi="Arial"/>
          <w:sz w:val="18"/>
          <w:szCs w:val="18"/>
          <w:color w:val="auto"/>
        </w:rPr>
        <w:t>On January 4, 2018, Microbot Medical Ltd. entered into an agreement with CardioSert Ltd. to acquire certain patent-protected technology owned by CardioSert. With the closing of the acquisition in April 2018, CardioSert’s issued U.S. patent and three patent applications pending worldwide were added to Microbot’s patent portfolio and Microbot now has a patent portfolio of 29 issued/allowed patents and 19 patent applications pending worldwide.</w:t>
      </w:r>
    </w:p>
    <w:p>
      <w:pPr>
        <w:spacing w:after="0" w:line="187" w:lineRule="exact"/>
        <w:rPr>
          <w:sz w:val="20"/>
          <w:szCs w:val="20"/>
          <w:color w:val="auto"/>
        </w:rPr>
      </w:pPr>
    </w:p>
    <w:p>
      <w:pPr>
        <w:jc w:val="both"/>
        <w:ind w:left="900"/>
        <w:spacing w:after="0" w:line="286" w:lineRule="auto"/>
        <w:rPr>
          <w:sz w:val="20"/>
          <w:szCs w:val="20"/>
          <w:color w:val="auto"/>
        </w:rPr>
      </w:pPr>
      <w:r>
        <w:rPr>
          <w:rFonts w:ascii="Arial" w:cs="Arial" w:eastAsia="Arial" w:hAnsi="Arial"/>
          <w:sz w:val="17"/>
          <w:szCs w:val="17"/>
          <w:color w:val="auto"/>
        </w:rPr>
        <w:t>Pursuant to the Agreement, Microbot Medical Ltd made an initial payment of $50 to CardioSert and has 90-days to complete the acquisition. At the end of the 90-day period, at Microbot’s sole option, CardioSert shall assign and transfer the Technology to Microbot Medical Ltd and Microbot Medical Ltd shall pay to CardioSert additional amounts and options as determined in the agreements.</w:t>
      </w:r>
    </w:p>
    <w:p>
      <w:pPr>
        <w:spacing w:after="0" w:line="166" w:lineRule="exact"/>
        <w:rPr>
          <w:sz w:val="20"/>
          <w:szCs w:val="20"/>
          <w:color w:val="auto"/>
        </w:rPr>
      </w:pPr>
    </w:p>
    <w:p>
      <w:pPr>
        <w:jc w:val="both"/>
        <w:ind w:left="900"/>
        <w:spacing w:after="0" w:line="273" w:lineRule="auto"/>
        <w:rPr>
          <w:sz w:val="20"/>
          <w:szCs w:val="20"/>
          <w:color w:val="auto"/>
        </w:rPr>
      </w:pPr>
      <w:r>
        <w:rPr>
          <w:rFonts w:ascii="Arial" w:cs="Arial" w:eastAsia="Arial" w:hAnsi="Arial"/>
          <w:sz w:val="17"/>
          <w:szCs w:val="17"/>
          <w:color w:val="auto"/>
        </w:rPr>
        <w:t>The Agreement may be terminated by Microbot at any time during the 90-day pre-closing period, and otherwise for convenience upon 90-days’ notice. The Agreement may be terminated by CardioSert in case the first commercial sale does not occur by the third anniversary of the date of signing of the Agreement except in the event that Microbot has invested more than $2,000 in certain development stages, or the first commercial sale does not occur within 50 months. In each of the above termination events, or in case of breach by Microbot, CardioSert shall have the right to buy back the Technology from Microbot for $1.00, upon 60 days prior written notice, but only 1 year after such termination. Additionally, the Agreement may be terminated by either party upon breach of the other (subject to cure).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7" w:name="page68"/>
    <w:bookmarkEnd w:id="67"/>
    <w:p>
      <w:pPr>
        <w:jc w:val="both"/>
        <w:spacing w:after="0" w:line="277" w:lineRule="auto"/>
        <w:rPr>
          <w:sz w:val="20"/>
          <w:szCs w:val="20"/>
          <w:color w:val="auto"/>
        </w:rPr>
      </w:pPr>
      <w:r>
        <w:rPr>
          <w:rFonts w:ascii="Arial" w:cs="Arial" w:eastAsia="Arial" w:hAnsi="Arial"/>
          <w:sz w:val="18"/>
          <w:szCs w:val="18"/>
          <w:color w:val="auto"/>
        </w:rPr>
        <w:t>CardioSert agreed to assist Microbot in the development of the Technology for a minimum of one year, for a monthly consultation fee of NIS40,000 covering up to 60 consulting hours per month.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2018, through March 30, 2018, the Company issued an aggregate of 101,063 shares (1,500,000 shares before the Reverse Split) of its Common Stock upon the conversion of an aggregate of 1,500 shares of its Series A Convertible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Tolling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 2018, the Company entered into a Tolling and Standstill Agreement (the “Tolling Agreement”) with Empery Asset Master, Ltd., Empery Tax Efficient LP, Empery Tax Efficient II LP, and Hudson Bay Master Fund, Ltd., the other investors in the Financing (the “Other Investors”). Pursuant to the Tolling Agreement, among other things, (a) the Other Investors agree not to bring any claims against the Company arising out of the Matter, (b) the parties agree that if the Company reaches an agreement to settle the claims asserted by the Sabby Funds in the above suit, the Company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9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14605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20"/>
          </w:cols>
          <w:pgMar w:left="1140" w:top="692"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As of</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4"/>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00" w:type="dxa"/>
            <w:vAlign w:val="bottom"/>
            <w:gridSpan w:val="3"/>
          </w:tcPr>
          <w:p>
            <w:pPr>
              <w:jc w:val="center"/>
              <w:ind w:right="505"/>
              <w:spacing w:after="0"/>
              <w:rPr>
                <w:sz w:val="20"/>
                <w:szCs w:val="20"/>
                <w:color w:val="auto"/>
              </w:rPr>
            </w:pPr>
            <w:r>
              <w:rPr>
                <w:rFonts w:ascii="Arial" w:cs="Arial" w:eastAsia="Arial" w:hAnsi="Arial"/>
                <w:sz w:val="18"/>
                <w:szCs w:val="18"/>
                <w:b w:val="1"/>
                <w:bCs w:val="1"/>
                <w:color w:val="auto"/>
                <w:w w:val="89"/>
              </w:rPr>
              <w:t>Note</w:t>
            </w:r>
          </w:p>
        </w:tc>
        <w:tc>
          <w:tcPr>
            <w:tcW w:w="23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September 30, 2018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December 31,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6,673</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10,787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Other current assets</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3"/>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324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gridSpan w:val="3"/>
          </w:tcPr>
          <w:p>
            <w:pPr>
              <w:spacing w:after="0" w:line="203" w:lineRule="exact"/>
              <w:rPr>
                <w:sz w:val="20"/>
                <w:szCs w:val="20"/>
                <w:color w:val="auto"/>
              </w:rPr>
            </w:pPr>
            <w:r>
              <w:rPr>
                <w:rFonts w:ascii="Arial" w:cs="Arial" w:eastAsia="Arial" w:hAnsi="Arial"/>
                <w:sz w:val="18"/>
                <w:szCs w:val="18"/>
                <w:b w:val="1"/>
                <w:bCs w:val="1"/>
                <w:color w:val="auto"/>
              </w:rPr>
              <w:t>Fixed assets, net</w:t>
            </w:r>
          </w:p>
        </w:tc>
        <w:tc>
          <w:tcPr>
            <w:tcW w:w="11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Trade payables</w:t>
            </w:r>
          </w:p>
        </w:tc>
        <w:tc>
          <w:tcPr>
            <w:tcW w:w="17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194</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363</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gridSpan w:val="3"/>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warrant liability</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gridSpan w:val="3"/>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1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562</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Temporary equity:</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of $0.01 par value; issued and outstanding: 721,107</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3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as of September 30, 2018 and December 31, 2017</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3"/>
          </w:tcPr>
          <w:p>
            <w:pPr>
              <w:spacing w:after="0" w:line="201" w:lineRule="exact"/>
              <w:rPr>
                <w:sz w:val="20"/>
                <w:szCs w:val="20"/>
                <w:color w:val="auto"/>
              </w:rPr>
            </w:pPr>
            <w:r>
              <w:rPr>
                <w:rFonts w:ascii="Arial" w:cs="Arial" w:eastAsia="Arial" w:hAnsi="Arial"/>
                <w:sz w:val="18"/>
                <w:szCs w:val="18"/>
                <w:color w:val="auto"/>
                <w:w w:val="94"/>
              </w:rPr>
              <w:t>Preferred stock of $0.01 par value; Authorized: 1,000,000 shares as</w:t>
            </w: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rPr>
              <w:t>of September 30, 2018 and December 31, 2017; issued and</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w w:val="98"/>
              </w:rPr>
              <w:t>outstanding: 550 and 4,001 shares as of September 30, 2018 and</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4"/>
          </w:tcPr>
          <w:p>
            <w:pPr>
              <w:spacing w:after="0"/>
              <w:rPr>
                <w:sz w:val="20"/>
                <w:szCs w:val="20"/>
                <w:color w:val="auto"/>
              </w:rPr>
            </w:pPr>
            <w:r>
              <w:rPr>
                <w:rFonts w:ascii="Arial" w:cs="Arial" w:eastAsia="Arial" w:hAnsi="Arial"/>
                <w:sz w:val="18"/>
                <w:szCs w:val="18"/>
                <w:color w:val="auto"/>
              </w:rPr>
              <w:t>December 31, 2017, respectively</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of $0.01 par value; Authorized: 220,000,000 as of</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2018 and December 31, 2017; issued and</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outstanding (**): 2,254,569 and 2,013,193 shares as of September</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30, 2018, and December 31, 2017, respectively</w:t>
            </w:r>
          </w:p>
        </w:tc>
        <w:tc>
          <w:tcPr>
            <w:tcW w:w="1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31,771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30,561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(25,735)</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CCEEFF"/>
              <w:bottom w:val="single" w:sz="8" w:color="CCEEFF"/>
            </w:tcBorders>
          </w:tcPr>
          <w:p>
            <w:pPr>
              <w:spacing w:after="0"/>
              <w:rPr>
                <w:sz w:val="18"/>
                <w:szCs w:val="18"/>
                <w:color w:val="auto"/>
              </w:rPr>
            </w:pPr>
          </w:p>
        </w:tc>
        <w:tc>
          <w:tcPr>
            <w:tcW w:w="324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6,066</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9,964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7,128</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11,020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660" w:hanging="328"/>
        <w:spacing w:after="0" w:line="261"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December 31, 2017 share data represents the number of shares adjusted to retroactively reflect the 1:15 reverse stock split effected on September 4, 2018.</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88"/>
              </w:rPr>
              <w:t>Three months ended September</w:t>
            </w:r>
          </w:p>
        </w:tc>
        <w:tc>
          <w:tcPr>
            <w:tcW w:w="100" w:type="dxa"/>
            <w:vAlign w:val="bottom"/>
          </w:tcPr>
          <w:p>
            <w:pPr>
              <w:spacing w:after="0"/>
              <w:rPr>
                <w:sz w:val="18"/>
                <w:szCs w:val="18"/>
                <w:color w:val="auto"/>
              </w:rPr>
            </w:pPr>
          </w:p>
        </w:tc>
        <w:tc>
          <w:tcPr>
            <w:tcW w:w="26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9"/>
              </w:rPr>
              <w:t>Nine months ended September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Note</w:t>
            </w:r>
          </w:p>
        </w:tc>
        <w:tc>
          <w:tcPr>
            <w:tcW w:w="1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1,753</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3,407</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(5,160)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w:t>
            </w: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(5,111)</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Weighted-average   number   of   common   shares</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basic and diluted (*)</w:t>
            </w:r>
          </w:p>
        </w:tc>
        <w:tc>
          <w:tcPr>
            <w:tcW w:w="8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2,947,633</w:t>
            </w: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2,383,327</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2,876,020</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September 30, 2017 share data represents the number of shares adjusted to retroactively reflect the 1:15 reverse stock split effected on September 4, 2018.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Preferred A Shares</w:t>
            </w:r>
          </w:p>
        </w:tc>
        <w:tc>
          <w:tcPr>
            <w:tcW w:w="20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Paid-In</w:t>
            </w:r>
          </w:p>
        </w:tc>
        <w:tc>
          <w:tcPr>
            <w:tcW w:w="102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6"/>
                <w:szCs w:val="16"/>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Shareholders’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Temporary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9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Number</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9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Number</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2016</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9,736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**1,788,884</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18</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14,713</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(13,035)</w:t>
            </w:r>
          </w:p>
        </w:tc>
        <w:tc>
          <w:tcPr>
            <w:tcW w:w="2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1,696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299,815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12,699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12,702</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8,085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479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options</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31,787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Cashless exercise of warrants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Extinguishment of convertible notes and issuance of</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preferred A shares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3,255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2,676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2,676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Conversion of preferred A shares to common stock</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(8,990)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605,705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(7,589)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(7,589)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Balances, December 31, 2017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4,001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2,734,300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30,561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(20,624)</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9,964</w:t>
            </w: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1,139</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as consideration-vendor</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Exercise of options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preferred A shares to common stock</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232,151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(5,111)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(5,111)</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Balances, September 30, 2018</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550</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60"/>
              <w:spacing w:after="0" w:line="21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5"/>
                <w:szCs w:val="25"/>
                <w:b w:val="1"/>
                <w:bCs w:val="1"/>
                <w:color w:val="auto"/>
                <w:vertAlign w:val="superscript"/>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2,975,676</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30</w:t>
            </w:r>
          </w:p>
        </w:tc>
        <w:tc>
          <w:tcPr>
            <w:tcW w:w="18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31,771</w:t>
            </w:r>
          </w:p>
        </w:tc>
        <w:tc>
          <w:tcPr>
            <w:tcW w:w="2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80"/>
              <w:spacing w:after="0" w:line="216" w:lineRule="exact"/>
              <w:rPr>
                <w:sz w:val="20"/>
                <w:szCs w:val="20"/>
                <w:color w:val="auto"/>
              </w:rPr>
            </w:pPr>
            <w:r>
              <w:rPr>
                <w:rFonts w:ascii="Arial" w:cs="Arial" w:eastAsia="Arial" w:hAnsi="Arial"/>
                <w:sz w:val="13"/>
                <w:szCs w:val="13"/>
                <w:b w:val="1"/>
                <w:bCs w:val="1"/>
                <w:color w:val="auto"/>
              </w:rPr>
              <w:t>(25,735</w:t>
            </w:r>
            <w:r>
              <w:rPr>
                <w:rFonts w:ascii="Arial" w:cs="Arial" w:eastAsia="Arial" w:hAnsi="Arial"/>
                <w:sz w:val="25"/>
                <w:szCs w:val="25"/>
                <w:b w:val="1"/>
                <w:bCs w:val="1"/>
                <w:color w:val="auto"/>
                <w:vertAlign w:val="superscript"/>
              </w:rPr>
              <w:t>)</w:t>
            </w:r>
          </w:p>
        </w:tc>
        <w:tc>
          <w:tcPr>
            <w:tcW w:w="2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6,066</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721,107 common stock classified as temporary equity.</w:t>
      </w:r>
    </w:p>
    <w:p>
      <w:pPr>
        <w:spacing w:after="0" w:line="9" w:lineRule="exact"/>
        <w:rPr>
          <w:sz w:val="20"/>
          <w:szCs w:val="20"/>
          <w:color w:val="auto"/>
        </w:rPr>
      </w:pPr>
    </w:p>
    <w:p>
      <w:pPr>
        <w:ind w:left="660" w:hanging="652"/>
        <w:spacing w:after="0" w:line="261"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December 31, 2017 and 2016 share data represents the number of shares adjusted to retroactively reflect the 1:15 reverse stock split effected on September 4, 2018.</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58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w w:val="93"/>
              </w:rPr>
              <w:t>Nine months ended September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ind w:left="800"/>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56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OPERATING ACTIVITIES</w:t>
            </w:r>
          </w:p>
        </w:tc>
        <w:tc>
          <w:tcPr>
            <w:tcW w:w="5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Net loss</w:t>
            </w:r>
          </w:p>
        </w:tc>
        <w:tc>
          <w:tcPr>
            <w:tcW w:w="1820" w:type="dxa"/>
            <w:vAlign w:val="bottom"/>
            <w:gridSpan w:val="2"/>
            <w:shd w:val="clear" w:color="auto" w:fill="CCEEFF"/>
          </w:tcPr>
          <w:p>
            <w:pPr>
              <w:jc w:val="right"/>
              <w:ind w:right="113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(5,111)</w:t>
            </w:r>
          </w:p>
        </w:tc>
        <w:tc>
          <w:tcPr>
            <w:tcW w:w="144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ind w:left="160"/>
              <w:spacing w:after="0"/>
              <w:rPr>
                <w:sz w:val="20"/>
                <w:szCs w:val="20"/>
                <w:color w:val="auto"/>
              </w:rPr>
            </w:pPr>
            <w:r>
              <w:rPr>
                <w:rFonts w:ascii="Arial" w:cs="Arial" w:eastAsia="Arial" w:hAnsi="Arial"/>
                <w:sz w:val="18"/>
                <w:szCs w:val="18"/>
                <w:color w:val="auto"/>
              </w:rPr>
              <w:t>Depreciation</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Interest and revaluation of convertible notes, net</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ind w:left="160"/>
              <w:spacing w:after="0"/>
              <w:rPr>
                <w:sz w:val="20"/>
                <w:szCs w:val="20"/>
                <w:color w:val="auto"/>
              </w:rPr>
            </w:pPr>
            <w:r>
              <w:rPr>
                <w:rFonts w:ascii="Arial" w:cs="Arial" w:eastAsia="Arial" w:hAnsi="Arial"/>
                <w:sz w:val="18"/>
                <w:szCs w:val="18"/>
                <w:color w:val="auto"/>
              </w:rPr>
              <w:t>Financing loss on debt extinguishment</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Changes in fair value of derivative warrant liability</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ind w:left="160"/>
              <w:spacing w:after="0"/>
              <w:rPr>
                <w:sz w:val="20"/>
                <w:szCs w:val="20"/>
                <w:color w:val="auto"/>
              </w:rPr>
            </w:pPr>
            <w:r>
              <w:rPr>
                <w:rFonts w:ascii="Arial" w:cs="Arial" w:eastAsia="Arial" w:hAnsi="Arial"/>
                <w:sz w:val="18"/>
                <w:szCs w:val="18"/>
                <w:color w:val="auto"/>
              </w:rPr>
              <w:t>Shares issued as consideration-vendor</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ind w:left="160"/>
              <w:spacing w:after="0"/>
              <w:rPr>
                <w:sz w:val="20"/>
                <w:szCs w:val="20"/>
                <w:color w:val="auto"/>
              </w:rPr>
            </w:pPr>
            <w:r>
              <w:rPr>
                <w:rFonts w:ascii="Arial" w:cs="Arial" w:eastAsia="Arial" w:hAnsi="Arial"/>
                <w:sz w:val="18"/>
                <w:szCs w:val="18"/>
                <w:color w:val="auto"/>
              </w:rPr>
              <w:t>Changes in assets and liabilities:</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80" w:type="dxa"/>
            <w:vAlign w:val="bottom"/>
            <w:gridSpan w:val="6"/>
            <w:shd w:val="clear" w:color="auto" w:fill="CCEEFF"/>
          </w:tcPr>
          <w:p>
            <w:pPr>
              <w:ind w:left="60"/>
              <w:spacing w:after="0"/>
              <w:rPr>
                <w:sz w:val="20"/>
                <w:szCs w:val="20"/>
                <w:color w:val="auto"/>
              </w:rPr>
            </w:pPr>
            <w:r>
              <w:rPr>
                <w:rFonts w:ascii="Arial" w:cs="Arial" w:eastAsia="Arial" w:hAnsi="Arial"/>
                <w:sz w:val="18"/>
                <w:szCs w:val="18"/>
                <w:color w:val="auto"/>
              </w:rPr>
              <w:t>Other receivables</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80" w:type="dxa"/>
            <w:vAlign w:val="bottom"/>
            <w:gridSpan w:val="6"/>
          </w:tcPr>
          <w:p>
            <w:pPr>
              <w:ind w:left="60"/>
              <w:spacing w:after="0"/>
              <w:rPr>
                <w:sz w:val="20"/>
                <w:szCs w:val="20"/>
                <w:color w:val="auto"/>
              </w:rPr>
            </w:pPr>
            <w:r>
              <w:rPr>
                <w:rFonts w:ascii="Arial" w:cs="Arial" w:eastAsia="Arial" w:hAnsi="Arial"/>
                <w:sz w:val="18"/>
                <w:szCs w:val="18"/>
                <w:color w:val="auto"/>
              </w:rPr>
              <w:t>Other payables and accrued liabilities</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60" w:type="dxa"/>
            <w:vAlign w:val="bottom"/>
            <w:gridSpan w:val="7"/>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(3,875)</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6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INVESTMENT ACTIVITIES</w:t>
            </w: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gridSpan w:val="7"/>
          </w:tcPr>
          <w:p>
            <w:pPr>
              <w:spacing w:after="0"/>
              <w:rPr>
                <w:sz w:val="20"/>
                <w:szCs w:val="20"/>
                <w:color w:val="auto"/>
              </w:rPr>
            </w:pPr>
            <w:r>
              <w:rPr>
                <w:rFonts w:ascii="Arial" w:cs="Arial" w:eastAsia="Arial" w:hAnsi="Arial"/>
                <w:sz w:val="18"/>
                <w:szCs w:val="18"/>
                <w:color w:val="auto"/>
              </w:rPr>
              <w:t>Purchase of property and equipment</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7"/>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6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60" w:type="dxa"/>
            <w:vAlign w:val="bottom"/>
            <w:gridSpan w:val="7"/>
          </w:tcPr>
          <w:p>
            <w:pPr>
              <w:spacing w:after="0" w:line="201" w:lineRule="exact"/>
              <w:rPr>
                <w:sz w:val="20"/>
                <w:szCs w:val="20"/>
                <w:color w:val="auto"/>
              </w:rPr>
            </w:pPr>
            <w:r>
              <w:rPr>
                <w:rFonts w:ascii="Arial" w:cs="Arial" w:eastAsia="Arial" w:hAnsi="Arial"/>
                <w:sz w:val="18"/>
                <w:szCs w:val="18"/>
                <w:color w:val="auto"/>
                <w:w w:val="99"/>
              </w:rPr>
              <w:t>Outflow (inflow) in connection with current assets and liabilities acquired in reverse</w:t>
            </w: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gridSpan w:val="8"/>
          </w:tcPr>
          <w:p>
            <w:pPr>
              <w:spacing w:after="0"/>
              <w:rPr>
                <w:sz w:val="20"/>
                <w:szCs w:val="20"/>
                <w:color w:val="auto"/>
              </w:rPr>
            </w:pPr>
            <w:r>
              <w:rPr>
                <w:rFonts w:ascii="Arial" w:cs="Arial" w:eastAsia="Arial" w:hAnsi="Arial"/>
                <w:sz w:val="18"/>
                <w:szCs w:val="18"/>
                <w:color w:val="auto"/>
              </w:rPr>
              <w:t>recapitalization, net</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Issuance of common stock, net of issuance costs</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 and restricted cash</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(4,114)</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w w:val="99"/>
              </w:rPr>
              <w:t>Cash and cash equivalents and restricted cash at the beginning of the period</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10,814</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at the end of the period</w:t>
            </w:r>
          </w:p>
        </w:tc>
        <w:tc>
          <w:tcPr>
            <w:tcW w:w="1820" w:type="dxa"/>
            <w:vAlign w:val="bottom"/>
            <w:gridSpan w:val="2"/>
            <w:shd w:val="clear" w:color="auto" w:fill="CCEEFF"/>
          </w:tcPr>
          <w:p>
            <w:pPr>
              <w:jc w:val="right"/>
              <w:ind w:right="113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w:t>
            </w:r>
          </w:p>
        </w:tc>
        <w:tc>
          <w:tcPr>
            <w:tcW w:w="144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40" w:type="dxa"/>
            <w:vAlign w:val="bottom"/>
            <w:tcBorders>
              <w:bottom w:val="single" w:sz="8" w:color="auto"/>
            </w:tcBorders>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Supplemental disclosure of cash flow information:</w:t>
            </w:r>
          </w:p>
        </w:tc>
        <w:tc>
          <w:tcPr>
            <w:tcW w:w="27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Non-cash financing transactions:</w:t>
            </w: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Cashless exercise of warrants</w:t>
            </w:r>
          </w:p>
        </w:tc>
        <w:tc>
          <w:tcPr>
            <w:tcW w:w="1820" w:type="dxa"/>
            <w:vAlign w:val="bottom"/>
            <w:gridSpan w:val="2"/>
            <w:shd w:val="clear" w:color="auto" w:fill="CCEEFF"/>
          </w:tcPr>
          <w:p>
            <w:pPr>
              <w:jc w:val="right"/>
              <w:ind w:right="113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EEFF"/>
              <w:bottom w:val="single" w:sz="8" w:color="CCEEFF"/>
            </w:tcBorders>
            <w:gridSpan w:val="7"/>
            <w:vMerge w:val="restart"/>
          </w:tcPr>
          <w:p>
            <w:pPr>
              <w:spacing w:after="0"/>
              <w:rPr>
                <w:sz w:val="20"/>
                <w:szCs w:val="20"/>
                <w:color w:val="auto"/>
              </w:rPr>
            </w:pPr>
            <w:r>
              <w:rPr>
                <w:rFonts w:ascii="Arial" w:cs="Arial" w:eastAsia="Arial" w:hAnsi="Arial"/>
                <w:sz w:val="18"/>
                <w:szCs w:val="18"/>
                <w:color w:val="auto"/>
              </w:rPr>
              <w:t>Conversion of preferred A shares into common shares</w:t>
            </w:r>
          </w:p>
        </w:tc>
        <w:tc>
          <w:tcPr>
            <w:tcW w:w="520" w:type="dxa"/>
            <w:vAlign w:val="bottom"/>
            <w:tcBorders>
              <w:top w:val="single" w:sz="8" w:color="CCEEFF"/>
              <w:bottom w:val="single" w:sz="8" w:color="CCEEFF"/>
            </w:tcBorders>
            <w:vMerge w:val="restart"/>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tcBorders>
              <w:bottom w:val="single" w:sz="8" w:color="CCEEFF"/>
            </w:tcBorders>
            <w:gridSpan w:val="7"/>
            <w:vMerge w:val="continue"/>
          </w:tcPr>
          <w:p>
            <w:pPr>
              <w:spacing w:after="0"/>
              <w:rPr>
                <w:sz w:val="20"/>
                <w:szCs w:val="20"/>
                <w:color w:val="auto"/>
              </w:rPr>
            </w:pPr>
          </w:p>
        </w:tc>
        <w:tc>
          <w:tcPr>
            <w:tcW w:w="52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3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60" w:type="dxa"/>
            <w:vAlign w:val="bottom"/>
            <w:tcBorders>
              <w:bottom w:val="single" w:sz="8" w:color="CCEEFF"/>
            </w:tcBorders>
            <w:gridSpan w:val="7"/>
            <w:shd w:val="clear" w:color="auto" w:fill="CCEEFF"/>
          </w:tcPr>
          <w:p>
            <w:pPr>
              <w:spacing w:after="0" w:line="190" w:lineRule="exact"/>
              <w:rPr>
                <w:sz w:val="20"/>
                <w:szCs w:val="20"/>
                <w:color w:val="auto"/>
              </w:rPr>
            </w:pPr>
            <w:r>
              <w:rPr>
                <w:rFonts w:ascii="Arial" w:cs="Arial" w:eastAsia="Arial" w:hAnsi="Arial"/>
                <w:sz w:val="18"/>
                <w:szCs w:val="18"/>
                <w:color w:val="auto"/>
              </w:rPr>
              <w:t>Extinguishment of convertible notes in exchange for preferred A shares</w:t>
            </w:r>
          </w:p>
        </w:tc>
        <w:tc>
          <w:tcPr>
            <w:tcW w:w="5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3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6280" w:type="dxa"/>
            <w:vAlign w:val="bottom"/>
            <w:gridSpan w:val="6"/>
            <w:vMerge w:val="restart"/>
          </w:tcPr>
          <w:p>
            <w:pPr>
              <w:ind w:left="200"/>
              <w:spacing w:after="0"/>
              <w:rPr>
                <w:sz w:val="20"/>
                <w:szCs w:val="20"/>
                <w:color w:val="auto"/>
              </w:rPr>
            </w:pPr>
            <w:r>
              <w:rPr>
                <w:rFonts w:ascii="Arial" w:cs="Arial" w:eastAsia="Arial" w:hAnsi="Arial"/>
                <w:sz w:val="18"/>
                <w:szCs w:val="18"/>
                <w:color w:val="auto"/>
              </w:rPr>
              <w:t>Less than 1</w:t>
            </w:r>
          </w:p>
        </w:tc>
        <w:tc>
          <w:tcPr>
            <w:tcW w:w="5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 w:type="dxa"/>
            <w:vAlign w:val="bottom"/>
            <w:gridSpan w:val="2"/>
            <w:vMerge w:val="continue"/>
          </w:tcPr>
          <w:p>
            <w:pPr>
              <w:spacing w:after="0"/>
              <w:rPr>
                <w:sz w:val="24"/>
                <w:szCs w:val="24"/>
                <w:color w:val="auto"/>
              </w:rPr>
            </w:pPr>
          </w:p>
        </w:tc>
        <w:tc>
          <w:tcPr>
            <w:tcW w:w="6280" w:type="dxa"/>
            <w:vAlign w:val="bottom"/>
            <w:gridSpan w:val="6"/>
            <w:vMerge w:val="continue"/>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81"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It was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81"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Prior to the Merger, the Company was a biopharmaceutical company that conducted research, development, and commercialization of stem cell therapeutics and related technologies. The sale of substantially all material assets relating to the stem cell business were completed on November 29, 2016.</w:t>
      </w:r>
    </w:p>
    <w:p>
      <w:pPr>
        <w:spacing w:after="0" w:line="18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and its subsidiaries are collectively referred to as the “Company”. “StemCells” or “StemCells, Inc.” refers to the Company prior to the Merger.</w:t>
      </w:r>
    </w:p>
    <w:p>
      <w:pPr>
        <w:spacing w:after="0" w:line="166" w:lineRule="exact"/>
        <w:rPr>
          <w:rFonts w:ascii="Arial" w:cs="Arial" w:eastAsia="Arial" w:hAnsi="Arial"/>
          <w:sz w:val="18"/>
          <w:szCs w:val="18"/>
          <w:b w:val="1"/>
          <w:bCs w:val="1"/>
          <w:color w:val="auto"/>
        </w:rPr>
      </w:pPr>
    </w:p>
    <w:p>
      <w:pPr>
        <w:ind w:left="660" w:hanging="328"/>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rFonts w:ascii="Arial" w:cs="Arial" w:eastAsia="Arial" w:hAnsi="Arial"/>
          <w:sz w:val="18"/>
          <w:szCs w:val="18"/>
          <w:b w:val="1"/>
          <w:bCs w:val="1"/>
          <w:color w:val="auto"/>
        </w:rPr>
      </w:pPr>
    </w:p>
    <w:p>
      <w:pPr>
        <w:jc w:val="both"/>
        <w:ind w:left="6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To date, the Company has not generated revenues from its operations. As of September 30, 2018, the Company had cash and cash equivalent balance of approximately $6,673, which management believes is sufficient to fund its operations for more than 12 months from the date of issuance of these financial statements and sufficient to fund its operations necessary to continue development activities of its current proposed products. Due to continuing research and development activities, the Company expects to continue to incur net losses into the foreseeable future. The Company plans to continue to fund its current operations as well as other development activities relating to additional product candidates, through future issuances of either debt and/or equity securities and possibly additional grants from the Israeli Innovation Authority and others.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3" w:name="page74"/>
    <w:bookmarkEnd w:id="73"/>
    <w:p>
      <w:pPr>
        <w:ind w:left="660" w:hanging="328"/>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Split</w:t>
      </w:r>
    </w:p>
    <w:p>
      <w:pPr>
        <w:spacing w:after="0" w:line="229" w:lineRule="exact"/>
        <w:rPr>
          <w:rFonts w:ascii="Arial" w:cs="Arial" w:eastAsia="Arial" w:hAnsi="Arial"/>
          <w:sz w:val="18"/>
          <w:szCs w:val="18"/>
          <w:b w:val="1"/>
          <w:bCs w:val="1"/>
          <w:color w:val="auto"/>
        </w:rPr>
      </w:pPr>
    </w:p>
    <w:p>
      <w:pPr>
        <w:jc w:val="both"/>
        <w:ind w:left="6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On September 4, 2018, the Company filed a Certificate of Amendment to its Restated Certificate of Incorporation with the Secretary of State of the State of Delaware to affect a one-for-15 reverse stock split of the Company’s common stock (the “Reverse Split”). As a result of the Reverse Split, every 15 shares of the Company’s old common stock was converted into one share of the Company’s new common stock. Fractional shares resulting from the Reverse Split were rounded up to the nearest whole number. The Reverse Split automatically and proportionately adjusted, based on the one-for-fifteen split ratio, all issued and outstanding shares of the Company’s common stock, as well as common stock underlying convertible preferred stock, stock options, warrants and other derivative securities outstanding at the time of the effectiveness of the Reverse Split. The exercise price on outstanding equity based-grants was proportionately increased, while the number of shares available under the Company’s equity-based plans was also proportionately reduced. Share and per share data (except par value) for the periods presented reflect the effects of the Reverse Split. References to numbers of shares of common stock and per share data in the accompanying financial statements and notes thereto for periods ended prior to September 4, 2018 have been adjusted to reflect the Reverse Split on a retroactive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Unaudited Interim Financial Statements</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Operating results for the nine-month period ended September 30, 2018, are not necessarily indicative of the results that may be expected for the year ended December 31, 2018.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significant accounting policies followed in the preparation of these unaudited interim condensed consolidated financial statements are identical to those applied in the preparation of the latest annual audited financial statements.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May 2014, the FASB issued ASU 2014-09 “Revenue from Contracts with Customers” to provide a single comprehensive model for entities to use in accounting for revenue arising from contracts with customers. The ASU supersedes most current revenue recognition guidance, including industry-specific guidance. The FASB subsequently issued ASU 2015-14, ASU 2016-08 and ASU 2016-12, which clarified the guidance, provided scope improvements and amended the effective date of ASU 2014-09. As a result, ASU 2014-09 becomes effective for the Company in the first quarter of 2018, with early adoption permitted. The adoption of this standard did not have a material impact on our interim consolidated statements of comprehensive loss since the Company has not yet generated revenues to date.</w:t>
      </w:r>
    </w:p>
    <w:p>
      <w:pPr>
        <w:spacing w:after="0" w:line="17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June 2018, the FASB issued ASU No. 2018-07 “Compensation - Stock Compensation (Topic 718): Improvements to Nonemployee Share-Based Payment Accounting.” These amendments expand the scope of Topic 718, Compensation - Stock Compensation (which currently only includes share-based payments to employees) to include share-based payments issued to nonemployees for goods or services. Consequently, the accounting for share-based payments to nonemployees and employees will be substantially aligned. The ASU supersedes Subtopic 505-50, Equity - Equity-Based Payments to Non-Employees. The guidance is effective for the Company during the first quarter of 2019. The Company is assessing ASU 2018-07 and does not expect it to have a material impact on its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4" w:name="page75"/>
    <w:bookmarkEnd w:id="74"/>
    <w:p>
      <w:pPr>
        <w:jc w:val="both"/>
        <w:ind w:left="660"/>
        <w:spacing w:after="0" w:line="257" w:lineRule="auto"/>
        <w:rPr>
          <w:sz w:val="20"/>
          <w:szCs w:val="20"/>
          <w:color w:val="auto"/>
        </w:rPr>
      </w:pPr>
      <w:r>
        <w:rPr>
          <w:rFonts w:ascii="Arial" w:cs="Arial" w:eastAsia="Arial" w:hAnsi="Arial"/>
          <w:sz w:val="18"/>
          <w:szCs w:val="18"/>
          <w:color w:val="auto"/>
        </w:rPr>
        <w:t>In February 2016, the FASB issued ASU 2016-02 “Leases” to increase transparency and comparability among organizations by recognizing lease assets and lease liabilities on the balance sheet and disclosing key information about leasing arrangements. For operating leases, the ASU requires a lessee to recognize a right-of-use asset and a lease liability, initially measured at the present value of the lease payments, on its balance sheet. The ASU retains the current accounting for lessors and does not make significant changes to the recognition, measurement, and presentation of expenses and cash flows by a lessee.</w:t>
      </w:r>
    </w:p>
    <w:p>
      <w:pPr>
        <w:spacing w:after="0" w:line="18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July 2018, the FASB issued ASU No. 2018-11, “Targeted Improvements - Leases (Topic 842).” This update provides an optional transition method that allows entities to elect to apply the standard prospectively at its effective date, versus recasting the prior periods presented. If elected, an entity would recognize a cumulative-effect adjustment to the opening balance of retained earnings in the period of adoption. This ASU is effective for the Company in the first quarter of 2019, with early adoption permitted. The Company continues to evaluate the effect of the adoption of this ASU and expects the adoption will result in an increase in the assets and liabilities on the consolidated balance sheets for operating leases (refer to Note 4) and will likely have an insignificant impact on the consolidated statements of comprehensive loss.</w:t>
      </w:r>
    </w:p>
    <w:p>
      <w:pPr>
        <w:spacing w:after="0" w:line="178"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In June 2016, the FASB issued ASU 2016-13 “Financial Instruments – Credit Losses” to improve information on credit losses for financial assets and net investment in leases that are not accounted for at fair value through net income. The ASU replaces the current incurred loss impairment methodology with a methodology that reflects expected credit losses. This ASU is effective for the Company in the first quarter of 2020, with early adoption permitted. The Company is currently evaluating the effect the adoption of this ASU will have on its consolidated financial statements.</w:t>
      </w:r>
    </w:p>
    <w:p>
      <w:pPr>
        <w:spacing w:after="0" w:line="154"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July 2017, the FASB issued ASU 2017-11, which includes Part I “Accounting for Certain Financial Instruments with Down Round Features” and Part II “Replacement of the Indefinite Deferral for Mandatorily Redeemable Financial Instruments of Certain Nonpublic Entities and Certain Mandatorily Redeemable Non-Controlling Interests with a Scope Exception”. The ASU makes limited changes to the Board’s guidance on classifying certain financial instruments as either liabilities or equity. The ASU’s objective is to improve (1) the accounting for instruments with “down-round” provisions and (2) the readability of the guidance in ASC 480 on distinguishing liabilities from equity by replacing the indefinite deferral of certain pending content with scope exceptions. The ASU is effective for the Company in the first quarter of 2019, with early adoption permitted. The Company has derivative warranty liabilities as discussed in Note 4 which upon adoption of the new standard are expected to be classified as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DERIVATIVE WARRANT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outstanding warrants and terms as of September 30, 2018 and December 31, 2017 after the split is as follows: (*)</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 as of</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Exercisable as of</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Outstanding as of</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580" w:type="dxa"/>
            <w:vAlign w:val="bottom"/>
          </w:tcPr>
          <w:p>
            <w:pPr>
              <w:ind w:left="340"/>
              <w:spacing w:after="0"/>
              <w:rPr>
                <w:sz w:val="20"/>
                <w:szCs w:val="20"/>
                <w:color w:val="auto"/>
              </w:rPr>
            </w:pPr>
            <w:r>
              <w:rPr>
                <w:rFonts w:ascii="Arial" w:cs="Arial" w:eastAsia="Arial" w:hAnsi="Arial"/>
                <w:sz w:val="18"/>
                <w:szCs w:val="18"/>
                <w:b w:val="1"/>
                <w:bCs w:val="1"/>
                <w:color w:val="auto"/>
              </w:rPr>
              <w:t>Exercisable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b w:val="1"/>
                <w:bCs w:val="1"/>
                <w:color w:val="auto"/>
              </w:rPr>
              <w:t>Issuance date</w:t>
            </w:r>
          </w:p>
        </w:tc>
        <w:tc>
          <w:tcPr>
            <w:tcW w:w="18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December 31, 2017</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Exercise Price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300" w:type="dxa"/>
            <w:vAlign w:val="bottom"/>
          </w:tcPr>
          <w:p>
            <w:pPr>
              <w:spacing w:after="0"/>
              <w:rPr>
                <w:sz w:val="20"/>
                <w:szCs w:val="20"/>
                <w:color w:val="auto"/>
              </w:rPr>
            </w:pPr>
          </w:p>
        </w:tc>
        <w:tc>
          <w:tcPr>
            <w:tcW w:w="1580" w:type="dxa"/>
            <w:vAlign w:val="bottom"/>
          </w:tcPr>
          <w:p>
            <w:pPr>
              <w:ind w:left="440"/>
              <w:spacing w:after="0"/>
              <w:rPr>
                <w:sz w:val="20"/>
                <w:szCs w:val="20"/>
                <w:color w:val="auto"/>
              </w:rPr>
            </w:pPr>
            <w:r>
              <w:rPr>
                <w:rFonts w:ascii="Arial" w:cs="Arial" w:eastAsia="Arial" w:hAnsi="Arial"/>
                <w:sz w:val="18"/>
                <w:szCs w:val="18"/>
                <w:b w:val="1"/>
                <w:bCs w:val="1"/>
                <w:color w:val="auto"/>
              </w:rPr>
              <w:t>Through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(2013)</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3,895</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3,895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2,885</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3,895</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October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Series A (2013)</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183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2,725</w:t>
            </w:r>
          </w:p>
        </w:tc>
        <w:tc>
          <w:tcPr>
            <w:tcW w:w="28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April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(2015)</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683</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683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1,363</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683</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April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Series A (2016) (a)</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625</w:t>
            </w:r>
          </w:p>
        </w:tc>
        <w:tc>
          <w:tcPr>
            <w:tcW w:w="32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March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(2016) (a)</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2,770</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2,770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2,770</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hanging="319"/>
        <w:spacing w:after="0" w:line="258" w:lineRule="auto"/>
        <w:tabs>
          <w:tab w:leader="none" w:pos="960" w:val="left"/>
        </w:tabs>
        <w:rPr>
          <w:sz w:val="20"/>
          <w:szCs w:val="20"/>
          <w:color w:val="auto"/>
        </w:rPr>
      </w:pPr>
      <w:r>
        <w:rPr>
          <w:rFonts w:ascii="Arial" w:cs="Arial" w:eastAsia="Arial" w:hAnsi="Arial"/>
          <w:sz w:val="18"/>
          <w:szCs w:val="18"/>
          <w:color w:val="auto"/>
        </w:rPr>
        <w:t>(*)</w:t>
        <w:tab/>
        <w:t>December 31, 2017 warrants data represents the number of shares adjusted to retroactively reflect the 1:15 Reverse Split effected on September 4, 2018</w:t>
      </w:r>
    </w:p>
    <w:p>
      <w:pPr>
        <w:spacing w:after="0" w:line="1" w:lineRule="exact"/>
        <w:rPr>
          <w:sz w:val="20"/>
          <w:szCs w:val="20"/>
          <w:color w:val="auto"/>
        </w:rPr>
      </w:pPr>
    </w:p>
    <w:p>
      <w:pPr>
        <w:jc w:val="both"/>
        <w:ind w:left="980" w:hanging="324"/>
        <w:spacing w:after="0" w:line="252"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These warrants contain a full ratchet anti-dilution price protection so that, in most situations upon the issuance of any common stock or securities convertible into common stock at a price below the then-existing exercise price of the outstanding warrants, the warrant exercise price will be reset to the lower common stock sales price. As such anti-dilution price protection does not meet the specific conditions for equity classification, the Company is required to classify the fair value of these warrants as a liability, with changes in fair value to be recorded as income (loss) due to change in fair value of warrant liability. The estimated fair value of our warrant liability at September 30, 2018 and December 31, 2017, was approximately $5 and $28,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5" w:name="page76"/>
    <w:bookmarkEnd w:id="75"/>
    <w:p>
      <w:pPr>
        <w:jc w:val="both"/>
        <w:ind w:left="660"/>
        <w:spacing w:after="0" w:line="277" w:lineRule="auto"/>
        <w:rPr>
          <w:sz w:val="20"/>
          <w:szCs w:val="20"/>
          <w:color w:val="auto"/>
        </w:rPr>
      </w:pPr>
      <w:r>
        <w:rPr>
          <w:rFonts w:ascii="Arial" w:cs="Arial" w:eastAsia="Arial" w:hAnsi="Arial"/>
          <w:sz w:val="18"/>
          <w:szCs w:val="18"/>
          <w:color w:val="auto"/>
        </w:rPr>
        <w:t>As quoted prices in active markets for identical or similar warrants are not available, the Company uses directly observable inputs in the valuation of its derivative warrant liabilities (level 3 measurement).</w:t>
      </w:r>
    </w:p>
    <w:p>
      <w:pPr>
        <w:spacing w:after="0" w:line="170"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Company uses the Black-Scholes valuation model to estimate fair value of these warrants. In using this model, the Company makes certain assumptions about risk-free interest rates, dividend yields, volatility, expected term of the warrants and other assumptions. Risk-free interest rates are derived from the yield on U.S. Treasury debt securities. Dividend yields are based on our historical dividend payments, which have been zero to date. Volatility is estimated from the historical volatility of our common stock as traded on NASDAQ. The expected term of the warrants is based on the time to expiration of the warrants from the date of measurement.</w:t>
      </w:r>
    </w:p>
    <w:p>
      <w:pPr>
        <w:spacing w:after="0" w:line="17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March 2017, an institutional holder executed a cashless exercise of 51 warrants and 24 shares of Common Stock were issued in connection therewith.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observable inputs used in the valuation of the derivative warrant liabilities as of September 30, 2018 and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2017:</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Series A</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Series A</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Series A</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Series A</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Series A</w:t>
            </w: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5"/>
              </w:rPr>
              <w:t>Series B</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68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(2016)</w:t>
            </w: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Borders>
              <w:bottom w:val="single" w:sz="8" w:color="CCEEFF"/>
            </w:tcBorders>
          </w:tcPr>
          <w:p>
            <w:pPr>
              <w:spacing w:after="0"/>
              <w:rPr>
                <w:sz w:val="20"/>
                <w:szCs w:val="20"/>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at December 31, 2017</w:t>
            </w: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6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expiration</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37"/>
        </w:trPr>
        <w:tc>
          <w:tcPr>
            <w:tcW w:w="3300" w:type="dxa"/>
            <w:vAlign w:val="bottom"/>
            <w:gridSpan w:val="2"/>
          </w:tcPr>
          <w:p>
            <w:pPr>
              <w:spacing w:after="0"/>
              <w:rPr>
                <w:sz w:val="20"/>
                <w:szCs w:val="20"/>
                <w:color w:val="auto"/>
              </w:rPr>
            </w:pPr>
            <w:r>
              <w:rPr>
                <w:rFonts w:ascii="Arial" w:cs="Arial" w:eastAsia="Arial" w:hAnsi="Arial"/>
                <w:sz w:val="18"/>
                <w:szCs w:val="18"/>
                <w:color w:val="auto"/>
              </w:rPr>
              <w:t>Changes in fair value</w:t>
            </w:r>
          </w:p>
        </w:tc>
        <w:tc>
          <w:tcPr>
            <w:tcW w:w="6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3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Balances at September 30, 2018</w:t>
            </w:r>
          </w:p>
        </w:tc>
        <w:tc>
          <w:tcPr>
            <w:tcW w:w="680" w:type="dxa"/>
            <w:vAlign w:val="bottom"/>
            <w:tcBorders>
              <w:top w:val="single" w:sz="8" w:color="auto"/>
              <w:bottom w:val="single" w:sz="8" w:color="auto"/>
            </w:tcBorders>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2680" w:type="dxa"/>
            <w:vAlign w:val="bottom"/>
            <w:tcBorders>
              <w:bottom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observable inputs used in the valuation of the derivative warrant liabilities as of September 30, 2018 and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2017:</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p>
        </w:tc>
        <w:tc>
          <w:tcPr>
            <w:tcW w:w="31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As of September 30, 2018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As of December 31, 2017</w:t>
            </w:r>
          </w:p>
        </w:tc>
      </w:tr>
      <w:tr>
        <w:trPr>
          <w:trHeight w:val="237"/>
        </w:trPr>
        <w:tc>
          <w:tcPr>
            <w:tcW w:w="4040" w:type="dxa"/>
            <w:vAlign w:val="bottom"/>
          </w:tcPr>
          <w:p>
            <w:pPr>
              <w:spacing w:after="0"/>
              <w:rPr>
                <w:sz w:val="20"/>
                <w:szCs w:val="20"/>
                <w:color w:val="auto"/>
              </w:rPr>
            </w:pPr>
          </w:p>
        </w:tc>
        <w:tc>
          <w:tcPr>
            <w:tcW w:w="170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Series A (2016)</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Series B (2016)</w:t>
            </w:r>
          </w:p>
        </w:tc>
        <w:tc>
          <w:tcPr>
            <w:tcW w:w="3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Series A (2016)</w:t>
            </w: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Series B (2016)</w:t>
            </w:r>
          </w:p>
        </w:tc>
        <w:tc>
          <w:tcPr>
            <w:tcW w:w="100" w:type="dxa"/>
            <w:vAlign w:val="bottom"/>
          </w:tcPr>
          <w:p>
            <w:pPr>
              <w:spacing w:after="0"/>
              <w:rPr>
                <w:sz w:val="20"/>
                <w:szCs w:val="20"/>
                <w:color w:val="auto"/>
              </w:rPr>
            </w:pPr>
          </w:p>
        </w:tc>
      </w:tr>
      <w:tr>
        <w:trPr>
          <w:trHeight w:val="216"/>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price</w:t>
            </w:r>
          </w:p>
        </w:tc>
        <w:tc>
          <w:tcPr>
            <w:tcW w:w="13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7.52</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15.1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Exercise price</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40.07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40.07</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Risk-free interest</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2.39%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7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0.25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in such liabilities measured on a recurring basis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Derivative Warrant</w:t>
            </w:r>
          </w:p>
        </w:tc>
        <w:tc>
          <w:tcPr>
            <w:tcW w:w="3920" w:type="dxa"/>
            <w:vAlign w:val="bottom"/>
          </w:tcPr>
          <w:p>
            <w:pPr>
              <w:spacing w:after="0"/>
              <w:rPr>
                <w:sz w:val="18"/>
                <w:szCs w:val="18"/>
                <w:color w:val="auto"/>
              </w:rPr>
            </w:pPr>
          </w:p>
        </w:tc>
      </w:tr>
      <w:tr>
        <w:trPr>
          <w:trHeight w:val="241"/>
        </w:trPr>
        <w:tc>
          <w:tcPr>
            <w:tcW w:w="6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Arial" w:cs="Arial" w:eastAsia="Arial" w:hAnsi="Arial"/>
                <w:sz w:val="18"/>
                <w:szCs w:val="18"/>
                <w:b w:val="1"/>
                <w:bCs w:val="1"/>
                <w:color w:val="auto"/>
              </w:rPr>
              <w:t>Liabilities</w:t>
            </w:r>
          </w:p>
        </w:tc>
        <w:tc>
          <w:tcPr>
            <w:tcW w:w="3920" w:type="dxa"/>
            <w:vAlign w:val="bottom"/>
          </w:tcPr>
          <w:p>
            <w:pPr>
              <w:spacing w:after="0"/>
              <w:rPr>
                <w:sz w:val="20"/>
                <w:szCs w:val="20"/>
                <w:color w:val="auto"/>
              </w:rPr>
            </w:pPr>
          </w:p>
        </w:tc>
      </w:tr>
      <w:tr>
        <w:trPr>
          <w:trHeight w:val="243"/>
        </w:trPr>
        <w:tc>
          <w:tcPr>
            <w:tcW w:w="660" w:type="dxa"/>
            <w:vAlign w:val="bottom"/>
          </w:tcPr>
          <w:p>
            <w:pPr>
              <w:spacing w:after="0"/>
              <w:rPr>
                <w:sz w:val="21"/>
                <w:szCs w:val="21"/>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2017</w:t>
            </w:r>
          </w:p>
        </w:tc>
        <w:tc>
          <w:tcPr>
            <w:tcW w:w="154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right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28</w:t>
            </w:r>
          </w:p>
        </w:tc>
        <w:tc>
          <w:tcPr>
            <w:tcW w:w="3920" w:type="dxa"/>
            <w:vAlign w:val="bottom"/>
          </w:tcPr>
          <w:p>
            <w:pPr>
              <w:spacing w:after="0"/>
              <w:rPr>
                <w:sz w:val="21"/>
                <w:szCs w:val="21"/>
                <w:color w:val="auto"/>
              </w:rPr>
            </w:pPr>
          </w:p>
        </w:tc>
      </w:tr>
      <w:tr>
        <w:trPr>
          <w:trHeight w:val="237"/>
        </w:trPr>
        <w:tc>
          <w:tcPr>
            <w:tcW w:w="660" w:type="dxa"/>
            <w:vAlign w:val="bottom"/>
          </w:tcPr>
          <w:p>
            <w:pPr>
              <w:spacing w:after="0"/>
              <w:rPr>
                <w:sz w:val="20"/>
                <w:szCs w:val="20"/>
                <w:color w:val="auto"/>
              </w:rPr>
            </w:pPr>
          </w:p>
        </w:tc>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Revaluation of warrants</w:t>
            </w:r>
          </w:p>
        </w:tc>
        <w:tc>
          <w:tcPr>
            <w:tcW w:w="15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(23)</w:t>
            </w:r>
          </w:p>
        </w:tc>
        <w:tc>
          <w:tcPr>
            <w:tcW w:w="3920" w:type="dxa"/>
            <w:vAlign w:val="bottom"/>
          </w:tcPr>
          <w:p>
            <w:pPr>
              <w:spacing w:after="0"/>
              <w:rPr>
                <w:sz w:val="20"/>
                <w:szCs w:val="20"/>
                <w:color w:val="auto"/>
              </w:rPr>
            </w:pPr>
          </w:p>
        </w:tc>
      </w:tr>
      <w:tr>
        <w:trPr>
          <w:trHeight w:val="230"/>
        </w:trPr>
        <w:tc>
          <w:tcPr>
            <w:tcW w:w="660" w:type="dxa"/>
            <w:vAlign w:val="bottom"/>
          </w:tcPr>
          <w:p>
            <w:pPr>
              <w:spacing w:after="0"/>
              <w:rPr>
                <w:sz w:val="19"/>
                <w:szCs w:val="19"/>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September 30, 2018</w:t>
            </w:r>
          </w:p>
        </w:tc>
        <w:tc>
          <w:tcPr>
            <w:tcW w:w="15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right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w:t>
            </w:r>
          </w:p>
        </w:tc>
        <w:tc>
          <w:tcPr>
            <w:tcW w:w="39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420"/>
        </w:trPr>
        <w:tc>
          <w:tcPr>
            <w:tcW w:w="6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F-36</w:t>
            </w:r>
          </w:p>
        </w:tc>
        <w:tc>
          <w:tcPr>
            <w:tcW w:w="15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76" w:name="page77"/>
    <w:bookmarkEnd w:id="76"/>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2016</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Revaluation of warrants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warrants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209550</wp:posOffset>
            </wp:positionV>
            <wp:extent cx="170688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160" w:hanging="504"/>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br w:type="column"/>
      </w:r>
    </w:p>
    <w:p>
      <w:pPr>
        <w:jc w:val="center"/>
        <w:ind w:right="3992"/>
        <w:spacing w:after="0"/>
        <w:rPr>
          <w:sz w:val="20"/>
          <w:szCs w:val="20"/>
          <w:color w:val="auto"/>
        </w:rPr>
      </w:pPr>
      <w:r>
        <w:rPr>
          <w:rFonts w:ascii="Arial" w:cs="Arial" w:eastAsia="Arial" w:hAnsi="Arial"/>
          <w:sz w:val="17"/>
          <w:szCs w:val="17"/>
          <w:b w:val="1"/>
          <w:bCs w:val="1"/>
          <w:color w:val="auto"/>
        </w:rPr>
        <w:t>Derivative Warrant</w:t>
      </w:r>
    </w:p>
    <w:p>
      <w:pPr>
        <w:spacing w:after="0" w:line="39" w:lineRule="exact"/>
        <w:rPr>
          <w:sz w:val="20"/>
          <w:szCs w:val="20"/>
          <w:color w:val="auto"/>
        </w:rPr>
      </w:pPr>
    </w:p>
    <w:p>
      <w:pPr>
        <w:jc w:val="center"/>
        <w:ind w:right="3992"/>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5715</wp:posOffset>
            </wp:positionV>
            <wp:extent cx="434784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47845" cy="171450"/>
                    </a:xfrm>
                    <a:prstGeom prst="rect">
                      <a:avLst/>
                    </a:prstGeom>
                    <a:noFill/>
                  </pic:spPr>
                </pic:pic>
              </a:graphicData>
            </a:graphic>
          </wp:anchor>
        </w:drawing>
      </w:r>
    </w:p>
    <w:p>
      <w:pPr>
        <w:spacing w:after="0" w:line="2" w:lineRule="exact"/>
        <w:rPr>
          <w:sz w:val="20"/>
          <w:szCs w:val="20"/>
          <w:color w:val="auto"/>
        </w:rPr>
      </w:pPr>
    </w:p>
    <w:p>
      <w:pPr>
        <w:ind w:left="1068" w:hanging="1068"/>
        <w:spacing w:after="0"/>
        <w:tabs>
          <w:tab w:leader="none" w:pos="10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313</w:t>
      </w:r>
    </w:p>
    <w:p>
      <w:pPr>
        <w:spacing w:after="0" w:line="50" w:lineRule="exact"/>
        <w:rPr>
          <w:rFonts w:ascii="Arial" w:cs="Arial" w:eastAsia="Arial" w:hAnsi="Arial"/>
          <w:sz w:val="18"/>
          <w:szCs w:val="18"/>
          <w:color w:val="auto"/>
        </w:rPr>
      </w:pPr>
    </w:p>
    <w:p>
      <w:pPr>
        <w:ind w:left="948"/>
        <w:spacing w:after="0"/>
        <w:rPr>
          <w:rFonts w:ascii="Arial" w:cs="Arial" w:eastAsia="Arial" w:hAnsi="Arial"/>
          <w:sz w:val="18"/>
          <w:szCs w:val="18"/>
          <w:color w:val="auto"/>
        </w:rPr>
      </w:pPr>
      <w:r>
        <w:rPr>
          <w:rFonts w:ascii="Arial" w:cs="Arial" w:eastAsia="Arial" w:hAnsi="Arial"/>
          <w:sz w:val="18"/>
          <w:szCs w:val="18"/>
          <w:color w:val="auto"/>
        </w:rPr>
        <w:t>(285)</w:t>
      </w:r>
    </w:p>
    <w:p>
      <w:pPr>
        <w:spacing w:after="0" w:line="21" w:lineRule="exact"/>
        <w:rPr>
          <w:rFonts w:ascii="Arial" w:cs="Arial" w:eastAsia="Arial" w:hAnsi="Arial"/>
          <w:sz w:val="18"/>
          <w:szCs w:val="18"/>
          <w:color w:val="auto"/>
        </w:rPr>
      </w:pPr>
    </w:p>
    <w:p>
      <w:pPr>
        <w:ind w:left="1128"/>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-121920</wp:posOffset>
            </wp:positionV>
            <wp:extent cx="4347845"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47845" cy="171450"/>
                    </a:xfrm>
                    <a:prstGeom prst="rect">
                      <a:avLst/>
                    </a:prstGeom>
                    <a:noFill/>
                  </pic:spPr>
                </pic:pic>
              </a:graphicData>
            </a:graphic>
          </wp:anchor>
        </w:drawing>
      </w:r>
    </w:p>
    <w:p>
      <w:pPr>
        <w:spacing w:after="0" w:line="57" w:lineRule="exact"/>
        <w:rPr>
          <w:sz w:val="20"/>
          <w:szCs w:val="20"/>
          <w:color w:val="auto"/>
        </w:rPr>
      </w:pPr>
    </w:p>
    <w:p>
      <w:pPr>
        <w:ind w:left="1168" w:hanging="1168"/>
        <w:spacing w:after="0"/>
        <w:tabs>
          <w:tab w:leader="none" w:pos="11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1836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836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1836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915" w:lineRule="exact"/>
        <w:rPr>
          <w:sz w:val="20"/>
          <w:szCs w:val="20"/>
          <w:color w:val="auto"/>
        </w:rPr>
      </w:pPr>
    </w:p>
    <w:p>
      <w:pPr>
        <w:sectPr>
          <w:pgSz w:w="11900" w:h="16838" w:orient="portrait"/>
          <w:cols w:equalWidth="0" w:num="2">
            <w:col w:w="4852" w:space="720"/>
            <w:col w:w="5848"/>
          </w:cols>
          <w:pgMar w:left="240" w:top="688" w:right="239" w:bottom="1440" w:gutter="0" w:footer="0" w:header="0"/>
        </w:sectPr>
      </w:pPr>
    </w:p>
    <w:p>
      <w:pPr>
        <w:spacing w:after="0" w:line="25"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In accordance with ASC-820-10-50-2(g), the Company has performed a sensitivity analysis of the derivative warrant liabilities of the Company which are classified as level 3 financial instruments. The Company recalculated the value of warrants by applying a +/- 5% changes to the input variables in the Black-Scholes model that vary overtime, namely, the volatility and the risk-free rate. A 5.0% decrease or ‘increase in volatility would not have materially changed the value of the warrants. A 5.0% decrease or increase in the risk-free rate would not have materially changed the value of the warrants; the value of the warrants is not strongly correlated with small changes in interest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September 30, 2018 in the total amount of approximately $1,310 and, in return, Microbot Israel is obligated to pay royalties amounting to 3% of its future sales up to the amount of the grant. The grant is linked to the exchange rate of the dollar to the New Israeli Shekel and bears interest of Libor per annum.</w:t>
      </w:r>
    </w:p>
    <w:p>
      <w:pPr>
        <w:spacing w:after="0" w:line="187"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4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 Agreements</w:t>
      </w:r>
    </w:p>
    <w:p>
      <w:pPr>
        <w:spacing w:after="0" w:line="229"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December 2016, the Company entered into car lease agreements, which will end on December 31, 2019. According to the lease agreement, the monthly car lease payment is approximately $2.5.</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January 2018, the Company entered into an office lease agreement in the U.S., with a term ending on December 31, 2021. According to the lease agreement, the monthly office lease payment is approximately $4.</w:t>
      </w:r>
    </w:p>
    <w:p>
      <w:pPr>
        <w:spacing w:after="0" w:line="170"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May 2017, the Company entered into an office lease agreement IN Israel effective from February 1, 2018, with a term ending on December 31, 2020. According to the lease agreement, the monthly office lease payment is approximately $14.</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Compensation Liability</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incurred compensation commitments of approximately $400 to a former executive that management estimates as remote that this amount will ever be paid out and therefore is not reflected in these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Contract Research Agreement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January 27, 2017, the Company entered into a Contract Research Agreement (the “Research Agreement”) with The Washington University (“Washington U.”), pursuant to which the parties are collaborating to determine the effectiveness of the Company’s self-cleaning shunt.</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study in Washington U. includes several phases. The first phase (initial research) was completed. The parties are in the final stage of planning the next phase, including the related various costs. Pursuant to the Research Agreement, all rights, title and interest in the data, information and results obtained or arrived at by Washington U. in the performance of its services under the Research Agreement, as well as any patentable inventions obtained or arrived at in the performance of such services, will be jointly owned by the Company and Washington U., and each will have full right to practice and grant licenses in joint inventions. Additionally, Washington U. granted to the Company: (a) a non-exclusive, worldwide, royalty-free, fully paid-up, perpetual and irrevocable license to use and practice patentable inventions (other than joint inventions and improvements to Washington U.’s animal models) obtained or arrived at by Washington U. in the provision of its services under the Research Agreement (“University Inventions”) with respect to the self-cleaning shunt; and (b) an exclusive option to obtain an exclusive worldwide license in University Inventions, on terms to be negotiated between the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is named as the defendant in a lawsuit, captioned Sabby Healthcare Master Fund Ltd. and Sabby Volatility Warrant Master Fund Ltd., Plaintiffs, against Microbot Medical Inc., Defendant, pending in the Supreme Court of the State of New York, County of New York. The complaint alleges, among other things, that the Company breached multiple representations and warranties contained in the Securities Purchase Agreement (the “SPA”) related to the June 8, 2017 equity financing of the Company (the “Financing”), of which the Plaintiffs participated. The complaint seeks rescission of the SPA and return of the Plaintiffs’ $3,375 purchase price with respect to the Financing, and damages in an amount to be determined at trial, but alleged to exceed $1 million. On August 3, 2018, both Plaintiffs and the Company filed motions for summary judgment. On September 27, 2018, the Court heard oral argument on the parties’ respective summary judgment motions. After oral argument, the Court denied Plaintiffs’ motion in its entirety from the bench. On September 28, 2018, the Court issued a decision granting the Company’s motion for summary judgment regarding Plaintiffs’ claim for monetary damages and denying the Company’s motion for summary judgment on Plaintiffs’ claim for rescission, finding that there were material questions of fact that would need to be resolved at trial. A trial date has not been set.</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is unable to assess the likelihood of the claim and the amount of potential damages, if any, to be awarded. Management believes that the claims made against it are without merit and intends to vigorously defend itself against these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Tolling and Standstill Agreement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April 4, 2018, the Company entered into a Tolling and Standstill Agreement (the “Tolling Agreement”) with Empery Asset Master, Ltd., Empery Tax Efficient LP, Empery Tax Efficient II LP, and Hudson Bay Master Fund, Ltd., the other investors in the Financing (the “Other Investors”). Pursuant to the Tolling Agreement, among other things, (a) the Other Investors agree not to bring any claims against the Company arising out of the Matter, (b) the parties agree that if the Company reaches an agreement to settle the claims asserted by the Sabby Funds in the above suit, the Company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6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88" w:right="23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January 4, 2018, Microbot Israel entered into an agreement with CardioSert Ltd. (“CardioSert”) to acquire certain patent-protected technology owned by CardioSert (the “Technology”).</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Pursuant to the Agreement, Microbot Israel made an initial payment of $50 to CardioSert and has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On April 10, 2018, Microbot delivered an Exercise Notice to CardioSert Ltd., notifying it that Microbot elected to exercise the option to acquire the Technology owned by CardioSert and therefore made an additional cash payment of $250 and 6,738 (100,000 common shares before the Reverse Split) common shares estimated of $74. (see note 5).</w:t>
      </w:r>
    </w:p>
    <w:p>
      <w:pPr>
        <w:spacing w:after="0" w:line="18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w:t>
      </w:r>
    </w:p>
    <w:p>
      <w:pPr>
        <w:spacing w:after="0" w:line="19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CardioSert agreed to assist Microbot Israel in the development of the Technology for a minimum of one year, for a monthly consultation fee of NIS 40,000 covering up to 60 consulting hours per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Agreement with Simon Sharon</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Effective as of April 1, 2018, the Company hired Simon Sharon to replace its former Vice President of R&amp;D. Pursuant to the terms thereof, among other things, Mr. Sharon is entitled to options to purchase 10,000 shares (150,000 shares before the Reverse Split) of the Company’s common stock, subject and pursuant to the Company’s 2017 Equity Incentive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 CAPITAL</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Each share of the Series A Convertible Preferred Stock, par value $0.01 per share, issued by the Company in December 2016 and in May 2017 (the “Series A Convertible Preferred Stock”), is convertible, at the option of the holder, into 67 shares of Common Stock (1,000 shares of Common Stock before the Reverse Split), and confer upon the holder dividend rights on an as converted basis.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March 2017, an institutional holder exercised, in a cashless transaction, 52 warrants (768 warrants before the Reverse Split) and 24 shares (359 shares before the Reverse Split) of Common Stock were issued in connection therewith.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left="660" w:right="20"/>
        <w:spacing w:after="0" w:line="259" w:lineRule="auto"/>
        <w:rPr>
          <w:sz w:val="20"/>
          <w:szCs w:val="20"/>
          <w:color w:val="auto"/>
        </w:rPr>
      </w:pPr>
      <w:r>
        <w:rPr>
          <w:rFonts w:ascii="Arial" w:cs="Arial" w:eastAsia="Arial" w:hAnsi="Arial"/>
          <w:sz w:val="18"/>
          <w:szCs w:val="18"/>
          <w:color w:val="auto"/>
        </w:rPr>
        <w:t>The authorized capital stock consists of 221,000,000 shares of capital stock, which consists of 220,000,000 shares of Common Stock and 1,000,000 shares of undesignated preferred stock, par value $0.01 (the “Preferred Stock”). As of March 31, 2018, the Company had 2,837,863 shares (42,120,127 shares before the Reverse Split) of Common Stock issued and outstanding, and 2,464 shares of Series A Convertible Preferred Stock issued and outstanding.</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December 27, 2016, the Company exchanged 655,962 shares (9,735,925 shares before the Reverse Split) or rights to acquire shares of its Common Stock, for 9,736 shares of a newly designated class of Series A Convertible Preferred Stock.</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On January 5, 2017, the Company entered into a definitive securities purchase agreement with an institutional investor (the “Purchaser”) for the purchase and sale of an aggregate of 47,163 shares (700,000 shares before the Reverse Split) of Common Stock in a registered direct offering for $74 per share ($5.00 per share before the Reverse Split) or gross proceeds of $3,500. The Company paid the placement agent a fee of $210 plus reimbursement of out-of-pocket expenses, as well as other offering-related expenses.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9" w:name="page80"/>
    <w:bookmarkEnd w:id="79"/>
    <w:p>
      <w:pPr>
        <w:jc w:val="both"/>
        <w:spacing w:after="0" w:line="259" w:lineRule="auto"/>
        <w:rPr>
          <w:sz w:val="20"/>
          <w:szCs w:val="20"/>
          <w:color w:val="auto"/>
        </w:rPr>
      </w:pPr>
      <w:r>
        <w:rPr>
          <w:rFonts w:ascii="Arial" w:cs="Arial" w:eastAsia="Arial" w:hAnsi="Arial"/>
          <w:sz w:val="18"/>
          <w:szCs w:val="18"/>
          <w:color w:val="auto"/>
        </w:rPr>
        <w:t>On June 5, 2017, the Company entered into a Securities Purchase Agreement with certain institutional investors (the “Investors”) providing for the issuance and sale by the Company to the Investors of an aggregate of 252,658 shares (3,750,000 shares before the Reverse Split) of Common Stock, at a purchase price per share of $40 ($2.70 before the Reverse Split). The gross proceeds to the Company was $10,125 before deducting placement agent fees and offering expenses of $922.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Grant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2014, Microbot Israel’s board of directors approved a grant of 26,906 stock options (403,592 stock options before the Reverse Split) (77,846 stock options as retroactively adjusted to reflect the Merger) to its CEO, through MEDX Venture Group LLC. Each option was exercisable into an ordinary share, at an exercise price of $12 ($0.8 before the Reverse Split) ($4.2 as retroactively adjusted to reflect the Merger). The stock options were fully vested at the date of grant.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2, 2016, Microbot Israel’s board of directors approved a grant of 33,333 stock options (500,000 stock options before the Reverse Split) (96,482 as retroactively adjusted to reflect the Merger) to certain of its employees and directors. Each stock option was exercisable into an ordinary share, NIS 0.001 par value, of Microbot Israel, at an exercise price equal to the ordinary share’s par value. The stock options were fully vested at the date of grant. As a result, the Company recognized compensation expenses in the amount of $675 included in general and administrative expenses. As the exercise price of the stock options is nominal, Microbot Israel estimated the fair value of the options as equal to the Company’s share price of $20.25 ($1.35 before the Reverse Split) ($7.05 as retroactively adjusted to reflect the Merger) at the date of grant.</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September 12, 2017, the Company adopted the 2017 Equity Incentive Plan (the “Plan”), which Plan authorizes, among other things, the grant of options to purchase shares of Common Stock to directors, officers and employees of the Company and to other individuals.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120,848 shares (1,812,712 shares before the Reverse Split) of Common Stock to Mr. Harel Gadot, the Company’s Chairman of the Board, President and CEO, at an exercise price per share of $15.75 ($1.05 before the Reverse Split). The stock options vest over a period of 3-5 years as outlined in the option agreements. As a result, the Company recognized compensation expenses in the amount of $460 and $0 included in general and administrative expenses for the nine months ended September 30, 2018 and 2017 respectively.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72,508 shares (1,087,627 shares before the Reverse Split) of Common Stock to Mr. Hezi Himelfarb, the company’s General Manager, COO and a member of the Board, at an exercise price per share of $19.35 ($1.29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in the amount of $329 and $0 included in general and administrative expenses for the nine months ended September 30, 2018 and 2017 respectively.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6, 2017, the board of directors approved a grant of 12,698 stock options (190,475 stock options before the Reverse Split) to purchase an aggregate of up to 12,698 shares of Common Stock to certain of its directors, at an exercise price per share of $15.75 ($1.05 before the Reverse Split). The stock options vest over a period of 3 years as outlined in the option agreements. As a result, the Company recognized compensation expenses in the amount of $55 and $0 included in general and administrative expenses for the nine months ended September 30, 2018 and 2017 respectively.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28, 2017, the board of directors approved a grant of 66,036 stock options (990,543 stock options before the Reverse Split) to purchase an aggregate of up to 66,036 shares of Common Stock to certain of its employees, at an exercise price per share of $15.3 ($1.02 before the Reverse Split). The stock options vest over a period of 3 years as outlined in the option agreements. As a result, the Company recognized compensation expenses in the amount of $273 and $0 included in general and administrative expenses and research and development expenses for the nine months ended September 30, 2018 and 2017 respectively.</w:t>
      </w:r>
    </w:p>
    <w:p>
      <w:pPr>
        <w:spacing w:after="0" w:line="18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80" w:name="page81"/>
    <w:bookmarkEnd w:id="80"/>
    <w:p>
      <w:pPr>
        <w:jc w:val="both"/>
        <w:ind w:left="660"/>
        <w:spacing w:after="0" w:line="277" w:lineRule="auto"/>
        <w:rPr>
          <w:sz w:val="20"/>
          <w:szCs w:val="20"/>
          <w:color w:val="auto"/>
        </w:rPr>
      </w:pPr>
      <w:r>
        <w:rPr>
          <w:rFonts w:ascii="Arial" w:cs="Arial" w:eastAsia="Arial" w:hAnsi="Arial"/>
          <w:sz w:val="18"/>
          <w:szCs w:val="18"/>
          <w:color w:val="auto"/>
        </w:rPr>
        <w:t>On November 2017, certain employees and consultant exercised 31,453 options (471,794 options before the Reverse Split) to 31,453 ordinary shares at exercise price of 0.001 NIS.</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February 2018, an employee exercised options to purchase 2,487 shares (37,300 shares of common stock before the Reverse Split) at an exercise price of $0.001 per share</w:t>
      </w:r>
    </w:p>
    <w:p>
      <w:pPr>
        <w:spacing w:after="0" w:line="170"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On August 13, 2018, the board of directors approved a grant of stock options to purchase an aggregate of up to 10,000 shares (150,000 shares before the Reverse Split) of Common Stock to Mr. Simon Sharon, the company’s CTO, at an exercise price per share of $9 ($0.6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in the amount of $22 and $0 included in general and administrative expenses for the nine months ended September 30, 2018 and 2017 respectively.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option activity related to options to employees and directors, and related information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80" w:type="dxa"/>
            <w:vAlign w:val="bottom"/>
            <w:gridSpan w:val="10"/>
          </w:tcPr>
          <w:p>
            <w:pPr>
              <w:jc w:val="center"/>
              <w:ind w:right="240"/>
              <w:spacing w:after="0"/>
              <w:rPr>
                <w:sz w:val="20"/>
                <w:szCs w:val="20"/>
                <w:color w:val="auto"/>
              </w:rPr>
            </w:pPr>
            <w:r>
              <w:rPr>
                <w:rFonts w:ascii="Arial" w:cs="Arial" w:eastAsia="Arial" w:hAnsi="Arial"/>
                <w:sz w:val="18"/>
                <w:szCs w:val="18"/>
                <w:b w:val="1"/>
                <w:bCs w:val="1"/>
                <w:color w:val="auto"/>
                <w:w w:val="89"/>
              </w:rPr>
              <w:t>For the nine months ended September 30, 2018</w:t>
            </w: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ind w:left="110"/>
              <w:spacing w:after="0" w:line="198" w:lineRule="exact"/>
              <w:rPr>
                <w:sz w:val="20"/>
                <w:szCs w:val="20"/>
                <w:color w:val="auto"/>
              </w:rPr>
            </w:pPr>
            <w:r>
              <w:rPr>
                <w:rFonts w:ascii="Arial" w:cs="Arial" w:eastAsia="Arial" w:hAnsi="Arial"/>
                <w:sz w:val="18"/>
                <w:szCs w:val="18"/>
                <w:color w:val="auto"/>
                <w:w w:val="92"/>
              </w:rPr>
              <w:t>Number of</w:t>
            </w:r>
          </w:p>
        </w:tc>
        <w:tc>
          <w:tcPr>
            <w:tcW w:w="3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gridSpan w:val="2"/>
          </w:tcPr>
          <w:p>
            <w:pPr>
              <w:jc w:val="center"/>
              <w:ind w:right="50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270"/>
              <w:spacing w:after="0" w:line="198" w:lineRule="exact"/>
              <w:rPr>
                <w:sz w:val="20"/>
                <w:szCs w:val="20"/>
                <w:color w:val="auto"/>
              </w:rPr>
            </w:pPr>
            <w:r>
              <w:rPr>
                <w:rFonts w:ascii="Arial" w:cs="Arial" w:eastAsia="Arial" w:hAnsi="Arial"/>
                <w:sz w:val="18"/>
                <w:szCs w:val="18"/>
                <w:color w:val="auto"/>
                <w:w w:val="89"/>
              </w:rPr>
              <w:t>Aggregate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center"/>
              <w:ind w:left="130"/>
              <w:spacing w:after="0"/>
              <w:rPr>
                <w:sz w:val="20"/>
                <w:szCs w:val="20"/>
                <w:color w:val="auto"/>
              </w:rPr>
            </w:pPr>
            <w:r>
              <w:rPr>
                <w:rFonts w:ascii="Arial" w:cs="Arial" w:eastAsia="Arial" w:hAnsi="Arial"/>
                <w:sz w:val="18"/>
                <w:szCs w:val="18"/>
                <w:color w:val="auto"/>
                <w:w w:val="91"/>
              </w:rPr>
              <w:t>stock options</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exercise price</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intrinsic value</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414,965</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11.70</w:t>
            </w:r>
          </w:p>
        </w:tc>
        <w:tc>
          <w:tcPr>
            <w:tcW w:w="3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422,478</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11.70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729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expected-to-vest at end of period</w:t>
            </w:r>
          </w:p>
        </w:tc>
        <w:tc>
          <w:tcPr>
            <w:tcW w:w="12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228,758</w:t>
            </w:r>
          </w:p>
        </w:tc>
        <w:tc>
          <w:tcPr>
            <w:tcW w:w="340" w:type="dxa"/>
            <w:vAlign w:val="bottom"/>
            <w:tcBorders>
              <w:bottom w:val="single" w:sz="8" w:color="auto"/>
            </w:tcBorders>
          </w:tcPr>
          <w:p>
            <w:pPr>
              <w:spacing w:after="0"/>
              <w:rPr>
                <w:sz w:val="17"/>
                <w:szCs w:val="17"/>
                <w:color w:val="auto"/>
              </w:rPr>
            </w:pPr>
          </w:p>
        </w:tc>
        <w:tc>
          <w:tcPr>
            <w:tcW w:w="3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7.80</w:t>
            </w:r>
          </w:p>
        </w:tc>
        <w:tc>
          <w:tcPr>
            <w:tcW w:w="3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729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8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1"/>
              </w:rPr>
              <w:t>For the year ended December 31, 2017(*)</w:t>
            </w: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center"/>
              <w:ind w:right="50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6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Number of stock options</w:t>
            </w: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exercise price</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Aggregate intrinsic value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174,328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1.95</w:t>
            </w:r>
          </w:p>
        </w:tc>
        <w:tc>
          <w:tcPr>
            <w:tcW w:w="3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3,739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272,090</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16.50</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(31,453)</w:t>
            </w: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414,965</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11.70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1,859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expected-to-vest at end of period</w:t>
            </w:r>
          </w:p>
        </w:tc>
        <w:tc>
          <w:tcPr>
            <w:tcW w:w="12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142,875</w:t>
            </w:r>
          </w:p>
        </w:tc>
        <w:tc>
          <w:tcPr>
            <w:tcW w:w="340" w:type="dxa"/>
            <w:vAlign w:val="bottom"/>
            <w:tcBorders>
              <w:bottom w:val="single" w:sz="8" w:color="auto"/>
            </w:tcBorders>
          </w:tcPr>
          <w:p>
            <w:pPr>
              <w:spacing w:after="0"/>
              <w:rPr>
                <w:sz w:val="17"/>
                <w:szCs w:val="17"/>
                <w:color w:val="auto"/>
              </w:rPr>
            </w:pPr>
          </w:p>
        </w:tc>
        <w:tc>
          <w:tcPr>
            <w:tcW w:w="3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1.95</w:t>
            </w:r>
          </w:p>
        </w:tc>
        <w:tc>
          <w:tcPr>
            <w:tcW w:w="3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1,375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860" w:type="dxa"/>
            <w:vAlign w:val="bottom"/>
            <w:tcBorders>
              <w:bottom w:val="single" w:sz="8" w:color="auto"/>
            </w:tcBorders>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December 31, 2017 options data represents the number of shares adjusted to retroactively reflect the 1:15 Reverse Split effected on September 4, 2018.</w:t>
      </w:r>
    </w:p>
    <w:p>
      <w:pPr>
        <w:spacing w:after="0" w:line="24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aggregate intrinsic value in the table above represents the total intrinsic value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September 30, 2018 and December 31, 2017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1" w:name="page82"/>
    <w:bookmarkEnd w:id="81"/>
    <w:p>
      <w:pPr>
        <w:ind w:left="4"/>
        <w:spacing w:after="0"/>
        <w:rPr>
          <w:sz w:val="20"/>
          <w:szCs w:val="20"/>
          <w:color w:val="auto"/>
        </w:rPr>
      </w:pPr>
      <w:r>
        <w:rPr>
          <w:rFonts w:ascii="Arial" w:cs="Arial" w:eastAsia="Arial" w:hAnsi="Arial"/>
          <w:sz w:val="18"/>
          <w:szCs w:val="18"/>
          <w:color w:val="auto"/>
        </w:rPr>
        <w:t>The stock options outstanding as of September 30, 2018 and December 31, 2017, separated by exercise prices, are as follows:</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remaining</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remaining</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5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Stock options</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Stock options</w:t>
            </w: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contractual life</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contractual life</w:t>
            </w: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 options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 options</w:t>
            </w:r>
          </w:p>
        </w:tc>
        <w:tc>
          <w:tcPr>
            <w:tcW w:w="0" w:type="dxa"/>
            <w:vAlign w:val="bottom"/>
          </w:tcPr>
          <w:p>
            <w:pPr>
              <w:spacing w:after="0"/>
              <w:rPr>
                <w:sz w:val="1"/>
                <w:szCs w:val="1"/>
                <w:color w:val="auto"/>
              </w:rPr>
            </w:pPr>
          </w:p>
        </w:tc>
      </w:tr>
      <w:tr>
        <w:trPr>
          <w:trHeight w:val="203"/>
        </w:trPr>
        <w:tc>
          <w:tcPr>
            <w:tcW w:w="1720" w:type="dxa"/>
            <w:vAlign w:val="bottom"/>
            <w:gridSpan w:val="2"/>
            <w:vMerge w:val="continue"/>
          </w:tcPr>
          <w:p>
            <w:pPr>
              <w:spacing w:after="0"/>
              <w:rPr>
                <w:sz w:val="17"/>
                <w:szCs w:val="17"/>
                <w:color w:val="auto"/>
              </w:rPr>
            </w:pPr>
          </w:p>
        </w:tc>
        <w:tc>
          <w:tcPr>
            <w:tcW w:w="1500" w:type="dxa"/>
            <w:vAlign w:val="bottom"/>
            <w:gridSpan w:val="3"/>
          </w:tcPr>
          <w:p>
            <w:pPr>
              <w:jc w:val="center"/>
              <w:ind w:right="340"/>
              <w:spacing w:after="0" w:line="202" w:lineRule="exact"/>
              <w:rPr>
                <w:sz w:val="20"/>
                <w:szCs w:val="20"/>
                <w:color w:val="auto"/>
              </w:rPr>
            </w:pPr>
            <w:r>
              <w:rPr>
                <w:rFonts w:ascii="Arial" w:cs="Arial" w:eastAsia="Arial" w:hAnsi="Arial"/>
                <w:sz w:val="18"/>
                <w:szCs w:val="18"/>
                <w:b w:val="1"/>
                <w:bCs w:val="1"/>
                <w:color w:val="auto"/>
                <w:w w:val="87"/>
              </w:rPr>
              <w:t>outstanding as</w:t>
            </w:r>
          </w:p>
        </w:tc>
        <w:tc>
          <w:tcPr>
            <w:tcW w:w="160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85"/>
              </w:rPr>
              <w:t>outstanding as</w:t>
            </w:r>
          </w:p>
        </w:tc>
        <w:tc>
          <w:tcPr>
            <w:tcW w:w="16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87"/>
              </w:rPr>
              <w:t>– years as of</w:t>
            </w:r>
          </w:p>
        </w:tc>
        <w:tc>
          <w:tcPr>
            <w:tcW w:w="15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86"/>
              </w:rPr>
              <w:t>– years as of</w:t>
            </w:r>
          </w:p>
        </w:tc>
        <w:tc>
          <w:tcPr>
            <w:tcW w:w="144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exercisable as</w:t>
            </w:r>
          </w:p>
        </w:tc>
        <w:tc>
          <w:tcPr>
            <w:tcW w:w="124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86"/>
              </w:rPr>
              <w:t>exercisable as</w:t>
            </w:r>
          </w:p>
        </w:tc>
        <w:tc>
          <w:tcPr>
            <w:tcW w:w="0" w:type="dxa"/>
            <w:vAlign w:val="bottom"/>
          </w:tcPr>
          <w:p>
            <w:pPr>
              <w:spacing w:after="0"/>
              <w:rPr>
                <w:sz w:val="1"/>
                <w:szCs w:val="1"/>
                <w:color w:val="auto"/>
              </w:rPr>
            </w:pPr>
          </w:p>
        </w:tc>
      </w:tr>
      <w:tr>
        <w:trPr>
          <w:trHeight w:val="216"/>
        </w:trPr>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price</w:t>
            </w:r>
          </w:p>
        </w:tc>
        <w:tc>
          <w:tcPr>
            <w:tcW w:w="15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of September</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of December 31,</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of September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of December</w:t>
            </w:r>
          </w:p>
        </w:tc>
        <w:tc>
          <w:tcPr>
            <w:tcW w:w="0" w:type="dxa"/>
            <w:vAlign w:val="bottom"/>
          </w:tcPr>
          <w:p>
            <w:pPr>
              <w:spacing w:after="0"/>
              <w:rPr>
                <w:sz w:val="1"/>
                <w:szCs w:val="1"/>
                <w:color w:val="auto"/>
              </w:rPr>
            </w:pPr>
          </w:p>
        </w:tc>
      </w:tr>
      <w:tr>
        <w:trPr>
          <w:trHeight w:val="255"/>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22"/>
                <w:szCs w:val="22"/>
                <w:color w:val="auto"/>
              </w:rPr>
            </w:pPr>
          </w:p>
        </w:tc>
        <w:tc>
          <w:tcPr>
            <w:tcW w:w="9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1"/>
              </w:rPr>
              <w:t>30, 2018</w:t>
            </w:r>
          </w:p>
        </w:tc>
        <w:tc>
          <w:tcPr>
            <w:tcW w:w="20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2017(**)</w:t>
            </w:r>
          </w:p>
        </w:tc>
        <w:tc>
          <w:tcPr>
            <w:tcW w:w="32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320" w:type="dxa"/>
            <w:vAlign w:val="bottom"/>
          </w:tcPr>
          <w:p>
            <w:pPr>
              <w:spacing w:after="0"/>
              <w:rPr>
                <w:sz w:val="22"/>
                <w:szCs w:val="22"/>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2"/>
                <w:szCs w:val="22"/>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30, 2018</w:t>
            </w:r>
          </w:p>
        </w:tc>
        <w:tc>
          <w:tcPr>
            <w:tcW w:w="30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31, 2017(**)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4.20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77,846</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7.25</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8.00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77,846</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right"/>
              <w:ind w:right="170"/>
              <w:spacing w:after="0"/>
              <w:rPr>
                <w:sz w:val="20"/>
                <w:szCs w:val="20"/>
                <w:color w:val="auto"/>
              </w:rPr>
            </w:pPr>
            <w:r>
              <w:rPr>
                <w:rFonts w:ascii="Arial" w:cs="Arial" w:eastAsia="Arial" w:hAnsi="Arial"/>
                <w:sz w:val="18"/>
                <w:szCs w:val="18"/>
                <w:color w:val="auto"/>
              </w:rPr>
              <w:t>15.75</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133,546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133,546</w:t>
            </w:r>
          </w:p>
        </w:tc>
        <w:tc>
          <w:tcPr>
            <w:tcW w:w="32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9.75</w:t>
            </w:r>
          </w:p>
        </w:tc>
        <w:tc>
          <w:tcPr>
            <w:tcW w:w="32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46,117</w:t>
            </w:r>
          </w:p>
        </w:tc>
        <w:tc>
          <w:tcPr>
            <w:tcW w:w="3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9.00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right"/>
              <w:ind w:right="170"/>
              <w:spacing w:after="0"/>
              <w:rPr>
                <w:sz w:val="20"/>
                <w:szCs w:val="20"/>
                <w:color w:val="auto"/>
              </w:rPr>
            </w:pPr>
            <w:r>
              <w:rPr>
                <w:rFonts w:ascii="Arial" w:cs="Arial" w:eastAsia="Arial" w:hAnsi="Arial"/>
                <w:sz w:val="18"/>
                <w:szCs w:val="18"/>
                <w:color w:val="auto"/>
              </w:rPr>
              <w:t>19.35</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72,508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72,508</w:t>
            </w:r>
          </w:p>
        </w:tc>
        <w:tc>
          <w:tcPr>
            <w:tcW w:w="32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9.75</w:t>
            </w:r>
          </w:p>
        </w:tc>
        <w:tc>
          <w:tcPr>
            <w:tcW w:w="32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23,565</w:t>
            </w:r>
          </w:p>
        </w:tc>
        <w:tc>
          <w:tcPr>
            <w:tcW w:w="3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15.30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66,036</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9.25</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18,688</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Borders>
              <w:bottom w:val="single" w:sz="8" w:color="CCEEFF"/>
            </w:tcBorders>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62,542</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65,029</w:t>
            </w:r>
          </w:p>
        </w:tc>
        <w:tc>
          <w:tcPr>
            <w:tcW w:w="3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8.00</w:t>
            </w:r>
          </w:p>
        </w:tc>
        <w:tc>
          <w:tcPr>
            <w:tcW w:w="3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8.75</w:t>
            </w:r>
          </w:p>
        </w:tc>
        <w:tc>
          <w:tcPr>
            <w:tcW w:w="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62,542</w:t>
            </w:r>
          </w:p>
        </w:tc>
        <w:tc>
          <w:tcPr>
            <w:tcW w:w="3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65,029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422,478</w:t>
            </w:r>
          </w:p>
        </w:tc>
        <w:tc>
          <w:tcPr>
            <w:tcW w:w="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414,965</w:t>
            </w:r>
          </w:p>
        </w:tc>
        <w:tc>
          <w:tcPr>
            <w:tcW w:w="3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8.55</w:t>
            </w: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9.3</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228,758</w:t>
            </w: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142,875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3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 Less than $0.01.</w:t>
      </w:r>
    </w:p>
    <w:p>
      <w:pPr>
        <w:spacing w:after="0" w:line="23" w:lineRule="exact"/>
        <w:rPr>
          <w:sz w:val="20"/>
          <w:szCs w:val="20"/>
          <w:color w:val="auto"/>
        </w:rPr>
      </w:pPr>
    </w:p>
    <w:p>
      <w:pPr>
        <w:ind w:left="324" w:right="20" w:hanging="324"/>
        <w:spacing w:after="0" w:line="261" w:lineRule="auto"/>
        <w:tabs>
          <w:tab w:leader="none" w:pos="324"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December 31, 2017 options data represents the number of shares adjusted to retroactively reflect the 1:15 Reverse Split effected on September 4, 2018.</w:t>
      </w:r>
    </w:p>
    <w:p>
      <w:pPr>
        <w:spacing w:after="0" w:line="184"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Compensation expense recorded by the Company in respect of its stock-based employee compensation awards in accordance with ASC 718-10 for the nine-month ended September 30, 2018 and 2017 was $ 1,139 and $196, respectively.</w:t>
      </w:r>
    </w:p>
    <w:p>
      <w:pPr>
        <w:spacing w:after="0" w:line="170"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The fair value of the stock options is estimated at the date of grant using Black-Scholes options pricing model with the following weighted-average assumptions:</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2460" w:type="dxa"/>
            <w:vAlign w:val="bottom"/>
            <w:gridSpan w:val="2"/>
          </w:tcPr>
          <w:p>
            <w:pPr>
              <w:ind w:left="340"/>
              <w:spacing w:after="0"/>
              <w:rPr>
                <w:sz w:val="20"/>
                <w:szCs w:val="20"/>
                <w:color w:val="auto"/>
              </w:rPr>
            </w:pPr>
            <w:r>
              <w:rPr>
                <w:rFonts w:ascii="Arial" w:cs="Arial" w:eastAsia="Arial" w:hAnsi="Arial"/>
                <w:sz w:val="18"/>
                <w:szCs w:val="18"/>
                <w:b w:val="1"/>
                <w:bCs w:val="1"/>
                <w:color w:val="auto"/>
              </w:rPr>
              <w:t>Nine months ended</w:t>
            </w:r>
          </w:p>
        </w:tc>
        <w:tc>
          <w:tcPr>
            <w:tcW w:w="2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Year ended</w:t>
            </w:r>
          </w:p>
        </w:tc>
      </w:tr>
      <w:tr>
        <w:trPr>
          <w:trHeight w:val="241"/>
        </w:trPr>
        <w:tc>
          <w:tcPr>
            <w:tcW w:w="5560" w:type="dxa"/>
            <w:vAlign w:val="bottom"/>
          </w:tcPr>
          <w:p>
            <w:pPr>
              <w:spacing w:after="0"/>
              <w:rPr>
                <w:sz w:val="20"/>
                <w:szCs w:val="20"/>
                <w:color w:val="auto"/>
              </w:rPr>
            </w:pPr>
          </w:p>
        </w:tc>
        <w:tc>
          <w:tcPr>
            <w:tcW w:w="2460" w:type="dxa"/>
            <w:vAlign w:val="bottom"/>
            <w:gridSpan w:val="2"/>
          </w:tcPr>
          <w:p>
            <w:pPr>
              <w:ind w:left="320"/>
              <w:spacing w:after="0"/>
              <w:rPr>
                <w:sz w:val="20"/>
                <w:szCs w:val="20"/>
                <w:color w:val="auto"/>
              </w:rPr>
            </w:pPr>
            <w:r>
              <w:rPr>
                <w:rFonts w:ascii="Arial" w:cs="Arial" w:eastAsia="Arial" w:hAnsi="Arial"/>
                <w:sz w:val="18"/>
                <w:szCs w:val="18"/>
                <w:b w:val="1"/>
                <w:bCs w:val="1"/>
                <w:color w:val="auto"/>
              </w:rPr>
              <w:t>September 30, 2018</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 2017</w:t>
            </w:r>
          </w:p>
        </w:tc>
      </w:tr>
      <w:tr>
        <w:trPr>
          <w:trHeight w:val="216"/>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6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99.4%</w:t>
            </w:r>
          </w:p>
        </w:tc>
        <w:tc>
          <w:tcPr>
            <w:tcW w:w="3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122.5%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Risk-free interest</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18"/>
                <w:szCs w:val="18"/>
                <w:color w:val="auto"/>
              </w:rPr>
            </w:pPr>
          </w:p>
        </w:tc>
        <w:tc>
          <w:tcPr>
            <w:tcW w:w="2140" w:type="dxa"/>
            <w:vAlign w:val="bottom"/>
          </w:tcPr>
          <w:p>
            <w:pPr>
              <w:jc w:val="right"/>
              <w:ind w:right="4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20"/>
                <w:szCs w:val="20"/>
                <w:color w:val="auto"/>
              </w:rPr>
            </w:pPr>
          </w:p>
        </w:tc>
        <w:tc>
          <w:tcPr>
            <w:tcW w:w="2140" w:type="dxa"/>
            <w:vAlign w:val="bottom"/>
          </w:tcPr>
          <w:p>
            <w:pPr>
              <w:jc w:val="right"/>
              <w:ind w:right="43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0"/>
                <w:szCs w:val="20"/>
                <w:color w:val="auto"/>
              </w:rPr>
            </w:pPr>
          </w:p>
        </w:tc>
      </w:tr>
    </w:tbl>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Shares issued to service provider</w:t>
      </w:r>
    </w:p>
    <w:p>
      <w:pPr>
        <w:spacing w:after="0" w:line="229"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In connection with the Merger, the Company issued an aggregate of 525,706 restricted shares (7,802,639 restricted shares before the Reverse Split) of its Common Stock to certain advisors. The fair value of the award of approximately $10,000 was estimated based on the share price of the Common Stock of $19.2 ($1.28 before the Reverse Split) as of the date of grant. The portion of the expense in excess of the cash and other current assets acquired in the Merger, in the amount of $7,300 was included in general and administrative expenses in the Statements of Comprehensive Loss.</w:t>
      </w:r>
    </w:p>
    <w:p>
      <w:pPr>
        <w:spacing w:after="0" w:line="188"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During 2017, the Company issued an aggregate of 8,085 nonrefundable shares (120,000 nonrefundable shares before the Reverse Split) of Common Stock to a consultant as part of investor relations services. The Company recorded expenses of approximately $225 with respect to the issuance of these shares included in general and administrative expenses</w:t>
      </w:r>
    </w:p>
    <w:p>
      <w:pPr>
        <w:spacing w:after="0" w:line="181"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On May 24, 2018 the Company issued an aggregate of 6,738 nonrefundable shares (100,000 nonrefundable shares before the Reverse Split) of Common Stock to CardioSert as part of certain patent acquisition. The Company recorded expenses of approximately $74 with respect to the issuance of these shares included in research and development expenses.</w:t>
      </w:r>
    </w:p>
    <w:p>
      <w:pPr>
        <w:spacing w:after="0" w:line="18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b w:val="1"/>
          <w:bCs w:val="1"/>
          <w:color w:val="auto"/>
        </w:rPr>
        <w:t>Securities Exchange Agreement with Alpha Capital</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On December 16, 2016, the Company entered into a Securities Exchange Agreement with Alpha Capital, pursuant to which Alpha Capital exchanged 655,967 shares (9,736,000 shares before the Reverse Split) of common stock or rights to acquire shares of the common stock held by it, for 9,736 shares of a newly designated class of Series A Convertible Preferred Stock, par value $0.01 per share (the “Preferred Stock”). The common stock and common stock underlying the rights to acquire common stock include all of the shares of common stock issued or issuable to Alpha Capital pursuant to the Merger. The 655,967 shares (9,735,925 shares before the Reverse Split) of common stock and the rights to acquire common stock were cancelled and the Company’s issued and outstanding shares of Common Stock were reduced to 1,786,684 (26,518,315 before the Reverse Split).</w:t>
      </w:r>
    </w:p>
    <w:p>
      <w:pPr>
        <w:spacing w:after="0" w:line="18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On May 9, 2017, the Company entered into a Securities Exchange Agreement with Alpha Capital pursuant to which the Company agreed to issue 3,254 shares of the Series A Convertible Preferred Stock, in exchange for the full satisfaction, termination and cancellation of the outstanding 6% convertible promissory note of the Company in the principal amount of approximately $2,029 issued on November 28, 2016 and held by Alpha Capital. The Series A Convertible Preferred Stock is the same series of securities as the Company’s existing Series A Convertible Preferred Stock issued in December 2016. As a result of the extinguishment of the convertible note and issuance of the preferred shares, the Company recorded a financial loss in the amount of $2,360</w:t>
      </w:r>
      <w:r>
        <w:rPr>
          <w:rFonts w:ascii="Arial" w:cs="Arial" w:eastAsia="Arial" w:hAnsi="Arial"/>
          <w:sz w:val="18"/>
          <w:szCs w:val="18"/>
          <w:b w:val="1"/>
          <w:bCs w:val="1"/>
          <w:color w:val="auto"/>
        </w:rPr>
        <w:t>.</w:t>
      </w:r>
    </w:p>
    <w:p>
      <w:pPr>
        <w:spacing w:after="0" w:line="193"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During the year 2017, the holder of the Series A Convertible Preferred Stock converted 8,990 shares of the Series A Convertible Preferred Stock for 605,705 shares (8,990,000 shares before the Reverse Split) of Common Stock, pursuant to the terms of conversion of the Series A Convertible Preferred Stock.</w:t>
      </w:r>
    </w:p>
    <w:p>
      <w:pPr>
        <w:spacing w:after="0" w:line="181"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For the nine-month ended September 30, 2018, the holder of the Series A Convertible Preferred Stock converted 3,451 shares of the Series A Convertible Preferred Stock for 232,151 shares (3,445,266 shares before the Reverse Split) of Common Stock, pursuant to the terms of conversion of the Series A Convertible Preferred Stock.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Repurchase of Shares</w:t>
      </w:r>
    </w:p>
    <w:p>
      <w:pPr>
        <w:spacing w:after="0" w:line="229"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The Company intends to enter into a definitive agreement with up to three Israeli shareholders, one of which is a director of the Company, that were former shareholders of Microbot Israel, pursuant to which the Company would repurchase, at a discount on the fair value of the share at the date of repurchase, up to $500 of Common Stock held by them, in the aggregate, if and to the extent such shareholders are unable to sell enough of their shares to cover certain of their Israeli tax liabilities resulting from the Merger. Such repurchase(s), if any, would occur only after the two-year anniversary of the Merger. The transaction is subject to negotiating final terms and entering into definitive agreements with such shareholders.</w:t>
      </w:r>
    </w:p>
    <w:p>
      <w:pPr>
        <w:spacing w:after="0" w:line="15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Company evaluated whether an embedded derivative that requires bifurcation exists within such shares that may be subject to repurchase. The Company concluded the fair value of such derivative instrument would be nominal and, in any case, would represent an asset to the Company as (a) the settlement requires acquiring the shares at a discount on the fair market value of the share at the time of repurchase and in no circumstances the acquisition price will be higher than approximately one dollar per share (representing 25% discount on the fair market value of the share at the merger closing date) and (b) it is assumed that the selling shareholders would use such right as last resort as such repurchase at a discount on the fair market value of such shares results in a loss to be incurred by the selling shareholders.</w:t>
      </w:r>
    </w:p>
    <w:p>
      <w:pPr>
        <w:spacing w:after="0" w:line="178"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accordance with ASC 480-10-S99-3A (formerly EITF D-98), the Company classified the maximum amount it may be required to pay in the event the repurchase right is exercised ($500) as temporary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BASIC AND DILUTED NET LOSS PER SHARE</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basic and diluted net loss per share and weighted average number of common shares used in the calculation of basic and diluted net loss per share are as follows (in thousands, except share and per share data):</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6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80" w:type="dxa"/>
            <w:vAlign w:val="bottom"/>
            <w:gridSpan w:val="5"/>
          </w:tcPr>
          <w:p>
            <w:pPr>
              <w:ind w:left="34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2680" w:type="dxa"/>
            <w:vAlign w:val="bottom"/>
            <w:tcBorders>
              <w:bottom w:val="single" w:sz="8" w:color="CCEEFF"/>
            </w:tcBorders>
          </w:tcPr>
          <w:p>
            <w:pPr>
              <w:spacing w:after="0"/>
              <w:rPr>
                <w:sz w:val="20"/>
                <w:szCs w:val="20"/>
                <w:color w:val="auto"/>
              </w:rPr>
            </w:pPr>
          </w:p>
        </w:tc>
        <w:tc>
          <w:tcPr>
            <w:tcW w:w="18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shareholders of the Company</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(5,111)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loss attributable to shareholders of preferred shares</w:t>
            </w:r>
          </w:p>
        </w:tc>
        <w:tc>
          <w:tcPr>
            <w:tcW w:w="4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(226)</w:t>
            </w:r>
          </w:p>
        </w:tc>
        <w:tc>
          <w:tcPr>
            <w:tcW w:w="2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(1,442)</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Net loss used in the calculation of basic net loss per share</w:t>
            </w:r>
          </w:p>
        </w:tc>
        <w:tc>
          <w:tcPr>
            <w:tcW w:w="4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(4,885)</w:t>
            </w:r>
          </w:p>
        </w:tc>
        <w:tc>
          <w:tcPr>
            <w:tcW w:w="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(4,560)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w:t>
            </w:r>
          </w:p>
        </w:tc>
        <w:tc>
          <w:tcPr>
            <w:tcW w:w="40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tcBorders>
              <w:bottom w:val="single" w:sz="8" w:color="CCEEFF"/>
            </w:tcBorders>
            <w:gridSpan w:val="2"/>
            <w:vMerge w:val="continue"/>
          </w:tcPr>
          <w:p>
            <w:pPr>
              <w:spacing w:after="0"/>
              <w:rPr>
                <w:sz w:val="20"/>
                <w:szCs w:val="20"/>
                <w:color w:val="auto"/>
              </w:rPr>
            </w:pPr>
          </w:p>
        </w:tc>
        <w:tc>
          <w:tcPr>
            <w:tcW w:w="4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(1.69)</w:t>
            </w:r>
          </w:p>
        </w:tc>
        <w:tc>
          <w:tcPr>
            <w:tcW w:w="2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(2.25)</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54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common shares</w:t>
            </w:r>
          </w:p>
        </w:tc>
        <w:tc>
          <w:tcPr>
            <w:tcW w:w="4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2,876,020</w:t>
            </w: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2,061,331</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80" w:type="dxa"/>
            <w:vAlign w:val="bottom"/>
            <w:tcBorders>
              <w:bottom w:val="single" w:sz="8" w:color="auto"/>
            </w:tcBorders>
          </w:tcPr>
          <w:p>
            <w:pPr>
              <w:spacing w:after="0"/>
              <w:rPr>
                <w:sz w:val="17"/>
                <w:szCs w:val="17"/>
                <w:color w:val="auto"/>
              </w:rPr>
            </w:pPr>
          </w:p>
        </w:tc>
        <w:tc>
          <w:tcPr>
            <w:tcW w:w="1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September 30, 2017 shares data represents the number of shares adjusted to retroactively reflect the 1:15 Reverse Split effected on September 4, 2018.</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As the inclusion of common share equivalents in the calculation would be anti-dilutive for all periods presented, diluted net loss per share is the same as basic net loss per share.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2730500</wp:posOffset>
            </wp:positionH>
            <wp:positionV relativeFrom="page">
              <wp:posOffset>448945</wp:posOffset>
            </wp:positionV>
            <wp:extent cx="2315210" cy="8750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231521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996,016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Up to 996,016 Pre-Funded Warrants to Purchase Shares of Common Stock and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996,016 Shares of Common Stock Underlying the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161925</wp:posOffset>
            </wp:positionV>
            <wp:extent cx="144907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154940</wp:posOffset>
            </wp:positionV>
            <wp:extent cx="144907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Sole Book-Running Manager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H.C. Wainwright &amp;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paid or payable by Microbot Medical Inc. (the “Company” or the “Registrant”) in connection with the sale of the securities being registered under this registration statement. All amounts shown are estimates except for the Securities and Exchange Commission, or SEC, registration fee and the FINRA filing fee.</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r>
      <w:tr>
        <w:trPr>
          <w:trHeight w:val="216"/>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1,393.80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FINRA filing fee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2,225.00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Miscellaneous expenses</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131,381.20</w:t>
            </w:r>
          </w:p>
        </w:tc>
        <w:tc>
          <w:tcPr>
            <w:tcW w:w="80" w:type="dxa"/>
            <w:vAlign w:val="bottom"/>
            <w:tcBorders>
              <w:bottom w:val="single" w:sz="8" w:color="CCEE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290,000</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5" w:name="page86"/>
    <w:bookmarkEnd w:id="85"/>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 will agree to indemnify, under certain conditions, us, our directors, our officers and persons who control us within the meaning of the Securities Act of 1933, as amended, against certain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Set forth below is information regarding securities issued and options granted by the Company within the past three years that were not registered under the Securities Act of 1933, as amended, and the rules promulgated thereunder (the “Securities Act”). Also included is the consideration, if any, received by the Registrant, for such securities and options and information relating to the Securities Act, or rule of the SEC, under which exemption from registration was claimed. Except with respect to issuances subsequent to September 4, 2018, the below descriptions of such issuances, including any conversion ratios, do not reflect the Company’s September 4, 2018 1-for-15 reverse stock split.</w:t>
      </w:r>
    </w:p>
    <w:p>
      <w:pPr>
        <w:spacing w:after="0" w:line="18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connection with a registered direct offering consummated on January 15, 2019, we issued warrants to the placement agent to purchase 22,767 shares of common stock at $8.125 per share. In connection with a registered direct offering consummated on January 17. 2019, we issued warrants to the placement agent to purchase 29,500 shares of common stock at $12.50 per share. In connection with a registered direct offering and concurrent private placement consummated on January 25, 2019, we issued (i) warrants to investors in the offering to purchase up to 250,000 shares of common stock at $10.00 per share and (ii) warrants to the placement agent to purchase 12,500 shares of common stock at $12.50 per share. The offer and issuance of the securities described in each of the foregoing registered direct offerings were deemed to be exempt from registration under the Securities Act in reliance on Section 4(a)(2) of the Securities Act (or Regulation D promulgated thereunder) as issuances of securities to accredited investors not involving a public offering. The recipients of the securities in each of these transaction acquired the securities for investment only and not with a view to or for sale in connection with any distribution thereof and appropriate legends were affixed to the securities issued in these transactions. Each of the recipients of securities in these transactions was either an accredited investor within the meaning of Rule 501 of Regulation D under the Securities Act or had adequate access, through business or other relationships with us to information about us.</w:t>
      </w:r>
    </w:p>
    <w:p>
      <w:pPr>
        <w:spacing w:after="0" w:line="1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November 26, 2018, the holder of the Series A Convertible Preferred Stock, par value $0.01 per share (the “Preferred Stock”), of the Company, converted an aggregate of 550 shares of the Preferred Stock for an aggregate of 36,667 shares of the Company’s common stock. Pursuant to the terms of conversion of the Preferred Stock, each such share is convertible, upon request and for no additional consideration, into 66.667 shares of the common stock of the Company. The issuances of the 36,667 shares of common stock were exempt from registration under Section 4(a)(2) under the Securities Act of 1933, as amended and the rules promulgated thereunder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 All shares of Preferred Stock that had been issued have now been converted into shares of the Company’s common stock. Accordingly, there are currently no shares of Preferred Stock issued or outstanding.</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24, 2018, the holder of the Series A Convertible Preferred Stock, par value $0.01 per share, of the Company, converted 450 shares of the Preferred Stock for 30,000 shares of the Company’s common stock. Pursuant to the terms of conversion of the Preferred Stock, each such share is convertible, upon request and for no additional consideration, into 66.667 shares of the common stock of the Company. The issuances of the 30,000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9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May 31, 2018, the holder of the Preferred Stock converted 700 shares of the Preferred Stock for 700,000 shares of the Company’s common stock. Pursuant to the terms of conversion of the Preferred Stock, each such share is convertible, upon request and for no additional consideration, into 1,000 shares of the common stock of the Company. The issuances of the 700,000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5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May 24, 2018, the Company issued 100,000 shares of common stock to CardioSert Ltd. as partial consideration for the acquisition of certain intellectual property assets from CardioSert. The issuance was exempt from registration under Section 4(a)(2) under the Securities Act as a transaction not involving a public offering to a single stockholder as part of a negotiated transaction.</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7, 2018, the holder of the Preferred Stock converted an aggregate of 500 shares of the Preferred Stock for an aggregate of 500,000 shares of the Company’s common stock. Pursuant to the terms of conversion of the Preferred Stock, each such share is convertible, upon request and for no additional consideration, into 1,000 shares of the common stock of the Registrant. The issuances of the 500,000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11, 2018, the holder of the Preferred Stock converted 800 shares of the Preferred Stock for 800,000 shares of the Company’s common stock, pursuant to the terms of conversion of the Preferred Stock. The issuance of the 800,000 shares of common stock was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From November 22, 2017 through January 25, 2018, the holder of the Preferred Stock converted an aggregate of 2,436 shares of the Preferred Stock for an aggregate of 2,436,000 shares of the Registrant’s common stock. Pursuant to the terms of conversion of the Preferred Stock, each such share is convertible, upon request and for no additional consideration, into 1,000 shares of the common stock of the Registrant. The issuances of the 2,436,000 shares of common stock were exempt from registration under Section 4(a)(2) under the Securities Act as transactions not involving a public offering to a single existing</w:t>
      </w:r>
    </w:p>
    <w:p>
      <w:pPr>
        <w:sectPr>
          <w:pgSz w:w="11900" w:h="16945" w:orient="portrait"/>
          <w:cols w:equalWidth="0" w:num="1">
            <w:col w:w="11420"/>
          </w:cols>
          <w:pgMar w:left="240" w:top="692" w:right="239" w:bottom="0" w:gutter="0" w:footer="0" w:header="0"/>
        </w:sectPr>
      </w:pPr>
    </w:p>
    <w:bookmarkStart w:id="86" w:name="page87"/>
    <w:bookmarkEnd w:id="86"/>
    <w:p>
      <w:pPr>
        <w:jc w:val="both"/>
        <w:spacing w:after="0" w:line="277" w:lineRule="auto"/>
        <w:rPr>
          <w:sz w:val="20"/>
          <w:szCs w:val="20"/>
          <w:color w:val="auto"/>
        </w:rPr>
      </w:pPr>
      <w:r>
        <w:rPr>
          <w:rFonts w:ascii="Arial" w:cs="Arial" w:eastAsia="Arial" w:hAnsi="Arial"/>
          <w:sz w:val="18"/>
          <w:szCs w:val="18"/>
          <w:color w:val="auto"/>
        </w:rPr>
        <w:t>stockholder who is an accredited investor, and/or 3(a)(9) under the Securities Act as the Preferred Stock was exchanged for common stock by an existing security holder and no commission or other remuneration was paid.</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December 11, 2017, the Registrant issued an aggregate of 70,000 shares of the Registrant’s common stock to a consultant as consideration for services. The issuance of the shares was exempt from registration under Section 4(a)(2) under the Securities Act as a transaction not involving a public offering, as the issuance thereof was made to a limited number of persons or entities as compensation for services rendered.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jc w:val="both"/>
        <w:ind w:firstLine="324"/>
        <w:spacing w:after="0" w:line="273" w:lineRule="auto"/>
        <w:rPr>
          <w:sz w:val="20"/>
          <w:szCs w:val="20"/>
          <w:color w:val="auto"/>
        </w:rPr>
      </w:pPr>
      <w:r>
        <w:rPr>
          <w:rFonts w:ascii="Arial" w:cs="Arial" w:eastAsia="Arial" w:hAnsi="Arial"/>
          <w:sz w:val="17"/>
          <w:szCs w:val="17"/>
          <w:color w:val="auto"/>
        </w:rPr>
        <w:t>From October 4, 2017 through October 25, 2017, the holder of the Preferred Stock converted an aggregate of 1,600 shares of the Preferred Stock for an aggregate of 1,600,000 shares of the Company’s common stock. Pursuant to the terms of conversion of the Preferred Stock, each such share is convertible, upon request and for no additional consideration, into 1,000 shares of the common stock of the Registrant. The issuances of the 1,600,000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From August 7, 2017 through September 19, 2017, the holder of the Preferred Stock converted an aggregate of 2,200 shares of the Preferred Stock for an aggregate of 2,200,000 shares of the Registrant’s common stock. Pursuant to the terms of conversion of the Preferred Stock, each such share is convertible, upon request and for no additional consideration, into 1,000 shares of the common stock of the Registrant. The issuances of the 2,200,000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Between June 19, 2017 and August 7, 2017, the holder of the Preferred Stock converted an aggregate of 2,029 shares of the Preferred Stock for an aggregate of 2,029,000 shares of the Company’s common stock. Pursuant to the terms of conversion of the Preferred Stock, each such share is convertible, upon request and for no additional consideration, into 1,000 shares of the common stock of the Company. The issuances of the 2,029,000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Between May 18, 2017 and June 12, 2017, the holder of the Preferred Stock converted an aggregate of 1,525 shares of the Preferred Stock for an aggregate of 1,525,000 shares of the Company’s common stock. Pursuant to the terms of conversion of the Preferred Stock, each such share is convertible, upon request and for no additional consideration, into 1,000 shares of the common stock of the Company. The issuances of the 1,525,000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9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May 26, 2017, the Company issued an aggregate of 50,000 shares of common stock to a consultant. The issuance of the shares was exempt from registration under Section 4(a)(2) under the Securities Act as a transaction not involving a public offering, as the issuance thereof was made to a limited number of persons or entities as compensation for services rendered.</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10, 2017, the Company entered into a Securities Exchange Agreement (the “Exchange Agreement”) with Alpha Capital Anstalt (“Alpha Capital”), pursuant to which the Company agreed to issue 3,255 shares of Series A Convertible Preferred Stock, par value $0.01 per share (the “Preferred Stock”), in exchange for the full satisfaction, termination and cancellation of that outstanding 6% convertible promissory note of the Company in the principal amount of $2,028,767, issued on November 28, 2016 and held by Alpha Capital (the “Convertible Note”). Effective as of May 10, 2017, the Company issued 3,255 shares of Preferred Stock to Alpha Capital pursuant to the Exchange Agreement. The issuance of the 3,255 shares of Preferred Stock was exempt from registration under Section 4(a)(2) and/or 3(a)(9) under the Securities Act.</w:t>
      </w:r>
    </w:p>
    <w:p>
      <w:pPr>
        <w:spacing w:after="0" w:line="19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March 2017, an institutional holder exercised, in a cashless transaction, 768 warrants and 359 shares of common stock were issued in connection therewith. The issuance of the 359 share of common stock was exempt from registration under Section 4(a)(2) and/or 3(a)(9) under the Securities Act.</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Effective as of December 27, 2016, the Company closed on the exchange (the “Exchange”) of approximately 9,735,925 shares or rights to acquire shares of its common stock held by Alpha Capital Anstalt, for 9,736 shares of Preferred Stock. The issuance of the 9,736 shares of Preferred Stock was exempt from registration under Section 4(a)(2) and/or 3(a)(9) under the Securities Act.</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issued 26,644,979 shares of common stock to the existing shareholders of Microbot Israel Ltd. (“Microbot Israel”) and assumed options to purchase an aggregate of 2,614,916 shares of common stock of the existing optionholders of Microbot Israel. Additionally, the Company issued an aggregate of 7,802,639 restricted shares of its common stock or rights to receive common stock to certain advisors. Such sales were exempt from registration under Section 4(a)(2) and Regulation D under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Exhibit Index immediately preceding the signature page to this registration statement, which is incorporated by reference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8" w:name="page89"/>
    <w:bookmarkEnd w:id="88"/>
    <w:p>
      <w:pPr>
        <w:ind w:left="34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225" w:lineRule="exact"/>
        <w:rPr>
          <w:sz w:val="20"/>
          <w:szCs w:val="20"/>
          <w:color w:val="auto"/>
        </w:rPr>
      </w:pPr>
    </w:p>
    <w:p>
      <w:pPr>
        <w:jc w:val="both"/>
        <w:ind w:right="20" w:firstLine="363"/>
        <w:spacing w:after="0" w:line="277"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investor.</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9"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 in the initial distribution of the securities, the undersigned Registrant undertakes that in a primary offering of securities of the undersigned Registrant pursuant to this registration statement, regardless of the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4"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(§230.424 of this chapter);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each filing of the registrant’s annual report pursuant to section 13(a) or section 15(d) of the Securities Exchange Act of 1934, as amended, or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2"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0" w:gutter="0" w:footer="0" w:header="0"/>
        </w:sectPr>
      </w:pPr>
    </w:p>
    <w:bookmarkStart w:id="89" w:name="page90"/>
    <w:bookmarkEnd w:id="89"/>
    <w:p>
      <w:pPr>
        <w:jc w:val="center"/>
        <w:ind w:right="14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5715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60"/>
        <w:spacing w:after="0"/>
        <w:tabs>
          <w:tab w:leader="none" w:pos="8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0000EE"/>
        </w:rPr>
        <w:t>Form of Underwriting Agreement.</w:t>
      </w:r>
    </w:p>
    <w:p>
      <w:pPr>
        <w:spacing w:after="0" w:line="225" w:lineRule="exact"/>
        <w:rPr>
          <w:sz w:val="20"/>
          <w:szCs w:val="20"/>
          <w:color w:val="auto"/>
        </w:rPr>
      </w:pPr>
    </w:p>
    <w:p>
      <w:pPr>
        <w:ind w:left="90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128">
        <w:r>
          <w:rPr>
            <w:rFonts w:ascii="Arial" w:cs="Arial" w:eastAsia="Arial" w:hAnsi="Arial"/>
            <w:sz w:val="18"/>
            <w:szCs w:val="18"/>
            <w:u w:val="single" w:color="auto"/>
            <w:color w:val="0000EE"/>
          </w:rPr>
          <w:t>Agreement and Plan of Merger and Reorganization, dated as of August 15, 2016, by and among StemCells, Inc., C&amp;RD Israel Ltd. and</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Microbot Medical Ltd. (incorporated by reference to the Company’s Current Report on Form 8-K filed on August 15, 2016).</w:t>
        </w:r>
      </w:hyperlink>
    </w:p>
    <w:p>
      <w:pPr>
        <w:spacing w:after="0" w:line="170" w:lineRule="exact"/>
        <w:rPr>
          <w:sz w:val="20"/>
          <w:szCs w:val="20"/>
          <w:color w:val="auto"/>
        </w:rPr>
      </w:pPr>
    </w:p>
    <w:p>
      <w:pPr>
        <w:ind w:left="90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129">
        <w:r>
          <w:rPr>
            <w:rFonts w:ascii="Arial" w:cs="Arial" w:eastAsia="Arial" w:hAnsi="Arial"/>
            <w:sz w:val="18"/>
            <w:szCs w:val="18"/>
            <w:u w:val="single" w:color="auto"/>
            <w:color w:val="0000EE"/>
          </w:rPr>
          <w:t>Restated Certificate of Incorporation of the Company (incorporated by reference to the Company’s Annual Report on Form 10-K for the fiscal</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year ended December 31, 2006 and filed on March 15, 2007).</w:t>
        </w:r>
      </w:hyperlink>
    </w:p>
    <w:p>
      <w:pPr>
        <w:spacing w:after="0" w:line="170" w:lineRule="exact"/>
        <w:rPr>
          <w:sz w:val="20"/>
          <w:szCs w:val="20"/>
          <w:color w:val="auto"/>
        </w:rPr>
      </w:pPr>
    </w:p>
    <w:p>
      <w:pPr>
        <w:ind w:left="90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130">
        <w:r>
          <w:rPr>
            <w:rFonts w:ascii="Arial" w:cs="Arial" w:eastAsia="Arial" w:hAnsi="Arial"/>
            <w:sz w:val="18"/>
            <w:szCs w:val="18"/>
            <w:u w:val="single" w:color="auto"/>
            <w:color w:val="0000EE"/>
          </w:rPr>
          <w:t>Certificate of Amendment to the Restated Certificate of Incorporation of the Company (incorporated by reference to the Company’s Current</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Report on Form 8-K filed on November 29, 2016).</w:t>
        </w:r>
      </w:hyperlink>
    </w:p>
    <w:p>
      <w:pPr>
        <w:spacing w:after="0" w:line="170" w:lineRule="exact"/>
        <w:rPr>
          <w:sz w:val="20"/>
          <w:szCs w:val="20"/>
          <w:color w:val="auto"/>
        </w:rPr>
      </w:pPr>
    </w:p>
    <w:p>
      <w:pPr>
        <w:ind w:left="90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131">
        <w:r>
          <w:rPr>
            <w:rFonts w:ascii="Arial" w:cs="Arial" w:eastAsia="Arial" w:hAnsi="Arial"/>
            <w:sz w:val="18"/>
            <w:szCs w:val="18"/>
            <w:u w:val="single" w:color="auto"/>
            <w:color w:val="0000EE"/>
          </w:rPr>
          <w:t>Certificate of Amendment to the Restated Certificate of Incorporation (incorporated by reference to the Company’s Current Report on Form 8-</w:t>
        </w:r>
      </w:hyperlink>
      <w:hyperlink r:id="rId131">
        <w:r>
          <w:rPr>
            <w:rFonts w:ascii="Arial" w:cs="Arial" w:eastAsia="Arial" w:hAnsi="Arial"/>
            <w:sz w:val="18"/>
            <w:szCs w:val="18"/>
            <w:u w:val="single" w:color="auto"/>
            <w:color w:val="0000EE"/>
          </w:rPr>
          <w:t>K filed on September 4, 2018).</w:t>
        </w:r>
      </w:hyperlink>
    </w:p>
    <w:p>
      <w:pPr>
        <w:spacing w:after="0" w:line="170" w:lineRule="exact"/>
        <w:rPr>
          <w:sz w:val="20"/>
          <w:szCs w:val="20"/>
          <w:color w:val="auto"/>
        </w:rPr>
      </w:pPr>
    </w:p>
    <w:p>
      <w:pPr>
        <w:ind w:left="900" w:right="2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132">
        <w:r>
          <w:rPr>
            <w:rFonts w:ascii="Arial" w:cs="Arial" w:eastAsia="Arial" w:hAnsi="Arial"/>
            <w:sz w:val="18"/>
            <w:szCs w:val="18"/>
            <w:u w:val="single" w:color="auto"/>
            <w:color w:val="0000EE"/>
          </w:rPr>
          <w:t xml:space="preserve">Certificate of Designations of Preferences, Rights and Limitations of the Series A Convertible Preferred Stock </w:t>
        </w:r>
        <w:r>
          <w:rPr>
            <w:rFonts w:ascii="Arial" w:cs="Arial" w:eastAsia="Arial" w:hAnsi="Arial"/>
            <w:sz w:val="18"/>
            <w:szCs w:val="18"/>
            <w:u w:val="single" w:color="auto"/>
            <w:color w:val="0000EE"/>
            <w:highlight w:val="white"/>
          </w:rPr>
          <w:t>(incorporated by reference to the</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Registrant’s Current Report on Form 8-K filed on December 16, 2016).</w:t>
        </w:r>
      </w:hyperlink>
    </w:p>
    <w:p>
      <w:pPr>
        <w:spacing w:after="0" w:line="170" w:lineRule="exact"/>
        <w:rPr>
          <w:sz w:val="20"/>
          <w:szCs w:val="20"/>
          <w:color w:val="auto"/>
        </w:rPr>
      </w:pPr>
    </w:p>
    <w:p>
      <w:pPr>
        <w:ind w:left="90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3.5</w:t>
      </w:r>
      <w:r>
        <w:rPr>
          <w:sz w:val="20"/>
          <w:szCs w:val="20"/>
          <w:color w:val="auto"/>
        </w:rPr>
        <w:tab/>
      </w:r>
      <w:hyperlink r:id="rId133">
        <w:r>
          <w:rPr>
            <w:rFonts w:ascii="Arial" w:cs="Arial" w:eastAsia="Arial" w:hAnsi="Arial"/>
            <w:sz w:val="18"/>
            <w:szCs w:val="18"/>
            <w:u w:val="single" w:color="auto"/>
            <w:color w:val="0000EE"/>
          </w:rPr>
          <w:t>Certificate of Designation of Preferences, Rights and Limitations of the Series A Convertible Preferred Stock (incorporated by reference to the</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Registrant’s Current Report on Form 8-K filed on May 11, 2017).</w:t>
        </w:r>
      </w:hyperlink>
    </w:p>
    <w:p>
      <w:pPr>
        <w:spacing w:after="0" w:line="170" w:lineRule="exact"/>
        <w:rPr>
          <w:sz w:val="20"/>
          <w:szCs w:val="20"/>
          <w:color w:val="auto"/>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3.6</w:t>
      </w:r>
      <w:r>
        <w:rPr>
          <w:sz w:val="20"/>
          <w:szCs w:val="20"/>
          <w:color w:val="auto"/>
        </w:rPr>
        <w:tab/>
      </w:r>
      <w:hyperlink r:id="rId134">
        <w:r>
          <w:rPr>
            <w:rFonts w:ascii="Arial" w:cs="Arial" w:eastAsia="Arial" w:hAnsi="Arial"/>
            <w:sz w:val="16"/>
            <w:szCs w:val="16"/>
            <w:u w:val="single" w:color="auto"/>
            <w:color w:val="0000EE"/>
          </w:rPr>
          <w:t>Amended and Restated By-Laws of the Company (incorporated by reference to the Company’s Current Report on Form 8-K filed on May 3,</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2016).</w:t>
        </w:r>
      </w:hyperlink>
    </w:p>
    <w:p>
      <w:pPr>
        <w:spacing w:after="0" w:line="211" w:lineRule="exact"/>
        <w:rPr>
          <w:sz w:val="20"/>
          <w:szCs w:val="20"/>
          <w:color w:val="auto"/>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35">
        <w:r>
          <w:rPr>
            <w:rFonts w:ascii="Arial" w:cs="Arial" w:eastAsia="Arial" w:hAnsi="Arial"/>
            <w:sz w:val="16"/>
            <w:szCs w:val="16"/>
            <w:u w:val="single" w:color="auto"/>
            <w:color w:val="0000EE"/>
          </w:rPr>
          <w:t>Form of Series A Warrant (incorporated by reference to the Registrant’s Current Report on Form 8-K filed on December 16, 2016).</w:t>
        </w:r>
      </w:hyperlink>
    </w:p>
    <w:p>
      <w:pPr>
        <w:spacing w:after="0" w:line="225" w:lineRule="exact"/>
        <w:rPr>
          <w:sz w:val="20"/>
          <w:szCs w:val="20"/>
          <w:color w:val="auto"/>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136">
        <w:r>
          <w:rPr>
            <w:rFonts w:ascii="Arial" w:cs="Arial" w:eastAsia="Arial" w:hAnsi="Arial"/>
            <w:sz w:val="16"/>
            <w:szCs w:val="16"/>
            <w:u w:val="single" w:color="auto"/>
            <w:color w:val="0000EE"/>
          </w:rPr>
          <w:t>Form of Series B Warrant (incorporated by reference to the Company’s Current Report on Form 8-K filed on December 16, 2016).</w:t>
        </w:r>
      </w:hyperlink>
    </w:p>
    <w:p>
      <w:pPr>
        <w:spacing w:after="0" w:line="225" w:lineRule="exact"/>
        <w:rPr>
          <w:sz w:val="20"/>
          <w:szCs w:val="20"/>
          <w:color w:val="auto"/>
        </w:rPr>
      </w:pPr>
    </w:p>
    <w:p>
      <w:pPr>
        <w:ind w:left="160"/>
        <w:spacing w:after="0"/>
        <w:tabs>
          <w:tab w:leader="none" w:pos="8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0000EE"/>
        </w:rPr>
        <w:t>Form of Pre-Funded Warrant.</w:t>
      </w:r>
    </w:p>
    <w:p>
      <w:pPr>
        <w:spacing w:after="0" w:line="225" w:lineRule="exact"/>
        <w:rPr>
          <w:sz w:val="20"/>
          <w:szCs w:val="20"/>
          <w:color w:val="auto"/>
        </w:rPr>
      </w:pPr>
    </w:p>
    <w:p>
      <w:pPr>
        <w:ind w:left="160"/>
        <w:spacing w:after="0"/>
        <w:tabs>
          <w:tab w:leader="none" w:pos="8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0000EE"/>
        </w:rPr>
        <w:t>Form of Underwriter’s Warrant.</w:t>
      </w:r>
    </w:p>
    <w:p>
      <w:pPr>
        <w:spacing w:after="0" w:line="225" w:lineRule="exact"/>
        <w:rPr>
          <w:sz w:val="20"/>
          <w:szCs w:val="20"/>
          <w:color w:val="auto"/>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4.5</w:t>
      </w:r>
      <w:r>
        <w:rPr>
          <w:sz w:val="20"/>
          <w:szCs w:val="20"/>
          <w:color w:val="auto"/>
        </w:rPr>
        <w:tab/>
      </w:r>
      <w:hyperlink r:id="rId137">
        <w:r>
          <w:rPr>
            <w:rFonts w:ascii="Arial" w:cs="Arial" w:eastAsia="Arial" w:hAnsi="Arial"/>
            <w:sz w:val="16"/>
            <w:szCs w:val="16"/>
            <w:u w:val="single" w:color="auto"/>
            <w:color w:val="0000EE"/>
          </w:rPr>
          <w:t>Form of Pre-Funded Warrant (incorporated by reference to the Registrant's Current Report on Form 8-K filed on January 16, 2019)</w:t>
        </w:r>
      </w:hyperlink>
    </w:p>
    <w:p>
      <w:pPr>
        <w:spacing w:after="0" w:line="225" w:lineRule="exact"/>
        <w:rPr>
          <w:sz w:val="20"/>
          <w:szCs w:val="20"/>
          <w:color w:val="auto"/>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4.6</w:t>
      </w:r>
      <w:r>
        <w:rPr>
          <w:sz w:val="20"/>
          <w:szCs w:val="20"/>
          <w:color w:val="auto"/>
        </w:rPr>
        <w:tab/>
      </w:r>
      <w:hyperlink r:id="rId138">
        <w:r>
          <w:rPr>
            <w:rFonts w:ascii="Arial" w:cs="Arial" w:eastAsia="Arial" w:hAnsi="Arial"/>
            <w:sz w:val="16"/>
            <w:szCs w:val="16"/>
            <w:u w:val="single" w:color="auto"/>
            <w:color w:val="0000EE"/>
          </w:rPr>
          <w:t>Form of Wainwright Warrant (incorporated by reference to the Registrant’s Current Report on Form 8-K filed on January 16, 2019)</w:t>
        </w:r>
      </w:hyperlink>
    </w:p>
    <w:p>
      <w:pPr>
        <w:spacing w:after="0" w:line="225" w:lineRule="exact"/>
        <w:rPr>
          <w:sz w:val="20"/>
          <w:szCs w:val="20"/>
          <w:color w:val="auto"/>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4.7</w:t>
      </w:r>
      <w:r>
        <w:rPr>
          <w:sz w:val="20"/>
          <w:szCs w:val="20"/>
          <w:color w:val="auto"/>
        </w:rPr>
        <w:tab/>
      </w:r>
      <w:hyperlink r:id="rId139">
        <w:r>
          <w:rPr>
            <w:rFonts w:ascii="Arial" w:cs="Arial" w:eastAsia="Arial" w:hAnsi="Arial"/>
            <w:sz w:val="16"/>
            <w:szCs w:val="16"/>
            <w:u w:val="single" w:color="auto"/>
            <w:color w:val="0000EE"/>
          </w:rPr>
          <w:t>Form of Wainwright Warrant (incorporated by reference to the Registrant’s Current Report on Form 8-K filed on January 17, 2019).</w:t>
        </w:r>
      </w:hyperlink>
    </w:p>
    <w:p>
      <w:pPr>
        <w:spacing w:after="0" w:line="225" w:lineRule="exact"/>
        <w:rPr>
          <w:sz w:val="20"/>
          <w:szCs w:val="20"/>
          <w:color w:val="auto"/>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4.8</w:t>
      </w:r>
      <w:r>
        <w:rPr>
          <w:sz w:val="20"/>
          <w:szCs w:val="20"/>
          <w:color w:val="auto"/>
        </w:rPr>
        <w:tab/>
      </w:r>
      <w:hyperlink r:id="rId140">
        <w:r>
          <w:rPr>
            <w:rFonts w:ascii="Arial" w:cs="Arial" w:eastAsia="Arial" w:hAnsi="Arial"/>
            <w:sz w:val="16"/>
            <w:szCs w:val="16"/>
            <w:u w:val="single" w:color="auto"/>
            <w:color w:val="0000EE"/>
          </w:rPr>
          <w:t>Form of Warrant (incorporated by reference to the Registrant’s Current Report on Form 8-K filed on January 25, 2019).</w:t>
        </w:r>
      </w:hyperlink>
    </w:p>
    <w:p>
      <w:pPr>
        <w:spacing w:after="0" w:line="225" w:lineRule="exact"/>
        <w:rPr>
          <w:sz w:val="20"/>
          <w:szCs w:val="20"/>
          <w:color w:val="auto"/>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4.9</w:t>
      </w:r>
      <w:r>
        <w:rPr>
          <w:sz w:val="20"/>
          <w:szCs w:val="20"/>
          <w:color w:val="auto"/>
        </w:rPr>
        <w:tab/>
      </w:r>
      <w:hyperlink r:id="rId141">
        <w:r>
          <w:rPr>
            <w:rFonts w:ascii="Arial" w:cs="Arial" w:eastAsia="Arial" w:hAnsi="Arial"/>
            <w:sz w:val="16"/>
            <w:szCs w:val="16"/>
            <w:u w:val="single" w:color="auto"/>
            <w:color w:val="0000EE"/>
          </w:rPr>
          <w:t>Form of Wainwright Warrant (incorporated by reference to the Registrant’s Current Report on Form 8-K filed on January 25, 2019).</w:t>
        </w:r>
      </w:hyperlink>
    </w:p>
    <w:p>
      <w:pPr>
        <w:spacing w:after="0" w:line="225" w:lineRule="exact"/>
        <w:rPr>
          <w:sz w:val="20"/>
          <w:szCs w:val="20"/>
          <w:color w:val="auto"/>
        </w:rPr>
      </w:pPr>
    </w:p>
    <w:p>
      <w:pPr>
        <w:ind w:left="160"/>
        <w:spacing w:after="0"/>
        <w:tabs>
          <w:tab w:leader="none" w:pos="8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EE"/>
        </w:rPr>
        <w:t>Opinion of Mintz, Levin, Cohn, Ferris, Glovsky and Popeo P.C.</w:t>
      </w:r>
    </w:p>
    <w:p>
      <w:pPr>
        <w:spacing w:after="0" w:line="225"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42">
        <w:r>
          <w:rPr>
            <w:rFonts w:ascii="Arial" w:cs="Arial" w:eastAsia="Arial" w:hAnsi="Arial"/>
            <w:sz w:val="18"/>
            <w:szCs w:val="18"/>
            <w:u w:val="single" w:color="auto"/>
            <w:color w:val="0000EE"/>
          </w:rPr>
          <w:t>Letter Agreement between the Company and Alpha Capital Anstalt (incorporated by reference from the Current Report on Form 8-K filed with</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the Securities and Exchange Commission on December 23, 2016).</w:t>
        </w:r>
      </w:hyperlink>
    </w:p>
    <w:p>
      <w:pPr>
        <w:spacing w:after="0" w:line="170"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43">
        <w:r>
          <w:rPr>
            <w:rFonts w:ascii="Arial" w:cs="Arial" w:eastAsia="Arial" w:hAnsi="Arial"/>
            <w:sz w:val="18"/>
            <w:szCs w:val="18"/>
            <w:u w:val="single" w:color="auto"/>
            <w:color w:val="0000EE"/>
          </w:rPr>
          <w:t>Securities Exchange Agreement between the Company and Alpha Capital Anstalt (incorporated by reference to the Company’s Current Report</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on Form 8-K filed on November 29, 2016).</w:t>
        </w:r>
      </w:hyperlink>
    </w:p>
    <w:p>
      <w:pPr>
        <w:spacing w:after="0" w:line="170"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44">
        <w:r>
          <w:rPr>
            <w:rFonts w:ascii="Arial" w:cs="Arial" w:eastAsia="Arial" w:hAnsi="Arial"/>
            <w:sz w:val="18"/>
            <w:szCs w:val="18"/>
            <w:u w:val="single" w:color="auto"/>
            <w:color w:val="0000EE"/>
          </w:rPr>
          <w:t>Convertible Promissory Note in favor of Alpha Capital Anstalt (incorporated by reference to the Company’s Current Report on Form 8-K filed</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on November 29, 2016).</w:t>
        </w:r>
      </w:hyperlink>
    </w:p>
    <w:p>
      <w:pPr>
        <w:spacing w:after="0" w:line="170"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45">
        <w:r>
          <w:rPr>
            <w:rFonts w:ascii="Arial" w:cs="Arial" w:eastAsia="Arial" w:hAnsi="Arial"/>
            <w:sz w:val="18"/>
            <w:szCs w:val="18"/>
            <w:u w:val="single" w:color="auto"/>
            <w:color w:val="0000EE"/>
          </w:rPr>
          <w:t>Form of Indemnification Agreement, between the Company and Each of its Directors and Officers (incorporated by reference to the Company’s</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Current Report on Form 8-K filed on November 29, 2016).</w:t>
        </w:r>
      </w:hyperlink>
    </w:p>
    <w:p>
      <w:pPr>
        <w:spacing w:after="0" w:line="170" w:lineRule="exact"/>
        <w:rPr>
          <w:sz w:val="20"/>
          <w:szCs w:val="20"/>
          <w:color w:val="auto"/>
        </w:rPr>
      </w:pPr>
    </w:p>
    <w:p>
      <w:pPr>
        <w:ind w:left="1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146">
        <w:r>
          <w:rPr>
            <w:rFonts w:ascii="Arial" w:cs="Arial" w:eastAsia="Arial" w:hAnsi="Arial"/>
            <w:sz w:val="16"/>
            <w:szCs w:val="16"/>
            <w:u w:val="single" w:color="auto"/>
            <w:color w:val="0000EE"/>
          </w:rPr>
          <w:t>Employment Agreement with Harel Gadot (incorporated by reference to the Company’s Current Report on Form 8-K filed on November 29,</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EE"/>
        </w:rPr>
      </w:pPr>
      <w:hyperlink r:id="rId146">
        <w:r>
          <w:rPr>
            <w:rFonts w:ascii="Arial" w:cs="Arial" w:eastAsia="Arial" w:hAnsi="Arial"/>
            <w:sz w:val="18"/>
            <w:szCs w:val="18"/>
            <w:u w:val="single" w:color="auto"/>
            <w:color w:val="0000EE"/>
          </w:rPr>
          <w:t>2016).</w:t>
        </w:r>
      </w:hyperlink>
    </w:p>
    <w:p>
      <w:pPr>
        <w:spacing w:after="0" w:line="211"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47">
        <w:r>
          <w:rPr>
            <w:rFonts w:ascii="Arial" w:cs="Arial" w:eastAsia="Arial" w:hAnsi="Arial"/>
            <w:sz w:val="18"/>
            <w:szCs w:val="18"/>
            <w:u w:val="single" w:color="auto"/>
            <w:color w:val="0000EE"/>
          </w:rPr>
          <w:t>Services Agreement with DBN Finance Services Ltd. (incorporated by reference to the Company’s Current Report on Form 8-K filed on</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November 29, 2016).</w:t>
        </w:r>
      </w:hyperlink>
    </w:p>
    <w:p>
      <w:pPr>
        <w:spacing w:after="0" w:line="170"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48">
        <w:r>
          <w:rPr>
            <w:rFonts w:ascii="Arial" w:cs="Arial" w:eastAsia="Arial" w:hAnsi="Arial"/>
            <w:sz w:val="18"/>
            <w:szCs w:val="18"/>
            <w:u w:val="single" w:color="auto"/>
            <w:color w:val="0000EE"/>
          </w:rPr>
          <w:t>Employment Agreement with Yehezkel Himelfarb (incorporated by reference to the Company’s Current Report on Form 8-K filed on</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December 8, 2016).</w:t>
        </w:r>
      </w:hyperlink>
    </w:p>
    <w:p>
      <w:pPr>
        <w:spacing w:after="0" w:line="170"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49">
        <w:r>
          <w:rPr>
            <w:rFonts w:ascii="Arial" w:cs="Arial" w:eastAsia="Arial" w:hAnsi="Arial"/>
            <w:sz w:val="18"/>
            <w:szCs w:val="18"/>
            <w:u w:val="single" w:color="auto"/>
            <w:color w:val="0000EE"/>
          </w:rPr>
          <w:t>Securities Exchange Agreement, dated December 16, 2016, by and between StemCells, Inc. and Alpha Capital Anstalt (incorporated by</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reference to the Company’s Current Report on Form 8-K filed on December 16, 2016).</w:t>
        </w:r>
      </w:hyperlink>
    </w:p>
    <w:p>
      <w:pPr>
        <w:spacing w:after="0" w:line="170" w:lineRule="exact"/>
        <w:rPr>
          <w:sz w:val="20"/>
          <w:szCs w:val="20"/>
          <w:color w:val="auto"/>
        </w:rPr>
      </w:pPr>
    </w:p>
    <w:p>
      <w:pPr>
        <w:ind w:left="900" w:right="2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50">
        <w:r>
          <w:rPr>
            <w:rFonts w:ascii="Arial" w:cs="Arial" w:eastAsia="Arial" w:hAnsi="Arial"/>
            <w:sz w:val="18"/>
            <w:szCs w:val="18"/>
            <w:u w:val="single" w:color="auto"/>
            <w:color w:val="0000EE"/>
          </w:rPr>
          <w:t>Form of Securities Purchase Agreement, dated January 5, 2017 (incorporated by reference to the Company’s Current Report on Form 8-K filed</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on January 5, 2017).</w:t>
        </w:r>
      </w:hyperlink>
    </w:p>
    <w:p>
      <w:pPr>
        <w:sectPr>
          <w:pgSz w:w="11900" w:h="16838" w:orient="portrait"/>
          <w:cols w:equalWidth="0" w:num="1">
            <w:col w:w="11280"/>
          </w:cols>
          <w:pgMar w:left="380" w:top="688" w:right="239" w:bottom="0" w:gutter="0" w:footer="0" w:header="0"/>
        </w:sectPr>
      </w:pPr>
    </w:p>
    <w:bookmarkStart w:id="90" w:name="page91"/>
    <w:bookmarkEnd w:id="90"/>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151">
        <w:r>
          <w:rPr>
            <w:rFonts w:ascii="Arial" w:cs="Arial" w:eastAsia="Arial" w:hAnsi="Arial"/>
            <w:sz w:val="16"/>
            <w:szCs w:val="16"/>
            <w:u w:val="single" w:color="auto"/>
            <w:color w:val="0000EE"/>
          </w:rPr>
          <w:t>Placement Agreement, dated January 4, 2017 (incorporated by reference to the Company’s Current Report on Form 8-K filed on January 5,</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2017).</w:t>
        </w:r>
      </w:hyperlink>
    </w:p>
    <w:p>
      <w:pPr>
        <w:spacing w:after="0" w:line="211" w:lineRule="exact"/>
        <w:rPr>
          <w:sz w:val="20"/>
          <w:szCs w:val="20"/>
          <w:color w:val="auto"/>
        </w:rPr>
      </w:pPr>
    </w:p>
    <w:p>
      <w:pPr>
        <w:jc w:val="both"/>
        <w:ind w:left="780" w:hanging="772"/>
        <w:spacing w:after="0" w:line="26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52">
        <w:r>
          <w:rPr>
            <w:rFonts w:ascii="Arial" w:cs="Arial" w:eastAsia="Arial" w:hAnsi="Arial"/>
            <w:sz w:val="18"/>
            <w:szCs w:val="18"/>
            <w:u w:val="single" w:color="auto"/>
            <w:color w:val="0000EE"/>
          </w:rPr>
          <w:t>Asset Purchase Agreement, dated November 11, 2016, by and among StemCells, Inc., Stem Cell Sciences Holdings Limited, Stemcells</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California, Inc., and Boco Silicon Valley, Inc. (incorporated by reference to the Company’s Annual Report on Form 10-K for the fiscal year</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ended December 31, 2016 and filed on March 21, 2017).</w:t>
        </w:r>
      </w:hyperlink>
    </w:p>
    <w:p>
      <w:pPr>
        <w:spacing w:after="0" w:line="181" w:lineRule="exact"/>
        <w:rPr>
          <w:rFonts w:ascii="Arial" w:cs="Arial" w:eastAsia="Arial" w:hAnsi="Arial"/>
          <w:sz w:val="18"/>
          <w:szCs w:val="18"/>
          <w:u w:val="single" w:color="auto"/>
          <w:color w:val="0000EE"/>
        </w:rPr>
      </w:pPr>
    </w:p>
    <w:p>
      <w:pPr>
        <w:jc w:val="both"/>
        <w:ind w:left="780" w:hanging="776"/>
        <w:spacing w:after="0" w:line="26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53">
        <w:r>
          <w:rPr>
            <w:rFonts w:ascii="Arial" w:cs="Arial" w:eastAsia="Arial" w:hAnsi="Arial"/>
            <w:sz w:val="18"/>
            <w:szCs w:val="18"/>
            <w:u w:val="single" w:color="auto"/>
            <w:color w:val="0000EE"/>
          </w:rPr>
          <w:t>Escrow Agreement, dated as of November 11, 2016, by and among BOCO Silicon Valley, Inc., StemCells, Inc., Continental Stock Transfer &amp;</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Trust Company, Kenneth B. Stratton and Alpha Capital Anstalt (incorporated by reference to the Company’s Annual Report on Form 10-K for</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the fiscal year ended December 31, 2016 and filed on March 21, 2017).</w:t>
        </w:r>
      </w:hyperlink>
    </w:p>
    <w:p>
      <w:pPr>
        <w:spacing w:after="0" w:line="181" w:lineRule="exact"/>
        <w:rPr>
          <w:rFonts w:ascii="Arial" w:cs="Arial" w:eastAsia="Arial" w:hAnsi="Arial"/>
          <w:sz w:val="18"/>
          <w:szCs w:val="18"/>
          <w:u w:val="single" w:color="auto"/>
          <w:color w:val="0000EE"/>
        </w:rPr>
      </w:pPr>
    </w:p>
    <w:p>
      <w:pPr>
        <w:jc w:val="center"/>
        <w:ind w:right="240"/>
        <w:spacing w:after="0"/>
        <w:rPr>
          <w:sz w:val="20"/>
          <w:szCs w:val="20"/>
          <w:color w:val="auto"/>
        </w:rPr>
      </w:pPr>
      <w:r>
        <w:rPr>
          <w:rFonts w:ascii="Arial" w:cs="Arial" w:eastAsia="Arial" w:hAnsi="Arial"/>
          <w:sz w:val="18"/>
          <w:szCs w:val="18"/>
          <w:color w:val="auto"/>
        </w:rPr>
        <w:t>II-5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500" w:top="341"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0380" w:type="dxa"/>
            <w:vAlign w:val="bottom"/>
            <w:gridSpan w:val="22"/>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176"/>
        </w:trPr>
        <w:tc>
          <w:tcPr>
            <w:tcW w:w="9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15"/>
                <w:szCs w:val="15"/>
                <w:color w:val="auto"/>
              </w:rPr>
            </w:pPr>
          </w:p>
        </w:tc>
        <w:tc>
          <w:tcPr>
            <w:tcW w:w="10380" w:type="dxa"/>
            <w:vAlign w:val="bottom"/>
            <w:tcBorders>
              <w:top w:val="single" w:sz="8" w:color="auto"/>
              <w:bottom w:val="single" w:sz="8" w:color="0000EE"/>
            </w:tcBorders>
            <w:gridSpan w:val="22"/>
          </w:tcPr>
          <w:p>
            <w:pPr>
              <w:spacing w:after="0" w:line="17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Contract Research Agreement, dated January 27, 2017, with The Washington University (incorporated by reference to the Company’s Annual</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2"/>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Report on Form 10-K for the fiscal year ended December 31, 2016 and filed on March 21, 2017).</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2"/>
          </w:tcPr>
          <w:p>
            <w:pPr>
              <w:spacing w:after="0"/>
              <w:rPr>
                <w:rFonts w:ascii="Arial" w:cs="Arial" w:eastAsia="Arial" w:hAnsi="Arial"/>
                <w:sz w:val="18"/>
                <w:szCs w:val="18"/>
                <w:color w:val="0000EE"/>
                <w:w w:val="95"/>
              </w:rPr>
            </w:pPr>
            <w:hyperlink r:id="rId156">
              <w:r>
                <w:rPr>
                  <w:rFonts w:ascii="Arial" w:cs="Arial" w:eastAsia="Arial" w:hAnsi="Arial"/>
                  <w:sz w:val="18"/>
                  <w:szCs w:val="18"/>
                  <w:color w:val="0000EE"/>
                  <w:w w:val="95"/>
                </w:rPr>
                <w:t>License Agreement, dated June 20, 2012, by and between Technion Research and Development Foundation, and Microbot Medical Ltd.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(incorporated by reference to the Company’s Annual Report on Form 10-K for the fiscal year ended December 31, 2016 and filed on March 21,</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56">
              <w:r>
                <w:rPr>
                  <w:rFonts w:ascii="Arial" w:cs="Arial" w:eastAsia="Arial" w:hAnsi="Arial"/>
                  <w:sz w:val="18"/>
                  <w:szCs w:val="18"/>
                  <w:color w:val="0000EE"/>
                  <w:w w:val="86"/>
                </w:rPr>
                <w:t>2017).</w:t>
              </w:r>
            </w:hyperlink>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2"/>
          </w:tcPr>
          <w:p>
            <w:pPr>
              <w:spacing w:after="0"/>
              <w:rPr>
                <w:rFonts w:ascii="Arial" w:cs="Arial" w:eastAsia="Arial" w:hAnsi="Arial"/>
                <w:sz w:val="18"/>
                <w:szCs w:val="18"/>
                <w:color w:val="0000EE"/>
                <w:w w:val="91"/>
              </w:rPr>
            </w:pPr>
            <w:hyperlink r:id="rId157">
              <w:r>
                <w:rPr>
                  <w:rFonts w:ascii="Arial" w:cs="Arial" w:eastAsia="Arial" w:hAnsi="Arial"/>
                  <w:sz w:val="18"/>
                  <w:szCs w:val="18"/>
                  <w:color w:val="0000EE"/>
                  <w:w w:val="91"/>
                </w:rPr>
                <w:t>Microbot Medical Inc. 2017 Equity Incentive Plan (incorporated by reference to the Company’s Quarterly Report on Form 10-Q for the Quarter</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2"/>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ended September 30, 2017, filed on November 14, 2017).</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2"/>
          </w:tcPr>
          <w:p>
            <w:pPr>
              <w:spacing w:after="0"/>
              <w:rPr>
                <w:rFonts w:ascii="Arial" w:cs="Arial" w:eastAsia="Arial" w:hAnsi="Arial"/>
                <w:sz w:val="18"/>
                <w:szCs w:val="18"/>
                <w:color w:val="0000EE"/>
                <w:w w:val="92"/>
              </w:rPr>
            </w:pPr>
            <w:hyperlink r:id="rId158">
              <w:r>
                <w:rPr>
                  <w:rFonts w:ascii="Arial" w:cs="Arial" w:eastAsia="Arial" w:hAnsi="Arial"/>
                  <w:sz w:val="18"/>
                  <w:szCs w:val="18"/>
                  <w:color w:val="0000EE"/>
                  <w:w w:val="92"/>
                </w:rPr>
                <w:t>Letter Agreement, by and between the Company and Martin McGlynn, dated January 10, 2016 (incorporated by reference to the Company’s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Quarterly Report on Form 10-Q for the Quarter ended March 31, 2016, filed on May 10, 2016).</w:t>
              </w:r>
            </w:hyperlink>
          </w:p>
        </w:tc>
        <w:tc>
          <w:tcPr>
            <w:tcW w:w="3500" w:type="dxa"/>
            <w:vAlign w:val="bottom"/>
            <w:gridSpan w:val="9"/>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2"/>
          </w:tcPr>
          <w:p>
            <w:pPr>
              <w:spacing w:after="0"/>
              <w:rPr>
                <w:rFonts w:ascii="Arial" w:cs="Arial" w:eastAsia="Arial" w:hAnsi="Arial"/>
                <w:sz w:val="18"/>
                <w:szCs w:val="18"/>
                <w:color w:val="0000EE"/>
                <w:w w:val="90"/>
              </w:rPr>
            </w:pPr>
            <w:hyperlink r:id="rId159">
              <w:r>
                <w:rPr>
                  <w:rFonts w:ascii="Arial" w:cs="Arial" w:eastAsia="Arial" w:hAnsi="Arial"/>
                  <w:sz w:val="18"/>
                  <w:szCs w:val="18"/>
                  <w:color w:val="0000EE"/>
                  <w:w w:val="90"/>
                </w:rPr>
                <w:t>Severance Buy-Out Agreement, Compromise and Release, by and between StemCells, Inc. and Ken Stratton, dated June 6, 2016 (incorporated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59">
              <w:r>
                <w:rPr>
                  <w:rFonts w:ascii="Arial" w:cs="Arial" w:eastAsia="Arial" w:hAnsi="Arial"/>
                  <w:sz w:val="18"/>
                  <w:szCs w:val="18"/>
                  <w:color w:val="0000EE"/>
                  <w:w w:val="90"/>
                </w:rPr>
                <w:t>by reference to the Company’s Quarterly Report on Form 10-Q for the Quarter ended June 30, 2016, filed on August 15, 2016).</w:t>
              </w:r>
            </w:hyperlink>
          </w:p>
        </w:tc>
        <w:tc>
          <w:tcPr>
            <w:tcW w:w="1200" w:type="dxa"/>
            <w:vAlign w:val="bottom"/>
            <w:gridSpan w:val="3"/>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2"/>
          </w:tcPr>
          <w:p>
            <w:pPr>
              <w:spacing w:after="0"/>
              <w:rPr>
                <w:rFonts w:ascii="Arial" w:cs="Arial" w:eastAsia="Arial" w:hAnsi="Arial"/>
                <w:sz w:val="18"/>
                <w:szCs w:val="18"/>
                <w:color w:val="0000EE"/>
                <w:w w:val="95"/>
              </w:rPr>
            </w:pPr>
            <w:hyperlink r:id="rId160">
              <w:r>
                <w:rPr>
                  <w:rFonts w:ascii="Arial" w:cs="Arial" w:eastAsia="Arial" w:hAnsi="Arial"/>
                  <w:sz w:val="18"/>
                  <w:szCs w:val="18"/>
                  <w:color w:val="0000EE"/>
                  <w:w w:val="95"/>
                </w:rPr>
                <w:t>Severance Buy-Out Agreement, Compromise and Release, by and between StemCells, Inc. and Gregory Schiffman, dated June 6, 2016</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(incorporated by reference to the Company’s Quarterly Report on Form 10-Q for the Quarter ended June 30, 2016, filed on August 15, 2016).</w:t>
              </w:r>
            </w:hyperlink>
          </w:p>
        </w:tc>
        <w:tc>
          <w:tcPr>
            <w:tcW w:w="180" w:type="dxa"/>
            <w:vAlign w:val="bottom"/>
            <w:gridSpan w:val="2"/>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2"/>
          </w:tcPr>
          <w:p>
            <w:pPr>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Severance Buy-Out Agreement, Compromise and Release, by and between StemCells, Inc. and Ian Massey, dated June 6, 2016 (incorporated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by reference to the Company’s Quarterly Report on Form 10-Q for the Quarter ended June 30, 2016, filed on August 15, 2016).</w:t>
              </w:r>
            </w:hyperlink>
          </w:p>
        </w:tc>
        <w:tc>
          <w:tcPr>
            <w:tcW w:w="1200" w:type="dxa"/>
            <w:vAlign w:val="bottom"/>
            <w:gridSpan w:val="3"/>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2"/>
          </w:tcPr>
          <w:p>
            <w:pPr>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Cooperation and Consulting Agreement, by and between StemCells, Inc. and Ken Stratton, dated June 6, 2016 (incorporated by reference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2"/>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Company’s Quarterly Report on Form 10-Q for the Quarter ended June 30, 2016, filed on August 15, 2016).</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2"/>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Cooperation and Consulting Agreement, by and between StemCells, Inc. and Gregory Schiffman, dated June 6, 2016 (incorporated by reference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to the Company’s Quarterly Report on Form 10-Q for the Quarter ended June 30, 2016, filed on August 15, 2016).</w:t>
              </w:r>
            </w:hyperlink>
          </w:p>
        </w:tc>
        <w:tc>
          <w:tcPr>
            <w:tcW w:w="2140" w:type="dxa"/>
            <w:vAlign w:val="bottom"/>
            <w:gridSpan w:val="4"/>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2"/>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Cooperation and Consulting Agreement, by and between StemCells, Inc. and Ian Massey, dated June 6, 2016 (incorporated by reference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2"/>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Company’s Quarterly Report on Form 10-Q for the Quarter ended June 30, 2016, filed on August 15, 2016).</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2"/>
          </w:tcPr>
          <w:p>
            <w:pPr>
              <w:spacing w:after="0"/>
              <w:rPr>
                <w:rFonts w:ascii="Arial" w:cs="Arial" w:eastAsia="Arial" w:hAnsi="Arial"/>
                <w:sz w:val="18"/>
                <w:szCs w:val="18"/>
                <w:color w:val="0000EE"/>
                <w:w w:val="93"/>
              </w:rPr>
            </w:pPr>
            <w:hyperlink r:id="rId165">
              <w:r>
                <w:rPr>
                  <w:rFonts w:ascii="Arial" w:cs="Arial" w:eastAsia="Arial" w:hAnsi="Arial"/>
                  <w:sz w:val="18"/>
                  <w:szCs w:val="18"/>
                  <w:color w:val="0000EE"/>
                  <w:w w:val="93"/>
                </w:rPr>
                <w:t>Trust Agreement, by and between StemCells, Inc. and David A. Bradlow, dated June 16, 2016 (incorporated by reference to the Company’s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2"/>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Quarterly Report on Form 10-Q for the Quarter ended June 30, 2016, filed on August 15, 2016).</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2"/>
          </w:tcPr>
          <w:p>
            <w:pPr>
              <w:spacing w:after="0"/>
              <w:rPr>
                <w:rFonts w:ascii="Arial" w:cs="Arial" w:eastAsia="Arial" w:hAnsi="Arial"/>
                <w:sz w:val="18"/>
                <w:szCs w:val="18"/>
                <w:color w:val="0000EE"/>
                <w:w w:val="94"/>
              </w:rPr>
            </w:pPr>
            <w:hyperlink r:id="rId166">
              <w:r>
                <w:rPr>
                  <w:rFonts w:ascii="Arial" w:cs="Arial" w:eastAsia="Arial" w:hAnsi="Arial"/>
                  <w:sz w:val="18"/>
                  <w:szCs w:val="18"/>
                  <w:color w:val="0000EE"/>
                  <w:w w:val="94"/>
                </w:rPr>
                <w:t>Securities Exchange Agreement, dated May 10, 2017, by and between the Company and Capital Anstalt (incorporated by reference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2"/>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Company’s Current Report on Form 8-K filed on January 8, 2018).</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4"/>
                <w:szCs w:val="24"/>
                <w:color w:val="auto"/>
              </w:rPr>
            </w:pPr>
          </w:p>
        </w:tc>
        <w:tc>
          <w:tcPr>
            <w:tcW w:w="10380" w:type="dxa"/>
            <w:vAlign w:val="bottom"/>
            <w:gridSpan w:val="22"/>
          </w:tcPr>
          <w:p>
            <w:pPr>
              <w:spacing w:after="0"/>
              <w:rPr>
                <w:rFonts w:ascii="Arial" w:cs="Arial" w:eastAsia="Arial" w:hAnsi="Arial"/>
                <w:sz w:val="18"/>
                <w:szCs w:val="18"/>
                <w:color w:val="0000EE"/>
                <w:w w:val="93"/>
              </w:rPr>
            </w:pPr>
            <w:hyperlink r:id="rId167">
              <w:r>
                <w:rPr>
                  <w:rFonts w:ascii="Arial" w:cs="Arial" w:eastAsia="Arial" w:hAnsi="Arial"/>
                  <w:sz w:val="18"/>
                  <w:szCs w:val="18"/>
                  <w:color w:val="0000EE"/>
                  <w:w w:val="93"/>
                </w:rPr>
                <w:t>Asset Purchase Agreement, dated July 13, 2016, by and between StemCells, Inc. and Miltenyi Biotec, Inc. (incorporated by reference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Company’s Current Report on Form 8-K filed on August 15, 2016).</w:t>
              </w:r>
            </w:hyperlink>
          </w:p>
        </w:tc>
        <w:tc>
          <w:tcPr>
            <w:tcW w:w="548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2"/>
          </w:tcPr>
          <w:p>
            <w:pPr>
              <w:spacing w:after="0"/>
              <w:rPr>
                <w:rFonts w:ascii="Arial" w:cs="Arial" w:eastAsia="Arial" w:hAnsi="Arial"/>
                <w:sz w:val="18"/>
                <w:szCs w:val="18"/>
                <w:color w:val="0000EE"/>
                <w:w w:val="94"/>
              </w:rPr>
            </w:pPr>
            <w:hyperlink r:id="rId168">
              <w:r>
                <w:rPr>
                  <w:rFonts w:ascii="Arial" w:cs="Arial" w:eastAsia="Arial" w:hAnsi="Arial"/>
                  <w:sz w:val="18"/>
                  <w:szCs w:val="18"/>
                  <w:color w:val="0000EE"/>
                  <w:w w:val="94"/>
                </w:rPr>
                <w:t>Settlement Agreement, dated as of July 29, 2016, by and between BMR-Pacific Research Center LP and StemCells, Inc. (incorporated by</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reference to the Company’s Current Report on Form 8-K filed on August 15, 2016).</w:t>
              </w:r>
            </w:hyperlink>
          </w:p>
        </w:tc>
        <w:tc>
          <w:tcPr>
            <w:tcW w:w="4340" w:type="dxa"/>
            <w:vAlign w:val="bottom"/>
            <w:gridSpan w:val="12"/>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2"/>
          </w:tcPr>
          <w:p>
            <w:pPr>
              <w:spacing w:after="0"/>
              <w:rPr>
                <w:rFonts w:ascii="Arial" w:cs="Arial" w:eastAsia="Arial" w:hAnsi="Arial"/>
                <w:sz w:val="18"/>
                <w:szCs w:val="18"/>
                <w:color w:val="0000EE"/>
                <w:w w:val="93"/>
              </w:rPr>
            </w:pPr>
            <w:hyperlink r:id="rId169">
              <w:r>
                <w:rPr>
                  <w:rFonts w:ascii="Arial" w:cs="Arial" w:eastAsia="Arial" w:hAnsi="Arial"/>
                  <w:sz w:val="18"/>
                  <w:szCs w:val="18"/>
                  <w:color w:val="0000EE"/>
                  <w:w w:val="93"/>
                </w:rPr>
                <w:t>Agreement, dated January 4, 2018, by and between CardioSert Ltd. and Microbot Medical Ltd. (incorporated by reference to the Company’s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Current Report on Form 8-K filed on January 8, 2018).</w:t>
              </w:r>
            </w:hyperlink>
          </w:p>
        </w:tc>
        <w:tc>
          <w:tcPr>
            <w:tcW w:w="6420" w:type="dxa"/>
            <w:vAlign w:val="bottom"/>
            <w:gridSpan w:val="17"/>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9"/>
              </w:rPr>
              <w:t>10.29^</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2"/>
          </w:tcPr>
          <w:p>
            <w:pPr>
              <w:spacing w:after="0"/>
              <w:rPr>
                <w:rFonts w:ascii="Arial" w:cs="Arial" w:eastAsia="Arial" w:hAnsi="Arial"/>
                <w:sz w:val="18"/>
                <w:szCs w:val="18"/>
                <w:color w:val="0000EE"/>
                <w:w w:val="93"/>
              </w:rPr>
            </w:pPr>
            <w:hyperlink r:id="rId170">
              <w:r>
                <w:rPr>
                  <w:rFonts w:ascii="Arial" w:cs="Arial" w:eastAsia="Arial" w:hAnsi="Arial"/>
                  <w:sz w:val="18"/>
                  <w:szCs w:val="18"/>
                  <w:color w:val="0000EE"/>
                  <w:w w:val="93"/>
                </w:rPr>
                <w:t>Tolling and Standstill Agreement, dated as of April 2, 2018, by and among (a) Schulte Roth &amp; Zabel LLP, on behalf of Empery Asset Master,</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r:id="rId170">
              <w:r>
                <w:rPr>
                  <w:rFonts w:ascii="Arial" w:cs="Arial" w:eastAsia="Arial" w:hAnsi="Arial"/>
                  <w:sz w:val="18"/>
                  <w:szCs w:val="18"/>
                  <w:color w:val="0000EE"/>
                  <w:w w:val="95"/>
                </w:rPr>
                <w:t>Ltd., Empery Tax Efficient LP, Empery Tax Efficient II LP, and Hudson Bay Master Fund, Ltd. and (b) Mintz, Levin, Cohn, Ferris, Glovsky</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70">
              <w:r>
                <w:rPr>
                  <w:rFonts w:ascii="Arial" w:cs="Arial" w:eastAsia="Arial" w:hAnsi="Arial"/>
                  <w:sz w:val="18"/>
                  <w:szCs w:val="18"/>
                  <w:color w:val="0000EE"/>
                  <w:w w:val="88"/>
                </w:rPr>
                <w:t>and Popeo, P.C., on behalf of the Company.</w:t>
              </w:r>
            </w:hyperlink>
          </w:p>
        </w:tc>
        <w:tc>
          <w:tcPr>
            <w:tcW w:w="7240" w:type="dxa"/>
            <w:vAlign w:val="bottom"/>
            <w:gridSpan w:val="18"/>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2"/>
          </w:tcPr>
          <w:p>
            <w:pPr>
              <w:spacing w:after="0"/>
              <w:rPr>
                <w:rFonts w:ascii="Arial" w:cs="Arial" w:eastAsia="Arial" w:hAnsi="Arial"/>
                <w:sz w:val="18"/>
                <w:szCs w:val="18"/>
                <w:color w:val="0000EE"/>
                <w:w w:val="93"/>
              </w:rPr>
            </w:pPr>
            <w:hyperlink r:id="rId171">
              <w:r>
                <w:rPr>
                  <w:rFonts w:ascii="Arial" w:cs="Arial" w:eastAsia="Arial" w:hAnsi="Arial"/>
                  <w:sz w:val="18"/>
                  <w:szCs w:val="18"/>
                  <w:color w:val="0000EE"/>
                  <w:w w:val="93"/>
                </w:rPr>
                <w:t>Engagement Letter, dated as of October 12, 2018, by and between Microbot Medical Inc. and H.C. Wainwright &amp; Co., LLC (incorporated by</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reference to the Registrant’s Current Report on Form 8-K filed on January 16, 2019)</w:t>
              </w:r>
            </w:hyperlink>
          </w:p>
        </w:tc>
        <w:tc>
          <w:tcPr>
            <w:tcW w:w="4300" w:type="dxa"/>
            <w:vAlign w:val="bottom"/>
            <w:gridSpan w:val="11"/>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2"/>
          </w:tcPr>
          <w:p>
            <w:pPr>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Form of Securities Purchase Agreement, dated as of January 14, 2019, by and among Microbot Medical Inc., and the Purchaser (incorporated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by reference to the Registrant’s Current Report on Form 8-K filed on January 16, 2019)</w:t>
              </w:r>
            </w:hyperlink>
          </w:p>
        </w:tc>
        <w:tc>
          <w:tcPr>
            <w:tcW w:w="4080" w:type="dxa"/>
            <w:vAlign w:val="bottom"/>
            <w:gridSpan w:val="10"/>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2"/>
          </w:tcPr>
          <w:p>
            <w:pPr>
              <w:spacing w:after="0"/>
              <w:rPr>
                <w:rFonts w:ascii="Arial" w:cs="Arial" w:eastAsia="Arial" w:hAnsi="Arial"/>
                <w:sz w:val="18"/>
                <w:szCs w:val="18"/>
                <w:color w:val="0000EE"/>
                <w:w w:val="91"/>
              </w:rPr>
            </w:pPr>
            <w:hyperlink r:id="rId173">
              <w:r>
                <w:rPr>
                  <w:rFonts w:ascii="Arial" w:cs="Arial" w:eastAsia="Arial" w:hAnsi="Arial"/>
                  <w:sz w:val="18"/>
                  <w:szCs w:val="18"/>
                  <w:color w:val="0000EE"/>
                  <w:w w:val="91"/>
                </w:rPr>
                <w:t>Form of Securities Purchase Agreement, dated as of January 15, 2019, by and among Microbot Medical Inc., and the Purchaser (incorporated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by reference to the Registrant’s Current Report on Form 8-K filed on January 17, 2019)</w:t>
              </w:r>
            </w:hyperlink>
          </w:p>
        </w:tc>
        <w:tc>
          <w:tcPr>
            <w:tcW w:w="4080" w:type="dxa"/>
            <w:vAlign w:val="bottom"/>
            <w:gridSpan w:val="10"/>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2"/>
          </w:tcPr>
          <w:p>
            <w:pP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Form of Securities Purchase Agreement, dated as of January 23, 2019, by and among Microbot Medical Inc., and the Purchaser (incorporated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74">
              <w:r>
                <w:rPr>
                  <w:rFonts w:ascii="Arial" w:cs="Arial" w:eastAsia="Arial" w:hAnsi="Arial"/>
                  <w:sz w:val="18"/>
                  <w:szCs w:val="18"/>
                  <w:color w:val="0000EE"/>
                  <w:w w:val="90"/>
                </w:rPr>
                <w:t>by reference to the Registrant’s Current Report on Form 8-K filed on January 25, 2019)</w:t>
              </w:r>
            </w:hyperlink>
          </w:p>
        </w:tc>
        <w:tc>
          <w:tcPr>
            <w:tcW w:w="4080" w:type="dxa"/>
            <w:vAlign w:val="bottom"/>
            <w:gridSpan w:val="10"/>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2"/>
          </w:tcPr>
          <w:p>
            <w:pPr>
              <w:spacing w:after="0"/>
              <w:rPr>
                <w:rFonts w:ascii="Arial" w:cs="Arial" w:eastAsia="Arial" w:hAnsi="Arial"/>
                <w:sz w:val="18"/>
                <w:szCs w:val="18"/>
                <w:color w:val="0000EE"/>
                <w:w w:val="90"/>
              </w:rPr>
            </w:pPr>
            <w:hyperlink r:id="rId175">
              <w:r>
                <w:rPr>
                  <w:rFonts w:ascii="Arial" w:cs="Arial" w:eastAsia="Arial" w:hAnsi="Arial"/>
                  <w:sz w:val="18"/>
                  <w:szCs w:val="18"/>
                  <w:color w:val="0000EE"/>
                  <w:w w:val="90"/>
                </w:rPr>
                <w:t>Subsidiaries of the Company (incorporated by reference to the Company’s Annual Report on Form 10-K for the fiscal year ended December 31,</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2016 and filed on March 21, 2017).</w:t>
              </w:r>
            </w:hyperlink>
          </w:p>
        </w:tc>
        <w:tc>
          <w:tcPr>
            <w:tcW w:w="7820" w:type="dxa"/>
            <w:vAlign w:val="bottom"/>
            <w:gridSpan w:val="19"/>
          </w:tcPr>
          <w:p>
            <w:pPr>
              <w:spacing w:after="0"/>
              <w:rPr>
                <w:sz w:val="17"/>
                <w:szCs w:val="17"/>
                <w:color w:val="auto"/>
              </w:rPr>
            </w:pPr>
          </w:p>
        </w:tc>
      </w:tr>
      <w:tr>
        <w:trPr>
          <w:trHeight w:val="41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23.1†</w:t>
            </w:r>
          </w:p>
        </w:tc>
        <w:tc>
          <w:tcPr>
            <w:tcW w:w="10380" w:type="dxa"/>
            <w:vAlign w:val="bottom"/>
            <w:gridSpan w:val="22"/>
          </w:tcPr>
          <w:p>
            <w:pPr>
              <w:spacing w:after="0"/>
              <w:rPr>
                <w:sz w:val="20"/>
                <w:szCs w:val="20"/>
                <w:color w:val="auto"/>
              </w:rPr>
            </w:pPr>
            <w:r>
              <w:rPr>
                <w:rFonts w:ascii="Arial" w:cs="Arial" w:eastAsia="Arial" w:hAnsi="Arial"/>
                <w:sz w:val="18"/>
                <w:szCs w:val="18"/>
                <w:color w:val="0000EE"/>
              </w:rPr>
              <w:t>Consent of Mintz, Levin, Cohn, Ferris, Glovsky and Popeo, P.C. Reference is made to Exhibit 5.1.</w:t>
            </w:r>
          </w:p>
        </w:tc>
      </w:tr>
      <w:tr>
        <w:trPr>
          <w:trHeight w:val="41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23.2 †</w:t>
            </w:r>
          </w:p>
        </w:tc>
        <w:tc>
          <w:tcPr>
            <w:tcW w:w="436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0"/>
              </w:rPr>
              <w:t>Consent of Independent Registered Public Accounting Firm.</w:t>
            </w:r>
          </w:p>
        </w:tc>
        <w:tc>
          <w:tcPr>
            <w:tcW w:w="2720" w:type="dxa"/>
            <w:vAlign w:val="bottom"/>
            <w:tcBorders>
              <w:top w:val="single" w:sz="8" w:color="0000EE"/>
            </w:tcBorders>
            <w:gridSpan w:val="9"/>
          </w:tcPr>
          <w:p>
            <w:pPr>
              <w:spacing w:after="0"/>
              <w:rPr>
                <w:sz w:val="24"/>
                <w:szCs w:val="24"/>
                <w:color w:val="auto"/>
              </w:rPr>
            </w:pPr>
          </w:p>
        </w:tc>
        <w:tc>
          <w:tcPr>
            <w:tcW w:w="3300" w:type="dxa"/>
            <w:vAlign w:val="bottom"/>
            <w:gridSpan w:val="6"/>
          </w:tcPr>
          <w:p>
            <w:pPr>
              <w:spacing w:after="0"/>
              <w:rPr>
                <w:sz w:val="24"/>
                <w:szCs w:val="24"/>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120" w:type="dxa"/>
            <w:vAlign w:val="bottom"/>
          </w:tcPr>
          <w:p>
            <w:pPr>
              <w:spacing w:after="0"/>
              <w:rPr>
                <w:sz w:val="24"/>
                <w:szCs w:val="24"/>
                <w:color w:val="auto"/>
              </w:rPr>
            </w:pPr>
          </w:p>
        </w:tc>
        <w:tc>
          <w:tcPr>
            <w:tcW w:w="10380" w:type="dxa"/>
            <w:vAlign w:val="bottom"/>
            <w:gridSpan w:val="22"/>
          </w:tcPr>
          <w:p>
            <w:pPr>
              <w:spacing w:after="0"/>
              <w:rPr>
                <w:rFonts w:ascii="Arial" w:cs="Arial" w:eastAsia="Arial" w:hAnsi="Arial"/>
                <w:sz w:val="18"/>
                <w:szCs w:val="18"/>
                <w:color w:val="0000EE"/>
              </w:rPr>
            </w:pPr>
            <w:hyperlink r:id="rId176">
              <w:r>
                <w:rPr>
                  <w:rFonts w:ascii="Arial" w:cs="Arial" w:eastAsia="Arial" w:hAnsi="Arial"/>
                  <w:sz w:val="18"/>
                  <w:szCs w:val="18"/>
                  <w:color w:val="0000EE"/>
                </w:rPr>
                <w:t>Power of Attorney.</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688" w:right="239" w:bottom="9"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92"/>
              </w:rPr>
              <w:t>101.INS</w:t>
            </w:r>
          </w:p>
        </w:tc>
        <w:tc>
          <w:tcPr>
            <w:tcW w:w="3160" w:type="dxa"/>
            <w:vAlign w:val="bottom"/>
          </w:tcPr>
          <w:p>
            <w:pPr>
              <w:ind w:left="120"/>
              <w:spacing w:after="0"/>
              <w:rPr>
                <w:sz w:val="20"/>
                <w:szCs w:val="20"/>
                <w:color w:val="auto"/>
              </w:rPr>
            </w:pPr>
            <w:r>
              <w:rPr>
                <w:rFonts w:ascii="Arial" w:cs="Arial" w:eastAsia="Arial" w:hAnsi="Arial"/>
                <w:sz w:val="18"/>
                <w:szCs w:val="18"/>
                <w:color w:val="auto"/>
              </w:rPr>
              <w:t>XBRL Instance.</w:t>
            </w:r>
          </w:p>
        </w:tc>
      </w:tr>
      <w:tr>
        <w:trPr>
          <w:trHeight w:val="432"/>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93"/>
              </w:rPr>
              <w:t>101.SCH</w:t>
            </w:r>
          </w:p>
        </w:tc>
        <w:tc>
          <w:tcPr>
            <w:tcW w:w="3160" w:type="dxa"/>
            <w:vAlign w:val="bottom"/>
          </w:tcPr>
          <w:p>
            <w:pPr>
              <w:ind w:left="120"/>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97"/>
              </w:rPr>
              <w:t>101.CAL</w:t>
            </w:r>
          </w:p>
        </w:tc>
        <w:tc>
          <w:tcPr>
            <w:tcW w:w="3160" w:type="dxa"/>
            <w:vAlign w:val="bottom"/>
          </w:tcPr>
          <w:p>
            <w:pPr>
              <w:ind w:left="120"/>
              <w:spacing w:after="0"/>
              <w:rPr>
                <w:sz w:val="20"/>
                <w:szCs w:val="20"/>
                <w:color w:val="auto"/>
              </w:rPr>
            </w:pPr>
            <w:r>
              <w:rPr>
                <w:rFonts w:ascii="Arial" w:cs="Arial" w:eastAsia="Arial" w:hAnsi="Arial"/>
                <w:sz w:val="18"/>
                <w:szCs w:val="18"/>
                <w:color w:val="auto"/>
                <w:w w:val="94"/>
              </w:rPr>
              <w:t>XBRL Taxonomy Extension Calculation.</w:t>
            </w:r>
          </w:p>
        </w:tc>
      </w:tr>
      <w:tr>
        <w:trPr>
          <w:trHeight w:val="432"/>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90"/>
              </w:rPr>
              <w:t>101.DEF</w:t>
            </w:r>
          </w:p>
        </w:tc>
        <w:tc>
          <w:tcPr>
            <w:tcW w:w="3160" w:type="dxa"/>
            <w:vAlign w:val="bottom"/>
          </w:tcPr>
          <w:p>
            <w:pPr>
              <w:ind w:left="120"/>
              <w:spacing w:after="0"/>
              <w:rPr>
                <w:sz w:val="20"/>
                <w:szCs w:val="20"/>
                <w:color w:val="auto"/>
              </w:rPr>
            </w:pPr>
            <w:r>
              <w:rPr>
                <w:rFonts w:ascii="Arial" w:cs="Arial" w:eastAsia="Arial" w:hAnsi="Arial"/>
                <w:sz w:val="18"/>
                <w:szCs w:val="18"/>
                <w:color w:val="auto"/>
                <w:w w:val="98"/>
              </w:rPr>
              <w:t>XBRL Taxonomy Extension Definition.</w:t>
            </w:r>
          </w:p>
        </w:tc>
      </w:tr>
      <w:tr>
        <w:trPr>
          <w:trHeight w:val="432"/>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98"/>
              </w:rPr>
              <w:t>101.LAB</w:t>
            </w:r>
          </w:p>
        </w:tc>
        <w:tc>
          <w:tcPr>
            <w:tcW w:w="3160" w:type="dxa"/>
            <w:vAlign w:val="bottom"/>
          </w:tcPr>
          <w:p>
            <w:pPr>
              <w:ind w:left="120"/>
              <w:spacing w:after="0"/>
              <w:rPr>
                <w:sz w:val="20"/>
                <w:szCs w:val="20"/>
                <w:color w:val="auto"/>
              </w:rPr>
            </w:pPr>
            <w:r>
              <w:rPr>
                <w:rFonts w:ascii="Arial" w:cs="Arial" w:eastAsia="Arial" w:hAnsi="Arial"/>
                <w:sz w:val="18"/>
                <w:szCs w:val="18"/>
                <w:color w:val="auto"/>
              </w:rPr>
              <w:t>XBRL Taxonomy Extension Labels.</w:t>
            </w:r>
          </w:p>
        </w:tc>
      </w:tr>
      <w:tr>
        <w:trPr>
          <w:trHeight w:val="432"/>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88"/>
              </w:rPr>
              <w:t>101.PRE</w:t>
            </w:r>
          </w:p>
        </w:tc>
        <w:tc>
          <w:tcPr>
            <w:tcW w:w="3160" w:type="dxa"/>
            <w:vAlign w:val="bottom"/>
          </w:tcPr>
          <w:p>
            <w:pPr>
              <w:ind w:left="120"/>
              <w:spacing w:after="0"/>
              <w:rPr>
                <w:sz w:val="20"/>
                <w:szCs w:val="20"/>
                <w:color w:val="auto"/>
              </w:rPr>
            </w:pPr>
            <w:r>
              <w:rPr>
                <w:rFonts w:ascii="Arial" w:cs="Arial" w:eastAsia="Arial" w:hAnsi="Arial"/>
                <w:sz w:val="18"/>
                <w:szCs w:val="18"/>
                <w:color w:val="auto"/>
                <w:w w:val="91"/>
              </w:rPr>
              <w:t>XBRL Taxonomy Extension Presentation.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154305</wp:posOffset>
            </wp:positionV>
            <wp:extent cx="18097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49" w:lineRule="exact"/>
        <w:rPr>
          <w:sz w:val="20"/>
          <w:szCs w:val="20"/>
          <w:color w:val="auto"/>
        </w:rPr>
      </w:pPr>
    </w:p>
    <w:p>
      <w:pPr>
        <w:ind w:left="920" w:hanging="624"/>
        <w:spacing w:after="0"/>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pacing w:after="0" w:line="21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099"/>
          </w:cols>
          <w:pgMar w:left="360" w:top="125" w:right="1440"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 4 to registration statement on Form S-1 to be signed on its behalf by the undersigned, thereunto duly authorized in the City of Hingham, Commonwealth of Massachusetts, on February 7, 2019 .</w:t>
      </w:r>
    </w:p>
    <w:p>
      <w:pPr>
        <w:spacing w:after="0" w:line="1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3"/>
              </w:rPr>
              <w:t>Name</w:t>
            </w:r>
          </w:p>
        </w:tc>
        <w:tc>
          <w:tcPr>
            <w:tcW w:w="240" w:type="dxa"/>
            <w:vAlign w:val="bottom"/>
          </w:tcPr>
          <w:p>
            <w:pPr>
              <w:spacing w:after="0"/>
              <w:rPr>
                <w:sz w:val="22"/>
                <w:szCs w:val="22"/>
                <w:color w:val="auto"/>
              </w:rPr>
            </w:pPr>
          </w:p>
        </w:tc>
        <w:tc>
          <w:tcPr>
            <w:tcW w:w="238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23"/>
        </w:trPr>
        <w:tc>
          <w:tcPr>
            <w:tcW w:w="4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i w:val="1"/>
                <w:iCs w:val="1"/>
                <w:color w:val="auto"/>
                <w:w w:val="92"/>
              </w:rPr>
              <w:t>/s/ Harel Gadot</w:t>
            </w:r>
          </w:p>
        </w:tc>
        <w:tc>
          <w:tcPr>
            <w:tcW w:w="240" w:type="dxa"/>
            <w:vAlign w:val="bottom"/>
          </w:tcPr>
          <w:p>
            <w:pPr>
              <w:spacing w:after="0"/>
              <w:rPr>
                <w:sz w:val="19"/>
                <w:szCs w:val="19"/>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Chairman, President and Chief Executive Officer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0"/>
              </w:rPr>
              <w:t>February 7, 2019</w:t>
            </w: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2640" w:type="dxa"/>
            <w:vAlign w:val="bottom"/>
          </w:tcPr>
          <w:p>
            <w:pPr>
              <w:jc w:val="center"/>
              <w:ind w:right="350"/>
              <w:spacing w:after="0" w:line="189" w:lineRule="exact"/>
              <w:rPr>
                <w:sz w:val="20"/>
                <w:szCs w:val="20"/>
                <w:color w:val="auto"/>
              </w:rPr>
            </w:pPr>
            <w:r>
              <w:rPr>
                <w:rFonts w:ascii="Arial" w:cs="Arial" w:eastAsia="Arial" w:hAnsi="Arial"/>
                <w:sz w:val="18"/>
                <w:szCs w:val="18"/>
                <w:color w:val="auto"/>
                <w:w w:val="90"/>
              </w:rPr>
              <w:t>Harel Gadot</w:t>
            </w:r>
          </w:p>
        </w:tc>
        <w:tc>
          <w:tcPr>
            <w:tcW w:w="240" w:type="dxa"/>
            <w:vAlign w:val="bottom"/>
          </w:tcPr>
          <w:p>
            <w:pPr>
              <w:spacing w:after="0"/>
              <w:rPr>
                <w:sz w:val="16"/>
                <w:szCs w:val="16"/>
                <w:color w:val="auto"/>
              </w:rPr>
            </w:pPr>
          </w:p>
        </w:tc>
        <w:tc>
          <w:tcPr>
            <w:tcW w:w="5920" w:type="dxa"/>
            <w:vAlign w:val="bottom"/>
            <w:gridSpan w:val="3"/>
            <w:vMerge w:val="continue"/>
          </w:tcPr>
          <w:p>
            <w:pPr>
              <w:spacing w:after="0"/>
              <w:rPr>
                <w:sz w:val="16"/>
                <w:szCs w:val="16"/>
                <w:color w:val="auto"/>
              </w:rPr>
            </w:pP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gridSpan w:val="3"/>
          </w:tcPr>
          <w:p>
            <w:pPr>
              <w:spacing w:after="0"/>
              <w:rPr>
                <w:sz w:val="20"/>
                <w:szCs w:val="20"/>
                <w:color w:val="auto"/>
              </w:rPr>
            </w:pPr>
            <w:r>
              <w:rPr>
                <w:rFonts w:ascii="Arial" w:cs="Arial" w:eastAsia="Arial" w:hAnsi="Arial"/>
                <w:sz w:val="18"/>
                <w:szCs w:val="18"/>
                <w:i w:val="1"/>
                <w:iCs w:val="1"/>
                <w:color w:val="auto"/>
              </w:rPr>
              <w:t>(Principal Executive Officer)</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i w:val="1"/>
                <w:iCs w:val="1"/>
                <w:color w:val="auto"/>
                <w:w w:val="92"/>
              </w:rPr>
              <w:t>/s/ David Ben Naim</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Chief Financial Officer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0"/>
              </w:rPr>
              <w:t>February 7, 2019</w:t>
            </w: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2640" w:type="dxa"/>
            <w:vAlign w:val="bottom"/>
          </w:tcPr>
          <w:p>
            <w:pPr>
              <w:jc w:val="center"/>
              <w:ind w:right="370"/>
              <w:spacing w:after="0" w:line="189" w:lineRule="exact"/>
              <w:rPr>
                <w:sz w:val="20"/>
                <w:szCs w:val="20"/>
                <w:color w:val="auto"/>
              </w:rPr>
            </w:pPr>
            <w:r>
              <w:rPr>
                <w:rFonts w:ascii="Arial" w:cs="Arial" w:eastAsia="Arial" w:hAnsi="Arial"/>
                <w:sz w:val="18"/>
                <w:szCs w:val="18"/>
                <w:color w:val="auto"/>
                <w:w w:val="93"/>
              </w:rPr>
              <w:t>David Ben Naim</w:t>
            </w:r>
          </w:p>
        </w:tc>
        <w:tc>
          <w:tcPr>
            <w:tcW w:w="240" w:type="dxa"/>
            <w:vAlign w:val="bottom"/>
          </w:tcPr>
          <w:p>
            <w:pPr>
              <w:spacing w:after="0"/>
              <w:rPr>
                <w:sz w:val="16"/>
                <w:szCs w:val="16"/>
                <w:color w:val="auto"/>
              </w:rPr>
            </w:pPr>
          </w:p>
        </w:tc>
        <w:tc>
          <w:tcPr>
            <w:tcW w:w="5920" w:type="dxa"/>
            <w:vAlign w:val="bottom"/>
            <w:gridSpan w:val="3"/>
            <w:vMerge w:val="continue"/>
          </w:tcPr>
          <w:p>
            <w:pPr>
              <w:spacing w:after="0"/>
              <w:rPr>
                <w:sz w:val="16"/>
                <w:szCs w:val="16"/>
                <w:color w:val="auto"/>
              </w:rPr>
            </w:pP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gridSpan w:val="3"/>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0"/>
              </w:rPr>
              <w:t>February 7, 2019</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50"/>
              <w:spacing w:after="0"/>
              <w:rPr>
                <w:sz w:val="20"/>
                <w:szCs w:val="20"/>
                <w:color w:val="auto"/>
              </w:rPr>
            </w:pPr>
            <w:r>
              <w:rPr>
                <w:rFonts w:ascii="Arial" w:cs="Arial" w:eastAsia="Arial" w:hAnsi="Arial"/>
                <w:sz w:val="18"/>
                <w:szCs w:val="18"/>
                <w:color w:val="auto"/>
                <w:w w:val="90"/>
              </w:rPr>
              <w:t>Yoav Waizer</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0"/>
              </w:rPr>
              <w:t>February 7, 2019</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50"/>
              <w:spacing w:after="0"/>
              <w:rPr>
                <w:sz w:val="20"/>
                <w:szCs w:val="20"/>
                <w:color w:val="auto"/>
              </w:rPr>
            </w:pPr>
            <w:r>
              <w:rPr>
                <w:rFonts w:ascii="Arial" w:cs="Arial" w:eastAsia="Arial" w:hAnsi="Arial"/>
                <w:sz w:val="18"/>
                <w:szCs w:val="18"/>
                <w:color w:val="auto"/>
                <w:w w:val="90"/>
              </w:rPr>
              <w:t>Yoseph Bornstein</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0"/>
              </w:rPr>
              <w:t>February 7, 2019</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70"/>
              <w:spacing w:after="0"/>
              <w:rPr>
                <w:sz w:val="20"/>
                <w:szCs w:val="20"/>
                <w:color w:val="auto"/>
              </w:rPr>
            </w:pPr>
            <w:r>
              <w:rPr>
                <w:rFonts w:ascii="Arial" w:cs="Arial" w:eastAsia="Arial" w:hAnsi="Arial"/>
                <w:sz w:val="18"/>
                <w:szCs w:val="18"/>
                <w:color w:val="auto"/>
                <w:w w:val="93"/>
              </w:rPr>
              <w:t>Pratipatti Laxminarain</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0"/>
              </w:rPr>
              <w:t>February 7, 2019</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70"/>
              <w:spacing w:after="0"/>
              <w:rPr>
                <w:sz w:val="20"/>
                <w:szCs w:val="20"/>
                <w:color w:val="auto"/>
              </w:rPr>
            </w:pPr>
            <w:r>
              <w:rPr>
                <w:rFonts w:ascii="Arial" w:cs="Arial" w:eastAsia="Arial" w:hAnsi="Arial"/>
                <w:sz w:val="18"/>
                <w:szCs w:val="18"/>
                <w:color w:val="auto"/>
                <w:w w:val="93"/>
              </w:rPr>
              <w:t>Scott Burell</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0"/>
              </w:rPr>
              <w:t>February 7, 2019</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50"/>
              <w:spacing w:after="0"/>
              <w:rPr>
                <w:sz w:val="20"/>
                <w:szCs w:val="20"/>
                <w:color w:val="auto"/>
              </w:rPr>
            </w:pPr>
            <w:r>
              <w:rPr>
                <w:rFonts w:ascii="Arial" w:cs="Arial" w:eastAsia="Arial" w:hAnsi="Arial"/>
                <w:sz w:val="18"/>
                <w:szCs w:val="18"/>
                <w:color w:val="auto"/>
                <w:w w:val="93"/>
              </w:rPr>
              <w:t>Martin Madden</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310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Harel Gadot</w:t>
            </w:r>
          </w:p>
        </w:tc>
        <w:tc>
          <w:tcPr>
            <w:tcW w:w="2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Attorney-in-fact</w:t>
            </w:r>
          </w:p>
        </w:tc>
        <w:tc>
          <w:tcPr>
            <w:tcW w:w="24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4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94" w:name="page95"/>
    <w:bookmarkEnd w:id="9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the Representative of the several underwriters, if any, named in </w:t>
      </w:r>
      <w:r>
        <w:rPr>
          <w:rFonts w:ascii="Arial" w:cs="Arial" w:eastAsia="Arial" w:hAnsi="Arial"/>
          <w:sz w:val="18"/>
          <w:szCs w:val="18"/>
          <w:b w:val="1"/>
          <w:bCs w:val="1"/>
          <w:color w:val="auto"/>
        </w:rPr>
        <w:t>Schedule I</w:t>
      </w:r>
      <w:r>
        <w:rPr>
          <w:rFonts w:ascii="Arial" w:cs="Arial" w:eastAsia="Arial" w:hAnsi="Arial"/>
          <w:sz w:val="18"/>
          <w:szCs w:val="18"/>
          <w:color w:val="auto"/>
        </w:rPr>
        <w:t xml:space="preserve">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430 Park Avenue,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Microbot Medical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proposes, subject to the terms and conditions stated herein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xml:space="preserve">”), to issue and sell to the underwriters named in </w:t>
      </w:r>
      <w:r>
        <w:rPr>
          <w:rFonts w:ascii="Arial" w:cs="Arial" w:eastAsia="Arial" w:hAnsi="Arial"/>
          <w:sz w:val="16"/>
          <w:szCs w:val="16"/>
          <w:b w:val="1"/>
          <w:bCs w:val="1"/>
          <w:color w:val="auto"/>
        </w:rPr>
        <w:t>Schedule I</w:t>
      </w:r>
      <w:r>
        <w:rPr>
          <w:rFonts w:ascii="Arial" w:cs="Arial" w:eastAsia="Arial" w:hAnsi="Arial"/>
          <w:sz w:val="16"/>
          <w:szCs w:val="16"/>
          <w:color w:val="auto"/>
        </w:rPr>
        <w:t xml:space="preserve"> hereto (the “</w:t>
      </w:r>
      <w:r>
        <w:rPr>
          <w:rFonts w:ascii="Arial" w:cs="Arial" w:eastAsia="Arial" w:hAnsi="Arial"/>
          <w:sz w:val="16"/>
          <w:szCs w:val="16"/>
          <w:b w:val="1"/>
          <w:bCs w:val="1"/>
          <w:i w:val="1"/>
          <w:iCs w:val="1"/>
          <w:color w:val="auto"/>
        </w:rPr>
        <w:t>Underwriters</w:t>
      </w:r>
      <w:r>
        <w:rPr>
          <w:rFonts w:ascii="Arial" w:cs="Arial" w:eastAsia="Arial" w:hAnsi="Arial"/>
          <w:sz w:val="16"/>
          <w:szCs w:val="16"/>
          <w:i w:val="1"/>
          <w:iCs w:val="1"/>
          <w:color w:val="auto"/>
        </w:rPr>
        <w:t>,</w:t>
      </w:r>
      <w:r>
        <w:rPr>
          <w:rFonts w:ascii="Arial" w:cs="Arial" w:eastAsia="Arial" w:hAnsi="Arial"/>
          <w:sz w:val="16"/>
          <w:szCs w:val="16"/>
          <w:color w:val="auto"/>
        </w:rPr>
        <w:t>” or each, an “</w:t>
      </w:r>
      <w:r>
        <w:rPr>
          <w:rFonts w:ascii="Arial" w:cs="Arial" w:eastAsia="Arial" w:hAnsi="Arial"/>
          <w:sz w:val="16"/>
          <w:szCs w:val="16"/>
          <w:b w:val="1"/>
          <w:bCs w:val="1"/>
          <w:i w:val="1"/>
          <w:iCs w:val="1"/>
          <w:color w:val="auto"/>
        </w:rPr>
        <w:t>Underwriter</w:t>
      </w:r>
      <w:r>
        <w:rPr>
          <w:rFonts w:ascii="Arial" w:cs="Arial" w:eastAsia="Arial" w:hAnsi="Arial"/>
          <w:sz w:val="16"/>
          <w:szCs w:val="16"/>
          <w:color w:val="auto"/>
        </w:rPr>
        <w:t>”), for whom H.C. Wainwright</w:t>
      </w:r>
    </w:p>
    <w:p>
      <w:pPr>
        <w:jc w:val="both"/>
        <w:ind w:firstLine="8"/>
        <w:spacing w:after="0" w:line="267" w:lineRule="auto"/>
        <w:tabs>
          <w:tab w:leader="none" w:pos="192"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 LLC, is acting as representative (the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an aggregate of (a) [●] shares of common stock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par value $0.01 per share, of the Company (the “</w:t>
      </w:r>
      <w:r>
        <w:rPr>
          <w:rFonts w:ascii="Arial" w:cs="Arial" w:eastAsia="Arial" w:hAnsi="Arial"/>
          <w:sz w:val="17"/>
          <w:szCs w:val="17"/>
          <w:b w:val="1"/>
          <w:bCs w:val="1"/>
          <w:i w:val="1"/>
          <w:iCs w:val="1"/>
          <w:color w:val="auto"/>
        </w:rPr>
        <w:t>Firm Shares</w:t>
      </w:r>
      <w:r>
        <w:rPr>
          <w:rFonts w:ascii="Arial" w:cs="Arial" w:eastAsia="Arial" w:hAnsi="Arial"/>
          <w:sz w:val="17"/>
          <w:szCs w:val="17"/>
          <w:color w:val="auto"/>
        </w:rPr>
        <w:t>”) and (b) pre-funded warrants (the “</w:t>
      </w:r>
      <w:r>
        <w:rPr>
          <w:rFonts w:ascii="Arial" w:cs="Arial" w:eastAsia="Arial" w:hAnsi="Arial"/>
          <w:sz w:val="17"/>
          <w:szCs w:val="17"/>
          <w:b w:val="1"/>
          <w:bCs w:val="1"/>
          <w:i w:val="1"/>
          <w:iCs w:val="1"/>
          <w:color w:val="auto"/>
        </w:rPr>
        <w:t>Pre-Funded Warrants</w:t>
      </w:r>
      <w:r>
        <w:rPr>
          <w:rFonts w:ascii="Arial" w:cs="Arial" w:eastAsia="Arial" w:hAnsi="Arial"/>
          <w:sz w:val="17"/>
          <w:szCs w:val="17"/>
          <w:color w:val="auto"/>
        </w:rPr>
        <w:t>” and, collectively with the Firm Shares, the “</w:t>
      </w:r>
      <w:r>
        <w:rPr>
          <w:rFonts w:ascii="Arial" w:cs="Arial" w:eastAsia="Arial" w:hAnsi="Arial"/>
          <w:sz w:val="17"/>
          <w:szCs w:val="17"/>
          <w:b w:val="1"/>
          <w:bCs w:val="1"/>
          <w:i w:val="1"/>
          <w:iCs w:val="1"/>
          <w:color w:val="auto"/>
        </w:rPr>
        <w:t>Firm</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to purchase up to an aggregate of [●] shares of Common Stock at an exercise price of $0.01 per share (the “</w:t>
      </w:r>
      <w:r>
        <w:rPr>
          <w:rFonts w:ascii="Arial" w:cs="Arial" w:eastAsia="Arial" w:hAnsi="Arial"/>
          <w:sz w:val="17"/>
          <w:szCs w:val="17"/>
          <w:b w:val="1"/>
          <w:bCs w:val="1"/>
          <w:i w:val="1"/>
          <w:iCs w:val="1"/>
          <w:color w:val="auto"/>
        </w:rPr>
        <w:t>Pre-Funded Warrant Shares</w:t>
      </w:r>
      <w:r>
        <w:rPr>
          <w:rFonts w:ascii="Arial" w:cs="Arial" w:eastAsia="Arial" w:hAnsi="Arial"/>
          <w:sz w:val="17"/>
          <w:szCs w:val="17"/>
          <w:color w:val="auto"/>
        </w:rPr>
        <w: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Firm Shares and the Pre-Funded Warrants are referred to herein as the “</w:t>
      </w:r>
      <w:r>
        <w:rPr>
          <w:rFonts w:ascii="Arial" w:cs="Arial" w:eastAsia="Arial" w:hAnsi="Arial"/>
          <w:sz w:val="17"/>
          <w:szCs w:val="17"/>
          <w:b w:val="1"/>
          <w:bCs w:val="1"/>
          <w:i w:val="1"/>
          <w:iCs w:val="1"/>
          <w:color w:val="auto"/>
        </w:rPr>
        <w:t>Firm Securities</w:t>
      </w:r>
      <w:r>
        <w:rPr>
          <w:rFonts w:ascii="Arial" w:cs="Arial" w:eastAsia="Arial" w:hAnsi="Arial"/>
          <w:sz w:val="17"/>
          <w:szCs w:val="17"/>
          <w:color w:val="auto"/>
        </w:rPr>
        <w:t xml:space="preserve">.” The respective amounts of the Firm Securities to be purchased by each of the several Underwriters are set forth opposite their names on </w:t>
      </w:r>
      <w:r>
        <w:rPr>
          <w:rFonts w:ascii="Arial" w:cs="Arial" w:eastAsia="Arial" w:hAnsi="Arial"/>
          <w:sz w:val="17"/>
          <w:szCs w:val="17"/>
          <w:b w:val="1"/>
          <w:bCs w:val="1"/>
          <w:color w:val="auto"/>
        </w:rPr>
        <w:t>Schedule I</w:t>
      </w:r>
      <w:r>
        <w:rPr>
          <w:rFonts w:ascii="Arial" w:cs="Arial" w:eastAsia="Arial" w:hAnsi="Arial"/>
          <w:sz w:val="17"/>
          <w:szCs w:val="17"/>
          <w:color w:val="auto"/>
        </w:rPr>
        <w:t xml:space="preserve"> hereto. In addition, the Company proposes to grant to the Underwriters an option to purchase up to (a) [ ] additional shares of Common Stock, representing fifteen percent (15%) of the Firm Shares sold in the offering, from the Company (the “</w:t>
      </w:r>
      <w:r>
        <w:rPr>
          <w:rFonts w:ascii="Arial" w:cs="Arial" w:eastAsia="Arial" w:hAnsi="Arial"/>
          <w:sz w:val="17"/>
          <w:szCs w:val="17"/>
          <w:b w:val="1"/>
          <w:bCs w:val="1"/>
          <w:i w:val="1"/>
          <w:iCs w:val="1"/>
          <w:color w:val="auto"/>
        </w:rPr>
        <w:t>Option Shares</w:t>
      </w:r>
      <w:r>
        <w:rPr>
          <w:rFonts w:ascii="Arial" w:cs="Arial" w:eastAsia="Arial" w:hAnsi="Arial"/>
          <w:sz w:val="17"/>
          <w:szCs w:val="17"/>
          <w:color w:val="auto"/>
        </w:rPr>
        <w:t>”). The Firm Shares and the Option Shares are collectively referred to herein as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the shares of Common Stock issuable upon exercise of the Pre-Funded Warrants and the Underwriter Warrants (as defined below) are collectively referred to herein as the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and the Firm Securities, the Option Shares and the Warrant Shares are collectively referred to herein as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xml:space="preserve">.” The terms of the Pre-Funded Warrants are set forth in the form of Pre-Funded Warrant attached hereto as </w:t>
      </w:r>
      <w:r>
        <w:rPr>
          <w:rFonts w:ascii="Arial" w:cs="Arial" w:eastAsia="Arial" w:hAnsi="Arial"/>
          <w:sz w:val="17"/>
          <w:szCs w:val="17"/>
          <w:b w:val="1"/>
          <w:bCs w:val="1"/>
          <w:color w:val="auto"/>
        </w:rPr>
        <w:t>Exhibit A</w:t>
      </w:r>
      <w:r>
        <w:rPr>
          <w:rFonts w:ascii="Arial" w:cs="Arial" w:eastAsia="Arial" w:hAnsi="Arial"/>
          <w:sz w:val="17"/>
          <w:szCs w:val="17"/>
          <w:color w:val="auto"/>
        </w:rPr>
        <w:t>. This Agreement is to confirm the agreement concerning the purchase of the Firm Securities and Option Shares from the Company by the Underwriters.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Securities are described in the Preliminary Prospectus and Prospectus which are referred to below.</w:t>
      </w:r>
    </w:p>
    <w:p>
      <w:pPr>
        <w:spacing w:after="0" w:line="225" w:lineRule="exact"/>
        <w:rPr>
          <w:sz w:val="20"/>
          <w:szCs w:val="20"/>
          <w:color w:val="auto"/>
        </w:rPr>
      </w:pPr>
    </w:p>
    <w:p>
      <w:pPr>
        <w:ind w:left="1480" w:hanging="175"/>
        <w:spacing w:after="0"/>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Representations, Warranties and Agreements of the Company</w:t>
      </w:r>
      <w:r>
        <w:rPr>
          <w:rFonts w:ascii="Arial" w:cs="Arial" w:eastAsia="Arial" w:hAnsi="Arial"/>
          <w:sz w:val="18"/>
          <w:szCs w:val="18"/>
          <w:color w:val="auto"/>
        </w:rPr>
        <w:t>. The Company represents, warrants and agrees that:</w:t>
      </w:r>
    </w:p>
    <w:p>
      <w:pPr>
        <w:spacing w:after="0" w:line="225" w:lineRule="exact"/>
        <w:rPr>
          <w:rFonts w:ascii="Arial" w:cs="Arial" w:eastAsia="Arial" w:hAnsi="Arial"/>
          <w:sz w:val="18"/>
          <w:szCs w:val="18"/>
          <w:color w:val="auto"/>
        </w:rPr>
      </w:pPr>
    </w:p>
    <w:p>
      <w:pPr>
        <w:jc w:val="both"/>
        <w:ind w:firstLine="656"/>
        <w:spacing w:after="0" w:line="302" w:lineRule="auto"/>
        <w:tabs>
          <w:tab w:leader="none" w:pos="891" w:val="left"/>
        </w:tabs>
        <w:numPr>
          <w:ilvl w:val="0"/>
          <w:numId w:val="70"/>
        </w:numPr>
        <w:rPr>
          <w:rFonts w:ascii="Arial" w:cs="Arial" w:eastAsia="Arial" w:hAnsi="Arial"/>
          <w:sz w:val="16"/>
          <w:szCs w:val="16"/>
          <w:color w:val="auto"/>
        </w:rPr>
      </w:pPr>
      <w:r>
        <w:rPr>
          <w:rFonts w:ascii="Arial" w:cs="Arial" w:eastAsia="Arial" w:hAnsi="Arial"/>
          <w:sz w:val="16"/>
          <w:szCs w:val="16"/>
          <w:color w:val="auto"/>
        </w:rPr>
        <w:t>A registration statement on Form S-1 (File No. 333-228285) relating to the Securities has (i) been prepared by the Company in conformity with the requirements of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the rules and regulations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thereunder; (ii) been filed with the Commission under the Securities Act; and (iii) become effective under the Securities Act. Copies of such registration statement and any amendment thereto have been delivered by the Company to the Underwriters. As used in this Agreement:</w:t>
      </w:r>
    </w:p>
    <w:p>
      <w:pPr>
        <w:spacing w:after="0" w:line="154" w:lineRule="exact"/>
        <w:rPr>
          <w:rFonts w:ascii="Arial" w:cs="Arial" w:eastAsia="Arial" w:hAnsi="Arial"/>
          <w:sz w:val="16"/>
          <w:szCs w:val="16"/>
          <w:color w:val="auto"/>
        </w:rPr>
      </w:pPr>
    </w:p>
    <w:p>
      <w:pPr>
        <w:ind w:left="2160" w:hanging="207"/>
        <w:spacing w:after="0"/>
        <w:tabs>
          <w:tab w:leader="none" w:pos="2160" w:val="left"/>
        </w:tabs>
        <w:numPr>
          <w:ilvl w:val="2"/>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Time</w:t>
      </w:r>
      <w:r>
        <w:rPr>
          <w:rFonts w:ascii="Arial" w:cs="Arial" w:eastAsia="Arial" w:hAnsi="Arial"/>
          <w:sz w:val="18"/>
          <w:szCs w:val="18"/>
          <w:color w:val="auto"/>
        </w:rPr>
        <w:t>” means [●</w:t>
      </w:r>
      <w:r>
        <w:rPr>
          <w:rFonts w:ascii="Arial" w:cs="Arial" w:eastAsia="Arial" w:hAnsi="Arial"/>
          <w:sz w:val="18"/>
          <w:szCs w:val="18"/>
          <w:color w:val="0000FF"/>
        </w:rPr>
        <w:t>:</w:t>
      </w:r>
      <w:r>
        <w:rPr>
          <w:rFonts w:ascii="Arial" w:cs="Arial" w:eastAsia="Arial" w:hAnsi="Arial"/>
          <w:sz w:val="18"/>
          <w:szCs w:val="18"/>
          <w:color w:val="auto"/>
        </w:rPr>
        <w:t>● a.m./p.m.] (New York City time) on [●],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6" w:name="page97"/>
    <w:bookmarkEnd w:id="96"/>
    <w:p>
      <w:pPr>
        <w:ind w:left="2220" w:hanging="267"/>
        <w:spacing w:after="0"/>
        <w:tabs>
          <w:tab w:leader="none" w:pos="22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means the date and time as of which such Registration Statement was declared effective by the Commission;</w:t>
      </w:r>
    </w:p>
    <w:p>
      <w:pPr>
        <w:spacing w:after="0" w:line="248" w:lineRule="exact"/>
        <w:rPr>
          <w:rFonts w:ascii="Arial" w:cs="Arial" w:eastAsia="Arial" w:hAnsi="Arial"/>
          <w:sz w:val="16"/>
          <w:szCs w:val="16"/>
          <w:color w:val="auto"/>
        </w:rPr>
      </w:pPr>
    </w:p>
    <w:p>
      <w:pPr>
        <w:ind w:left="2280" w:hanging="327"/>
        <w:spacing w:after="0"/>
        <w:tabs>
          <w:tab w:leader="none" w:pos="22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Issuer Free Writing Prospectus</w:t>
      </w:r>
      <w:r>
        <w:rPr>
          <w:rFonts w:ascii="Arial" w:cs="Arial" w:eastAsia="Arial" w:hAnsi="Arial"/>
          <w:sz w:val="16"/>
          <w:szCs w:val="16"/>
          <w:color w:val="auto"/>
        </w:rPr>
        <w:t>” means each “issuer free writing prospectus” (as defined in Rule 433 under the Securities</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left="1300" w:firstLine="653"/>
        <w:spacing w:after="0" w:line="277" w:lineRule="auto"/>
        <w:tabs>
          <w:tab w:leader="none" w:pos="2253"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Preliminary Prospectus</w:t>
      </w:r>
      <w:r>
        <w:rPr>
          <w:rFonts w:ascii="Arial" w:cs="Arial" w:eastAsia="Arial" w:hAnsi="Arial"/>
          <w:sz w:val="18"/>
          <w:szCs w:val="18"/>
          <w:color w:val="auto"/>
        </w:rPr>
        <w:t>” means any preliminary prospectus relating to the Securities included in the Registration Statement or filed with the Commission pursuant to Rule 424(b) under the Securities Act;</w:t>
      </w:r>
    </w:p>
    <w:p>
      <w:pPr>
        <w:spacing w:after="0" w:line="170" w:lineRule="exact"/>
        <w:rPr>
          <w:rFonts w:ascii="Arial" w:cs="Arial" w:eastAsia="Arial" w:hAnsi="Arial"/>
          <w:sz w:val="18"/>
          <w:szCs w:val="18"/>
          <w:color w:val="auto"/>
        </w:rPr>
      </w:pPr>
    </w:p>
    <w:p>
      <w:pPr>
        <w:jc w:val="both"/>
        <w:ind w:left="1300" w:firstLine="653"/>
        <w:spacing w:after="0" w:line="259" w:lineRule="auto"/>
        <w:tabs>
          <w:tab w:leader="none" w:pos="2217"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Pricing Disclosure Package</w:t>
      </w:r>
      <w:r>
        <w:rPr>
          <w:rFonts w:ascii="Arial" w:cs="Arial" w:eastAsia="Arial" w:hAnsi="Arial"/>
          <w:sz w:val="18"/>
          <w:szCs w:val="18"/>
          <w:color w:val="auto"/>
        </w:rPr>
        <w:t xml:space="preserve">” means, as of the Applicable Time, the most recent Preliminary Prospectus, together with the information included in </w:t>
      </w:r>
      <w:r>
        <w:rPr>
          <w:rFonts w:ascii="Arial" w:cs="Arial" w:eastAsia="Arial" w:hAnsi="Arial"/>
          <w:sz w:val="18"/>
          <w:szCs w:val="18"/>
          <w:b w:val="1"/>
          <w:bCs w:val="1"/>
          <w:color w:val="auto"/>
        </w:rPr>
        <w:t>Schedule III</w:t>
      </w:r>
      <w:r>
        <w:rPr>
          <w:rFonts w:ascii="Arial" w:cs="Arial" w:eastAsia="Arial" w:hAnsi="Arial"/>
          <w:sz w:val="18"/>
          <w:szCs w:val="18"/>
          <w:color w:val="auto"/>
        </w:rPr>
        <w:t xml:space="preserve"> hereto and each Issuer Free Writing Prospectus filed or used by the Company at or before the Applicable Time listed on </w:t>
      </w:r>
      <w:r>
        <w:rPr>
          <w:rFonts w:ascii="Arial" w:cs="Arial" w:eastAsia="Arial" w:hAnsi="Arial"/>
          <w:sz w:val="18"/>
          <w:szCs w:val="18"/>
          <w:b w:val="1"/>
          <w:bCs w:val="1"/>
          <w:color w:val="auto"/>
        </w:rPr>
        <w:t>Schedule V</w:t>
      </w:r>
      <w:r>
        <w:rPr>
          <w:rFonts w:ascii="Arial" w:cs="Arial" w:eastAsia="Arial" w:hAnsi="Arial"/>
          <w:sz w:val="18"/>
          <w:szCs w:val="18"/>
          <w:color w:val="auto"/>
        </w:rPr>
        <w:t xml:space="preserve"> hereto, other than a “road show” that is an Issuer Free Writing Prospectus but is not required to be filed under Rule 433 under the Securities Act;</w:t>
      </w:r>
    </w:p>
    <w:p>
      <w:pPr>
        <w:spacing w:after="0" w:line="186" w:lineRule="exact"/>
        <w:rPr>
          <w:rFonts w:ascii="Arial" w:cs="Arial" w:eastAsia="Arial" w:hAnsi="Arial"/>
          <w:sz w:val="18"/>
          <w:szCs w:val="18"/>
          <w:color w:val="auto"/>
        </w:rPr>
      </w:pPr>
    </w:p>
    <w:p>
      <w:pPr>
        <w:ind w:left="1300" w:firstLine="653"/>
        <w:spacing w:after="0" w:line="277" w:lineRule="auto"/>
        <w:tabs>
          <w:tab w:leader="none" w:pos="2253"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means the final prospectus relating to the Securities, as filed with the Commission pursuant to Rule 424(b) under the Securities Act; and</w:t>
      </w:r>
    </w:p>
    <w:p>
      <w:pPr>
        <w:spacing w:after="0" w:line="170" w:lineRule="exact"/>
        <w:rPr>
          <w:rFonts w:ascii="Arial" w:cs="Arial" w:eastAsia="Arial" w:hAnsi="Arial"/>
          <w:sz w:val="18"/>
          <w:szCs w:val="18"/>
          <w:color w:val="auto"/>
        </w:rPr>
      </w:pPr>
    </w:p>
    <w:p>
      <w:pPr>
        <w:jc w:val="both"/>
        <w:ind w:left="1300" w:firstLine="653"/>
        <w:spacing w:after="0" w:line="257" w:lineRule="auto"/>
        <w:tabs>
          <w:tab w:leader="none" w:pos="23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S-1 (File No. 333-228285), as amended as of the Effective Date, including any Preliminary Prospectus or the Prospectus, all exhibits to such registration statement, the documents incorporated by reference into such registration statement, and including the information deemed by virtue of Rule 430A under the Securities Act to be part of such registration statement as of the Effective Date, and any registration statement filed to register the offer and sale of the Securities pursuant to Rule 462(b) under the Securities Act.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reference herein to the Registration Statement, any Preliminary Prospectus or the Prospectus shall be deemed to refer to and include any documents incorporated by reference therein pursuant to Form S-1 under the Securities Act as of the date of such Preliminary Prospectus or the Prospectus, as the case may be. Any reference to the “</w:t>
      </w:r>
      <w:r>
        <w:rPr>
          <w:rFonts w:ascii="Arial" w:cs="Arial" w:eastAsia="Arial" w:hAnsi="Arial"/>
          <w:sz w:val="17"/>
          <w:szCs w:val="17"/>
          <w:b w:val="1"/>
          <w:bCs w:val="1"/>
          <w:i w:val="1"/>
          <w:iCs w:val="1"/>
          <w:color w:val="auto"/>
        </w:rPr>
        <w:t>most recent Preliminary Prospectus</w:t>
      </w:r>
      <w:r>
        <w:rPr>
          <w:rFonts w:ascii="Arial" w:cs="Arial" w:eastAsia="Arial" w:hAnsi="Arial"/>
          <w:sz w:val="17"/>
          <w:szCs w:val="17"/>
          <w:color w:val="auto"/>
        </w:rPr>
        <w:t>” shall be deemed to refer to the latest Preliminary Prospectus included in the Registration Statement or filed pursuant to Rule 424(b) under the Securities Act prior to or on the date hereof. Any reference to any amendment or supplement to any Preliminary Prospectus or the Prospectus shall be deemed to refer to and include any document filed (but not furnished) under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after the date of such Preliminary Prospectus or the Prospectus, as the case may be, and before the date of such amendment or supplement and incorporated by reference in such Preliminary Prospectus or the Prospectus, as the case may be; and any reference to any “</w:t>
      </w:r>
      <w:r>
        <w:rPr>
          <w:rFonts w:ascii="Arial" w:cs="Arial" w:eastAsia="Arial" w:hAnsi="Arial"/>
          <w:sz w:val="17"/>
          <w:szCs w:val="17"/>
          <w:b w:val="1"/>
          <w:bCs w:val="1"/>
          <w:i w:val="1"/>
          <w:iCs w:val="1"/>
          <w:color w:val="auto"/>
        </w:rPr>
        <w:t>amendment to the Registration Statement</w:t>
      </w:r>
      <w:r>
        <w:rPr>
          <w:rFonts w:ascii="Arial" w:cs="Arial" w:eastAsia="Arial" w:hAnsi="Arial"/>
          <w:sz w:val="17"/>
          <w:szCs w:val="17"/>
          <w:color w:val="auto"/>
        </w:rPr>
        <w:t>” shall be deemed to include any document filed (but not furnished) with the Commission pursuant to Section 13(a), 14 or 15(d) of the Exchange Act after the Effective Date and before the date of such amendment that is incorporated by reference in the Registration Statement. The Commission has not issued any order preventing or suspending the use of any Preliminary Prospectus or the Prospectus or suspending the effectiveness of the Registration Statement, and no proceeding or examination for such purpose has been instituted or, to the Company’s knowledge, threatened by the Commission.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7" w:name="page98"/>
    <w:bookmarkEnd w:id="97"/>
    <w:p>
      <w:pPr>
        <w:ind w:left="-20" w:right="20" w:firstLine="656"/>
        <w:spacing w:after="0" w:line="277" w:lineRule="auto"/>
        <w:tabs>
          <w:tab w:leader="none" w:pos="883"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 the (i) Effective Date and (ii) applicable Delivery Date (as defined herein), the Company was and will be a “smaller reporting company,” as defined in Rule 12b-2 under the Exchange Act and in Rule 405 under the Securities Act.</w:t>
      </w:r>
    </w:p>
    <w:p>
      <w:pPr>
        <w:spacing w:after="0" w:line="170" w:lineRule="exact"/>
        <w:rPr>
          <w:rFonts w:ascii="Arial" w:cs="Arial" w:eastAsia="Arial" w:hAnsi="Arial"/>
          <w:sz w:val="18"/>
          <w:szCs w:val="18"/>
          <w:color w:val="auto"/>
        </w:rPr>
      </w:pPr>
    </w:p>
    <w:p>
      <w:pPr>
        <w:jc w:val="both"/>
        <w:ind w:left="-20" w:firstLine="656"/>
        <w:spacing w:after="0" w:line="259" w:lineRule="auto"/>
        <w:tabs>
          <w:tab w:leader="none" w:pos="883"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Company was not at the time of initial filing of the Registration Statement and at the earliest time thereafter that the Company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under the Securities Act) of the Securities, is not on the date hereof and will not be on the applicable Delivery Date, an “ineligible issuer” (as defined in Rule 405 under the Securities Act). The Company has met all the conditions for incorporation by reference pursuant to the General Instructions to Form S-1.</w:t>
      </w:r>
    </w:p>
    <w:p>
      <w:pPr>
        <w:spacing w:after="0" w:line="186" w:lineRule="exact"/>
        <w:rPr>
          <w:rFonts w:ascii="Arial" w:cs="Arial" w:eastAsia="Arial" w:hAnsi="Arial"/>
          <w:sz w:val="18"/>
          <w:szCs w:val="18"/>
          <w:color w:val="auto"/>
        </w:rPr>
      </w:pPr>
    </w:p>
    <w:p>
      <w:pPr>
        <w:jc w:val="both"/>
        <w:ind w:left="-20" w:firstLine="656"/>
        <w:spacing w:after="0" w:line="272" w:lineRule="auto"/>
        <w:tabs>
          <w:tab w:leader="none" w:pos="889"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Registration Statement conformed and will conform in all material respects on the Effective Date and on the applicable Delivery Date, and any amendment to the Registration Statement filed after the date hereof will conform in all material respects when filed, to the requirements of the Securities Act and the rules and regulations thereunder. The most recent Preliminary Prospectus conformed, and the Prospectus will conform, in all material respects when filed with the Commission pursuant to Rule 424(b) under the Securities Act and on the applicable Delivery Date to the requirements of the Securities Act and the rules and regulations thereunder. The documents incorporated or deemed to be incorporated by reference in any Preliminary Prospectus or the Prospectus, at the time they were filed with the Commission, complied in all material respects with the requirements of the Exchange Act and the rules and regulations of the Commission under the Exchange Act.</w:t>
      </w:r>
    </w:p>
    <w:p>
      <w:pPr>
        <w:spacing w:after="0" w:line="177" w:lineRule="exact"/>
        <w:rPr>
          <w:rFonts w:ascii="Arial" w:cs="Arial" w:eastAsia="Arial" w:hAnsi="Arial"/>
          <w:sz w:val="17"/>
          <w:szCs w:val="17"/>
          <w:color w:val="auto"/>
        </w:rPr>
      </w:pPr>
    </w:p>
    <w:p>
      <w:pPr>
        <w:jc w:val="both"/>
        <w:ind w:left="-20" w:firstLine="656"/>
        <w:spacing w:after="0" w:line="264" w:lineRule="auto"/>
        <w:tabs>
          <w:tab w:leader="none" w:pos="87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documents incorporated by reference in any Preliminary Prospectus or the Prospectus did not, when filed with the Commission, contain an untrue statement of a material fact or omit to state a material fact necessary to make the statements therein, in the light of the circumstances under which they were made, not misleading.</w:t>
      </w:r>
    </w:p>
    <w:p>
      <w:pPr>
        <w:spacing w:after="0" w:line="181" w:lineRule="exact"/>
        <w:rPr>
          <w:rFonts w:ascii="Arial" w:cs="Arial" w:eastAsia="Arial" w:hAnsi="Arial"/>
          <w:sz w:val="18"/>
          <w:szCs w:val="18"/>
          <w:color w:val="auto"/>
        </w:rPr>
      </w:pPr>
    </w:p>
    <w:p>
      <w:pPr>
        <w:jc w:val="both"/>
        <w:ind w:left="-20" w:firstLine="656"/>
        <w:spacing w:after="0" w:line="279" w:lineRule="auto"/>
        <w:tabs>
          <w:tab w:leader="none" w:pos="851"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Registration Statement did not, as of the Effective Date, contain an untrue statement of a material fact or omit to state a material fact required to be stated therein or necessary to make the statements therein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representation or warranty is made as to information contained in or omitted from the Registration Statement in reliance upon and in conformity with written information furnished to the Company through the Representative by or on behalf of any Underwriter specifically for inclusion therein, which information is specified in Section 9(e).</w:t>
      </w:r>
    </w:p>
    <w:p>
      <w:pPr>
        <w:spacing w:after="0" w:line="171" w:lineRule="exact"/>
        <w:rPr>
          <w:rFonts w:ascii="Arial" w:cs="Arial" w:eastAsia="Arial" w:hAnsi="Arial"/>
          <w:sz w:val="17"/>
          <w:szCs w:val="17"/>
          <w:color w:val="auto"/>
        </w:rPr>
      </w:pPr>
    </w:p>
    <w:p>
      <w:pPr>
        <w:jc w:val="both"/>
        <w:ind w:left="-20" w:firstLine="656"/>
        <w:spacing w:after="0" w:line="257" w:lineRule="auto"/>
        <w:tabs>
          <w:tab w:leader="none" w:pos="898"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Prospectus will not, as of its date or as of the applicable Delivery Date, contain an untrue statement of a material fact or omit to state a material fact necessary to make the statements therein, in the light of the 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representation or warranty is made as to information contained in or omitted from the Prospectus in reliance upon and in conformity with written information furnished to the Company by the Representative by or on behalf of any Underwriter specifically for inclusion therein, which information is specified in Section 9(e).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98" w:name="page99"/>
    <w:bookmarkEnd w:id="98"/>
    <w:p>
      <w:pPr>
        <w:jc w:val="both"/>
        <w:ind w:left="-20" w:firstLine="656"/>
        <w:spacing w:after="0" w:line="257" w:lineRule="auto"/>
        <w:tabs>
          <w:tab w:leader="none" w:pos="886"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representation or warranty is made as to information contained in or omitted from the Pricing Disclosure Package in reliance upon and in conformity with written information furnished to the Company by the Representative by or on behalf of any Underwriter specifically for inclusion therein, which information is specified in Section 9(e).</w:t>
      </w:r>
    </w:p>
    <w:p>
      <w:pPr>
        <w:spacing w:after="0" w:line="184" w:lineRule="exact"/>
        <w:rPr>
          <w:rFonts w:ascii="Arial" w:cs="Arial" w:eastAsia="Arial" w:hAnsi="Arial"/>
          <w:sz w:val="18"/>
          <w:szCs w:val="18"/>
          <w:color w:val="auto"/>
        </w:rPr>
      </w:pPr>
    </w:p>
    <w:p>
      <w:pPr>
        <w:jc w:val="both"/>
        <w:ind w:left="-20" w:firstLine="656"/>
        <w:spacing w:after="0" w:line="277" w:lineRule="auto"/>
        <w:tabs>
          <w:tab w:leader="none" w:pos="8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Each Issuer Free Writing Prospectus listed in </w:t>
      </w:r>
      <w:r>
        <w:rPr>
          <w:rFonts w:ascii="Arial" w:cs="Arial" w:eastAsia="Arial" w:hAnsi="Arial"/>
          <w:sz w:val="17"/>
          <w:szCs w:val="17"/>
          <w:b w:val="1"/>
          <w:bCs w:val="1"/>
          <w:color w:val="auto"/>
        </w:rPr>
        <w:t>Schedule V</w:t>
      </w:r>
      <w:r>
        <w:rPr>
          <w:rFonts w:ascii="Arial" w:cs="Arial" w:eastAsia="Arial" w:hAnsi="Arial"/>
          <w:sz w:val="17"/>
          <w:szCs w:val="17"/>
          <w:color w:val="auto"/>
        </w:rPr>
        <w:t xml:space="preserve"> hereto, when taken together with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representation or warranty is made as to information contained in or omitted from such Issuer Free Writing Prospectus listed in </w:t>
      </w:r>
      <w:r>
        <w:rPr>
          <w:rFonts w:ascii="Arial" w:cs="Arial" w:eastAsia="Arial" w:hAnsi="Arial"/>
          <w:sz w:val="17"/>
          <w:szCs w:val="17"/>
          <w:b w:val="1"/>
          <w:bCs w:val="1"/>
          <w:color w:val="auto"/>
        </w:rPr>
        <w:t>Schedule IV</w:t>
      </w:r>
      <w:r>
        <w:rPr>
          <w:rFonts w:ascii="Arial" w:cs="Arial" w:eastAsia="Arial" w:hAnsi="Arial"/>
          <w:sz w:val="17"/>
          <w:szCs w:val="17"/>
          <w:color w:val="auto"/>
        </w:rPr>
        <w:t xml:space="preserve"> hereto in reliance upon and in conformity with written information furnished to the Company by the Representative by or on behalf of any Underwriter specifically for inclusion therein, which information is specified in Section 9(e).</w:t>
      </w:r>
    </w:p>
    <w:p>
      <w:pPr>
        <w:spacing w:after="0" w:line="172" w:lineRule="exact"/>
        <w:rPr>
          <w:rFonts w:ascii="Arial" w:cs="Arial" w:eastAsia="Arial" w:hAnsi="Arial"/>
          <w:sz w:val="17"/>
          <w:szCs w:val="17"/>
          <w:color w:val="auto"/>
        </w:rPr>
      </w:pPr>
    </w:p>
    <w:p>
      <w:pPr>
        <w:jc w:val="both"/>
        <w:ind w:left="-20" w:firstLine="656"/>
        <w:spacing w:after="0" w:line="255" w:lineRule="auto"/>
        <w:tabs>
          <w:tab w:leader="none" w:pos="844"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Issuer Free Writing Prospectus conformed or will conform in all material respects to the requirements of the Securities Act and the rules and regulations thereunder on the date of first use, and the Company has complied with all prospectus delivery and any filing requirements applicable to such Issuer Free Writing Prospectus pursuant to the Securities Act and rules and regulations thereunder. The Company has not made any offer relating to the Securities that would constitute an Issuer Free Writing Prospectus without the prior written consent of the Representative. The Company has retained in accordance with the Securities Act and the rules and regulations thereunder all Issuer Free Writing Prospectuses that were not required to be filed pursuant to the Securities Act and the rules and regulations thereunder.</w:t>
      </w:r>
    </w:p>
    <w:p>
      <w:pPr>
        <w:spacing w:after="0" w:line="193" w:lineRule="exact"/>
        <w:rPr>
          <w:rFonts w:ascii="Arial" w:cs="Arial" w:eastAsia="Arial" w:hAnsi="Arial"/>
          <w:sz w:val="18"/>
          <w:szCs w:val="18"/>
          <w:color w:val="auto"/>
        </w:rPr>
      </w:pPr>
    </w:p>
    <w:p>
      <w:pPr>
        <w:jc w:val="both"/>
        <w:ind w:left="-20" w:firstLine="656"/>
        <w:spacing w:after="0" w:line="269" w:lineRule="auto"/>
        <w:tabs>
          <w:tab w:leader="none" w:pos="899"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Company has been duly organized, is validly existing and in good standing (where such concept is applicable) as a corporation or other business entity under the laws of its jurisdiction of organization and is duly qualified to do business and in good standing (where such concept is applicable) in each jurisdiction in which its ownership or lease of property or the conduct of its businesses requires such qualification, except where the failure to be so qualified or in good standing would not, in the aggregate, reasonably be expected to have a material adverse effect on the condition (financial or otherwise), results of operations, shareholders’ equity, properties, business or prospects of the Company and its subsidiaries taken as a whole (a “</w:t>
      </w:r>
      <w:r>
        <w:rPr>
          <w:rFonts w:ascii="Arial" w:cs="Arial" w:eastAsia="Arial" w:hAnsi="Arial"/>
          <w:sz w:val="17"/>
          <w:szCs w:val="17"/>
          <w:b w:val="1"/>
          <w:bCs w:val="1"/>
          <w:i w:val="1"/>
          <w:iCs w:val="1"/>
          <w:color w:val="auto"/>
        </w:rPr>
        <w:t>Material Adverse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Effect</w:t>
      </w:r>
      <w:r>
        <w:rPr>
          <w:rFonts w:ascii="Arial" w:cs="Arial" w:eastAsia="Arial" w:hAnsi="Arial"/>
          <w:sz w:val="17"/>
          <w:szCs w:val="17"/>
          <w:color w:val="auto"/>
        </w:rPr>
        <w:t>”). The Company has all corporate power and authority necessary to own or hold its properties and to conduct the businesses in which it is engaged.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does not own or control, directly or indirectly, any corporation, association or other entity other than the subsidiaries listed in Exhibit 21.1 to the Company’s Annual Report on Form 10-K for the year ended December 31, 2017, except for subsidiaries that in the aggregate would not constitute a “significant subsidiary” (as defined in Rule 405 under the Securities Act) (such subsidiaries, the “</w:t>
      </w:r>
      <w:r>
        <w:rPr>
          <w:rFonts w:ascii="Arial" w:cs="Arial" w:eastAsia="Arial" w:hAnsi="Arial"/>
          <w:sz w:val="17"/>
          <w:szCs w:val="17"/>
          <w:b w:val="1"/>
          <w:bCs w:val="1"/>
          <w:i w:val="1"/>
          <w:iCs w:val="1"/>
          <w:color w:val="auto"/>
        </w:rPr>
        <w:t>Significant Subsidiaries</w:t>
      </w:r>
      <w:r>
        <w:rPr>
          <w:rFonts w:ascii="Arial" w:cs="Arial" w:eastAsia="Arial" w:hAnsi="Arial"/>
          <w:sz w:val="17"/>
          <w:szCs w:val="17"/>
          <w:color w:val="auto"/>
        </w:rPr>
        <w:t>”). Neither the Company nor any subsidiary is currently designated as a “breaching company” (within the meaning of the Israeli Companies Law 5759 1999) by the Registrar of Companies of the State of Israel.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99" w:name="page100"/>
    <w:bookmarkEnd w:id="99"/>
    <w:p>
      <w:pPr>
        <w:jc w:val="both"/>
        <w:ind w:left="-20" w:firstLine="656"/>
        <w:spacing w:after="0" w:line="270" w:lineRule="auto"/>
        <w:tabs>
          <w:tab w:leader="none" w:pos="857"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Company has an authorized capitalization as set forth in the most recent Preliminary Prospectus and the Prospectus, and all of the issued shares of capital stock of the Company have been duly authorized and validly issued, are fully paid and non-assessable, conform in all material respects to the description thereof contained in the most recent Preliminary Prospectus and the Prospectus and were not issued in violation of any preemptive right, resale right, right of first refusal or similar right. All of the Company’s options, warrants and other rights to purchase or exchange any securities for shares of the Company’s capital stock have been duly authorized and validly issued, conform in all material respects to the description thereof contained in the most recent Preliminary Prospectus and the Prospectus. All of the issued shares of capital stock or other ownership interest of each subsidiary of the Company have been duly authorized and validly issued, are fully paid and non-assessable and are owned directly or indirectly by the Company, free and clear of all liens, encumbrances, equities or claims, except for such liens, encumbrances, equities or claims as would not, individually or in the aggregate, reasonably be expected to have a Material Adverse Effect.</w:t>
      </w:r>
    </w:p>
    <w:p>
      <w:pPr>
        <w:spacing w:after="0" w:line="181" w:lineRule="exact"/>
        <w:rPr>
          <w:rFonts w:ascii="Arial" w:cs="Arial" w:eastAsia="Arial" w:hAnsi="Arial"/>
          <w:sz w:val="17"/>
          <w:szCs w:val="17"/>
          <w:color w:val="auto"/>
        </w:rPr>
      </w:pPr>
    </w:p>
    <w:p>
      <w:pPr>
        <w:jc w:val="both"/>
        <w:ind w:left="-20" w:firstLine="656"/>
        <w:spacing w:after="0" w:line="259" w:lineRule="auto"/>
        <w:tabs>
          <w:tab w:leader="none" w:pos="93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Shares to be issued and sold by the Company to the Underwriters hereunder have been duly and validly authorized and, upon payment and delivery in accordance with this Agreement, will be duly and validly issued, fully paid and non-assessable, will conform in all material respects to the description thereof contained in the most recent Preliminary Prospectus and Prospectus, will be issued in compliance with federal and state securities laws and will be free of statutory and contractual preemptive rights, rights of first refusal and similar rights.</w:t>
      </w:r>
    </w:p>
    <w:p>
      <w:pPr>
        <w:spacing w:after="0" w:line="186" w:lineRule="exact"/>
        <w:rPr>
          <w:rFonts w:ascii="Arial" w:cs="Arial" w:eastAsia="Arial" w:hAnsi="Arial"/>
          <w:sz w:val="18"/>
          <w:szCs w:val="18"/>
          <w:color w:val="auto"/>
        </w:rPr>
      </w:pPr>
    </w:p>
    <w:p>
      <w:pPr>
        <w:ind w:left="-20" w:firstLine="656"/>
        <w:spacing w:after="0" w:line="277" w:lineRule="auto"/>
        <w:tabs>
          <w:tab w:leader="none" w:pos="91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grants and issuances of the Company’s Common Stock to its, or its subsidiaries’, employees were made pursuant to the stock-based compensation plans of the Company and its subsidiaries.</w:t>
      </w:r>
    </w:p>
    <w:p>
      <w:pPr>
        <w:spacing w:after="0" w:line="170" w:lineRule="exact"/>
        <w:rPr>
          <w:rFonts w:ascii="Arial" w:cs="Arial" w:eastAsia="Arial" w:hAnsi="Arial"/>
          <w:sz w:val="18"/>
          <w:szCs w:val="18"/>
          <w:color w:val="auto"/>
        </w:rPr>
      </w:pPr>
    </w:p>
    <w:p>
      <w:pPr>
        <w:ind w:left="-20" w:firstLine="656"/>
        <w:spacing w:after="0" w:line="277" w:lineRule="auto"/>
        <w:tabs>
          <w:tab w:leader="none" w:pos="91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has all requisite corporate power and authority to execute, deliver and perform its obligations under this Agreement. This Agreement has been duly and validly authorized, executed and delivered by the Company.</w:t>
      </w:r>
    </w:p>
    <w:p>
      <w:pPr>
        <w:spacing w:after="0" w:line="170" w:lineRule="exact"/>
        <w:rPr>
          <w:rFonts w:ascii="Arial" w:cs="Arial" w:eastAsia="Arial" w:hAnsi="Arial"/>
          <w:sz w:val="18"/>
          <w:szCs w:val="18"/>
          <w:color w:val="auto"/>
        </w:rPr>
      </w:pPr>
    </w:p>
    <w:p>
      <w:pPr>
        <w:jc w:val="both"/>
        <w:ind w:left="-20" w:firstLine="656"/>
        <w:spacing w:after="0" w:line="257" w:lineRule="auto"/>
        <w:tabs>
          <w:tab w:leader="none" w:pos="88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Warrant Shares have been duly authorized and reserved for issuance pursuant to the terms of the Pre-Funded Warrants and the Underwriter Warrants, and when issued by the Company upon valid exercise of the Pre-Funded Warrants and the Underwriter Warrants and payment of the exercise prices therein, as the case may be, will be validly issued, fully paid and non-assessable, will conform in all material respects to the description thereof contained in the most recent Preliminary Prospectus and Prospectus, will be issued in compliance with federal and state securities laws and will be free of statutory and contractual preemptive rights, rights of first refusal and similar rights.</w:t>
      </w:r>
    </w:p>
    <w:p>
      <w:pPr>
        <w:spacing w:after="0" w:line="188" w:lineRule="exact"/>
        <w:rPr>
          <w:rFonts w:ascii="Arial" w:cs="Arial" w:eastAsia="Arial" w:hAnsi="Arial"/>
          <w:sz w:val="18"/>
          <w:szCs w:val="18"/>
          <w:color w:val="auto"/>
        </w:rPr>
      </w:pPr>
    </w:p>
    <w:p>
      <w:pPr>
        <w:jc w:val="both"/>
        <w:ind w:left="-20" w:firstLine="656"/>
        <w:spacing w:after="0" w:line="255" w:lineRule="auto"/>
        <w:tabs>
          <w:tab w:leader="none" w:pos="89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Pre-Funded Warrants and the Underwriter Warrants have been duly authorized by the Company and, upon issuance against payment of the applicable consideration set forth herein, will (i) constitute valid and binding obligations of the Company, enforceable against the Company in accordance with their terms, except as the enforceability thereof may be limited by bankruptcy, insolvency, reorganization, moratorium or similar laws affecting creditors’ rights generally and general principles of equity, (ii) conform in all material respects to the description thereof contained in the most recent Preliminary Prospectus and Prospectus, (iii) be issued in compliance with federal and state securities laws and (iv) be free of statutory and contractual preemptive rights, rights of first refusal and similar rights.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100" w:name="page101"/>
    <w:bookmarkEnd w:id="100"/>
    <w:p>
      <w:pPr>
        <w:jc w:val="both"/>
        <w:ind w:left="-20" w:firstLine="656"/>
        <w:spacing w:after="0" w:line="269" w:lineRule="auto"/>
        <w:tabs>
          <w:tab w:leader="none" w:pos="883"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issuance and sale of the Securities, the execution, delivery and performance of this Agreement and the Pre-Funded Warrants and the Underwriter Warrants by the Company, the consummation of the transactions contemplated hereby and the application of the proceeds from the sale of the Firm Securities and Option Shares as described under “Use of Proceeds” in the most recent Preliminary Prospectus and the Prospectus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articles of association,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with respect to clauses (i) and (iii), for such conflicts, breaches, violations, liens, charges, encumbrances or defaults that would not, individually or in the aggregate, reasonably be expected to have a Material Adverse Effect.</w:t>
      </w:r>
    </w:p>
    <w:p>
      <w:pPr>
        <w:spacing w:after="0" w:line="182" w:lineRule="exact"/>
        <w:rPr>
          <w:rFonts w:ascii="Arial" w:cs="Arial" w:eastAsia="Arial" w:hAnsi="Arial"/>
          <w:sz w:val="17"/>
          <w:szCs w:val="17"/>
          <w:color w:val="auto"/>
        </w:rPr>
      </w:pPr>
    </w:p>
    <w:p>
      <w:pPr>
        <w:jc w:val="both"/>
        <w:ind w:left="-20" w:firstLine="656"/>
        <w:spacing w:after="0" w:line="259" w:lineRule="auto"/>
        <w:tabs>
          <w:tab w:leader="none" w:pos="865" w:val="left"/>
        </w:tabs>
        <w:numPr>
          <w:ilvl w:val="0"/>
          <w:numId w:val="76"/>
        </w:numPr>
        <w:rPr>
          <w:rFonts w:ascii="Arial" w:cs="Arial" w:eastAsia="Arial" w:hAnsi="Arial"/>
          <w:sz w:val="18"/>
          <w:szCs w:val="18"/>
          <w:color w:val="auto"/>
        </w:rPr>
      </w:pPr>
      <w:r>
        <w:rPr>
          <w:rFonts w:ascii="Arial" w:cs="Arial" w:eastAsia="Arial" w:hAnsi="Arial"/>
          <w:sz w:val="18"/>
          <w:szCs w:val="18"/>
          <w:color w:val="auto"/>
        </w:rPr>
        <w:t>Neither the Company nor any of its subsidiaries (i) is in violation of the performance or observance of any instrument of approval granted to it by the Israel Innovation Authority of the State of Israel (the “</w:t>
      </w:r>
      <w:r>
        <w:rPr>
          <w:rFonts w:ascii="Arial" w:cs="Arial" w:eastAsia="Arial" w:hAnsi="Arial"/>
          <w:sz w:val="18"/>
          <w:szCs w:val="18"/>
          <w:b w:val="1"/>
          <w:bCs w:val="1"/>
          <w:i w:val="1"/>
          <w:iCs w:val="1"/>
          <w:color w:val="auto"/>
        </w:rPr>
        <w:t>IIA</w:t>
      </w:r>
      <w:r>
        <w:rPr>
          <w:rFonts w:ascii="Arial" w:cs="Arial" w:eastAsia="Arial" w:hAnsi="Arial"/>
          <w:sz w:val="18"/>
          <w:szCs w:val="18"/>
          <w:color w:val="auto"/>
        </w:rPr>
        <w:t>”) nor (ii) is in violation with respect to any instrument of approval granted to it by the Investment Center of the Ministry of Economy of the State of Israel (the “</w:t>
      </w:r>
      <w:r>
        <w:rPr>
          <w:rFonts w:ascii="Arial" w:cs="Arial" w:eastAsia="Arial" w:hAnsi="Arial"/>
          <w:sz w:val="18"/>
          <w:szCs w:val="18"/>
          <w:b w:val="1"/>
          <w:bCs w:val="1"/>
          <w:i w:val="1"/>
          <w:iCs w:val="1"/>
          <w:color w:val="auto"/>
        </w:rPr>
        <w:t>Investment Center</w:t>
      </w:r>
      <w:r>
        <w:rPr>
          <w:rFonts w:ascii="Arial" w:cs="Arial" w:eastAsia="Arial" w:hAnsi="Arial"/>
          <w:sz w:val="18"/>
          <w:szCs w:val="18"/>
          <w:color w:val="auto"/>
        </w:rPr>
        <w:t>”), except for such violations that would not, singly or in the aggregate, be reasonably expected to result in a Material Adverse Effect.</w:t>
      </w:r>
    </w:p>
    <w:p>
      <w:pPr>
        <w:spacing w:after="0" w:line="186" w:lineRule="exact"/>
        <w:rPr>
          <w:rFonts w:ascii="Arial" w:cs="Arial" w:eastAsia="Arial" w:hAnsi="Arial"/>
          <w:sz w:val="18"/>
          <w:szCs w:val="18"/>
          <w:color w:val="auto"/>
        </w:rPr>
      </w:pPr>
    </w:p>
    <w:p>
      <w:pPr>
        <w:jc w:val="both"/>
        <w:ind w:left="-20" w:firstLine="656"/>
        <w:spacing w:after="0" w:line="286" w:lineRule="auto"/>
        <w:tabs>
          <w:tab w:leader="none" w:pos="843" w:val="left"/>
        </w:tabs>
        <w:numPr>
          <w:ilvl w:val="0"/>
          <w:numId w:val="76"/>
        </w:numPr>
        <w:rPr>
          <w:rFonts w:ascii="Arial" w:cs="Arial" w:eastAsia="Arial" w:hAnsi="Arial"/>
          <w:sz w:val="16"/>
          <w:szCs w:val="16"/>
          <w:color w:val="auto"/>
        </w:rPr>
      </w:pPr>
      <w:r>
        <w:rPr>
          <w:rFonts w:ascii="Arial" w:cs="Arial" w:eastAsia="Arial" w:hAnsi="Arial"/>
          <w:sz w:val="16"/>
          <w:szCs w:val="16"/>
          <w:color w:val="auto"/>
        </w:rPr>
        <w:t>Subject to the Underwriters’ compliance with its obligations under Section 2 of this Agreement, no consent, approval, authorization or order of, or filing, registration or qualification with, any court or governmental agency or body having jurisdiction over the Company or any of its subsidiaries or any of their respective properties or assets is required for the issuance and sale of the Securities, the execution, delivery and performance of this Agreement, the Pre-Funded Warrants and the Underwriter Warrants by the Company, the consummation of the transactions contemplated hereby and thereby, the application of the proceeds from the sale of the Firm Securities and Option Shares as described under “Use of Proceeds” in the most recent Preliminary Prospectus, except for (i) the registration of the Securities under the Securities Act; (ii) such consents, approvals, authorizations, orders, filings, registrations or qualifications as may be required under Exchange Act, and applicable state or foreign securities laws and/or the bylaws and rules of the Financial Industry Regulatory Authority (the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 in connection with the purchase and sale of the Firm Securities or the Option Shares by the Underwriters; (iii) the filing of certain information with the Registrar of Companies in the State of Israel and the Bank of Israel, in each case following the closing of the Offering, regarding the issuance and/or sale of the Securities, to the extent required; (v) the approval of the IIA, to the extent required; (vi) the transaction notification to The Nasdaq Stock Market LLC and the listing of the Shares and Warrant Shares on the Nasdaq Capital Market; (vii) consents, approvals, authorizations, orders, filings, registrations or qualifications as may be required by the Blue Sky laws of the various states; and (viii) such consents, approvals, authorizations, orders, filings, registrations or qualifications, which, if not obtained, would not, individually or in the aggregate, reasonably be expected to result in a Material Adverse Effect or materially impair the ability of the Company to consummate the transactions contemplated by the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101" w:name="page102"/>
    <w:bookmarkEnd w:id="101"/>
    <w:p>
      <w:pPr>
        <w:jc w:val="both"/>
        <w:ind w:left="-20" w:firstLine="656"/>
        <w:spacing w:after="0" w:line="268" w:lineRule="auto"/>
        <w:tabs>
          <w:tab w:leader="none" w:pos="927"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historical financial statements (including the related notes and supporting schedules) included or incorporated by reference, in the Registration Statement, most recent Preliminary Prospectus and the Prospectus, comply as to form in all material respects with the requirements of Regulation S-X under the Securities Act (“</w:t>
      </w:r>
      <w:r>
        <w:rPr>
          <w:rFonts w:ascii="Arial" w:cs="Arial" w:eastAsia="Arial" w:hAnsi="Arial"/>
          <w:sz w:val="17"/>
          <w:szCs w:val="17"/>
          <w:b w:val="1"/>
          <w:bCs w:val="1"/>
          <w:i w:val="1"/>
          <w:iCs w:val="1"/>
          <w:color w:val="auto"/>
        </w:rPr>
        <w:t>Regulation S-X</w:t>
      </w:r>
      <w:r>
        <w:rPr>
          <w:rFonts w:ascii="Arial" w:cs="Arial" w:eastAsia="Arial" w:hAnsi="Arial"/>
          <w:sz w:val="17"/>
          <w:szCs w:val="17"/>
          <w:color w:val="auto"/>
        </w:rPr>
        <w:t>”) and present fairly, in all material respects, the financial condition, results of operations and cash flows of the entities purported to be shown thereby at the dates and for the periods indicated and have been prepared in conformity with accounting principles generally accepted in the United States applied on a consistent basis throughout the periods involved. All disclosures contained in the Registration Statement, the Pricing Disclosure Package or the Prospectus regarding “non-GAAP financial measures” (as such term is defined by the rules and regulations of the Commission) comply with Regulation G under the Exchange Act and Item 10 of Regulation S-K and the Securities Act, to the extent applicable. There are no financial statements (historical or pro forma) that are required to be included in the Registration Statement, the Pricing Disclosure Package or the Prospectus that are not so included as required, and the Company does not have any material liabilities or obligations, direct or contingent (including any off-balance sheet obligations), not described in the Registration Statement (excluding the exhibits thereto) or the Preliminary Prospectus. The interactive data in eXtensible Business Reporting Language included or incorporated by reference in the Registration Statement, the Pricing Disclosure Package and the Prospectus fairly present the information called for in all material respects and have been prepared in accordance with the Commission’s rules and guidelines applicable thereto.</w:t>
      </w:r>
    </w:p>
    <w:p>
      <w:pPr>
        <w:spacing w:after="0" w:line="187" w:lineRule="exact"/>
        <w:rPr>
          <w:rFonts w:ascii="Arial" w:cs="Arial" w:eastAsia="Arial" w:hAnsi="Arial"/>
          <w:sz w:val="17"/>
          <w:szCs w:val="17"/>
          <w:color w:val="auto"/>
        </w:rPr>
      </w:pPr>
    </w:p>
    <w:p>
      <w:pPr>
        <w:jc w:val="both"/>
        <w:ind w:left="-20" w:firstLine="656"/>
        <w:spacing w:after="0" w:line="259" w:lineRule="auto"/>
        <w:tabs>
          <w:tab w:leader="none" w:pos="913" w:val="left"/>
        </w:tabs>
        <w:numPr>
          <w:ilvl w:val="0"/>
          <w:numId w:val="77"/>
        </w:numPr>
        <w:rPr>
          <w:rFonts w:ascii="Arial" w:cs="Arial" w:eastAsia="Arial" w:hAnsi="Arial"/>
          <w:sz w:val="18"/>
          <w:szCs w:val="18"/>
          <w:color w:val="auto"/>
        </w:rPr>
      </w:pPr>
      <w:r>
        <w:rPr>
          <w:rFonts w:ascii="Arial" w:cs="Arial" w:eastAsia="Arial" w:hAnsi="Arial"/>
          <w:sz w:val="18"/>
          <w:szCs w:val="18"/>
          <w:color w:val="auto"/>
        </w:rPr>
        <w:t>Brightman Almagor Zohar &amp; Co., a Member of Deloitte Touche Tohmatsu Limited, who have certified certain financial statements of the Company and its consolidated subsidiaries, whose report is included in the Registration Statement, most recent Preliminary Prospectus and the Prospectus, and who have delivered the initial letter referred to in Section 8(f) hereof, are independent public accountants as required by the Securities Act and the rules and regulations thereunder and the Public Accounting Oversight Board.</w:t>
      </w:r>
    </w:p>
    <w:p>
      <w:pPr>
        <w:spacing w:after="0" w:line="186" w:lineRule="exact"/>
        <w:rPr>
          <w:rFonts w:ascii="Arial" w:cs="Arial" w:eastAsia="Arial" w:hAnsi="Arial"/>
          <w:sz w:val="18"/>
          <w:szCs w:val="18"/>
          <w:color w:val="auto"/>
        </w:rPr>
      </w:pPr>
    </w:p>
    <w:p>
      <w:pPr>
        <w:jc w:val="both"/>
        <w:ind w:left="-20" w:firstLine="656"/>
        <w:spacing w:after="0" w:line="286" w:lineRule="auto"/>
        <w:tabs>
          <w:tab w:leader="none" w:pos="925"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internal control over financial reporting (as such term is defined in Rule 13a-15(f) under the Exchange Act) that complies with the requirements of the Exchange Act and that has been designed by, or under the supervision of, the Company’s principal executive and principal financial officers, to provide reasonable assurance regarding the reliability of financial reporting and the preparation of financial statements for external purposes in accordance with generally accepted accounting principles in the United States. The Company and each of its Significant Subsidiaries maintain internal accounting controls designed to provide reasonable assurances regarding the reliability of financial reporting and the preparation of financial statements for external purposes in accordance with generally accepted accounting principles in the United States, including, but not limited to,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accounting principles generally accepted in the United States and to maintain accountability for its assets, (iii) access to the Company’s assets is permitted only in accordance with management’s general or specific authorization, (iv) the recorded accountability for the Company’s assets is compared with existing assets at reasonable intervals and appropriate action is taken with respect to any differences and (v) the interactive data in eXtensible Business Reporting Language included or incorporated by reference in the Pricing Disclosure Package and the Prospectus fairly present the information called for in all material respects and are prepared in accordance with the Commission’s rules and guidelines applicable thereto. As of the date of the balance sheet of the Company and its consolidated subsidiaries audited by Brightman Almagor Zohar &amp; Co., a Member of Deloitte Touche Tohmatsu Limited, included in the Company’s Annual Report on Form 10-K for the fiscal year ended December 31, 2017, there were no material weaknesses in the Company’s internal controls.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102" w:name="page103"/>
    <w:bookmarkEnd w:id="102"/>
    <w:p>
      <w:pPr>
        <w:jc w:val="both"/>
        <w:ind w:left="-8" w:firstLine="656"/>
        <w:spacing w:after="0" w:line="286" w:lineRule="auto"/>
        <w:tabs>
          <w:tab w:leader="none" w:pos="901" w:val="left"/>
        </w:tabs>
        <w:numPr>
          <w:ilvl w:val="1"/>
          <w:numId w:val="78"/>
        </w:numPr>
        <w:rPr>
          <w:rFonts w:ascii="Arial" w:cs="Arial" w:eastAsia="Arial" w:hAnsi="Arial"/>
          <w:sz w:val="16"/>
          <w:szCs w:val="16"/>
          <w:color w:val="auto"/>
        </w:rPr>
      </w:pPr>
      <w:r>
        <w:rPr>
          <w:rFonts w:ascii="Arial" w:cs="Arial" w:eastAsia="Arial" w:hAnsi="Arial"/>
          <w:sz w:val="16"/>
          <w:szCs w:val="16"/>
          <w:color w:val="auto"/>
        </w:rPr>
        <w:t>(i) The Company and each of its Significant Subsidiaries maintain disclosure controls and procedures (as such term is defined in Rule 13a-15(e) under the Exchange Act), (ii) such disclosure controls and procedures are designed to ensure that the information required to be disclosed by the Company in the reports it files or furnishes under the Exchange Act is accumulated and communicated to management of the Company and its subsidiaries, including their respective principal executive officers and principal financial officers, as appropriate, to allow timely decisions regarding required disclosure to be made, and</w:t>
      </w:r>
    </w:p>
    <w:p>
      <w:pPr>
        <w:spacing w:after="0" w:line="1" w:lineRule="exact"/>
        <w:rPr>
          <w:rFonts w:ascii="Arial" w:cs="Arial" w:eastAsia="Arial" w:hAnsi="Arial"/>
          <w:sz w:val="16"/>
          <w:szCs w:val="16"/>
          <w:color w:val="auto"/>
        </w:rPr>
      </w:pPr>
    </w:p>
    <w:p>
      <w:pPr>
        <w:ind w:left="312" w:hanging="312"/>
        <w:spacing w:after="0"/>
        <w:tabs>
          <w:tab w:leader="none" w:pos="312"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such disclosure controls and procedures are effective in all material respects to perform the functions for which they were established.</w:t>
      </w:r>
    </w:p>
    <w:p>
      <w:pPr>
        <w:spacing w:after="0" w:line="210" w:lineRule="exact"/>
        <w:rPr>
          <w:rFonts w:ascii="Arial" w:cs="Arial" w:eastAsia="Arial" w:hAnsi="Arial"/>
          <w:sz w:val="18"/>
          <w:szCs w:val="18"/>
          <w:color w:val="auto"/>
        </w:rPr>
      </w:pPr>
    </w:p>
    <w:p>
      <w:pPr>
        <w:jc w:val="both"/>
        <w:ind w:left="-8" w:firstLine="656"/>
        <w:spacing w:after="0" w:line="291" w:lineRule="auto"/>
        <w:tabs>
          <w:tab w:leader="none" w:pos="896" w:val="left"/>
        </w:tabs>
        <w:numPr>
          <w:ilvl w:val="1"/>
          <w:numId w:val="79"/>
        </w:numPr>
        <w:rPr>
          <w:rFonts w:ascii="Arial" w:cs="Arial" w:eastAsia="Arial" w:hAnsi="Arial"/>
          <w:sz w:val="16"/>
          <w:szCs w:val="16"/>
          <w:color w:val="auto"/>
        </w:rPr>
      </w:pPr>
      <w:r>
        <w:rPr>
          <w:rFonts w:ascii="Arial" w:cs="Arial" w:eastAsia="Arial" w:hAnsi="Arial"/>
          <w:sz w:val="16"/>
          <w:szCs w:val="16"/>
          <w:color w:val="auto"/>
        </w:rPr>
        <w:t>Since the date of the latest audited financial statements of the Company and its consolidated subsidiaries audited by Brightman Almagor Zohar &amp; Co., a Member of Deloitte Touche Tohmatsu Limited, included in the Company’s Annual Report on Form 10-K for the fiscal year ended December 31, 2017, the Company has not been advised of or become aware of (A) any significant deficiencies in the design or operation of internal controls that would be reasonably likely to materially adversely affect the ability of the Company or any of its subsidiaries to record, process, summarize and report financial data, or any material weaknesses in internal controls, and (B) any fraud, whether or not material, that involves management or other employees who have a significant role in the internal controls of the Company and each of its subsidiaries; and (ii) there have been no significant changes in internal controls or in other factors that could significantly adversely affect internal controls, including any corrective actions with regard to significant deficiencies and material weaknesses.</w:t>
      </w:r>
    </w:p>
    <w:p>
      <w:pPr>
        <w:spacing w:after="0" w:line="167" w:lineRule="exact"/>
        <w:rPr>
          <w:rFonts w:ascii="Arial" w:cs="Arial" w:eastAsia="Arial" w:hAnsi="Arial"/>
          <w:sz w:val="16"/>
          <w:szCs w:val="16"/>
          <w:color w:val="auto"/>
        </w:rPr>
      </w:pPr>
    </w:p>
    <w:p>
      <w:pPr>
        <w:jc w:val="both"/>
        <w:ind w:left="-8" w:firstLine="656"/>
        <w:spacing w:after="0" w:line="289" w:lineRule="auto"/>
        <w:tabs>
          <w:tab w:leader="none" w:pos="930"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section titled “Part II, Item 7. Management’s Discussion and Analysis of Financial Condition and Results of Operations—Critical Accounting Policies and Significant Judgments and Estimates” in the Company’s Annual Report on Form 10-K for the fiscal year ended December 31, 2017, as subsequently updated by the sections titled “Part I, Item 2. Management’s Discussion and Analysis of Financial Condition and Results of Operations— Financial Operations Overview—Critical Accounting Policies and Significant Judgments and Estimates” in the Company’s Quarterly Reports on Form 10-Q for the quarterly periods ended March 31, 2018 and June 30, 2018, which are, in each case, incorporated by reference into the most recent Preliminary Prospectus and the Prospectus, accurately describes in all material respects (i) the accounting policies that the Company believes are the most important in the portrayal of the Company’s financial condition and results of operations and that require management’s most difficult, subjective or complex judgments (“</w:t>
      </w:r>
      <w:r>
        <w:rPr>
          <w:rFonts w:ascii="Arial" w:cs="Arial" w:eastAsia="Arial" w:hAnsi="Arial"/>
          <w:sz w:val="16"/>
          <w:szCs w:val="16"/>
          <w:b w:val="1"/>
          <w:bCs w:val="1"/>
          <w:i w:val="1"/>
          <w:iCs w:val="1"/>
          <w:color w:val="auto"/>
        </w:rPr>
        <w:t>Critical Accounting Policies</w:t>
      </w:r>
      <w:r>
        <w:rPr>
          <w:rFonts w:ascii="Arial" w:cs="Arial" w:eastAsia="Arial" w:hAnsi="Arial"/>
          <w:sz w:val="16"/>
          <w:szCs w:val="16"/>
          <w:color w:val="auto"/>
        </w:rPr>
        <w:t>”); (ii) the judgments and uncertainties affecting the application of Critical Accounting Policies; and (iii) the likelihood that materially different amounts would be reported under different conditions or using different assumptions and an explanation thereof.</w:t>
      </w:r>
    </w:p>
    <w:p>
      <w:pPr>
        <w:spacing w:after="0" w:line="16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103" w:name="page104"/>
    <w:bookmarkEnd w:id="103"/>
    <w:p>
      <w:pPr>
        <w:jc w:val="both"/>
        <w:ind w:left="-8" w:firstLine="656"/>
        <w:spacing w:after="0" w:line="286" w:lineRule="auto"/>
        <w:tabs>
          <w:tab w:leader="none" w:pos="963" w:val="left"/>
        </w:tabs>
        <w:numPr>
          <w:ilvl w:val="1"/>
          <w:numId w:val="80"/>
        </w:numPr>
        <w:rPr>
          <w:rFonts w:ascii="Arial" w:cs="Arial" w:eastAsia="Arial" w:hAnsi="Arial"/>
          <w:sz w:val="17"/>
          <w:szCs w:val="17"/>
          <w:color w:val="auto"/>
        </w:rPr>
      </w:pPr>
      <w:r>
        <w:rPr>
          <w:rFonts w:ascii="Arial" w:cs="Arial" w:eastAsia="Arial" w:hAnsi="Arial"/>
          <w:sz w:val="17"/>
          <w:szCs w:val="17"/>
          <w:color w:val="auto"/>
        </w:rPr>
        <w:t>There is and has been no failure on the part of the Company or, to the knowledge of the Company, any of the Company’s directors or officers, in their capacities as such, to comply with any provision of the Sarbanes-Oxley Act of 2002 and the rules and regulations promulgated in connection therewith that are applicable to the Company or its directors or officers in their capacities as directors or officers of the Company.</w:t>
      </w:r>
    </w:p>
    <w:p>
      <w:pPr>
        <w:spacing w:after="0" w:line="165" w:lineRule="exact"/>
        <w:rPr>
          <w:rFonts w:ascii="Arial" w:cs="Arial" w:eastAsia="Arial" w:hAnsi="Arial"/>
          <w:sz w:val="17"/>
          <w:szCs w:val="17"/>
          <w:color w:val="auto"/>
        </w:rPr>
      </w:pPr>
    </w:p>
    <w:p>
      <w:pPr>
        <w:jc w:val="both"/>
        <w:ind w:left="-8" w:firstLine="656"/>
        <w:spacing w:after="0" w:line="284" w:lineRule="auto"/>
        <w:tabs>
          <w:tab w:leader="none" w:pos="996" w:val="left"/>
        </w:tabs>
        <w:numPr>
          <w:ilvl w:val="1"/>
          <w:numId w:val="80"/>
        </w:numPr>
        <w:rPr>
          <w:rFonts w:ascii="Arial" w:cs="Arial" w:eastAsia="Arial" w:hAnsi="Arial"/>
          <w:sz w:val="16"/>
          <w:szCs w:val="16"/>
          <w:color w:val="auto"/>
        </w:rPr>
      </w:pPr>
      <w:r>
        <w:rPr>
          <w:rFonts w:ascii="Arial" w:cs="Arial" w:eastAsia="Arial" w:hAnsi="Arial"/>
          <w:sz w:val="16"/>
          <w:szCs w:val="16"/>
          <w:color w:val="auto"/>
        </w:rPr>
        <w:t>Except as would not, in the aggregate, reasonably be expected to have a Material Adverse Effect, since the date of the latest audited financial statements included in the Registration Statement, most recent Preliminary Prospectus and the Prospectus, and, with respect to (ii), (iii) and (iv) below, except as disclosed in the Registration Statement, most recent Preliminary Prospectus and the Prospectus, neither the Company nor any of its subsidiaries has (i) sustained any loss or interference with its business from fire, explosion, flood or other calamity, whether or not covered by insurance, or from any labor dispute or court or governmental action, order or decree, (ii) issued or granted any securities (other than pursuant to employee benefit plans, qualified stock option plans or other equity compensation plans or arrangements existing on the date hereof, which are disclosed in the Pricing Disclosure Package and the Prospectus (the “</w:t>
      </w:r>
      <w:r>
        <w:rPr>
          <w:rFonts w:ascii="Arial" w:cs="Arial" w:eastAsia="Arial" w:hAnsi="Arial"/>
          <w:sz w:val="16"/>
          <w:szCs w:val="16"/>
          <w:b w:val="1"/>
          <w:bCs w:val="1"/>
          <w:i w:val="1"/>
          <w:iCs w:val="1"/>
          <w:color w:val="auto"/>
        </w:rPr>
        <w:t>Specified Equity Plans</w:t>
      </w:r>
      <w:r>
        <w:rPr>
          <w:rFonts w:ascii="Arial" w:cs="Arial" w:eastAsia="Arial" w:hAnsi="Arial"/>
          <w:sz w:val="16"/>
          <w:szCs w:val="16"/>
          <w:color w:val="auto"/>
        </w:rPr>
        <w:t>”), and other issuances and grants, which are disclosed in the Pricing Disclosure Package and the Prospectus), (iii) incurred any material liability or obligation, direct or contingent, other than liabilities and obligations that were incurred in the ordinary course of business,</w:t>
      </w:r>
    </w:p>
    <w:p>
      <w:pPr>
        <w:spacing w:after="0" w:line="1" w:lineRule="exact"/>
        <w:rPr>
          <w:rFonts w:ascii="Arial" w:cs="Arial" w:eastAsia="Arial" w:hAnsi="Arial"/>
          <w:sz w:val="16"/>
          <w:szCs w:val="16"/>
          <w:color w:val="auto"/>
        </w:rPr>
      </w:pPr>
    </w:p>
    <w:p>
      <w:pPr>
        <w:jc w:val="both"/>
        <w:ind w:left="-8" w:firstLine="8"/>
        <w:spacing w:after="0" w:line="271" w:lineRule="auto"/>
        <w:tabs>
          <w:tab w:leader="none" w:pos="318" w:val="left"/>
        </w:tabs>
        <w:numPr>
          <w:ilvl w:val="0"/>
          <w:numId w:val="81"/>
        </w:numPr>
        <w:rPr>
          <w:rFonts w:ascii="Arial" w:cs="Arial" w:eastAsia="Arial" w:hAnsi="Arial"/>
          <w:sz w:val="17"/>
          <w:szCs w:val="17"/>
          <w:color w:val="auto"/>
        </w:rPr>
      </w:pPr>
      <w:r>
        <w:rPr>
          <w:rFonts w:ascii="Arial" w:cs="Arial" w:eastAsia="Arial" w:hAnsi="Arial"/>
          <w:sz w:val="17"/>
          <w:szCs w:val="17"/>
          <w:color w:val="auto"/>
        </w:rPr>
        <w:t>entered into any material transaction not in the ordinary course of business, or (v) declared or paid any dividend on its share capital, and, except as disclosed in the Registration Statement, the Preliminary Prospectus and the Prospectus, since such date, there has not been any change in the share capital (other than pursuant to the Specified Equity Plans), long-term debt, net current assets or short-term debt of the Company or any of its subsidiaries or any adverse change, or any development involving a prospective adverse change, in or affecting the condition (financial or otherwise), results of operations, shareholders’ equity, properties, management, business or prospects of the Company and its subsidiaries taken as a whole.</w:t>
      </w:r>
    </w:p>
    <w:p>
      <w:pPr>
        <w:spacing w:after="0" w:line="178" w:lineRule="exact"/>
        <w:rPr>
          <w:rFonts w:ascii="Arial" w:cs="Arial" w:eastAsia="Arial" w:hAnsi="Arial"/>
          <w:sz w:val="17"/>
          <w:szCs w:val="17"/>
          <w:color w:val="auto"/>
        </w:rPr>
      </w:pPr>
    </w:p>
    <w:p>
      <w:pPr>
        <w:jc w:val="both"/>
        <w:ind w:left="-8" w:firstLine="656"/>
        <w:spacing w:after="0" w:line="255" w:lineRule="auto"/>
        <w:tabs>
          <w:tab w:leader="none" w:pos="97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Company and each of its subsidiaries have good and marketable title in fee simple to all real property and good and marketable title to all personal property owned by them, that are material to the business of the Company, in each case free and clear of all liens, encumbrances and defects, except such rights, liens, encumbrances and defects as are described in the most recent Preliminary Prospectus and the Prospectus or such as do not materially affect the value of such property and do not materially interfere with the use made and proposed to be made of such property by the Company and its subsidiaries. All assets held under lease by the Company and its subsidiaries, that are material to the business of the Company, are held by them under valid, subsisting and enforceable leases, with such exceptions as do not materially interfere with the use made and proposed to be made of such assets by the Company and its subsidiaries.</w:t>
      </w:r>
    </w:p>
    <w:p>
      <w:pPr>
        <w:spacing w:after="0" w:line="1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104" w:name="page105"/>
    <w:bookmarkEnd w:id="104"/>
    <w:p>
      <w:pPr>
        <w:jc w:val="both"/>
        <w:ind w:left="-20" w:firstLine="656"/>
        <w:spacing w:after="0" w:line="286" w:lineRule="auto"/>
        <w:tabs>
          <w:tab w:leader="none" w:pos="979" w:val="left"/>
        </w:tabs>
        <w:numPr>
          <w:ilvl w:val="0"/>
          <w:numId w:val="82"/>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most recent Preliminary Prospectus and the Prospectus, the Company and, to the Company’s knowledge, its directors, officers, employees, and agents (while acting in such capacity) are, and at all times prior hereto have been, in compliance with, all health care laws and regulations applicable to the Company or any of its product candidates or activities based on their stage of development, including development and testing of medical device products, kickbacks, recordkeeping, documentation requirements, the hiring of employees (to the extent governed by health care laws), quality, safety, privacy, security, licensure, accreditation or any other aspect of developing and testing medical device products (collectively, “</w:t>
      </w:r>
      <w:r>
        <w:rPr>
          <w:rFonts w:ascii="Arial" w:cs="Arial" w:eastAsia="Arial" w:hAnsi="Arial"/>
          <w:sz w:val="16"/>
          <w:szCs w:val="16"/>
          <w:b w:val="1"/>
          <w:bCs w:val="1"/>
          <w:i w:val="1"/>
          <w:iCs w:val="1"/>
          <w:color w:val="auto"/>
        </w:rPr>
        <w:t>Health Care Laws</w:t>
      </w:r>
      <w:r>
        <w:rPr>
          <w:rFonts w:ascii="Arial" w:cs="Arial" w:eastAsia="Arial" w:hAnsi="Arial"/>
          <w:sz w:val="16"/>
          <w:szCs w:val="16"/>
          <w:color w:val="auto"/>
        </w:rPr>
        <w:t>”), except where such noncompliance would not, individually or in the aggregate, have a Material Adverse Effect. Except as disclosed in the Registration Statement, most recent Preliminary Prospectus and the Prospectus, the Company has not received any notification, correspondence or any other written or oral communication, including notification of any pending or threatened claim, suit, proceeding, hearing, enforcement, investigation, arbitration or other action from any governmental authority, including, without limitation, the United States Food and Drug Administration (“</w:t>
      </w:r>
      <w:r>
        <w:rPr>
          <w:rFonts w:ascii="Arial" w:cs="Arial" w:eastAsia="Arial" w:hAnsi="Arial"/>
          <w:sz w:val="16"/>
          <w:szCs w:val="16"/>
          <w:b w:val="1"/>
          <w:bCs w:val="1"/>
          <w:i w:val="1"/>
          <w:iCs w:val="1"/>
          <w:color w:val="auto"/>
        </w:rPr>
        <w:t>FDA</w:t>
      </w:r>
      <w:r>
        <w:rPr>
          <w:rFonts w:ascii="Arial" w:cs="Arial" w:eastAsia="Arial" w:hAnsi="Arial"/>
          <w:sz w:val="16"/>
          <w:szCs w:val="16"/>
          <w:color w:val="auto"/>
        </w:rPr>
        <w:t>”), the Centers for Medicare &amp; Medicaid Services, the U.S. Department of Health and Human Services Office of Inspector General, the European Medicines Agency and the Ministry of Health of the State of Israel, of potential or actual non-compliance by, or liability of, the Company under any Health Care Laws. To the Company’s knowledge, there are no facts or circumstances that would reasonably be expected to give rise to liability of the Company under any Health Care Laws, except that would not individually or in the aggregate have a Material Adverse Effect.</w:t>
      </w:r>
    </w:p>
    <w:p>
      <w:pPr>
        <w:spacing w:after="0" w:line="174" w:lineRule="exact"/>
        <w:rPr>
          <w:rFonts w:ascii="Arial" w:cs="Arial" w:eastAsia="Arial" w:hAnsi="Arial"/>
          <w:sz w:val="16"/>
          <w:szCs w:val="16"/>
          <w:color w:val="auto"/>
        </w:rPr>
      </w:pPr>
    </w:p>
    <w:p>
      <w:pPr>
        <w:jc w:val="both"/>
        <w:ind w:left="-20" w:firstLine="656"/>
        <w:spacing w:after="0" w:line="286" w:lineRule="auto"/>
        <w:tabs>
          <w:tab w:leader="none" w:pos="957"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Company and its subsidiaries own, or have obtained, where applicable, valid and enforceable licenses in writing for, the inventions, patent applications, patents, trademarks, trade names, service names, copyrights, proprietary information (including trade secrets) and other intellectual property described in the Registration Statement, the Pricing Disclosure Package and the Prospectus as being owned or licensed by them or which that are necessary for the conduct of their respective businesses as currently conducted or as currently proposed to be conducted (collectively, “</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To the Company’s knowledge: (i) there are no third parties who have rights to any Intellectual Property, except for customary reversionary rights of third-party licensors with respect to Intellectual Property that is disclosed in the Registration Statement, the Pricing Disclosure Package and the Prospectus as licensed to the Company or one or more of its subsidiaries; and (ii) there is no infringement by third parties of any Intellectual Property. There is no pending or, to the Company’s knowledge, threatened action, suit, proceeding or claim by others: (A) challenging the Company’s rights in or to any Intellectual Property, and the Company has no knowledge of any facts which would form a reasonable basis for any such action, suit, proceeding or claim; (B) challenging the validity, enforceability or scope of any Intellectual Property, and the Company has no knowledge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the Pricing Disclosure Package or the Prospectus as under development, infringe or violate, any patent, trademark, trade name, service name, copyright, proprietary information (including any trade secret) or other proprietary rights of others, and the Company has no knowledge of any facts which that would form a reasonable basis for any such action, suit, proceeding or claim.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105" w:name="page106"/>
    <w:bookmarkEnd w:id="105"/>
    <w:p>
      <w:pPr>
        <w:jc w:val="both"/>
        <w:ind w:left="-20" w:firstLine="656"/>
        <w:spacing w:after="0" w:line="288" w:lineRule="auto"/>
        <w:tabs>
          <w:tab w:leader="none" w:pos="929"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Company and its subsidiaries possess such valid and current certificates, authorizations or permits required by state, federal or foreign, including Israeli, regulatory agencies or bodies to conduct their respective businesses as currently conducted and as described in the Registration Statement, the Pricing Disclosure Package or the Prospectus (“</w:t>
      </w:r>
      <w:r>
        <w:rPr>
          <w:rFonts w:ascii="Arial" w:cs="Arial" w:eastAsia="Arial" w:hAnsi="Arial"/>
          <w:sz w:val="16"/>
          <w:szCs w:val="16"/>
          <w:b w:val="1"/>
          <w:bCs w:val="1"/>
          <w:i w:val="1"/>
          <w:iCs w:val="1"/>
          <w:color w:val="auto"/>
        </w:rPr>
        <w:t>Permits</w:t>
      </w:r>
      <w:r>
        <w:rPr>
          <w:rFonts w:ascii="Arial" w:cs="Arial" w:eastAsia="Arial" w:hAnsi="Arial"/>
          <w:sz w:val="16"/>
          <w:szCs w:val="16"/>
          <w:color w:val="auto"/>
        </w:rPr>
        <w:t>”), except where the failure to so possess would not, singly or in the aggregate, reasonably be expected to result in a Material Adverse Effect. Neither the Company nor any of its subsidiaries is in violation of, or in default under, any of the Permits or has received any notice of proceedings relating to the revocation or modification of, or non-compliance with, any such certificate, authorization or permit, except for such violations or defaults that would not, singly or in the aggregate, reasonably be expected to result in a Material Adverse Effect. Neither the Company nor any of its subsidiaries has received any notice of proceedings relating to the revocation or modification of any Permits which, singly or in the aggregate, if the subject of an unfavorable decision, ruling or finding, would reasonably be expected to result in a Material Adverse Effect. The Company has not received any notice denying, revoking or modifying any “approved enterprise” or “benefited enterprise” or “preferred enterprise” status with respect to any of the Company’s facilities or operations or with respect to any grants or benefits from the IIA or the Investment Center.</w:t>
      </w:r>
    </w:p>
    <w:p>
      <w:pPr>
        <w:spacing w:after="0" w:line="169" w:lineRule="exact"/>
        <w:rPr>
          <w:rFonts w:ascii="Arial" w:cs="Arial" w:eastAsia="Arial" w:hAnsi="Arial"/>
          <w:sz w:val="16"/>
          <w:szCs w:val="16"/>
          <w:color w:val="auto"/>
        </w:rPr>
      </w:pPr>
    </w:p>
    <w:p>
      <w:pPr>
        <w:jc w:val="both"/>
        <w:ind w:left="-20" w:firstLine="656"/>
        <w:spacing w:after="0" w:line="269" w:lineRule="auto"/>
        <w:tabs>
          <w:tab w:leader="none" w:pos="998" w:val="left"/>
        </w:tabs>
        <w:numPr>
          <w:ilvl w:val="0"/>
          <w:numId w:val="83"/>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Pricing Disclosure Package, Preliminary Prospectus and the Prospectus or as would not reasonably be expected to have a Material Adverse Effect, during the period commencing on November 28, 2016 and ending on December 31, 2017 with respect to the Company, and during the three (3) year period ending on December 31, 2017 with respect to Microbot Medical Ltd., an Israeli corporation and wholly-owned subsidiary of the Company (“</w:t>
      </w:r>
      <w:r>
        <w:rPr>
          <w:rFonts w:ascii="Arial" w:cs="Arial" w:eastAsia="Arial" w:hAnsi="Arial"/>
          <w:sz w:val="17"/>
          <w:szCs w:val="17"/>
          <w:b w:val="1"/>
          <w:bCs w:val="1"/>
          <w:i w:val="1"/>
          <w:iCs w:val="1"/>
          <w:color w:val="auto"/>
        </w:rPr>
        <w:t>Microbot Israel</w:t>
      </w:r>
      <w:r>
        <w:rPr>
          <w:rFonts w:ascii="Arial" w:cs="Arial" w:eastAsia="Arial" w:hAnsi="Arial"/>
          <w:sz w:val="17"/>
          <w:szCs w:val="17"/>
          <w:color w:val="auto"/>
        </w:rPr>
        <w:t>”), and in each case through the date hereof, the Company or Microbot Israel, as the case may be, has not had any product or Company or Microbot Israel owned manufacturing site subject to a governmental authority (including FDA) shutdown or import or export prohibition, nor received any FDA Form 483 or other governmental authority notice of inspectional observations, “warning letters,” “untitled letters,” requests to make changes to the Company’s or Microbot Israel’s, as the case may be, products, processes or operations, or similar correspondence or notice from the FDA or other governmental authority alleging or asserting material noncompliance with any applicable Health Care Laws. Since the time Microbot Israel, or the Company since November 28, 2016, entered into a relationship with any contract manufacturer or joint developer for Company products, as the case may be, to the knowledge of the Company, no other manufacturing site of the Company’s products has been subject to or received any such shutdown, prohibition, notice, letter or request. To the Company’s knowledge, neither the FDA nor any other governmental authority has threatened such action.</w:t>
      </w:r>
    </w:p>
    <w:p>
      <w:pPr>
        <w:spacing w:after="0" w:line="179" w:lineRule="exact"/>
        <w:rPr>
          <w:rFonts w:ascii="Arial" w:cs="Arial" w:eastAsia="Arial" w:hAnsi="Arial"/>
          <w:sz w:val="17"/>
          <w:szCs w:val="17"/>
          <w:color w:val="auto"/>
        </w:rPr>
      </w:pPr>
    </w:p>
    <w:p>
      <w:pPr>
        <w:jc w:val="both"/>
        <w:ind w:left="-20" w:firstLine="656"/>
        <w:spacing w:after="0" w:line="270" w:lineRule="auto"/>
        <w:tabs>
          <w:tab w:leader="none" w:pos="998" w:val="left"/>
        </w:tabs>
        <w:numPr>
          <w:ilvl w:val="0"/>
          <w:numId w:val="83"/>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Pricing Disclosure Package, Preliminary Prospectus and the Prospectus or as would not reasonably be expected to have a Material Adverse Effect, (i) there are no recalls, field notifications, field corrections, market withdrawals or replacements, warnings, “dear doctor” letters, investigator notices, safety alerts or other notice of action relating to an alleged lack of safety, efficacy, or regulatory compliance of the Company’s or Microbot Israel’s products (“</w:t>
      </w:r>
      <w:r>
        <w:rPr>
          <w:rFonts w:ascii="Arial" w:cs="Arial" w:eastAsia="Arial" w:hAnsi="Arial"/>
          <w:sz w:val="17"/>
          <w:szCs w:val="17"/>
          <w:b w:val="1"/>
          <w:bCs w:val="1"/>
          <w:i w:val="1"/>
          <w:iCs w:val="1"/>
          <w:color w:val="auto"/>
        </w:rPr>
        <w:t>Safety Notices</w:t>
      </w:r>
      <w:r>
        <w:rPr>
          <w:rFonts w:ascii="Arial" w:cs="Arial" w:eastAsia="Arial" w:hAnsi="Arial"/>
          <w:sz w:val="17"/>
          <w:szCs w:val="17"/>
          <w:color w:val="auto"/>
        </w:rPr>
        <w:t>”), with respect to the Company since November 28, 2016 and with respect to Microbot Israel during the three (3) year period ending on December 31, 2017 and through the date hereof and, (ii) such Safety Notices, if any, were resolved or closed, and (iii) to the Company’s knowledge, there are no material complaints with respect to the Company’s products that are currently unresolved. There are no Safety Notices, or, to the Company’s knowledge, material product complaints with respect to the Company’s products, and to the Company’s knowledge, there are no facts that would be reasonably likely to result in (i) a material Safety Notice with respect to the Company’s products, (ii) a material change in labeling of any of the Company’s products, or (iii) a termination or suspension of marketing or testing of any of the Company’s products, except as would not reasonably be expected to have a Material Adverse Effect.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106" w:name="page107"/>
    <w:bookmarkEnd w:id="106"/>
    <w:p>
      <w:pPr>
        <w:jc w:val="both"/>
        <w:ind w:left="-20" w:firstLine="656"/>
        <w:spacing w:after="0" w:line="291" w:lineRule="auto"/>
        <w:tabs>
          <w:tab w:leader="none" w:pos="91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pre-clinical and animal studies and tests conducted by the Company and, to the knowledge of the Company, the pre-clinical and animal studies conducted on behalf of or sponsored by the Company, were, and if still pending, are, being conducted in all material respects in accordance with all applicable Health Care Laws and standard medical and scientific research procedures, including, but not limited to, the Federal Food, Drug and Cosmetic Act and its applicable implementing regulations at 21 C.F.R. Parts 58 and 812. Any descriptions of pre-clinical, animal and other studies and tests, including any related results and regulatory status, contained in the Registration Statement, the Pricing Disclosure Package or the Prospectus are accurate in all material respects. Except as disclosed in the Registration Statement, Pricing Disclosure Package and the Prospectus, no 510(k) and/or de novo application made by or on behalf of the Company (since November 28, 2016) or Microbot Israel with the FDA has been terminated or suspended by the FDA.</w:t>
      </w:r>
    </w:p>
    <w:p>
      <w:pPr>
        <w:spacing w:after="0" w:line="167" w:lineRule="exact"/>
        <w:rPr>
          <w:rFonts w:ascii="Arial" w:cs="Arial" w:eastAsia="Arial" w:hAnsi="Arial"/>
          <w:sz w:val="16"/>
          <w:szCs w:val="16"/>
          <w:color w:val="auto"/>
        </w:rPr>
      </w:pPr>
    </w:p>
    <w:p>
      <w:pPr>
        <w:jc w:val="both"/>
        <w:ind w:left="-20" w:firstLine="656"/>
        <w:spacing w:after="0" w:line="276" w:lineRule="auto"/>
        <w:tabs>
          <w:tab w:leader="none" w:pos="924" w:val="left"/>
        </w:tabs>
        <w:numPr>
          <w:ilvl w:val="0"/>
          <w:numId w:val="84"/>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Pricing Disclosure Package, and the Prospectus, there are no legal or governmental proceedings pending to which the Company or any of its subsidiaries is a party or of which any property or assets of the Company or any of its subsidiaries is the subject that would, in the aggregate, reasonably be expected to have a Material Adverse Effect or would, in the aggregate, reasonably be expected to have a material adverse effect on the performance of this Agreement or the consummation of the transactions contemplated hereby; and to the Company’s knowledge, no such proceedings are threatened or contemplated by governmental authorities or others.</w:t>
      </w:r>
    </w:p>
    <w:p>
      <w:pPr>
        <w:spacing w:after="0" w:line="172" w:lineRule="exact"/>
        <w:rPr>
          <w:rFonts w:ascii="Arial" w:cs="Arial" w:eastAsia="Arial" w:hAnsi="Arial"/>
          <w:sz w:val="17"/>
          <w:szCs w:val="17"/>
          <w:color w:val="auto"/>
        </w:rPr>
      </w:pPr>
    </w:p>
    <w:p>
      <w:pPr>
        <w:jc w:val="both"/>
        <w:ind w:left="-20" w:firstLine="656"/>
        <w:spacing w:after="0" w:line="255" w:lineRule="auto"/>
        <w:tabs>
          <w:tab w:leader="none" w:pos="981"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There are no contracts or other documents required to be described in the Registration Statement, most recent Preliminary Prospectus and the Prospectus, or filed as exhibits to the Registration Statement, that are not described and filed as required. The statements made in the Registration Statement, most recent Preliminary Prospectus and the Prospectus, insofar as they purport to constitute summaries of the terms of the contracts and other documents described and filed, constitute accurate summaries of the terms of such contracts and documents in all material respects. Neither the Company nor any of its subsidiaries has knowledge that any other party to any such contract or other document has any intention not to render full performance as contemplated by the terms thereof.</w:t>
      </w:r>
    </w:p>
    <w:p>
      <w:pPr>
        <w:spacing w:after="0" w:line="193" w:lineRule="exact"/>
        <w:rPr>
          <w:rFonts w:ascii="Arial" w:cs="Arial" w:eastAsia="Arial" w:hAnsi="Arial"/>
          <w:sz w:val="18"/>
          <w:szCs w:val="18"/>
          <w:color w:val="auto"/>
        </w:rPr>
      </w:pPr>
    </w:p>
    <w:p>
      <w:pPr>
        <w:jc w:val="both"/>
        <w:ind w:left="-20" w:firstLine="656"/>
        <w:spacing w:after="0" w:line="269" w:lineRule="auto"/>
        <w:tabs>
          <w:tab w:leader="none" w:pos="925" w:val="left"/>
        </w:tabs>
        <w:numPr>
          <w:ilvl w:val="0"/>
          <w:numId w:val="84"/>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a Material Adverse Effect, the Company and each of its Significant Subsidiaries, as applicable, maintain insurance from nationally recognized, in the applicable country, insurers in such amounts and covering such risks as is commercially reasonable in accordance with customary practices for companies engaged in similar businesses and similar industries for the conduct of their respective businesses and the value of their respective properties and as is customary for companies engaged in similar businesses in similar industries. All policies of insurance of the Company and its subsidiaries are in full force and effect; the Company and each of its subsidiaries are in compliance with the terms of such policies in all material respects; and neither the Company nor any of its subsidiaries has received notice from any insurer or agent of such insurer that capital improvements or other expenditures are required or necessary to be made in order to continue such insurance; there are no material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107" w:name="page108"/>
    <w:bookmarkEnd w:id="107"/>
    <w:p>
      <w:pPr>
        <w:jc w:val="both"/>
        <w:ind w:left="-20" w:firstLine="656"/>
        <w:spacing w:after="0" w:line="264" w:lineRule="auto"/>
        <w:tabs>
          <w:tab w:leader="none" w:pos="1076"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relationship, direct or indirect, exists between or among the Company, on the one hand, and the directors, officers, shareholders, customers or suppliers of the Company, on the other hand, that is required to be described in the Registration Statement, most recent Preliminary Prospectus and the Prospectus, which is not so described.</w:t>
      </w:r>
    </w:p>
    <w:p>
      <w:pPr>
        <w:spacing w:after="0" w:line="181" w:lineRule="exact"/>
        <w:rPr>
          <w:rFonts w:ascii="Arial" w:cs="Arial" w:eastAsia="Arial" w:hAnsi="Arial"/>
          <w:sz w:val="18"/>
          <w:szCs w:val="18"/>
          <w:color w:val="auto"/>
        </w:rPr>
      </w:pPr>
    </w:p>
    <w:p>
      <w:pPr>
        <w:ind w:left="-20" w:firstLine="656"/>
        <w:spacing w:after="0" w:line="277" w:lineRule="auto"/>
        <w:tabs>
          <w:tab w:leader="none" w:pos="977"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labor disturbance by or dispute with the employees of the Company or any of its subsidiaries exists or, to the knowledge of the Company, is imminent that would reasonably be expected to have a Material Adverse Effect.</w:t>
      </w:r>
    </w:p>
    <w:p>
      <w:pPr>
        <w:spacing w:after="0" w:line="170" w:lineRule="exact"/>
        <w:rPr>
          <w:rFonts w:ascii="Arial" w:cs="Arial" w:eastAsia="Arial" w:hAnsi="Arial"/>
          <w:sz w:val="18"/>
          <w:szCs w:val="18"/>
          <w:color w:val="auto"/>
        </w:rPr>
      </w:pPr>
    </w:p>
    <w:p>
      <w:pPr>
        <w:jc w:val="both"/>
        <w:ind w:left="-20" w:firstLine="656"/>
        <w:spacing w:after="0" w:line="254" w:lineRule="auto"/>
        <w:tabs>
          <w:tab w:leader="none" w:pos="992" w:val="left"/>
        </w:tabs>
        <w:numPr>
          <w:ilvl w:val="0"/>
          <w:numId w:val="85"/>
        </w:numPr>
        <w:rPr>
          <w:rFonts w:ascii="Arial" w:cs="Arial" w:eastAsia="Arial" w:hAnsi="Arial"/>
          <w:sz w:val="18"/>
          <w:szCs w:val="18"/>
          <w:color w:val="auto"/>
        </w:rPr>
      </w:pPr>
      <w:r>
        <w:rPr>
          <w:rFonts w:ascii="Arial" w:cs="Arial" w:eastAsia="Arial" w:hAnsi="Arial"/>
          <w:sz w:val="18"/>
          <w:szCs w:val="18"/>
          <w:color w:val="auto"/>
        </w:rPr>
        <w:t>Neither the Company nor any of its subsidiaries (i) is in violation of its articles of association,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would not, individually or in the aggregate, reasonably be expected to have a Material Adverse Effect.</w:t>
      </w:r>
    </w:p>
    <w:p>
      <w:pPr>
        <w:spacing w:after="0" w:line="192" w:lineRule="exact"/>
        <w:rPr>
          <w:rFonts w:ascii="Arial" w:cs="Arial" w:eastAsia="Arial" w:hAnsi="Arial"/>
          <w:sz w:val="18"/>
          <w:szCs w:val="18"/>
          <w:color w:val="auto"/>
        </w:rPr>
      </w:pPr>
    </w:p>
    <w:p>
      <w:pPr>
        <w:jc w:val="both"/>
        <w:ind w:left="-20" w:firstLine="656"/>
        <w:spacing w:after="0" w:line="267" w:lineRule="auto"/>
        <w:tabs>
          <w:tab w:leader="none" w:pos="983"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Company and each of its subsidiaries (i) to their knowledge, are, and at all times prior hereto (except, in the case of the Company, since November 28, 2016) were,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Arial" w:cs="Arial" w:eastAsia="Arial" w:hAnsi="Arial"/>
          <w:sz w:val="17"/>
          <w:szCs w:val="17"/>
          <w:b w:val="1"/>
          <w:bCs w:val="1"/>
          <w:i w:val="1"/>
          <w:iCs w:val="1"/>
          <w:color w:val="auto"/>
        </w:rPr>
        <w:t>Environmental Laws</w:t>
      </w:r>
      <w:r>
        <w:rPr>
          <w:rFonts w:ascii="Arial" w:cs="Arial" w:eastAsia="Arial" w:hAnsi="Arial"/>
          <w:sz w:val="17"/>
          <w:szCs w:val="17"/>
          <w:color w:val="auto"/>
        </w:rPr>
        <w:t>”) applicable to such entity, which compliance includes, without limitation, obtaining, maintaining and complying with all permits and authorizations and approvals required by Environmental Laws to conduct their respective businesses, and (ii) have not received written notice or otherwise have any knowledge of any actual or alleged violation of Environmental Laws, or of any actual or potential liability for or other obligation concerning the presence, disposal or release of hazardous or toxic substances or wastes, pollutants or contaminants, except in the case of clause (i) or (ii) where such non-compliance, violation, liability, or other obligation would not, in the aggregate, reasonably be expected to have a Material Adverse Effect. Except as described in the Registration Statement, most recent Preliminary Prospectus and the Prospectus, (x) there are no proceedings that are pending, or to the Company’s knowledge, threatened, against the Company or any of its subsidiaries under Environmental Laws in which a governmental authority is also a party, other than such proceedings regarding which it is reasonably believed no monetary sanctions of $100,000 or more will be imposed, (y) the Company and its subsidiaries have no knowledge of any issues regarding compliance with Environmental Laws, including any pending or proposed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 (z) none of the Company and its subsidiaries anticipates material capital expenditures relating to Environmental Laws.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108" w:name="page109"/>
    <w:bookmarkEnd w:id="108"/>
    <w:p>
      <w:pPr>
        <w:jc w:val="both"/>
        <w:ind w:left="-20" w:firstLine="656"/>
        <w:spacing w:after="0" w:line="259" w:lineRule="auto"/>
        <w:tabs>
          <w:tab w:leader="none" w:pos="97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and each of its subsidiaries have filed all federal, state, local and foreign tax returns required to be filed through the date hereof, subject to permitted extensions, and have paid all taxes due, and no tax deficiency has been determined adversely to the Company or any of its subsidiaries, nor does the Company have any knowledge of any tax deficiencies that have been, or would reasonably be expected to be asserted against the Company, that would, in the aggregate, reasonably be expected to have a Material Adverse Effect.</w:t>
      </w:r>
    </w:p>
    <w:p>
      <w:pPr>
        <w:spacing w:after="0" w:line="186" w:lineRule="exact"/>
        <w:rPr>
          <w:rFonts w:ascii="Arial" w:cs="Arial" w:eastAsia="Arial" w:hAnsi="Arial"/>
          <w:sz w:val="18"/>
          <w:szCs w:val="18"/>
          <w:color w:val="auto"/>
        </w:rPr>
      </w:pPr>
    </w:p>
    <w:p>
      <w:pPr>
        <w:jc w:val="both"/>
        <w:ind w:left="-20" w:firstLine="656"/>
        <w:spacing w:after="0" w:line="286" w:lineRule="auto"/>
        <w:tabs>
          <w:tab w:leader="none" w:pos="928" w:val="left"/>
        </w:tabs>
        <w:numPr>
          <w:ilvl w:val="0"/>
          <w:numId w:val="86"/>
        </w:numPr>
        <w:rPr>
          <w:rFonts w:ascii="Arial" w:cs="Arial" w:eastAsia="Arial" w:hAnsi="Arial"/>
          <w:sz w:val="16"/>
          <w:szCs w:val="16"/>
          <w:color w:val="auto"/>
        </w:rPr>
      </w:pPr>
      <w:r>
        <w:rPr>
          <w:rFonts w:ascii="Arial" w:cs="Arial" w:eastAsia="Arial" w:hAnsi="Arial"/>
          <w:sz w:val="16"/>
          <w:szCs w:val="16"/>
          <w:color w:val="auto"/>
        </w:rPr>
        <w:t>(i) Each “employee benefit plan” (within the meaning of Section 3(3) of the Employee Retirement Income Security Act of 1974, as amended (“</w:t>
      </w:r>
      <w:r>
        <w:rPr>
          <w:rFonts w:ascii="Arial" w:cs="Arial" w:eastAsia="Arial" w:hAnsi="Arial"/>
          <w:sz w:val="16"/>
          <w:szCs w:val="16"/>
          <w:b w:val="1"/>
          <w:bCs w:val="1"/>
          <w:i w:val="1"/>
          <w:iCs w:val="1"/>
          <w:color w:val="auto"/>
        </w:rPr>
        <w:t>ERISA</w:t>
      </w:r>
      <w:r>
        <w:rPr>
          <w:rFonts w:ascii="Arial" w:cs="Arial" w:eastAsia="Arial" w:hAnsi="Arial"/>
          <w:sz w:val="16"/>
          <w:szCs w:val="16"/>
          <w:color w:val="auto"/>
        </w:rPr>
        <w:t>”)) for which the Company or any member of its “Controlled Group” (defined as any organization which is a member of a controlled group of corporations within the meaning of Section 414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would have any liability (each a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has been maintained in compliance in all material respects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that would result in a material loss to the Company, (B) no “accumulated funding deficiency” (within the meaning of Section 302 of ERISA or Section 412 of the Code), whether or not waived, has occurred or is reasonably expected to occur, (C) the fair market value of the assets under each Plan that is required to be funded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to the Company’s knowledge, whether by action or by failure to act, which would cause the loss of such qualification.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109" w:name="page110"/>
    <w:bookmarkEnd w:id="109"/>
    <w:p>
      <w:pPr>
        <w:jc w:val="both"/>
        <w:ind w:left="-20" w:right="20" w:firstLine="656"/>
        <w:spacing w:after="0" w:line="264" w:lineRule="auto"/>
        <w:tabs>
          <w:tab w:leader="none" w:pos="943"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statistical and market-related data included in the Registration Statement, most recent Preliminary Prospectus and the Prospectus, and the consolidated financial statements of the Company and its subsidiaries included or incorporated by reference in the most recent Preliminary Prospectus are based on or derived from sources that the Company believes to be reliable in all material respects.</w:t>
      </w:r>
    </w:p>
    <w:p>
      <w:pPr>
        <w:spacing w:after="0" w:line="181" w:lineRule="exact"/>
        <w:rPr>
          <w:rFonts w:ascii="Arial" w:cs="Arial" w:eastAsia="Arial" w:hAnsi="Arial"/>
          <w:sz w:val="18"/>
          <w:szCs w:val="18"/>
          <w:color w:val="auto"/>
        </w:rPr>
      </w:pPr>
    </w:p>
    <w:p>
      <w:pPr>
        <w:jc w:val="both"/>
        <w:ind w:left="-20" w:firstLine="656"/>
        <w:spacing w:after="0" w:line="259" w:lineRule="auto"/>
        <w:tabs>
          <w:tab w:leader="none" w:pos="894"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and as of the applicable Delivery Date and, after giving effect to the offer and sale of the Firm Securities and Option Shares and the application of the proceeds therefrom as described under “Use of Proceeds” in the most recent Preliminary Prospectus and the Prospectus, none of them will be, an “investment company” within the meaning of the Investment Company Act of 1940, as amended (the “</w:t>
      </w:r>
      <w:r>
        <w:rPr>
          <w:rFonts w:ascii="Arial" w:cs="Arial" w:eastAsia="Arial" w:hAnsi="Arial"/>
          <w:sz w:val="18"/>
          <w:szCs w:val="18"/>
          <w:b w:val="1"/>
          <w:bCs w:val="1"/>
          <w:i w:val="1"/>
          <w:iCs w:val="1"/>
          <w:color w:val="auto"/>
        </w:rPr>
        <w:t>Investment Company Act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20" w:firstLine="656"/>
        <w:spacing w:after="0" w:line="254" w:lineRule="auto"/>
        <w:tabs>
          <w:tab w:leader="none" w:pos="973"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statements set forth or incorporated by reference, as applicable, in each of the most recent Preliminary Prospectus and the Prospectus under the captions (i) “Risk Factors—Risks Related to this Offering—We are subject to a lawsuit that could adversely affect our business and our use of proceeds from this offering,” “Description of Capital Stock,” and “Description of Securities We are Offering,” in each of the most recent Preliminary Prospectus and the Prospectus and (ii) “Business— Intellectual Property,” “Business—Government Regulation,” “Risk Factors—Risks Related to the Development and Commercialization of Microbot’s Product Candidates,” “Risk Factors—Risks Related to Operations in Israel,” :Legal Proceedings,” “Executive Compensation,” “Certain Relationships and Related Party Transactions, and Director Independence,” each in the Company’s Annual Report on Form 10-K for the fiscal year ended December 31, 2017, insofar as they purport to summarize the provisions of the laws and documents referred to therein, are accurate summaries in all material respects.</w:t>
      </w:r>
    </w:p>
    <w:p>
      <w:pPr>
        <w:spacing w:after="0" w:line="192" w:lineRule="exact"/>
        <w:rPr>
          <w:rFonts w:ascii="Arial" w:cs="Arial" w:eastAsia="Arial" w:hAnsi="Arial"/>
          <w:sz w:val="18"/>
          <w:szCs w:val="18"/>
          <w:color w:val="auto"/>
        </w:rPr>
      </w:pPr>
    </w:p>
    <w:p>
      <w:pPr>
        <w:jc w:val="both"/>
        <w:ind w:left="-20" w:firstLine="656"/>
        <w:spacing w:after="0" w:line="302" w:lineRule="auto"/>
        <w:tabs>
          <w:tab w:leader="none" w:pos="991" w:val="left"/>
        </w:tabs>
        <w:numPr>
          <w:ilvl w:val="0"/>
          <w:numId w:val="87"/>
        </w:numPr>
        <w:rPr>
          <w:rFonts w:ascii="Arial" w:cs="Arial" w:eastAsia="Arial" w:hAnsi="Arial"/>
          <w:sz w:val="16"/>
          <w:szCs w:val="16"/>
          <w:color w:val="auto"/>
        </w:rPr>
      </w:pPr>
      <w:r>
        <w:rPr>
          <w:rFonts w:ascii="Arial" w:cs="Arial" w:eastAsia="Arial" w:hAnsi="Arial"/>
          <w:sz w:val="16"/>
          <w:szCs w:val="16"/>
          <w:color w:val="auto"/>
        </w:rPr>
        <w:t>Except as disclosed in the Pricing Disclosure Package and the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154" w:lineRule="exact"/>
        <w:rPr>
          <w:rFonts w:ascii="Arial" w:cs="Arial" w:eastAsia="Arial" w:hAnsi="Arial"/>
          <w:sz w:val="16"/>
          <w:szCs w:val="16"/>
          <w:color w:val="auto"/>
        </w:rPr>
      </w:pPr>
    </w:p>
    <w:p>
      <w:pPr>
        <w:jc w:val="both"/>
        <w:ind w:left="-20" w:firstLine="656"/>
        <w:spacing w:after="0" w:line="264" w:lineRule="auto"/>
        <w:tabs>
          <w:tab w:leader="none" w:pos="1081"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contract, agreement or understanding with any person (other than this Agreement) that would give rise to a valid claim against any of them or the Underwriters for a brokerage commission, finder’s fee or like payment in connection with the offering and sale of the Securities.</w:t>
      </w:r>
    </w:p>
    <w:p>
      <w:pPr>
        <w:spacing w:after="0" w:line="181" w:lineRule="exact"/>
        <w:rPr>
          <w:rFonts w:ascii="Arial" w:cs="Arial" w:eastAsia="Arial" w:hAnsi="Arial"/>
          <w:sz w:val="18"/>
          <w:szCs w:val="18"/>
          <w:color w:val="auto"/>
        </w:rPr>
      </w:pPr>
    </w:p>
    <w:p>
      <w:pPr>
        <w:ind w:left="-20" w:firstLine="656"/>
        <w:spacing w:after="0" w:line="277" w:lineRule="auto"/>
        <w:tabs>
          <w:tab w:leader="none" w:pos="97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has not sold or issued any securities that would be integrated with the offering of the Securities contemplated by this Agreement pursuant to the Securities Act, the rules and regulations thereunder or the interpretations thereof by the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110" w:name="page111"/>
    <w:bookmarkEnd w:id="110"/>
    <w:p>
      <w:pPr>
        <w:jc w:val="both"/>
        <w:ind w:left="-20" w:firstLine="656"/>
        <w:spacing w:after="0" w:line="272" w:lineRule="auto"/>
        <w:tabs>
          <w:tab w:leader="none" w:pos="979"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Company and its affiliates have not taken, directly or indirectly, any action designed to or that has constituted or that could reasonably be expected to cause or result in the stabilization or manipulation of the price of any security of the Company in connection with the offering of the Securities. Assuming the Underwriters have not offered the Securities or otherwise engaged in a solicitation, advertising or any other action constituting an offer under the Israeli Securities Law 5728-1968, as amended, and the regulations promulgated thereunder (collectively, the “</w:t>
      </w:r>
      <w:r>
        <w:rPr>
          <w:rFonts w:ascii="Arial" w:cs="Arial" w:eastAsia="Arial" w:hAnsi="Arial"/>
          <w:sz w:val="17"/>
          <w:szCs w:val="17"/>
          <w:b w:val="1"/>
          <w:bCs w:val="1"/>
          <w:i w:val="1"/>
          <w:iCs w:val="1"/>
          <w:color w:val="auto"/>
        </w:rPr>
        <w:t>Israeli Securities Law</w:t>
      </w:r>
      <w:r>
        <w:rPr>
          <w:rFonts w:ascii="Arial" w:cs="Arial" w:eastAsia="Arial" w:hAnsi="Arial"/>
          <w:sz w:val="17"/>
          <w:szCs w:val="17"/>
          <w:color w:val="auto"/>
        </w:rPr>
        <w:t>”) in Israel, other than an offer that does not constitute an offering to the public, the Company has not engaged in any form of solicitation, advertising or any other action constituting an offer under the Israeli Securities Law in connection with the transactions contemplated hereby which would require the Company to publish a prospectus in the State of Israel under the laws of the State of Israel.</w:t>
      </w:r>
    </w:p>
    <w:p>
      <w:pPr>
        <w:spacing w:after="0" w:line="177" w:lineRule="exact"/>
        <w:rPr>
          <w:rFonts w:ascii="Arial" w:cs="Arial" w:eastAsia="Arial" w:hAnsi="Arial"/>
          <w:sz w:val="17"/>
          <w:szCs w:val="17"/>
          <w:color w:val="auto"/>
        </w:rPr>
      </w:pPr>
    </w:p>
    <w:p>
      <w:pPr>
        <w:ind w:left="-20" w:firstLine="656"/>
        <w:spacing w:after="0" w:line="277" w:lineRule="auto"/>
        <w:tabs>
          <w:tab w:leader="none" w:pos="953"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Shares and Warrant Shares have been approved for listing, subject to official notice of issuance and evidence of satisfactory distribution, on the Nasdaq Capital Market.</w:t>
      </w:r>
    </w:p>
    <w:p>
      <w:pPr>
        <w:spacing w:after="0" w:line="170" w:lineRule="exact"/>
        <w:rPr>
          <w:sz w:val="20"/>
          <w:szCs w:val="20"/>
          <w:color w:val="auto"/>
        </w:rPr>
      </w:pPr>
    </w:p>
    <w:p>
      <w:pPr>
        <w:jc w:val="both"/>
        <w:ind w:left="-20" w:firstLine="656"/>
        <w:spacing w:after="0" w:line="279" w:lineRule="auto"/>
        <w:tabs>
          <w:tab w:leader="none" w:pos="1035"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The Company has not distributed and, prior to the later to occur of any Delivery Date and completion of the distribution of the Securities, will not distribute any offering material in connection with the offering and sale of the Securities other than any Preliminary Prospectus, the Prospectus, any Issuer Free Writing Prospectus to which the Representative has consented in accordance with Section 1(j) or 6(a)(vi) and any Issuer Free Writing Prospectus set forth on </w:t>
      </w:r>
      <w:r>
        <w:rPr>
          <w:rFonts w:ascii="Arial" w:cs="Arial" w:eastAsia="Arial" w:hAnsi="Arial"/>
          <w:sz w:val="17"/>
          <w:szCs w:val="17"/>
          <w:b w:val="1"/>
          <w:bCs w:val="1"/>
          <w:color w:val="auto"/>
        </w:rPr>
        <w:t>Schedule V</w:t>
      </w:r>
      <w:r>
        <w:rPr>
          <w:rFonts w:ascii="Arial" w:cs="Arial" w:eastAsia="Arial" w:hAnsi="Arial"/>
          <w:sz w:val="17"/>
          <w:szCs w:val="17"/>
          <w:color w:val="auto"/>
        </w:rPr>
        <w:t xml:space="preserve"> hereto.</w:t>
      </w:r>
    </w:p>
    <w:p>
      <w:pPr>
        <w:spacing w:after="0" w:line="171" w:lineRule="exact"/>
        <w:rPr>
          <w:rFonts w:ascii="Arial" w:cs="Arial" w:eastAsia="Arial" w:hAnsi="Arial"/>
          <w:sz w:val="17"/>
          <w:szCs w:val="17"/>
          <w:color w:val="auto"/>
        </w:rPr>
      </w:pPr>
    </w:p>
    <w:p>
      <w:pPr>
        <w:jc w:val="both"/>
        <w:ind w:left="-20" w:firstLine="656"/>
        <w:spacing w:after="0" w:line="259" w:lineRule="auto"/>
        <w:tabs>
          <w:tab w:leader="none" w:pos="1085" w:val="left"/>
        </w:tabs>
        <w:numPr>
          <w:ilvl w:val="0"/>
          <w:numId w:val="89"/>
        </w:numPr>
        <w:rPr>
          <w:rFonts w:ascii="Arial" w:cs="Arial" w:eastAsia="Arial" w:hAnsi="Arial"/>
          <w:sz w:val="18"/>
          <w:szCs w:val="18"/>
          <w:color w:val="auto"/>
        </w:rPr>
      </w:pPr>
      <w:r>
        <w:rPr>
          <w:rFonts w:ascii="Arial" w:cs="Arial" w:eastAsia="Arial" w:hAnsi="Arial"/>
          <w:sz w:val="18"/>
          <w:szCs w:val="18"/>
          <w:color w:val="auto"/>
        </w:rPr>
        <w:t>Neither the Company nor any subsidiary is in violation of or has received notice of any violation with respect to any federal or state law relating to discrimination in the hiring, promotion or pay of employees, nor any applicable federal or state wage and hour laws, nor any state law precluding the denial of credit due to the neighborhood in which a property is situated, the violation of any of which could reasonably be expected to have a Material Adverse Effect.</w:t>
      </w:r>
    </w:p>
    <w:p>
      <w:pPr>
        <w:spacing w:after="0" w:line="186" w:lineRule="exact"/>
        <w:rPr>
          <w:rFonts w:ascii="Arial" w:cs="Arial" w:eastAsia="Arial" w:hAnsi="Arial"/>
          <w:sz w:val="18"/>
          <w:szCs w:val="18"/>
          <w:color w:val="auto"/>
        </w:rPr>
      </w:pPr>
    </w:p>
    <w:p>
      <w:pPr>
        <w:jc w:val="both"/>
        <w:ind w:left="-20" w:firstLine="656"/>
        <w:spacing w:after="0" w:line="271" w:lineRule="auto"/>
        <w:tabs>
          <w:tab w:leader="none" w:pos="1039" w:val="left"/>
        </w:tabs>
        <w:numPr>
          <w:ilvl w:val="0"/>
          <w:numId w:val="89"/>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to the knowledge of the Company, any director, officer, agent, employee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U.S. Foreign Corrupt Practices Act of 1977, the Organization for Economic Co-operation and Development Convention on Bribery of Foreign Public Officials in International Business Transactions, Section 291A of the Israel Penal Law, 5733-1973 and the rules and regulations thereunder and any other similar foreign or domestic law or regulation; or (iv) made any bribe, rebate, payoff, influence payment, kickback or other unlawful payment. The Company has instituted and maintains policies and procedures designed to ensure continued compliance with the laws and regulations referenced in clause (iii) of this paragraph.</w:t>
      </w:r>
    </w:p>
    <w:p>
      <w:pPr>
        <w:spacing w:after="0" w:line="178" w:lineRule="exact"/>
        <w:rPr>
          <w:rFonts w:ascii="Arial" w:cs="Arial" w:eastAsia="Arial" w:hAnsi="Arial"/>
          <w:sz w:val="17"/>
          <w:szCs w:val="17"/>
          <w:color w:val="auto"/>
        </w:rPr>
      </w:pPr>
    </w:p>
    <w:p>
      <w:pPr>
        <w:jc w:val="both"/>
        <w:ind w:left="-20" w:firstLine="656"/>
        <w:spacing w:after="0" w:line="273" w:lineRule="auto"/>
        <w:tabs>
          <w:tab w:leader="none" w:pos="1098"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operations of the Company (since November 28, 2016) and its subsidiaries are and have been conducted at all times in material compliance with applicable financial recordkeeping and reporting requirements of the Currency and Foreign Transactions Reporting Act of 1970, as amended, the money laundering statutes of all applicable jurisdictions to which it is subject, the rules and regulations thereunder and any applicable related or similar rules, regulations or guidelines, issued, administered or enforced by any governmental agency (collectively, the “</w:t>
      </w:r>
      <w:r>
        <w:rPr>
          <w:rFonts w:ascii="Arial" w:cs="Arial" w:eastAsia="Arial" w:hAnsi="Arial"/>
          <w:sz w:val="17"/>
          <w:szCs w:val="17"/>
          <w:b w:val="1"/>
          <w:bCs w:val="1"/>
          <w:i w:val="1"/>
          <w:i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111" w:name="page112"/>
    <w:bookmarkEnd w:id="111"/>
    <w:p>
      <w:pPr>
        <w:jc w:val="both"/>
        <w:ind w:firstLine="656"/>
        <w:spacing w:after="0" w:line="276" w:lineRule="auto"/>
        <w:tabs>
          <w:tab w:leader="none" w:pos="1056" w:val="left"/>
        </w:tabs>
        <w:numPr>
          <w:ilvl w:val="0"/>
          <w:numId w:val="90"/>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to the knowledge of the Company, any director, officer, agent, employee or affiliate of the Company or any of its subsidiaries is currently subject to any U.S. sanctions administered by the Office of Foreign Assets Control of the U.S. Treasury Department (“</w:t>
      </w:r>
      <w:r>
        <w:rPr>
          <w:rFonts w:ascii="Arial" w:cs="Arial" w:eastAsia="Arial" w:hAnsi="Arial"/>
          <w:sz w:val="17"/>
          <w:szCs w:val="17"/>
          <w:b w:val="1"/>
          <w:bCs w:val="1"/>
          <w:i w:val="1"/>
          <w:iCs w:val="1"/>
          <w:color w:val="auto"/>
        </w:rPr>
        <w:t>OFAC</w:t>
      </w:r>
      <w:r>
        <w:rPr>
          <w:rFonts w:ascii="Arial" w:cs="Arial" w:eastAsia="Arial" w:hAnsi="Arial"/>
          <w:sz w:val="17"/>
          <w:szCs w:val="17"/>
          <w:color w:val="auto"/>
        </w:rPr>
        <w: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72" w:lineRule="exact"/>
        <w:rPr>
          <w:rFonts w:ascii="Arial" w:cs="Arial" w:eastAsia="Arial" w:hAnsi="Arial"/>
          <w:sz w:val="17"/>
          <w:szCs w:val="17"/>
          <w:color w:val="auto"/>
        </w:rPr>
      </w:pPr>
    </w:p>
    <w:p>
      <w:pPr>
        <w:ind w:right="20" w:firstLine="656"/>
        <w:spacing w:after="0" w:line="277" w:lineRule="auto"/>
        <w:tabs>
          <w:tab w:leader="none" w:pos="989"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stamp, issue, registration, documentary, transfer or other similar taxes and duties, including interest and penalties, are payable in Israel on or in connection with the issuance and sale of the Securities by the Company or the execution and delivery of this Agreement.</w:t>
      </w:r>
    </w:p>
    <w:p>
      <w:pPr>
        <w:spacing w:after="0" w:line="170" w:lineRule="exact"/>
        <w:rPr>
          <w:rFonts w:ascii="Arial" w:cs="Arial" w:eastAsia="Arial" w:hAnsi="Arial"/>
          <w:sz w:val="18"/>
          <w:szCs w:val="18"/>
          <w:color w:val="auto"/>
        </w:rPr>
      </w:pPr>
    </w:p>
    <w:p>
      <w:pPr>
        <w:ind w:firstLine="656"/>
        <w:spacing w:after="0" w:line="308" w:lineRule="auto"/>
        <w:tabs>
          <w:tab w:leader="none" w:pos="1084" w:val="left"/>
        </w:tabs>
        <w:numPr>
          <w:ilvl w:val="0"/>
          <w:numId w:val="90"/>
        </w:numPr>
        <w:rPr>
          <w:rFonts w:ascii="Arial" w:cs="Arial" w:eastAsia="Arial" w:hAnsi="Arial"/>
          <w:sz w:val="17"/>
          <w:szCs w:val="17"/>
          <w:color w:val="auto"/>
        </w:rPr>
      </w:pPr>
      <w:r>
        <w:rPr>
          <w:rFonts w:ascii="Arial" w:cs="Arial" w:eastAsia="Arial" w:hAnsi="Arial"/>
          <w:sz w:val="17"/>
          <w:szCs w:val="17"/>
          <w:color w:val="auto"/>
        </w:rPr>
        <w:t>Neither the Company nor any of its properties or assets has any immunity from the jurisdiction of any court or from any legal process (whether through service or notice, attachment to prior judgment, attachment in aid of execution or otherwise) under the laws of the State of Israel.</w:t>
      </w:r>
    </w:p>
    <w:p>
      <w:pPr>
        <w:spacing w:after="0" w:line="146" w:lineRule="exact"/>
        <w:rPr>
          <w:rFonts w:ascii="Arial" w:cs="Arial" w:eastAsia="Arial" w:hAnsi="Arial"/>
          <w:sz w:val="17"/>
          <w:szCs w:val="17"/>
          <w:color w:val="auto"/>
        </w:rPr>
      </w:pPr>
    </w:p>
    <w:p>
      <w:pPr>
        <w:ind w:firstLine="656"/>
        <w:spacing w:after="0" w:line="277" w:lineRule="auto"/>
        <w:tabs>
          <w:tab w:leader="none" w:pos="108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has not offered securities to any residents of the State of Israel during the 12-month period prior to the date hereof in which it relied on the exemption set forth in Section 15A(a)(1) of the Israeli Securities Law.</w:t>
      </w:r>
    </w:p>
    <w:p>
      <w:pPr>
        <w:spacing w:after="0" w:line="170" w:lineRule="exact"/>
        <w:rPr>
          <w:sz w:val="20"/>
          <w:szCs w:val="20"/>
          <w:color w:val="auto"/>
        </w:rPr>
      </w:pPr>
    </w:p>
    <w:p>
      <w:pPr>
        <w:ind w:right="20" w:firstLine="1297"/>
        <w:spacing w:after="0" w:line="308" w:lineRule="auto"/>
        <w:rPr>
          <w:sz w:val="20"/>
          <w:szCs w:val="20"/>
          <w:color w:val="auto"/>
        </w:rPr>
      </w:pPr>
      <w:r>
        <w:rPr>
          <w:rFonts w:ascii="Arial" w:cs="Arial" w:eastAsia="Arial" w:hAnsi="Arial"/>
          <w:sz w:val="17"/>
          <w:szCs w:val="17"/>
          <w:color w:val="auto"/>
        </w:rPr>
        <w:t>Any certificate signed by any officer of the Company and delivered to the Representative or counsel for the Underwriters in connection with the offering of the Securities shall be deemed a representation and warranty by the Company, as to matters covered thereby to each Underwriter.</w:t>
      </w:r>
    </w:p>
    <w:p>
      <w:pPr>
        <w:spacing w:after="0" w:line="147" w:lineRule="exact"/>
        <w:rPr>
          <w:sz w:val="20"/>
          <w:szCs w:val="20"/>
          <w:color w:val="auto"/>
        </w:rPr>
      </w:pPr>
    </w:p>
    <w:p>
      <w:pPr>
        <w:jc w:val="both"/>
        <w:ind w:firstLine="1305"/>
        <w:spacing w:after="0" w:line="276" w:lineRule="auto"/>
        <w:tabs>
          <w:tab w:leader="none" w:pos="1477" w:val="left"/>
        </w:tabs>
        <w:numPr>
          <w:ilvl w:val="0"/>
          <w:numId w:val="91"/>
        </w:numPr>
        <w:rPr>
          <w:rFonts w:ascii="Arial" w:cs="Arial" w:eastAsia="Arial" w:hAnsi="Arial"/>
          <w:sz w:val="17"/>
          <w:szCs w:val="17"/>
          <w:color w:val="auto"/>
        </w:rPr>
      </w:pPr>
      <w:r>
        <w:rPr>
          <w:rFonts w:ascii="Arial" w:cs="Arial" w:eastAsia="Arial" w:hAnsi="Arial"/>
          <w:sz w:val="17"/>
          <w:szCs w:val="17"/>
          <w:i w:val="1"/>
          <w:iCs w:val="1"/>
          <w:color w:val="auto"/>
        </w:rPr>
        <w:t xml:space="preserve">Purchase of the Securities by the Underwriters. </w:t>
      </w:r>
      <w:r>
        <w:rPr>
          <w:rFonts w:ascii="Arial" w:cs="Arial" w:eastAsia="Arial" w:hAnsi="Arial"/>
          <w:sz w:val="17"/>
          <w:szCs w:val="17"/>
          <w:color w:val="auto"/>
        </w:rPr>
        <w:t>On the basis of the representations, warranties and covenants contained in, and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terms and conditions of, this Agreement, the Company agrees to issue and sell the Firm Shares and/or Pre-Funded Warrants to each of the Underwriters, and each of the Underwriters agrees, severally and not jointly, to purchase the Firm Shares and/or Pre-Funded Warrants from the Company, as set forth on </w:t>
      </w:r>
      <w:r>
        <w:rPr>
          <w:rFonts w:ascii="Arial" w:cs="Arial" w:eastAsia="Arial" w:hAnsi="Arial"/>
          <w:sz w:val="17"/>
          <w:szCs w:val="17"/>
          <w:b w:val="1"/>
          <w:bCs w:val="1"/>
          <w:color w:val="auto"/>
        </w:rPr>
        <w:t xml:space="preserve">Schedule I </w:t>
      </w:r>
      <w:r>
        <w:rPr>
          <w:rFonts w:ascii="Arial" w:cs="Arial" w:eastAsia="Arial" w:hAnsi="Arial"/>
          <w:sz w:val="17"/>
          <w:szCs w:val="17"/>
          <w:color w:val="auto"/>
        </w:rPr>
        <w:t>hereto. The purchase price payable by the Underwriters for one Firm Share shall be $[●] per Firm Share and the purchase price payable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Underwriters for one Pre-Funded Warrant shall be $[●] per Pre-Funded Warrant.</w:t>
      </w:r>
    </w:p>
    <w:p>
      <w:pPr>
        <w:spacing w:after="0" w:line="17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In addition, the Company grants to the Underwriters an option to purchase up to [●] Option Shares. The purchase price to be paid per Option Share shall be equal to the price per Firm Share, which is set forth above. Each Underwriter agrees, severally and not jointly, to purchase the number of Option Shares (subject to such adjustments to eliminate fractional shares as the Representative may determine) that bears the same proportion to the total number of Option Shares to be sold on such Delivery Date as the number of Firm Securities set forth in </w:t>
      </w:r>
      <w:r>
        <w:rPr>
          <w:rFonts w:ascii="Arial" w:cs="Arial" w:eastAsia="Arial" w:hAnsi="Arial"/>
          <w:sz w:val="18"/>
          <w:szCs w:val="18"/>
          <w:b w:val="1"/>
          <w:bCs w:val="1"/>
          <w:color w:val="auto"/>
        </w:rPr>
        <w:t>Schedule I</w:t>
      </w:r>
      <w:r>
        <w:rPr>
          <w:rFonts w:ascii="Arial" w:cs="Arial" w:eastAsia="Arial" w:hAnsi="Arial"/>
          <w:sz w:val="18"/>
          <w:szCs w:val="18"/>
          <w:color w:val="auto"/>
        </w:rPr>
        <w:t xml:space="preserve"> hereto opposite the name of such Underwriter bears to the total number of Firm Securities.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2" w:name="page113"/>
    <w:bookmarkEnd w:id="112"/>
    <w:p>
      <w:pPr>
        <w:ind w:firstLine="1297"/>
        <w:spacing w:after="0" w:line="342" w:lineRule="auto"/>
        <w:rPr>
          <w:sz w:val="20"/>
          <w:szCs w:val="20"/>
          <w:color w:val="auto"/>
        </w:rPr>
      </w:pPr>
      <w:r>
        <w:rPr>
          <w:rFonts w:ascii="Arial" w:cs="Arial" w:eastAsia="Arial" w:hAnsi="Arial"/>
          <w:sz w:val="16"/>
          <w:szCs w:val="16"/>
          <w:color w:val="auto"/>
        </w:rPr>
        <w:t>The Company is not obligated to deliver any of the Firm Securities or Option Shares to be delivered on the applicable Delivery Date, except upon payment for all such Firm Securities or Option Shares, as the case may be, to be purchased on such applicable Delivery Date as provided herein.</w:t>
      </w:r>
    </w:p>
    <w:p>
      <w:pPr>
        <w:spacing w:after="0" w:line="124" w:lineRule="exact"/>
        <w:rPr>
          <w:sz w:val="20"/>
          <w:szCs w:val="20"/>
          <w:color w:val="auto"/>
        </w:rPr>
      </w:pPr>
    </w:p>
    <w:p>
      <w:pPr>
        <w:jc w:val="both"/>
        <w:ind w:firstLine="1305"/>
        <w:spacing w:after="0" w:line="286" w:lineRule="auto"/>
        <w:tabs>
          <w:tab w:leader="none" w:pos="1477" w:val="left"/>
        </w:tabs>
        <w:numPr>
          <w:ilvl w:val="1"/>
          <w:numId w:val="92"/>
        </w:numPr>
        <w:rPr>
          <w:rFonts w:ascii="Arial" w:cs="Arial" w:eastAsia="Arial" w:hAnsi="Arial"/>
          <w:sz w:val="16"/>
          <w:szCs w:val="16"/>
          <w:color w:val="auto"/>
        </w:rPr>
      </w:pPr>
      <w:r>
        <w:rPr>
          <w:rFonts w:ascii="Arial" w:cs="Arial" w:eastAsia="Arial" w:hAnsi="Arial"/>
          <w:sz w:val="16"/>
          <w:szCs w:val="16"/>
          <w:i w:val="1"/>
          <w:iCs w:val="1"/>
          <w:color w:val="auto"/>
        </w:rPr>
        <w:t>Offering of Securities by the Underwriters</w:t>
      </w:r>
      <w:r>
        <w:rPr>
          <w:rFonts w:ascii="Arial" w:cs="Arial" w:eastAsia="Arial" w:hAnsi="Arial"/>
          <w:sz w:val="16"/>
          <w:szCs w:val="16"/>
          <w:color w:val="auto"/>
        </w:rPr>
        <w:t>. The Underwriters propose to make a public offering of the Firm Securities and Option Shares</w:t>
      </w:r>
      <w:r>
        <w:rPr>
          <w:rFonts w:ascii="Arial" w:cs="Arial" w:eastAsia="Arial" w:hAnsi="Arial"/>
          <w:sz w:val="16"/>
          <w:szCs w:val="16"/>
          <w:i w:val="1"/>
          <w:iCs w:val="1"/>
          <w:color w:val="auto"/>
        </w:rPr>
        <w:t xml:space="preserve"> </w:t>
      </w:r>
      <w:r>
        <w:rPr>
          <w:rFonts w:ascii="Arial" w:cs="Arial" w:eastAsia="Arial" w:hAnsi="Arial"/>
          <w:sz w:val="16"/>
          <w:szCs w:val="16"/>
          <w:color w:val="auto"/>
        </w:rPr>
        <w:t>for sale upon the terms and conditions to be set forth in the Prospectus. Each Underwriter hereby represents to and agrees with the Company that it will not offer any Firm Securities or Option Shares to offerees in Israel, other than (a) to investors listed in the First Addendum to the Israeli Securities Law (the “</w:t>
      </w:r>
      <w:r>
        <w:rPr>
          <w:rFonts w:ascii="Arial" w:cs="Arial" w:eastAsia="Arial" w:hAnsi="Arial"/>
          <w:sz w:val="16"/>
          <w:szCs w:val="16"/>
          <w:b w:val="1"/>
          <w:bCs w:val="1"/>
          <w:i w:val="1"/>
          <w:iCs w:val="1"/>
          <w:color w:val="auto"/>
        </w:rPr>
        <w:t>Addendum</w:t>
      </w:r>
      <w:r>
        <w:rPr>
          <w:rFonts w:ascii="Arial" w:cs="Arial" w:eastAsia="Arial" w:hAnsi="Arial"/>
          <w:sz w:val="16"/>
          <w:szCs w:val="16"/>
          <w:color w:val="auto"/>
        </w:rPr>
        <w:t>”) who have submitted a written confirmation to the Underwriters and the Company that such investor falls within the scope of the Addendum or</w:t>
      </w:r>
    </w:p>
    <w:p>
      <w:pPr>
        <w:spacing w:after="0" w:line="1" w:lineRule="exact"/>
        <w:rPr>
          <w:rFonts w:ascii="Arial" w:cs="Arial" w:eastAsia="Arial" w:hAnsi="Arial"/>
          <w:sz w:val="16"/>
          <w:szCs w:val="16"/>
          <w:color w:val="auto"/>
        </w:rPr>
      </w:pPr>
    </w:p>
    <w:p>
      <w:pPr>
        <w:jc w:val="both"/>
        <w:ind w:firstLine="8"/>
        <w:spacing w:after="0" w:line="254" w:lineRule="auto"/>
        <w:tabs>
          <w:tab w:leader="none" w:pos="269"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no more than 35 additional offerees; and provided that each such Israeli offeree has confirmed to the Underwriters in writing that it is acquiring the Securities being offered to it for investment for its own account or, to the extent permitted by the Israeli Securities Law, for investment for clients who are institutional investors and in any event not as a nominee, market maker or agent and not with a view to, or for the resale in connection with, any distribution thereof.</w:t>
      </w:r>
    </w:p>
    <w:p>
      <w:pPr>
        <w:spacing w:after="0" w:line="189" w:lineRule="exact"/>
        <w:rPr>
          <w:rFonts w:ascii="Arial" w:cs="Arial" w:eastAsia="Arial" w:hAnsi="Arial"/>
          <w:sz w:val="18"/>
          <w:szCs w:val="18"/>
          <w:color w:val="auto"/>
        </w:rPr>
      </w:pPr>
    </w:p>
    <w:p>
      <w:pPr>
        <w:jc w:val="both"/>
        <w:ind w:firstLine="1305"/>
        <w:spacing w:after="0" w:line="286" w:lineRule="auto"/>
        <w:tabs>
          <w:tab w:leader="none" w:pos="1477" w:val="left"/>
        </w:tabs>
        <w:numPr>
          <w:ilvl w:val="1"/>
          <w:numId w:val="93"/>
        </w:numPr>
        <w:rPr>
          <w:rFonts w:ascii="Arial" w:cs="Arial" w:eastAsia="Arial" w:hAnsi="Arial"/>
          <w:sz w:val="16"/>
          <w:szCs w:val="16"/>
          <w:color w:val="auto"/>
        </w:rPr>
      </w:pPr>
      <w:r>
        <w:rPr>
          <w:rFonts w:ascii="Arial" w:cs="Arial" w:eastAsia="Arial" w:hAnsi="Arial"/>
          <w:sz w:val="16"/>
          <w:szCs w:val="16"/>
          <w:i w:val="1"/>
          <w:iCs w:val="1"/>
          <w:color w:val="auto"/>
        </w:rPr>
        <w:t>Delivery of and Payment for the Securities</w:t>
      </w:r>
      <w:r>
        <w:rPr>
          <w:rFonts w:ascii="Arial" w:cs="Arial" w:eastAsia="Arial" w:hAnsi="Arial"/>
          <w:sz w:val="16"/>
          <w:szCs w:val="16"/>
          <w:color w:val="auto"/>
        </w:rPr>
        <w:t>. Delivery of and payment for the Firm Securities shall be made at 10:00 a.m., New York City</w:t>
      </w:r>
      <w:r>
        <w:rPr>
          <w:rFonts w:ascii="Arial" w:cs="Arial" w:eastAsia="Arial" w:hAnsi="Arial"/>
          <w:sz w:val="16"/>
          <w:szCs w:val="16"/>
          <w:i w:val="1"/>
          <w:iCs w:val="1"/>
          <w:color w:val="auto"/>
        </w:rPr>
        <w:t xml:space="preserve"> </w:t>
      </w:r>
      <w:r>
        <w:rPr>
          <w:rFonts w:ascii="Arial" w:cs="Arial" w:eastAsia="Arial" w:hAnsi="Arial"/>
          <w:sz w:val="16"/>
          <w:szCs w:val="16"/>
          <w:color w:val="auto"/>
        </w:rPr>
        <w:t>time, on the second full business day following the date of this Agreement or at such other date or place as shall be determined by agreement between the Representative and the Company. This date and time are sometimes referred to as the “</w:t>
      </w:r>
      <w:r>
        <w:rPr>
          <w:rFonts w:ascii="Arial" w:cs="Arial" w:eastAsia="Arial" w:hAnsi="Arial"/>
          <w:sz w:val="16"/>
          <w:szCs w:val="16"/>
          <w:b w:val="1"/>
          <w:bCs w:val="1"/>
          <w:i w:val="1"/>
          <w:iCs w:val="1"/>
          <w:color w:val="auto"/>
        </w:rPr>
        <w:t>Initial Delivery Date</w:t>
      </w:r>
      <w:r>
        <w:rPr>
          <w:rFonts w:ascii="Arial" w:cs="Arial" w:eastAsia="Arial" w:hAnsi="Arial"/>
          <w:sz w:val="16"/>
          <w:szCs w:val="16"/>
          <w:color w:val="auto"/>
        </w:rPr>
        <w:t>”. Delivery of (i) the Firm Shares shall be made through the facilities of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and (ii) the Pre-Funded Warrants shall be made physical, certificated form, in each such case, issued in such names and in such denominations as the Representative may direct by notice in writing to the Company, in both cases, against payment of the aggregate purchase price therefor by wire transfer in immediately available funds to the accounts specified by the Company. Time shall be of the essence, and delivery at the time and place specified pursuant to this Agreement is a further condition of the obligation of the Underwriters. The option granted in Section 2 will expire 30 days after the date of this Agreement and may be exercised in whole or from time to time in part by written notice being given to the Company by the Representative; provided that if such date falls on a day that is not a business day, the option granted in Section 2 will expire on the next succeeding business day. Such notice shall set forth the aggregate number of Option Shares as to which the option is being exercised, the names in which the Option Shares are to be registered, the denominations in which the Option Shares are to be issued and the date and time, as determined by the Representative, when the Option Shares are to be delivered; provided, however, that this date and time shall not be earlier than the Initial Delivery Date nor earlier than the second business day after the date on which the option shall have been exercised nor later than the fifth business day after the date on which the option shall have been exercised. Each date and time the Option Shares are delivered is sometimes referred to as an “</w:t>
      </w:r>
      <w:r>
        <w:rPr>
          <w:rFonts w:ascii="Arial" w:cs="Arial" w:eastAsia="Arial" w:hAnsi="Arial"/>
          <w:sz w:val="16"/>
          <w:szCs w:val="16"/>
          <w:b w:val="1"/>
          <w:bCs w:val="1"/>
          <w:i w:val="1"/>
          <w:iCs w:val="1"/>
          <w:color w:val="auto"/>
        </w:rPr>
        <w:t>Option Shares Delivery Date</w:t>
      </w:r>
      <w:r>
        <w:rPr>
          <w:rFonts w:ascii="Arial" w:cs="Arial" w:eastAsia="Arial" w:hAnsi="Arial"/>
          <w:sz w:val="16"/>
          <w:szCs w:val="16"/>
          <w:color w:val="auto"/>
        </w:rPr>
        <w:t>”, and the Initial Delivery Date and any Option Shares Delivery Date are sometimes each referred to as a “</w:t>
      </w:r>
      <w:r>
        <w:rPr>
          <w:rFonts w:ascii="Arial" w:cs="Arial" w:eastAsia="Arial" w:hAnsi="Arial"/>
          <w:sz w:val="16"/>
          <w:szCs w:val="16"/>
          <w:b w:val="1"/>
          <w:bCs w:val="1"/>
          <w:i w:val="1"/>
          <w:iCs w:val="1"/>
          <w:color w:val="auto"/>
        </w:rPr>
        <w:t>Delivery Date</w:t>
      </w:r>
      <w:r>
        <w:rPr>
          <w:rFonts w:ascii="Arial" w:cs="Arial" w:eastAsia="Arial" w:hAnsi="Arial"/>
          <w:sz w:val="16"/>
          <w:szCs w:val="16"/>
          <w:color w:val="auto"/>
        </w:rPr>
        <w: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3" w:name="page114"/>
    <w:bookmarkEnd w:id="113"/>
    <w:p>
      <w:pPr>
        <w:jc w:val="both"/>
        <w:ind w:firstLine="648"/>
        <w:spacing w:after="0" w:line="291" w:lineRule="auto"/>
        <w:rPr>
          <w:sz w:val="20"/>
          <w:szCs w:val="20"/>
          <w:color w:val="auto"/>
        </w:rPr>
      </w:pPr>
      <w:r>
        <w:rPr>
          <w:rFonts w:ascii="Arial" w:cs="Arial" w:eastAsia="Arial" w:hAnsi="Arial"/>
          <w:sz w:val="16"/>
          <w:szCs w:val="16"/>
          <w:color w:val="auto"/>
        </w:rPr>
        <w:t>Delivery of the Option Shares by the Company and payment for the Option Shares by the several Underwriters through the Representative shall be made at 10:00 a.m., New York City time, on the date specified in the corresponding notice described in the preceding paragraph or at such other date or place as shall be determined by agreement between the Representative and the Company. On each Option Share Delivery Date, the Company shall deliver or cause to be delivered the Option Shares against payment by the several Underwriters through the Representative of the respective aggregate purchase price of the Option Shares being sold by the Company to or upon the order of the Company by wire transfer in immediately available funds to the accounts specified by the Company. Time shall be of the essence, and delivery at the time and place specified pursuant to this Agreement is a further condition of the obligation of each Underwriter hereunder. The Company shall deliver the Option Shares through the facilities of DTC unless the Representative shall otherwise instruct.</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acknowledges and agrees that, with respect to any Notice(s) of Exercise (as defined in the Pre-Funded Warrants) delivered by a Holder (as defined in the Pre-Funded Warrants) on or prior to 12:00 p.m., New York City time, on the Initial Delivery Date, which Notice(s) of Exercise may be delivered at any time after the time of execution of this Agreement, the Company shall deliver the Warrant Shares (as defined in the Pre-Funded Warrants) subject to such notice(s) to the Holder by 4:00 p.m., New York City time, on the Initial Delivery Date.</w:t>
      </w:r>
    </w:p>
    <w:p>
      <w:pPr>
        <w:spacing w:after="0" w:line="187" w:lineRule="exact"/>
        <w:rPr>
          <w:sz w:val="20"/>
          <w:szCs w:val="20"/>
          <w:color w:val="auto"/>
        </w:rPr>
      </w:pPr>
    </w:p>
    <w:p>
      <w:pPr>
        <w:jc w:val="both"/>
        <w:ind w:firstLine="1305"/>
        <w:spacing w:after="0" w:line="288" w:lineRule="auto"/>
        <w:tabs>
          <w:tab w:leader="none" w:pos="149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Underwriter Warrants</w:t>
      </w:r>
      <w:r>
        <w:rPr>
          <w:rFonts w:ascii="Arial" w:cs="Arial" w:eastAsia="Arial" w:hAnsi="Arial"/>
          <w:sz w:val="16"/>
          <w:szCs w:val="16"/>
          <w:color w:val="auto"/>
        </w:rPr>
        <w:t>. The Company shall issue to the Representative or its designees on each of the Initial Delivery Date and each</w:t>
      </w:r>
      <w:r>
        <w:rPr>
          <w:rFonts w:ascii="Arial" w:cs="Arial" w:eastAsia="Arial" w:hAnsi="Arial"/>
          <w:sz w:val="16"/>
          <w:szCs w:val="16"/>
          <w:i w:val="1"/>
          <w:iCs w:val="1"/>
          <w:color w:val="auto"/>
        </w:rPr>
        <w:t xml:space="preserve"> </w:t>
      </w:r>
      <w:r>
        <w:rPr>
          <w:rFonts w:ascii="Arial" w:cs="Arial" w:eastAsia="Arial" w:hAnsi="Arial"/>
          <w:sz w:val="16"/>
          <w:szCs w:val="16"/>
          <w:color w:val="auto"/>
        </w:rPr>
        <w:t>Option Shares Delivery Date, warrants (the “</w:t>
      </w:r>
      <w:r>
        <w:rPr>
          <w:rFonts w:ascii="Arial" w:cs="Arial" w:eastAsia="Arial" w:hAnsi="Arial"/>
          <w:sz w:val="16"/>
          <w:szCs w:val="16"/>
          <w:b w:val="1"/>
          <w:bCs w:val="1"/>
          <w:i w:val="1"/>
          <w:iCs w:val="1"/>
          <w:color w:val="auto"/>
        </w:rPr>
        <w:t>Underwriter Warrants</w:t>
      </w:r>
      <w:r>
        <w:rPr>
          <w:rFonts w:ascii="Arial" w:cs="Arial" w:eastAsia="Arial" w:hAnsi="Arial"/>
          <w:sz w:val="16"/>
          <w:szCs w:val="16"/>
          <w:color w:val="auto"/>
        </w:rPr>
        <w:t>”) to purchase that number of shares of Common Stock equal to 5% of the aggregate number of Firm Shares or Option Shares, as the case may be, and Pre-Funded Warrants issued on each of the Initial Delivery Date and each Option Shares Delivery Date. The Underwriter Warrants shall be in a customary form reasonably acceptable to the Representative and the Company, shall be exercisable, in whole or in part, on the six-month anniversary of the date of their issuance and expiring on the three and one-half-year anniversary of the date of their issuance at an initial exercise price per Common Stock of $ [ ● ], which is equal to 125% of the initial public offering price of the Firm Shares. The Underwriter Warrants shall be subject to the limitation on exercise set forth in FINRA Rule 5110(f)(2)(G)(i); provided, however that pursuant to FINRA Rule 5110(g)(1) the Underwriter Warrants shall not be sold, transferred, assigned, pledged, or hypothecated, or be the subject of any hedging, short sale, derivative, put, or call transaction that would result in the effective economic disposition of the securities by any person for a period of 180 days immediately following the effective date of the Registration Statement, except for the transfers enumerated in FINRA Rule 5110(g)(2).</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4" w:name="page115"/>
    <w:bookmarkEnd w:id="114"/>
    <w:p>
      <w:pPr>
        <w:ind w:left="280" w:hanging="175"/>
        <w:spacing w:after="0"/>
        <w:tabs>
          <w:tab w:leader="none" w:pos="28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Further Agreements of the Company and the Underwriters</w:t>
      </w:r>
      <w:r>
        <w:rPr>
          <w:rFonts w:ascii="Arial" w:cs="Arial" w:eastAsia="Arial" w:hAnsi="Arial"/>
          <w:sz w:val="18"/>
          <w:szCs w:val="18"/>
          <w:color w:val="auto"/>
        </w:rPr>
        <w:t>. (a) The Company agrees:</w:t>
      </w:r>
    </w:p>
    <w:p>
      <w:pPr>
        <w:spacing w:after="0" w:line="225" w:lineRule="exact"/>
        <w:rPr>
          <w:sz w:val="20"/>
          <w:szCs w:val="20"/>
          <w:color w:val="auto"/>
        </w:rPr>
      </w:pPr>
    </w:p>
    <w:p>
      <w:pPr>
        <w:jc w:val="both"/>
        <w:ind w:left="-540" w:firstLine="645"/>
        <w:spacing w:after="0" w:line="269" w:lineRule="auto"/>
        <w:tabs>
          <w:tab w:leader="none" w:pos="345"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 prepare the Prospectus in a form approved by the Representative and to file such Prospectus pursuant to Rule 424(b) under the Securities Act not later than the Commission’s close of business on the second business day following the execution and delivery of this Agreement; to make no further amendment or any supplement to the Registration Statement or the Prospectus prior to the last Delivery Date except as provided herein; to advise the Representative, promptly after it receives notice thereof, of the time when any amendment or supplement to the Registration Statement or the Prospectus has been filed and to furnish the Representative with copies thereof; to advise the Representative, promptly after it receives notice thereof, of the issuance by the Commission of any stop order or of any order preventing or suspending the use of the Prospectus or any Issuer Free Writing Prospectus, of the suspension of the qualification of the Securities for offering or sale in any jurisdiction, of the initiation or threatening of any proceeding or examination for any such purpose or of any request by the Commission for the amending or supplementing of the Registration Statement, the Prospectus or any Issuer Free Writing Prospectus or for additional information; and, in the event of the issuance of any stop order or of any order preventing or suspending the use of the Prospectus or any Issuer Free Writing Prospectus or suspending any such qualification, to use promptly its reasonable best efforts to obtain its withdrawal.</w:t>
      </w:r>
    </w:p>
    <w:p>
      <w:pPr>
        <w:spacing w:after="0" w:line="182" w:lineRule="exact"/>
        <w:rPr>
          <w:rFonts w:ascii="Arial" w:cs="Arial" w:eastAsia="Arial" w:hAnsi="Arial"/>
          <w:sz w:val="17"/>
          <w:szCs w:val="17"/>
          <w:color w:val="auto"/>
        </w:rPr>
      </w:pPr>
    </w:p>
    <w:p>
      <w:pPr>
        <w:jc w:val="both"/>
        <w:ind w:left="-540" w:firstLine="645"/>
        <w:spacing w:after="0" w:line="264" w:lineRule="auto"/>
        <w:tabs>
          <w:tab w:leader="none" w:pos="3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upon request by the Representative, furnish promptly to the Representative and to counsel for the Representative a signed copy of the Registration Statement as originally filed with the Commission, and each amendment thereto filed with the Commission, including all consents and exhibits filed therewith.</w:t>
      </w:r>
    </w:p>
    <w:p>
      <w:pPr>
        <w:spacing w:after="0" w:line="181" w:lineRule="exact"/>
        <w:rPr>
          <w:rFonts w:ascii="Arial" w:cs="Arial" w:eastAsia="Arial" w:hAnsi="Arial"/>
          <w:sz w:val="18"/>
          <w:szCs w:val="18"/>
          <w:color w:val="auto"/>
        </w:rPr>
      </w:pPr>
    </w:p>
    <w:p>
      <w:pPr>
        <w:jc w:val="both"/>
        <w:ind w:left="-540" w:firstLine="645"/>
        <w:spacing w:after="0" w:line="269" w:lineRule="auto"/>
        <w:tabs>
          <w:tab w:leader="none" w:pos="426"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 deliver promptly to the Representative such number of the following documents as the Representative shall reasonably request: (A) conformed copies of the Registration Statement as originally filed with the Commission and each amendment thereto (in each case excluding exhibits other than this Agreement and the computation of per share earnings), (B) each Preliminary Prospectus, the Prospectus and any amended or supplemented Prospectus, (C) each Issuer Free Writing Prospectus, and (D) any document incorporated by reference in any Preliminary Prospectus or the Prospectus; and, if the delivery of a prospectus is required at any time after the date hereof in connection with the offering or sale of the Securities and if at such time the Company shall become aware that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or supplement the Prospectus in order to comply with the Securities Act, to notify the Representative and, upon the Representative’s request, to file such document and to prepare and furnish without charge to each Underwriter and to any dealer in securities as many copies as the Representative may from time to time reasonably request of an amended or supplemented Prospectus that will correct such statement or omission or effect such compliance.</w:t>
      </w:r>
    </w:p>
    <w:p>
      <w:pPr>
        <w:spacing w:after="0" w:line="179" w:lineRule="exact"/>
        <w:rPr>
          <w:rFonts w:ascii="Arial" w:cs="Arial" w:eastAsia="Arial" w:hAnsi="Arial"/>
          <w:sz w:val="17"/>
          <w:szCs w:val="17"/>
          <w:color w:val="auto"/>
        </w:rPr>
      </w:pPr>
    </w:p>
    <w:p>
      <w:pPr>
        <w:ind w:left="-540" w:right="20" w:firstLine="645"/>
        <w:spacing w:after="0" w:line="342" w:lineRule="auto"/>
        <w:tabs>
          <w:tab w:leader="none" w:pos="4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file promptly with the Commission any amendment or supplement to the Registration Statement or the Prospectus that may, in the judgment of the Company, counsel for the Company or the Underwriters, be required by the Securities Act or requested by the Commission.</w:t>
      </w:r>
    </w:p>
    <w:p>
      <w:pPr>
        <w:spacing w:after="0" w:line="12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15" w:name="page116"/>
    <w:bookmarkEnd w:id="115"/>
    <w:p>
      <w:pPr>
        <w:jc w:val="both"/>
        <w:ind w:left="-540" w:firstLine="645"/>
        <w:spacing w:after="0" w:line="302" w:lineRule="auto"/>
        <w:tabs>
          <w:tab w:leader="none" w:pos="387" w:val="left"/>
        </w:tabs>
        <w:numPr>
          <w:ilvl w:val="0"/>
          <w:numId w:val="97"/>
        </w:numPr>
        <w:rPr>
          <w:rFonts w:ascii="Arial" w:cs="Arial" w:eastAsia="Arial" w:hAnsi="Arial"/>
          <w:sz w:val="16"/>
          <w:szCs w:val="16"/>
          <w:color w:val="auto"/>
        </w:rPr>
      </w:pPr>
      <w:r>
        <w:rPr>
          <w:rFonts w:ascii="Arial" w:cs="Arial" w:eastAsia="Arial" w:hAnsi="Arial"/>
          <w:sz w:val="16"/>
          <w:szCs w:val="16"/>
          <w:color w:val="auto"/>
        </w:rPr>
        <w:t>Prior to filing with the Commission any amendment or supplement to the Registration Statement, the Prospectus, or any document incorporated by reference in the Prospectus or any amendment to any document incorporated by reference in the Prospectus during the period from the date hereof and through the period of the option to purchase the Option Shares, to furnish a copy thereof to the Representative and counsel for the Underwriters and obtain the consent of the Representative to the filing, which consent shall not be unreasonably withheld, delayed or conditioned.</w:t>
      </w:r>
    </w:p>
    <w:p>
      <w:pPr>
        <w:spacing w:after="0" w:line="154" w:lineRule="exact"/>
        <w:rPr>
          <w:rFonts w:ascii="Arial" w:cs="Arial" w:eastAsia="Arial" w:hAnsi="Arial"/>
          <w:sz w:val="16"/>
          <w:szCs w:val="16"/>
          <w:color w:val="auto"/>
        </w:rPr>
      </w:pPr>
    </w:p>
    <w:p>
      <w:pPr>
        <w:ind w:left="-540" w:firstLine="645"/>
        <w:spacing w:after="0" w:line="277" w:lineRule="auto"/>
        <w:tabs>
          <w:tab w:leader="none" w:pos="441"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 to make any offer relating to the Securities that would constitute an Issuer Free Writing Prospectus without the prior written consent of the Representative.</w:t>
      </w:r>
    </w:p>
    <w:p>
      <w:pPr>
        <w:spacing w:after="0" w:line="170" w:lineRule="exact"/>
        <w:rPr>
          <w:rFonts w:ascii="Arial" w:cs="Arial" w:eastAsia="Arial" w:hAnsi="Arial"/>
          <w:sz w:val="18"/>
          <w:szCs w:val="18"/>
          <w:color w:val="auto"/>
        </w:rPr>
      </w:pPr>
    </w:p>
    <w:p>
      <w:pPr>
        <w:jc w:val="both"/>
        <w:ind w:left="-540" w:firstLine="645"/>
        <w:spacing w:after="0" w:line="290" w:lineRule="auto"/>
        <w:tabs>
          <w:tab w:leader="none" w:pos="463" w:val="left"/>
        </w:tabs>
        <w:numPr>
          <w:ilvl w:val="0"/>
          <w:numId w:val="97"/>
        </w:numPr>
        <w:rPr>
          <w:rFonts w:ascii="Arial" w:cs="Arial" w:eastAsia="Arial" w:hAnsi="Arial"/>
          <w:sz w:val="16"/>
          <w:szCs w:val="16"/>
          <w:color w:val="auto"/>
        </w:rPr>
      </w:pPr>
      <w:r>
        <w:rPr>
          <w:rFonts w:ascii="Arial" w:cs="Arial" w:eastAsia="Arial" w:hAnsi="Arial"/>
          <w:sz w:val="16"/>
          <w:szCs w:val="16"/>
          <w:color w:val="auto"/>
        </w:rPr>
        <w:t>To comply with all applicable requirements of Rule 433 under the Securities Act with respect to any Issuer Free Writing Prospectus. If at any time after the date hereof any events shall have occurred as a result of which any Issuer Free Writing Prospectus, as then amended or supplemented,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Representative and, upon the Representative’s request, to file such document and to prepare and furnish without charge to each Underwriter as many copies as the Representative may from time to time reasonably request of an amended or supplemented Issuer Free Writing Prospectus that will correct such conflict, statement or omission or effect such compliance.</w:t>
      </w:r>
    </w:p>
    <w:p>
      <w:pPr>
        <w:spacing w:after="0" w:line="166" w:lineRule="exact"/>
        <w:rPr>
          <w:rFonts w:ascii="Arial" w:cs="Arial" w:eastAsia="Arial" w:hAnsi="Arial"/>
          <w:sz w:val="16"/>
          <w:szCs w:val="16"/>
          <w:color w:val="auto"/>
        </w:rPr>
      </w:pPr>
    </w:p>
    <w:p>
      <w:pPr>
        <w:jc w:val="both"/>
        <w:ind w:left="-540" w:firstLine="645"/>
        <w:spacing w:after="0" w:line="297" w:lineRule="auto"/>
        <w:tabs>
          <w:tab w:leader="none" w:pos="504" w:val="left"/>
        </w:tabs>
        <w:numPr>
          <w:ilvl w:val="0"/>
          <w:numId w:val="97"/>
        </w:numPr>
        <w:rPr>
          <w:rFonts w:ascii="Arial" w:cs="Arial" w:eastAsia="Arial" w:hAnsi="Arial"/>
          <w:sz w:val="16"/>
          <w:szCs w:val="16"/>
          <w:color w:val="auto"/>
        </w:rPr>
      </w:pPr>
      <w:r>
        <w:rPr>
          <w:rFonts w:ascii="Arial" w:cs="Arial" w:eastAsia="Arial" w:hAnsi="Arial"/>
          <w:sz w:val="16"/>
          <w:szCs w:val="16"/>
          <w:color w:val="auto"/>
        </w:rPr>
        <w:t>As soon as practicable after the Effective Date (it being understood that the Company shall have until at least 410 days or, if the fourth quarter following the fiscal quarter that includes the Effective Date is the last fiscal quarter of the Company’s fiscal year, 455 days after the end of the Company’s current fiscal quarter), to make generally available to the Company’s security holders and to deliver to the Representative (or file with the Commission) an earnings statement of the Company and its subsidiaries (which need not be audited) complying with Section 11(a) of the Securities Act and the rules and regulations thereunder (including, at the option of the Company, Rule 158).</w:t>
      </w:r>
    </w:p>
    <w:p>
      <w:pPr>
        <w:spacing w:after="0" w:line="158" w:lineRule="exact"/>
        <w:rPr>
          <w:rFonts w:ascii="Arial" w:cs="Arial" w:eastAsia="Arial" w:hAnsi="Arial"/>
          <w:sz w:val="16"/>
          <w:szCs w:val="16"/>
          <w:color w:val="auto"/>
        </w:rPr>
      </w:pPr>
    </w:p>
    <w:p>
      <w:pPr>
        <w:jc w:val="both"/>
        <w:ind w:left="-540" w:firstLine="645"/>
        <w:spacing w:after="0" w:line="255" w:lineRule="auto"/>
        <w:tabs>
          <w:tab w:leader="none" w:pos="421"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Promptly from time to time to take such action as the Representative may reasonably request to qualify the Securities for offering and sale under the securities or Blue Sky laws of such jurisdictions as the Representative may reasonably request and to comply with such laws so as to permit the continuance of sales and dealings therein in such jurisdictions for as long as may be necessary to complete the distribution of the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connection therewith the Company shall not be required to (i) qualify as a foreign corporation in any jurisdiction in which it would not otherwise be required to so qualify, (ii) file a general consent to service of process in any such jurisdiction, or (iii) subject itself to taxation in any jurisdiction in which it would not otherwise be subject.</w:t>
      </w:r>
    </w:p>
    <w:p>
      <w:pPr>
        <w:spacing w:after="0" w:line="19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16" w:name="page117"/>
    <w:bookmarkEnd w:id="116"/>
    <w:p>
      <w:pPr>
        <w:jc w:val="both"/>
        <w:ind w:left="-540" w:firstLine="645"/>
        <w:spacing w:after="0" w:line="284" w:lineRule="auto"/>
        <w:tabs>
          <w:tab w:leader="none" w:pos="366" w:val="left"/>
        </w:tabs>
        <w:numPr>
          <w:ilvl w:val="0"/>
          <w:numId w:val="98"/>
        </w:numPr>
        <w:rPr>
          <w:rFonts w:ascii="Arial" w:cs="Arial" w:eastAsia="Arial" w:hAnsi="Arial"/>
          <w:sz w:val="16"/>
          <w:szCs w:val="16"/>
          <w:color w:val="auto"/>
        </w:rPr>
      </w:pPr>
      <w:r>
        <w:rPr>
          <w:rFonts w:ascii="Arial" w:cs="Arial" w:eastAsia="Arial" w:hAnsi="Arial"/>
          <w:sz w:val="16"/>
          <w:szCs w:val="16"/>
          <w:color w:val="auto"/>
        </w:rPr>
        <w:t>For a period commencing on the date hereof and ending on the 90th day after the date of the Prospectus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not to, directly or indirectly, (A) offer, sell, contract to sell, lend, pledge or otherwise transfer or dispose of (or enter into any transaction or device that is designed to, or could be expected to, result in the disposition by any person at any time in the future of) any Common Stock or securities convertible into or exercisable or exchangeable for Common Stock (other than Common Stock issued pursuant to (i) Specified Equity Plans, (ii) any equity compensation plans or agreements of the Company duly adopted for such purpose by a majority of the Company’s non-employee directors (as such term is defined in Rule 16b-3 under the Exchange Act) or a committee comprised of non-employee directors or with respect to the non-employee directors’ annual equity compensation duly adopted by the Board of Directors on December 6, 2017 (“</w:t>
      </w:r>
      <w:r>
        <w:rPr>
          <w:rFonts w:ascii="Arial" w:cs="Arial" w:eastAsia="Arial" w:hAnsi="Arial"/>
          <w:sz w:val="16"/>
          <w:szCs w:val="16"/>
          <w:b w:val="1"/>
          <w:bCs w:val="1"/>
          <w:i w:val="1"/>
          <w:iCs w:val="1"/>
          <w:color w:val="auto"/>
        </w:rPr>
        <w:t>Other Equity Plans</w:t>
      </w:r>
      <w:r>
        <w:rPr>
          <w:rFonts w:ascii="Arial" w:cs="Arial" w:eastAsia="Arial" w:hAnsi="Arial"/>
          <w:sz w:val="16"/>
          <w:szCs w:val="16"/>
          <w:i w:val="1"/>
          <w:iCs w:val="1"/>
          <w:color w:val="auto"/>
        </w:rPr>
        <w:t>”</w:t>
      </w:r>
      <w:r>
        <w:rPr>
          <w:rFonts w:ascii="Arial" w:cs="Arial" w:eastAsia="Arial" w:hAnsi="Arial"/>
          <w:sz w:val="16"/>
          <w:szCs w:val="16"/>
          <w:color w:val="auto"/>
        </w:rPr>
        <w:t xml:space="preserve">), (iii)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Lock-Up Period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or (iv) options, warrants, units, convertible notes or rights outstanding as of the date of this Agreement and not issued under a Specified Equity Plan or Other Equity Plan), in each case, where such issuances are not primarily for the purpose of raising capital, or sell or grant options, rights, units, warrants or contracts to purchase or purchase any option or contract to sell with respect to any Common Stock or securities convertible into or exchangeable for Common Stock (other than the sale or grant of securities pursuant to Specified Equity Plans or Other Equity Plans, where, in the case of (i), (ii) and (iv), such sales or grants are not primarily for the purpose of raising capital and such Common Stock issued are covered by a Lock-Up Agreement (as defined herein)), (B) enter into any swap or other derivatives transaction that transfers to another, in whole or in part, any of the economic benefits or risks of ownership of such Common Stock, whether any such transaction described in clause (A) or (B) above is to be settled by delivery of Common Stock or other securities, in cash or otherwise (other than the sale or grant of securities pursuant to Specified Equity Plans, where, in the case of (i), (ii) and (iv), such issuances are not primarily for the purpose of raising capital and such Common Stock issued are covered by a Lock-Up Agreement (as defined herein)), (C) file or cause to be filed a registration statement, including any amendments thereto, with respect to the registration of any Common Stock or securities convertible, exercisable or exchangeable into Common Stock or any other securities of the Company (other than any registration statement on Form S-8 or any successor form thereto), or (D) publicly disclose the intention to do any of the foregoing (other than actions permitted hereby), in each case without the prior written consent of the Representative and to cause each Section 16 (under the Exchange Act) officer and director of the Company set forth on </w:t>
      </w:r>
      <w:r>
        <w:rPr>
          <w:rFonts w:ascii="Arial" w:cs="Arial" w:eastAsia="Arial" w:hAnsi="Arial"/>
          <w:sz w:val="16"/>
          <w:szCs w:val="16"/>
          <w:b w:val="1"/>
          <w:bCs w:val="1"/>
          <w:color w:val="auto"/>
        </w:rPr>
        <w:t>Schedule II</w:t>
      </w:r>
      <w:r>
        <w:rPr>
          <w:rFonts w:ascii="Arial" w:cs="Arial" w:eastAsia="Arial" w:hAnsi="Arial"/>
          <w:sz w:val="16"/>
          <w:szCs w:val="16"/>
          <w:color w:val="auto"/>
        </w:rPr>
        <w:t xml:space="preserve"> hereto to furnish to the Representative, immediately prior to the filing of the Prospectus, a letter or letters, substantially in the form of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hereto dated the date of the Prospectus (the “</w:t>
      </w:r>
      <w:r>
        <w:rPr>
          <w:rFonts w:ascii="Arial" w:cs="Arial" w:eastAsia="Arial" w:hAnsi="Arial"/>
          <w:sz w:val="16"/>
          <w:szCs w:val="16"/>
          <w:b w:val="1"/>
          <w:bCs w:val="1"/>
          <w:i w:val="1"/>
          <w:iCs w:val="1"/>
          <w:color w:val="auto"/>
        </w:rPr>
        <w:t>Lock-Up</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Agreements</w:t>
      </w:r>
      <w:r>
        <w:rPr>
          <w:rFonts w:ascii="Arial" w:cs="Arial" w:eastAsia="Arial" w:hAnsi="Arial"/>
          <w:sz w:val="16"/>
          <w:szCs w:val="16"/>
          <w:color w:val="auto"/>
        </w:rPr>
        <w:t>”).</w:t>
      </w:r>
    </w:p>
    <w:p>
      <w:pPr>
        <w:spacing w:after="0" w:line="386" w:lineRule="exact"/>
        <w:rPr>
          <w:rFonts w:ascii="Arial" w:cs="Arial" w:eastAsia="Arial" w:hAnsi="Arial"/>
          <w:sz w:val="16"/>
          <w:szCs w:val="16"/>
          <w:color w:val="auto"/>
        </w:rPr>
      </w:pPr>
    </w:p>
    <w:p>
      <w:pPr>
        <w:ind w:left="-540" w:firstLine="645"/>
        <w:spacing w:after="0" w:line="277" w:lineRule="auto"/>
        <w:tabs>
          <w:tab w:leader="none" w:pos="411" w:val="left"/>
        </w:tabs>
        <w:numPr>
          <w:ilvl w:val="0"/>
          <w:numId w:val="98"/>
        </w:numPr>
        <w:rPr>
          <w:rFonts w:ascii="Arial" w:cs="Arial" w:eastAsia="Arial" w:hAnsi="Arial"/>
          <w:sz w:val="18"/>
          <w:szCs w:val="18"/>
          <w:color w:val="auto"/>
        </w:rPr>
      </w:pPr>
      <w:r>
        <w:rPr>
          <w:rFonts w:ascii="Arial" w:cs="Arial" w:eastAsia="Arial" w:hAnsi="Arial"/>
          <w:sz w:val="18"/>
          <w:szCs w:val="18"/>
          <w:color w:val="auto"/>
        </w:rPr>
        <w:t>Apply the net proceeds from the sale of the Firm Securities and Option Shares being sold by the Company substantially in accordance with the description as set forth in the Prospectus under the caption “Use of Proceeds.”</w:t>
      </w:r>
    </w:p>
    <w:p>
      <w:pPr>
        <w:spacing w:after="0" w:line="170" w:lineRule="exact"/>
        <w:rPr>
          <w:rFonts w:ascii="Arial" w:cs="Arial" w:eastAsia="Arial" w:hAnsi="Arial"/>
          <w:sz w:val="18"/>
          <w:szCs w:val="18"/>
          <w:color w:val="auto"/>
        </w:rPr>
      </w:pPr>
    </w:p>
    <w:p>
      <w:pPr>
        <w:jc w:val="both"/>
        <w:ind w:left="-540" w:firstLine="645"/>
        <w:spacing w:after="0" w:line="279" w:lineRule="auto"/>
        <w:tabs>
          <w:tab w:leader="none" w:pos="469" w:val="left"/>
        </w:tabs>
        <w:numPr>
          <w:ilvl w:val="0"/>
          <w:numId w:val="98"/>
        </w:numPr>
        <w:rPr>
          <w:rFonts w:ascii="Arial" w:cs="Arial" w:eastAsia="Arial" w:hAnsi="Arial"/>
          <w:sz w:val="17"/>
          <w:szCs w:val="17"/>
          <w:color w:val="auto"/>
        </w:rPr>
      </w:pPr>
      <w:r>
        <w:rPr>
          <w:rFonts w:ascii="Arial" w:cs="Arial" w:eastAsia="Arial" w:hAnsi="Arial"/>
          <w:sz w:val="17"/>
          <w:szCs w:val="17"/>
          <w:color w:val="auto"/>
        </w:rPr>
        <w:t>If the Company elects to rely upon Rule 462(b) under the Securities Act, the Company shall file a Rule 462(b) Registration Statement with the Commission in compliance with Rule 462(b) under the Securities Act by 10:00 P.M., Washington, D.C. time, on the date of this Agreement, and the Company shall at the time of filing pay the Commission the filing fee for the Rule 462(b) Registration Statement or, if such fee cannot be paid at such time, as promptly thereafter as practicable and in any event within one business day thereof.</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17" w:name="page118"/>
    <w:bookmarkEnd w:id="117"/>
    <w:p>
      <w:pPr>
        <w:jc w:val="both"/>
        <w:ind w:left="640" w:firstLine="645"/>
        <w:spacing w:after="0" w:line="264" w:lineRule="auto"/>
        <w:tabs>
          <w:tab w:leader="none" w:pos="169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will not take, and will use its reasonable best efforts to cause its affiliates not to take, directly or indirectly, any action designed to or that has constituted or that reasonably would be expected to cause or result in the stabilization or manipulation of the price of any security of the Company in connection with the offering of the Securities.</w:t>
      </w:r>
    </w:p>
    <w:p>
      <w:pPr>
        <w:spacing w:after="0" w:line="181" w:lineRule="exact"/>
        <w:rPr>
          <w:rFonts w:ascii="Arial" w:cs="Arial" w:eastAsia="Arial" w:hAnsi="Arial"/>
          <w:sz w:val="18"/>
          <w:szCs w:val="18"/>
          <w:color w:val="auto"/>
        </w:rPr>
      </w:pPr>
    </w:p>
    <w:p>
      <w:pPr>
        <w:ind w:left="640" w:firstLine="645"/>
        <w:spacing w:after="0" w:line="308" w:lineRule="auto"/>
        <w:tabs>
          <w:tab w:leader="none" w:pos="1684"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Company will do and perform all things required or necessary to be done and performed under this Agreement by it prior to each Delivery Date, and to satisfy all conditions precedent to the Underwriters’ obligations hereunder to purchase the Securities.</w:t>
      </w:r>
    </w:p>
    <w:p>
      <w:pPr>
        <w:spacing w:after="0" w:line="147" w:lineRule="exact"/>
        <w:rPr>
          <w:sz w:val="20"/>
          <w:szCs w:val="20"/>
          <w:color w:val="auto"/>
        </w:rPr>
      </w:pPr>
    </w:p>
    <w:p>
      <w:pPr>
        <w:jc w:val="both"/>
        <w:ind w:left="-20" w:firstLine="1305"/>
        <w:spacing w:after="0" w:line="273" w:lineRule="auto"/>
        <w:tabs>
          <w:tab w:leader="none" w:pos="154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Each Underwriter severally agrees that such Underwriter shall not include any “issuer information” (as defined in Rule 433 under the Securities Act) in any “free writing prospectus” (as defined in Rule 405 under the Securities Act) used or referred to by such Underwriter without the prior consent of the Company (any such issuer information with respect to whose use the Company has given its consent, “</w:t>
      </w:r>
      <w:r>
        <w:rPr>
          <w:rFonts w:ascii="Arial" w:cs="Arial" w:eastAsia="Arial" w:hAnsi="Arial"/>
          <w:sz w:val="17"/>
          <w:szCs w:val="17"/>
          <w:b w:val="1"/>
          <w:bCs w:val="1"/>
          <w:i w:val="1"/>
          <w:iCs w:val="1"/>
          <w:color w:val="auto"/>
        </w:rPr>
        <w:t>Permitted Issuer Information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 no such consent shall be required with respect to any such issuer information contained in any document filed by the Company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 prior to the use of such free writing prospectus, and (ii) “issuer information”, as used in this Section 6(b), shall not be deemed to include information prepared by or on behalf of such Underwriter on the basis of or derived from issuer information.</w:t>
      </w:r>
    </w:p>
    <w:p>
      <w:pPr>
        <w:spacing w:after="0" w:line="178" w:lineRule="exact"/>
        <w:rPr>
          <w:sz w:val="20"/>
          <w:szCs w:val="20"/>
          <w:color w:val="auto"/>
        </w:rPr>
      </w:pPr>
    </w:p>
    <w:p>
      <w:pPr>
        <w:jc w:val="both"/>
        <w:ind w:left="-20" w:firstLine="1305"/>
        <w:spacing w:after="0" w:line="284" w:lineRule="auto"/>
        <w:tabs>
          <w:tab w:leader="none" w:pos="1484"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Company agrees to pay all expenses, costs, fees and taxes incident to and in connection with (a) the authorization,</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sale and delivery of the Securities and any stamp duties or other taxes payable in that connection, and the preparation and printing of certificates for the Securities; (b) the preparation and filing under the Securities Act of the Registration Statement (including any exhibits thereto), any Preliminary Prospectus, the Prospectus, any Issuer Free Writing Prospectus, and any amendment or supplement thereto; (c) the distribution of the Registration Statement (including any exhibits thereto), any Preliminary Prospectus, the Prospectus, any Issuer Free Writing Prospectus, and any amendment or supplement thereto, or any document incorporated by reference therein, all as provided in this Agreement; (d) the production and distribution of this Agreement and any other related documents in connection with the offering, purchase, sale and delivery of the Securities; (e) any required review by the FINRA of the terms of sale of the Securities (including related fees and expenses of counsel to the Underwriters); (f) the listing of the Shares and Warrant Shares on The Nasdaq Capital Market and/or any other exchange; (g) the qualification of the Securities for offer and sale under the securities laws of the several jurisdictions as provided in Section 6(a)(ix) (including filing fees and the fees and disbursements of counsel to the Underwriters in connection with such qualification and in connection with the Blue Sky survey and the survey of the securities laws of any foreign jurisdiction in which the Underwriters reasonably requests the Company to offer the Securities); (h) the investor presentations on any “road show” undertaken in connection with the marketing of the Securities, including, without limitation, expenses associated with any electronic “road show,” travel and lodging expenses of the representatives and officers of the Company and the cost of any aircraft chartered in connection with the “road show”; (i) all other costs and expenses incident to the performance of the obligations of the Company under this Agreement; (j) all actual and documented out-of-pocket expenses and all fees of the Underwriters’ legal counsel and other out-of-pocket expenses of the Underwriters reasonably incurred in connection with the transactions contemplated hereby; provided, that the amount payable pursuant to the foregoing clauses (e), (g) and (j) shall not exceed $125,000 in the aggregate, inclusive of the $35,000 advance for accountable expenses previously paid by the Company to the Representative (or its designee) (the “</w:t>
      </w:r>
      <w:r>
        <w:rPr>
          <w:rFonts w:ascii="Arial" w:cs="Arial" w:eastAsia="Arial" w:hAnsi="Arial"/>
          <w:sz w:val="16"/>
          <w:szCs w:val="16"/>
          <w:b w:val="1"/>
          <w:bCs w:val="1"/>
          <w:color w:val="auto"/>
        </w:rPr>
        <w:t>Advance</w:t>
      </w:r>
      <w:r>
        <w:rPr>
          <w:rFonts w:ascii="Arial" w:cs="Arial" w:eastAsia="Arial" w:hAnsi="Arial"/>
          <w:sz w:val="16"/>
          <w:szCs w:val="16"/>
          <w:color w:val="auto"/>
        </w:rPr>
        <w:t>”) and shall only be payable by the Company if the transactions contemplated by this Agreement are consummated; (k) the costs and fees of any escrow agent and the actual out-of-pocket costs incurred by the Underwriters in connection with clearing agent settlement, which cost shall not exceed $10,000, (l) if the transactions contemplated by this Agreement are consummated, $35,000 to the Representative for non-accountable expenses, and (xiv) a management fee to the Representative equal to 1% of the gross proceeds raised by the Company in the Offering on the Initial Delivery Date and any Option Shares Delivery Date (assuming the public offering price). Any such amount payable to the Underwriters may be deducted from the purchase price for the Securities, provided that any such amounts are detailed in a cross-receipt exchanged at the applicable Delivery Date and executed by the Representative and the Company.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118" w:name="page119"/>
    <w:bookmarkEnd w:id="118"/>
    <w:p>
      <w:pPr>
        <w:jc w:val="both"/>
        <w:ind w:left="-20" w:firstLine="1305"/>
        <w:spacing w:after="0" w:line="264" w:lineRule="auto"/>
        <w:tabs>
          <w:tab w:leader="none" w:pos="1457"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Conditions of Underwriters’ Obligations</w:t>
      </w:r>
      <w:r>
        <w:rPr>
          <w:rFonts w:ascii="Arial" w:cs="Arial" w:eastAsia="Arial" w:hAnsi="Arial"/>
          <w:sz w:val="18"/>
          <w:szCs w:val="18"/>
          <w:color w:val="auto"/>
        </w:rPr>
        <w:t>. The obligations of the Underwriters hereunder are subject to the accuracy, when made and on</w:t>
      </w:r>
      <w:r>
        <w:rPr>
          <w:rFonts w:ascii="Arial" w:cs="Arial" w:eastAsia="Arial" w:hAnsi="Arial"/>
          <w:sz w:val="18"/>
          <w:szCs w:val="18"/>
          <w:i w:val="1"/>
          <w:iCs w:val="1"/>
          <w:color w:val="auto"/>
        </w:rPr>
        <w:t xml:space="preserve"> </w:t>
      </w:r>
      <w:r>
        <w:rPr>
          <w:rFonts w:ascii="Arial" w:cs="Arial" w:eastAsia="Arial" w:hAnsi="Arial"/>
          <w:sz w:val="18"/>
          <w:szCs w:val="18"/>
          <w:color w:val="auto"/>
        </w:rPr>
        <w:t>each Delivery Date, of the representations and warranties of the Company contained herein, to the performance by the Company of its obligations hereunder, and to each of the following additional terms and conditions:</w:t>
      </w:r>
    </w:p>
    <w:p>
      <w:pPr>
        <w:spacing w:after="0" w:line="181" w:lineRule="exact"/>
        <w:rPr>
          <w:sz w:val="20"/>
          <w:szCs w:val="20"/>
          <w:color w:val="auto"/>
        </w:rPr>
      </w:pPr>
    </w:p>
    <w:p>
      <w:pPr>
        <w:jc w:val="both"/>
        <w:ind w:left="640" w:firstLine="645"/>
        <w:spacing w:after="0" w:line="291" w:lineRule="auto"/>
        <w:tabs>
          <w:tab w:leader="none" w:pos="153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Prospectus shall have been timely filed with the Commission in accordance with Section 6(a)(i). The Company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 proceeding or examination for such purpose shall have been initiated or, to the knowledge of the Company, threatened by the Commission; and any request of the Commission for inclusion of additional information in the Registration Statement or the Prospectus or otherwise shall have been complied with. If the Company has elected to rely upon Rule 462(b) under the Securities Act, the Rule 462(b) Registration Statement shall have become effective by 10:00 P.M., Washington, D.C. time, on the date of this Agreement.</w:t>
      </w:r>
    </w:p>
    <w:p>
      <w:pPr>
        <w:spacing w:after="0" w:line="167" w:lineRule="exact"/>
        <w:rPr>
          <w:rFonts w:ascii="Arial" w:cs="Arial" w:eastAsia="Arial" w:hAnsi="Arial"/>
          <w:sz w:val="16"/>
          <w:szCs w:val="16"/>
          <w:color w:val="auto"/>
        </w:rPr>
      </w:pPr>
    </w:p>
    <w:p>
      <w:pPr>
        <w:jc w:val="both"/>
        <w:ind w:left="640" w:firstLine="645"/>
        <w:spacing w:after="0" w:line="259" w:lineRule="auto"/>
        <w:tabs>
          <w:tab w:leader="none" w:pos="155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Underwriter shall have discovered and disclosed to the Company on or prior to such Delivery Date that the Registration Statement, the Prospectus or the Pricing Disclosure Package, or any amendment or supplement thereto, contains an untrue statement of a fact which in the opinion of counsel to the Underwriters is material or omits to state a fact which, in the opinion of such counsel, is material and is required to be stated therein or is necessary to make the statements therein not misleading.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119" w:name="page120"/>
    <w:bookmarkEnd w:id="119"/>
    <w:p>
      <w:pPr>
        <w:jc w:val="both"/>
        <w:ind w:left="-540" w:firstLine="645"/>
        <w:spacing w:after="0" w:line="302" w:lineRule="auto"/>
        <w:tabs>
          <w:tab w:leader="none" w:pos="35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All corporate proceedings and other legal matters incident to the authorization, form and validity of this Agreement, the Securities, the Registration Statement, the Prospectus and any Issuer Free Writing Prospectus, and all other legal matters relating to this Agreement and the transactions contemplated hereby shall be reasonably satisfactory in all material respects to counsel for the Underwriters, and the Company shall have furnished to such counsel all documents and information that they may reasonably request to enable them to pass upon such matters.</w:t>
      </w:r>
    </w:p>
    <w:p>
      <w:pPr>
        <w:spacing w:after="0" w:line="154" w:lineRule="exact"/>
        <w:rPr>
          <w:rFonts w:ascii="Arial" w:cs="Arial" w:eastAsia="Arial" w:hAnsi="Arial"/>
          <w:sz w:val="16"/>
          <w:szCs w:val="16"/>
          <w:color w:val="auto"/>
        </w:rPr>
      </w:pPr>
    </w:p>
    <w:p>
      <w:pPr>
        <w:jc w:val="both"/>
        <w:ind w:left="-540" w:firstLine="645"/>
        <w:spacing w:after="0" w:line="264" w:lineRule="auto"/>
        <w:tabs>
          <w:tab w:leader="none" w:pos="39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Mintz, Levin, Cohn, Ferris, Glovsky and Popeo, P.C. shall have furnished to the Representative its written opinion and negative assurance letter, as counsel to the Company, addressed to the Underwriters and dated such Delivery Date, in form and substance reasonably satisfactory to the Representative.</w:t>
      </w:r>
    </w:p>
    <w:p>
      <w:pPr>
        <w:spacing w:after="0" w:line="181" w:lineRule="exact"/>
        <w:rPr>
          <w:rFonts w:ascii="Arial" w:cs="Arial" w:eastAsia="Arial" w:hAnsi="Arial"/>
          <w:sz w:val="18"/>
          <w:szCs w:val="18"/>
          <w:color w:val="auto"/>
        </w:rPr>
      </w:pPr>
    </w:p>
    <w:p>
      <w:pPr>
        <w:jc w:val="both"/>
        <w:ind w:left="-540" w:firstLine="645"/>
        <w:spacing w:after="0" w:line="279" w:lineRule="auto"/>
        <w:tabs>
          <w:tab w:leader="none" w:pos="36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Underwriters shall have received from Lowenstein Sandler, LLP, as counsel for the Underwriters, such opinion or opinions, dated such Delivery Date, with respect to the issuance and sale of the Securities, the Registration Statement, the Prospectus and the Pricing Disclosure Package and other related matters as the Underwriters may reasonably require, and the Company shall have furnished to such counsel such documents as they reasonably request for the purpose of enabling them to pass upon such matters.</w:t>
      </w:r>
    </w:p>
    <w:p>
      <w:pPr>
        <w:spacing w:after="0" w:line="171" w:lineRule="exact"/>
        <w:rPr>
          <w:rFonts w:ascii="Arial" w:cs="Arial" w:eastAsia="Arial" w:hAnsi="Arial"/>
          <w:sz w:val="17"/>
          <w:szCs w:val="17"/>
          <w:color w:val="auto"/>
        </w:rPr>
      </w:pPr>
    </w:p>
    <w:p>
      <w:pPr>
        <w:jc w:val="both"/>
        <w:ind w:left="-540" w:firstLine="645"/>
        <w:spacing w:after="0" w:line="254" w:lineRule="auto"/>
        <w:tabs>
          <w:tab w:leader="none" w:pos="32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At the time of execution of this Agreement, the Representative shall have received from Brightman Almagor Zohar &amp; Co., a Member of Deloitte Touche Tohmatsu Limited, a letter, in form and substance satisfactory to the Representative, addressed to the Underwriters and dated the date hereof (i) confirming that they are independent public accountants within the meaning of the Securities Act and are in compliance with the applicable requirements relating to the qualification of accountants under Rule 2-01 of Regulation S-X, and (ii) stating, as of the date hereof (or, with respect to matters involving changes or developments since the respective dates as of which specified financial information is given in the most recent Preliminary Prospectus, as of a date not more than three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192" w:lineRule="exact"/>
        <w:rPr>
          <w:rFonts w:ascii="Arial" w:cs="Arial" w:eastAsia="Arial" w:hAnsi="Arial"/>
          <w:sz w:val="18"/>
          <w:szCs w:val="18"/>
          <w:color w:val="auto"/>
        </w:rPr>
      </w:pPr>
    </w:p>
    <w:p>
      <w:pPr>
        <w:jc w:val="both"/>
        <w:ind w:left="-540" w:firstLine="645"/>
        <w:spacing w:after="0" w:line="253" w:lineRule="auto"/>
        <w:tabs>
          <w:tab w:leader="none" w:pos="38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With respect to the letter of Brightman Almagor Zohar &amp; Co., a Member of Deloitte Touche Tohmatsu Limited, referred to in the preceding paragraph and delivered to the Representative concurrently with the execution of this Agreement (the “</w:t>
      </w:r>
      <w:r>
        <w:rPr>
          <w:rFonts w:ascii="Arial" w:cs="Arial" w:eastAsia="Arial" w:hAnsi="Arial"/>
          <w:sz w:val="18"/>
          <w:szCs w:val="18"/>
          <w:b w:val="1"/>
          <w:bCs w:val="1"/>
          <w:i w:val="1"/>
          <w:iCs w:val="1"/>
          <w:color w:val="auto"/>
        </w:rPr>
        <w:t>initial letter</w:t>
      </w:r>
      <w:r>
        <w:rPr>
          <w:rFonts w:ascii="Arial" w:cs="Arial" w:eastAsia="Arial" w:hAnsi="Arial"/>
          <w:sz w:val="18"/>
          <w:szCs w:val="18"/>
          <w:color w:val="auto"/>
        </w:rPr>
        <w:t>”), the Representative shall have received a letter (the “</w:t>
      </w:r>
      <w:r>
        <w:rPr>
          <w:rFonts w:ascii="Arial" w:cs="Arial" w:eastAsia="Arial" w:hAnsi="Arial"/>
          <w:sz w:val="18"/>
          <w:szCs w:val="18"/>
          <w:b w:val="1"/>
          <w:bCs w:val="1"/>
          <w:i w:val="1"/>
          <w:iCs w:val="1"/>
          <w:color w:val="auto"/>
        </w:rPr>
        <w:t>bring-down letter</w:t>
      </w:r>
      <w:r>
        <w:rPr>
          <w:rFonts w:ascii="Arial" w:cs="Arial" w:eastAsia="Arial" w:hAnsi="Arial"/>
          <w:sz w:val="18"/>
          <w:szCs w:val="18"/>
          <w:color w:val="auto"/>
        </w:rPr>
        <w:t>”) of such accountants, addressed to the Underwriters and dated such Delivery Date (i) confirming that such accountants are independent public accountants within the meaning of the Securities Act and are in compliance with the applicable requirements relating to the qualification of accountants under Rule 2-01 of Regulation S-X, (ii) stating, as of the date of the bring-down letter (or, with respect to matters involving changes or developments since the respective dates as of which specified financial information is given in the Prospectus, as of a date not more than three (3) days prior to the date of the bring-down letter), the conclusions and findings of such firm with respect to the financial information and other matters covered by the initial letter, and (iii) confirming in all material respects the conclusions and findings set forth in the initial letter.</w:t>
      </w:r>
    </w:p>
    <w:p>
      <w:pPr>
        <w:spacing w:after="0" w:line="19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20" w:name="page121"/>
    <w:bookmarkEnd w:id="120"/>
    <w:p>
      <w:pPr>
        <w:jc w:val="both"/>
        <w:ind w:left="-540" w:firstLine="645"/>
        <w:spacing w:after="0" w:line="268" w:lineRule="auto"/>
        <w:tabs>
          <w:tab w:leader="none" w:pos="38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Company shall have furnished to the Representative a certificate, dated such Delivery Date, of its Chief Executive Officer or President and its Chief Financial Officer or Principal Financial Officer stating in their respective capacities as officers of the Company on behalf of the Company and not in their individual capacities that (i) no stop order suspending the effectiveness of the Registration Statement (including, for avoidance of doubt, any Rule 462(b) Registration Statement), or any post-effective amendment thereto, shall be in effect and no proceedings for such purpose shall have been instituted or, to their knowledge, threatened by the Commission, (ii) for the period from and including the date of this Agreement through and including such Delivery Date, there has not occurred any Material Adverse Effect, (iii) to their knowledge, as of such Delivery Date, the representations and warranties of the Company in this Agreement that are qualified by materiality are true and correct and the representations and warranties of the Company not qualified by materiality are true and correct in all material respects, and the Company has complied with all agreements and satisfied all conditions on its part to be performed or satisfied hereunder at or prior to such Delivery Date, and (iv) there has not been, subsequent to the date of the most recent audited financial statements included or incorporated by reference in the Pricing Disclosure Package, any Material Adverse Effect in the financial position or results of operations of the Company, or any change or development that, singularly or in the aggregate, would reasonably be expected to involve a Material Adverse Effect, except as set forth in the Pricing Disclosure Package and the Prospectus.</w:t>
      </w:r>
    </w:p>
    <w:p>
      <w:pPr>
        <w:spacing w:after="0" w:line="187" w:lineRule="exact"/>
        <w:rPr>
          <w:rFonts w:ascii="Arial" w:cs="Arial" w:eastAsia="Arial" w:hAnsi="Arial"/>
          <w:sz w:val="17"/>
          <w:szCs w:val="17"/>
          <w:color w:val="auto"/>
        </w:rPr>
      </w:pPr>
    </w:p>
    <w:p>
      <w:pPr>
        <w:jc w:val="both"/>
        <w:ind w:left="-540" w:firstLine="645"/>
        <w:spacing w:after="0" w:line="270" w:lineRule="auto"/>
        <w:tabs>
          <w:tab w:leader="none" w:pos="35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and most recent Preliminary Prospectus, (i) neither the Company nor any of its subsidiaries shall have sustained, since the date of the latest audited financial statements included or incorporated by reference in the most recent Preliminary Prospectus, any loss or interference with its business from fire, explosion, flood or other calamity, whether or not covered by insurance, or from any labor dispute or court or governmental action, order or decree, or (ii) since such date there shall not have been any change in the share capital or long-term debt of the Company or any of its subsidiaries or any change, or any development involving a prospective change, in or affecting the condition (financial or otherwise), results of operations, shareholders’ equity, properties, management, business or prospects of the Company and its subsidiaries taken as a whole, the effect of which, in any such case described in clause (i) or (ii), is, individually or in the aggregate, in the judgment of the Representative, so material and adverse as to make it impracticable or inadvisable to proceed with the public offering or the delivery of the Securities being delivered on such Delivery Date on the terms and in the manner contemplated in the Pricing Disclosure Package and the Prospectus.</w:t>
      </w:r>
    </w:p>
    <w:p>
      <w:pPr>
        <w:spacing w:after="0" w:line="17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21" w:name="page122"/>
    <w:bookmarkEnd w:id="121"/>
    <w:p>
      <w:pPr>
        <w:jc w:val="both"/>
        <w:ind w:left="660" w:firstLine="645"/>
        <w:spacing w:after="0" w:line="284" w:lineRule="auto"/>
        <w:tabs>
          <w:tab w:leader="none" w:pos="1553" w:val="left"/>
        </w:tabs>
        <w:numPr>
          <w:ilvl w:val="1"/>
          <w:numId w:val="106"/>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there shall not have occurred any of the following: (i) (A) trading in securities generally on the New York Stock Exchange, the NYSE American, the Nasdaq Global Select Market, the Nasdaq Global Market or the Nasdaq Capital Market, or (B)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New York state authorities,</w:t>
      </w:r>
    </w:p>
    <w:p>
      <w:pPr>
        <w:spacing w:after="0" w:line="4" w:lineRule="exact"/>
        <w:rPr>
          <w:rFonts w:ascii="Arial" w:cs="Arial" w:eastAsia="Arial" w:hAnsi="Arial"/>
          <w:sz w:val="16"/>
          <w:szCs w:val="16"/>
          <w:color w:val="auto"/>
        </w:rPr>
      </w:pPr>
    </w:p>
    <w:p>
      <w:pPr>
        <w:jc w:val="both"/>
        <w:ind w:left="660" w:hanging="4"/>
        <w:spacing w:after="0" w:line="290" w:lineRule="auto"/>
        <w:tabs>
          <w:tab w:leader="none" w:pos="981"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United States shall have become engaged in hostilities, there shall have been an escalation in hostilities involving the United States or there shall have been a declaration of a national emergency or war by the United States,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any other calamity or crisis either within or outside the United States, as to make it, in the judgment of the Representative, impracticable or inadvisable to proceed with the public offering or delivery of the Securities being delivered on such applicable Delivery Date on the terms and in the manner contemplated in the Prospectus.</w:t>
      </w:r>
    </w:p>
    <w:p>
      <w:pPr>
        <w:spacing w:after="0" w:line="164" w:lineRule="exact"/>
        <w:rPr>
          <w:rFonts w:ascii="Arial" w:cs="Arial" w:eastAsia="Arial" w:hAnsi="Arial"/>
          <w:sz w:val="16"/>
          <w:szCs w:val="16"/>
          <w:color w:val="auto"/>
        </w:rPr>
      </w:pPr>
    </w:p>
    <w:p>
      <w:pPr>
        <w:ind w:left="1560" w:hanging="255"/>
        <w:spacing w:after="0"/>
        <w:tabs>
          <w:tab w:leader="none" w:pos="156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Nasdaq Capital Market shall have approved the Shares and Warrant Shares for listing, subject only to official notice of issuance.</w:t>
      </w:r>
    </w:p>
    <w:p>
      <w:pPr>
        <w:spacing w:after="0" w:line="244" w:lineRule="exact"/>
        <w:rPr>
          <w:rFonts w:ascii="Arial" w:cs="Arial" w:eastAsia="Arial" w:hAnsi="Arial"/>
          <w:sz w:val="16"/>
          <w:szCs w:val="16"/>
          <w:color w:val="auto"/>
        </w:rPr>
      </w:pPr>
    </w:p>
    <w:p>
      <w:pPr>
        <w:ind w:left="660" w:firstLine="645"/>
        <w:spacing w:after="0" w:line="282" w:lineRule="auto"/>
        <w:tabs>
          <w:tab w:leader="none" w:pos="152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The Lock-Up Agreements between the Representative and the officers and directors of the Company set forth on </w:t>
      </w:r>
      <w:r>
        <w:rPr>
          <w:rFonts w:ascii="Arial" w:cs="Arial" w:eastAsia="Arial" w:hAnsi="Arial"/>
          <w:sz w:val="18"/>
          <w:szCs w:val="18"/>
          <w:b w:val="1"/>
          <w:bCs w:val="1"/>
          <w:color w:val="auto"/>
        </w:rPr>
        <w:t>Schedule II</w:t>
      </w:r>
      <w:r>
        <w:rPr>
          <w:rFonts w:ascii="Arial" w:cs="Arial" w:eastAsia="Arial" w:hAnsi="Arial"/>
          <w:sz w:val="18"/>
          <w:szCs w:val="18"/>
          <w:color w:val="auto"/>
        </w:rPr>
        <w:t>, delivered to the Representative on or before the date of this Agreement, shall be in full force and effect on such Delivery Date.</w:t>
      </w:r>
    </w:p>
    <w:p>
      <w:pPr>
        <w:spacing w:after="0" w:line="165" w:lineRule="exact"/>
        <w:rPr>
          <w:rFonts w:ascii="Arial" w:cs="Arial" w:eastAsia="Arial" w:hAnsi="Arial"/>
          <w:sz w:val="18"/>
          <w:szCs w:val="18"/>
          <w:color w:val="auto"/>
        </w:rPr>
      </w:pPr>
    </w:p>
    <w:p>
      <w:pPr>
        <w:ind w:left="660" w:firstLine="645"/>
        <w:spacing w:after="0" w:line="277" w:lineRule="auto"/>
        <w:tabs>
          <w:tab w:leader="none" w:pos="162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On or prior to each Delivery Date, the Company shall have furnished to the Representative such further certificates and documents as the Representative may reasonably request.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Representative.</w:t>
      </w:r>
    </w:p>
    <w:p>
      <w:pPr>
        <w:spacing w:after="0" w:line="170" w:lineRule="exact"/>
        <w:rPr>
          <w:sz w:val="20"/>
          <w:szCs w:val="20"/>
          <w:color w:val="auto"/>
        </w:rPr>
      </w:pPr>
    </w:p>
    <w:p>
      <w:pPr>
        <w:jc w:val="both"/>
        <w:ind w:right="20" w:firstLine="1297"/>
        <w:spacing w:after="0" w:line="279" w:lineRule="auto"/>
        <w:rPr>
          <w:sz w:val="20"/>
          <w:szCs w:val="20"/>
          <w:color w:val="auto"/>
        </w:rPr>
      </w:pPr>
      <w:r>
        <w:rPr>
          <w:rFonts w:ascii="Arial" w:cs="Arial" w:eastAsia="Arial" w:hAnsi="Arial"/>
          <w:sz w:val="17"/>
          <w:szCs w:val="17"/>
          <w:color w:val="auto"/>
        </w:rPr>
        <w:t>If any condition specified in this Section 8 is not satisfied when and as required to be satisfied, this Agreement may be terminated by the Representative by notice from the Representative to the Company at any time on or prior to the Initial Delivery Date and, with respect to the Option Shares, at any time on or prior to the applicable Option Shares Delivery Date, which termination shall be without liability on the part of any party to any other party, except that Section 7, Section 9, Section 10 and Section 12 shall at all times be effective and shall survive such termination.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2" w:name="page123"/>
    <w:bookmarkEnd w:id="122"/>
    <w:p>
      <w:pPr>
        <w:ind w:left="280" w:hanging="175"/>
        <w:spacing w:after="0"/>
        <w:tabs>
          <w:tab w:leader="none" w:pos="28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p>
    <w:p>
      <w:pPr>
        <w:spacing w:after="0" w:line="225" w:lineRule="exact"/>
        <w:rPr>
          <w:sz w:val="20"/>
          <w:szCs w:val="20"/>
          <w:color w:val="auto"/>
        </w:rPr>
      </w:pPr>
    </w:p>
    <w:p>
      <w:pPr>
        <w:jc w:val="both"/>
        <w:ind w:left="-540" w:firstLine="645"/>
        <w:spacing w:after="0" w:line="286" w:lineRule="auto"/>
        <w:tabs>
          <w:tab w:leader="none" w:pos="353"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Underwriters. </w:t>
      </w:r>
      <w:r>
        <w:rPr>
          <w:rFonts w:ascii="Arial" w:cs="Arial" w:eastAsia="Arial" w:hAnsi="Arial"/>
          <w:sz w:val="17"/>
          <w:szCs w:val="17"/>
          <w:color w:val="auto"/>
        </w:rPr>
        <w:t>The Company hereby agrees to indemnify and hold harmless each Underwriter, its affiliates (as such</w:t>
      </w:r>
      <w:r>
        <w:rPr>
          <w:rFonts w:ascii="Arial" w:cs="Arial" w:eastAsia="Arial" w:hAnsi="Arial"/>
          <w:sz w:val="17"/>
          <w:szCs w:val="17"/>
          <w:i w:val="1"/>
          <w:iCs w:val="1"/>
          <w:color w:val="auto"/>
        </w:rPr>
        <w:t xml:space="preserve"> </w:t>
      </w:r>
      <w:r>
        <w:rPr>
          <w:rFonts w:ascii="Arial" w:cs="Arial" w:eastAsia="Arial" w:hAnsi="Arial"/>
          <w:sz w:val="17"/>
          <w:szCs w:val="17"/>
          <w:color w:val="auto"/>
        </w:rPr>
        <w:t>term is defined in Rule 501(b) under the Securities Act), its selling agents, directors, officers and employees and each person, if any, who controls any Underwriter within the meaning of Section 15 of the Securities Act or Section 20 of the Exchange Act from and against:</w:t>
      </w:r>
    </w:p>
    <w:p>
      <w:pPr>
        <w:spacing w:after="0" w:line="165" w:lineRule="exact"/>
        <w:rPr>
          <w:rFonts w:ascii="Arial" w:cs="Arial" w:eastAsia="Arial" w:hAnsi="Arial"/>
          <w:sz w:val="17"/>
          <w:szCs w:val="17"/>
          <w:color w:val="auto"/>
        </w:rPr>
      </w:pPr>
    </w:p>
    <w:p>
      <w:pPr>
        <w:jc w:val="both"/>
        <w:ind w:left="760" w:firstLine="641"/>
        <w:spacing w:after="0" w:line="285" w:lineRule="auto"/>
        <w:tabs>
          <w:tab w:leader="none" w:pos="1624"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any and all loss, claim, damage, expense or liability, joint or several, or any action in respect thereof (including, but not limited to, any loss, claim, damage, liability or action relating to purchases and sales of Securities), to which that Underwriters, affiliate, director, officer, employee or controlling person may become subject, under the Securities Act or otherwise, insofar as such loss, claim, damage, liability or action arises out of, or is based upon, (i) any untrue statement or alleged untrue statement of a material fact contained in (A) any Preliminary Prospectus, the Registration Statement, the Prospectus or in any amendment or supplement thereto, (B) any Issuer Free Writing Prospectus or in any amendment or supplement thereto, (C) any Permitted Issuer Information used or referred to in any “free writing prospectus” (as defined in Rule 405 under the Securities Act) used or referred to by any Underwriter, (D) any materials or information provided to investors by, or with the approval of, the Company in connection with the marketing of the offering of the Securities, including any “road show” (as defined in Rule 433 under the Securities Act) not constituting an Issuer Free Writing Prospectus (“</w:t>
      </w:r>
      <w:r>
        <w:rPr>
          <w:rFonts w:ascii="Arial" w:cs="Arial" w:eastAsia="Arial" w:hAnsi="Arial"/>
          <w:sz w:val="16"/>
          <w:szCs w:val="16"/>
          <w:b w:val="1"/>
          <w:bCs w:val="1"/>
          <w:i w:val="1"/>
          <w:iCs w:val="1"/>
          <w:color w:val="auto"/>
        </w:rPr>
        <w:t>Marketing Materials</w:t>
      </w:r>
      <w:r>
        <w:rPr>
          <w:rFonts w:ascii="Arial" w:cs="Arial" w:eastAsia="Arial" w:hAnsi="Arial"/>
          <w:sz w:val="16"/>
          <w:szCs w:val="16"/>
          <w:color w:val="auto"/>
        </w:rPr>
        <w:t>”), or (E) any Blue Sky application or other document prepared or executed by the Company (or based upon any written information furnished by the Company for use therein) specifically for the purpose of qualifying any or all of the Securities under the securities laws of any state or other jurisdiction (any such application, document or information being hereinafter called a “</w:t>
      </w:r>
      <w:r>
        <w:rPr>
          <w:rFonts w:ascii="Arial" w:cs="Arial" w:eastAsia="Arial" w:hAnsi="Arial"/>
          <w:sz w:val="16"/>
          <w:szCs w:val="16"/>
          <w:b w:val="1"/>
          <w:bCs w:val="1"/>
          <w:i w:val="1"/>
          <w:iCs w:val="1"/>
          <w:color w:val="auto"/>
        </w:rPr>
        <w:t>Blue Sky Application</w:t>
      </w:r>
      <w:r>
        <w:rPr>
          <w:rFonts w:ascii="Arial" w:cs="Arial" w:eastAsia="Arial" w:hAnsi="Arial"/>
          <w:sz w:val="16"/>
          <w:szCs w:val="16"/>
          <w:color w:val="auto"/>
        </w:rPr>
        <w:t>”) or (ii) the omission or alleged omission to state in any Preliminary Prospectus, the Registration Statement, the Prospectus, any Issuer Free Writing Prospectus or in any amendment or supplement thereto or in any Permitted Issuer Information, any Marketing Materials or any Blue Sky Application, any material fact required to be stated therein or necessary to make the statements therein not misleading, and shall reimburse each Underwriter and each such affiliate, director, officer, employee or controlling person promptly upon demand for any legal or other expenses reasonably incurred by that Underwriter, affiliate, director, officer, employee or controlling person in connection with investigating or defending or preparing to defend against any such loss, claim, damage, liability or action as such expenses are incurred;</w:t>
      </w:r>
    </w:p>
    <w:p>
      <w:pPr>
        <w:spacing w:after="0" w:line="386" w:lineRule="exact"/>
        <w:rPr>
          <w:rFonts w:ascii="Arial" w:cs="Arial" w:eastAsia="Arial" w:hAnsi="Arial"/>
          <w:sz w:val="16"/>
          <w:szCs w:val="16"/>
          <w:color w:val="auto"/>
        </w:rPr>
      </w:pPr>
    </w:p>
    <w:p>
      <w:pPr>
        <w:jc w:val="both"/>
        <w:ind w:left="760" w:firstLine="641"/>
        <w:spacing w:after="0" w:line="254" w:lineRule="auto"/>
        <w:tabs>
          <w:tab w:leader="none" w:pos="168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in any Preliminary Prospectus, the Registration Statement, the Prospectus, the Pricing Disclosure Package or any amendment or supplement thereto, any Issuer Free Writing Prospectus or any amendment or supplement thereto, any “road show” (as defined in Rule 433 under the Securities Act) not constituting an Issuer Free Writing Prospectus, any Permitted Issuer Information, any Marketing Materials or any Blue Sky Application, or any such alleged untrue statement or omission; provided that any such settlement is effected with the written consent of the Company; and</w:t>
      </w:r>
    </w:p>
    <w:p>
      <w:pPr>
        <w:spacing w:after="0" w:line="19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23" w:name="page124"/>
    <w:bookmarkEnd w:id="123"/>
    <w:p>
      <w:pPr>
        <w:jc w:val="both"/>
        <w:ind w:left="1300" w:firstLine="641"/>
        <w:spacing w:after="0" w:line="253" w:lineRule="auto"/>
        <w:tabs>
          <w:tab w:leader="none" w:pos="228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and all expense whatsoever, as incurred (including the reasonable fees and disbursements of one counsel (in addition to one local counsel if necessary) chosen by the Underwriters), reasonably incurred in investigating, preparing or defending against any litigation, or any investigation or proceeding by any governmental agency or body, commenced or threatened, or any claim whatsoever based upon any such untrue statement or omission in any Preliminary Prospectus, the Registration Statement, the Prospectus, the Pricing Disclosure Package or any amendment or supplement thereto, any Issuer Free Writing Prospectus or any amendment or supplement thereto, any “road show” (as defined in Rule 433 under the Securities Act) not constituting an Issuer Free Writing Prospectus, any Permitted Issuer Information, any Marketing Materials or any Blue Sky Application, or any such alleged untrue statement or omission, to the extent that any such expense is not paid under (i) or (ii) above;</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Company shall not be liable in any such case to the extent that any such loss, claim, damage, liability or action arises out</w:t>
      </w:r>
      <w:r>
        <w:rPr>
          <w:rFonts w:ascii="Arial" w:cs="Arial" w:eastAsia="Arial" w:hAnsi="Arial"/>
          <w:sz w:val="18"/>
          <w:szCs w:val="18"/>
          <w:i w:val="1"/>
          <w:iCs w:val="1"/>
          <w:color w:val="auto"/>
        </w:rPr>
        <w:t xml:space="preserve"> </w:t>
      </w:r>
      <w:r>
        <w:rPr>
          <w:rFonts w:ascii="Arial" w:cs="Arial" w:eastAsia="Arial" w:hAnsi="Arial"/>
          <w:sz w:val="18"/>
          <w:szCs w:val="18"/>
          <w:color w:val="auto"/>
        </w:rPr>
        <w:t>of, or is based upon, any untrue statement or alleged untrue statement or omission or alleged omission made in any Preliminary Prospectus, the Registration Statement, the Prospectus, the Pricing Disclosure Package, any Issuer Free Writing Prospectus or in any such amendment or supplement thereto or in any Permitted Issuer Information, any Marketing Materials or any Blue Sky Application, in reliance upon and in conformity with written information concerning the Underwriters furnished to the Company though the Representative by or on behalf of any Underwriter specifically for inclusion therein, which information consists solely of the information specified in Section 9(e). The foregoing indemnity agreement is in addition to any liability which the Company may otherwise have to any Underwriter or to any affiliate, director, officer, employee or controlling person of that Underwriter.</w:t>
      </w:r>
    </w:p>
    <w:p>
      <w:pPr>
        <w:spacing w:after="0" w:line="192" w:lineRule="exact"/>
        <w:rPr>
          <w:sz w:val="20"/>
          <w:szCs w:val="20"/>
          <w:color w:val="auto"/>
        </w:rPr>
      </w:pPr>
    </w:p>
    <w:p>
      <w:pPr>
        <w:jc w:val="both"/>
        <w:ind w:firstLine="645"/>
        <w:spacing w:after="0" w:line="286" w:lineRule="auto"/>
        <w:tabs>
          <w:tab w:leader="none" w:pos="903"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Company, Directors and Officers. </w:t>
      </w:r>
      <w:r>
        <w:rPr>
          <w:rFonts w:ascii="Arial" w:cs="Arial" w:eastAsia="Arial" w:hAnsi="Arial"/>
          <w:sz w:val="16"/>
          <w:szCs w:val="16"/>
          <w:color w:val="auto"/>
        </w:rPr>
        <w:t>Each Underwriter, severally and not jointly, shall indemnify and hold harmless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the Company’s directors, each of its officers who signed the Registration Statement, and each person, if any, who controls the Company within the meaning of Section 15 of the Securities Act or Section 20 of the Exchange Act, from and against any loss, claim, damage, expense or liability, joint or several, or any action in respect thereof, to which the Company or any such director, officer, employee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Marketing Materials or Blue Sky Application, or (ii) the omission or alleged omission to state in any Preliminary Prospectus, the Registration Statement, the Prospectus, any Issuer Free Writing Prospectus or in any amendment or supplement thereto or in any Marketing Materials or Blue Sky Application, any material fact required to be stated therein or necessary to make the statements therein not misleading, but in each case of (i) and (ii) only to the extent that the untrue statement or alleged untrue statement or omission or alleged omission was made in reliance upon and in conformity with written information concerning the Underwriters furnished to the Company through the Representative by or on behalf of any Underwriter specifically for inclusion therein, which information is limited to the information set forth in Section 9(e).</w:t>
      </w:r>
    </w:p>
    <w:p>
      <w:pPr>
        <w:spacing w:after="0" w:line="17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124" w:name="page125"/>
    <w:bookmarkEnd w:id="124"/>
    <w:p>
      <w:pPr>
        <w:jc w:val="both"/>
        <w:ind w:left="-540" w:firstLine="645"/>
        <w:spacing w:after="0" w:line="283" w:lineRule="auto"/>
        <w:tabs>
          <w:tab w:leader="none" w:pos="366"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 Settlement without Consent if Failure to Reimburse</w:t>
      </w:r>
      <w:r>
        <w:rPr>
          <w:rFonts w:ascii="Arial" w:cs="Arial" w:eastAsia="Arial" w:hAnsi="Arial"/>
          <w:sz w:val="16"/>
          <w:szCs w:val="16"/>
          <w:color w:val="auto"/>
        </w:rPr>
        <w:t>. Promptly after receipt by an indemnified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party under this Section 9 of notice of any claim or the commencement of any action, the indemnified party shall, if a claim in respect thereof is to be made against the indemnifying party under this Section 9, notify the indemnifying party in writing of the claim or the commencement of that action;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failure to notify the indemnifying party shall not relieve it from any liability which it may have under this Section 9</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except to the extent it has been materially prejudiced (through the forfeiture of substantive rights and defenses) by such failure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failure to notify the indemnifying party shall not relieve it from any liability which it may have to an indemnified party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than under this Section 9.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in its sole discretion (which counsel shall not, except with the written consent of the indemnified party, be counsel to the indemnifying party). After notice from the indemnifying party to the indemnified party of its election to assume the defense of such claim or action, the indemnifying party shall not be liable to the indemnified party under this Section 9 for any legal or other expenses subsequently incurred by the indemnified party in connection with the defense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indemnified party shall have the right to employ counsel to represent jointly the indemnified party and those other indemnified</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and their respective directors, officers, employees and controlling persons who may be subject to liability arising out of any claim in respect of which indemnity may be sought under this Section 9 if (i) the indemnified party and the indemnifying party shall have so mutually agreed; (ii) the indemnifying party has failed within a reasonable time to retain counsel satisfactory to the indemnified party in its sole discretion; (iii) the indemnified party and its directors, officers, employees and controlling persons shall have reasonably concluded that there may be legal defenses available to them that are different from or in addition to those available to the indemnifying party; or (iv) the named parties in any such proceeding (including any impleaded parties) include both the indemnified parties or their respective directors, officers, employees or controlling persons, on the one hand, and the indemnifying party, on the other hand, and representation of both sets of parties by the same counsel would be inappropriate due to actual or potential conflictng interests between them, and in any such event the fees and expenses of such separate counsel shall be paid by the indemnifying party. No indemnifying party shall (x)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Section 9(a) hereof, the indemnifying party agrees that it shall be liable for any settlement of any proceeding effected without its written consent if (i) such settlement is entered into more than 45 days after receipt by such indemnifying party of the aforesaid request, (ii) such indemnifying party shall have received notice of the terms of such settlement at least 45 days prior to such settlement being entered into and (iii) such indemnifying party shall not have reimbursed the indemnified party in accordance with such request or disputed in good faith the indemnified party’s entitlement to such reimbursement prior to the date of such settlement.</w:t>
      </w: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25" w:name="page126"/>
    <w:bookmarkEnd w:id="125"/>
    <w:p>
      <w:pPr>
        <w:jc w:val="both"/>
        <w:ind w:left="-540" w:firstLine="645"/>
        <w:spacing w:after="0" w:line="284" w:lineRule="auto"/>
        <w:tabs>
          <w:tab w:leader="none" w:pos="363"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 xml:space="preserve">Contribution. </w:t>
      </w:r>
      <w:r>
        <w:rPr>
          <w:rFonts w:ascii="Arial" w:cs="Arial" w:eastAsia="Arial" w:hAnsi="Arial"/>
          <w:sz w:val="16"/>
          <w:szCs w:val="16"/>
          <w:color w:val="auto"/>
        </w:rPr>
        <w:t>If the indemnification provided for in this Section 9 shall for any reason be unavailable to or insufficient to hold harmless</w:t>
      </w:r>
      <w:r>
        <w:rPr>
          <w:rFonts w:ascii="Arial" w:cs="Arial" w:eastAsia="Arial" w:hAnsi="Arial"/>
          <w:sz w:val="16"/>
          <w:szCs w:val="16"/>
          <w:i w:val="1"/>
          <w:iCs w:val="1"/>
          <w:color w:val="auto"/>
        </w:rPr>
        <w:t xml:space="preserve"> </w:t>
      </w:r>
      <w:r>
        <w:rPr>
          <w:rFonts w:ascii="Arial" w:cs="Arial" w:eastAsia="Arial" w:hAnsi="Arial"/>
          <w:sz w:val="16"/>
          <w:szCs w:val="16"/>
          <w:color w:val="auto"/>
        </w:rPr>
        <w:t>an indemnified party under Section 9(a) or 9(b)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Underwriters, on the other, from the offering of the Firm Securities and Option Shares,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with respect to the statements or omissions that resulted in such loss, claim, damage or liability, or action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Firm Securities and Option Shares purchased under this Agreement (before deducting expenses) received by the Company, on the one hand, and the total underwriting discounts and commissions received by the Underwriters with respect to the Firm Securities and Option Shares purchased under this Agreement, on the other hand. The relative fault shall be determined by reference to whether the untrue or alleged untrue statement of a material fact or omission or alleged omission to state a material fact relates to information supplied by the Company or the Underwriters, the intent of the parties and their relative knowledge, access to information and opportunity to correct or prevent such statement or omission. The Company and the Underwriters agree that it would not be just and equitable if contributions pursuant to this Section 9(d) were to be determined by pro rata allocation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9(d) shall be deemed to include, for purposes of this Section 9(d), any legal or other expenses reasonably incurred by such indemnified party in connection with investigating or defending any such action or claim. Notwithstanding the provisions of this Section 9(d), in no event shall an Underwriter be required to contribute any amount in excess of the amount by which the total underwriting discounts and commissions received by such Underwriter with respect to the offering of the Firm Securities and Option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9(d) are several in proportion to their respective underwriting obligations and not joint.</w:t>
      </w:r>
    </w:p>
    <w:p>
      <w:pPr>
        <w:spacing w:after="0" w:line="391" w:lineRule="exact"/>
        <w:rPr>
          <w:rFonts w:ascii="Arial" w:cs="Arial" w:eastAsia="Arial" w:hAnsi="Arial"/>
          <w:sz w:val="16"/>
          <w:szCs w:val="16"/>
          <w:color w:val="auto"/>
        </w:rPr>
      </w:pPr>
    </w:p>
    <w:p>
      <w:pPr>
        <w:jc w:val="both"/>
        <w:ind w:left="-540" w:firstLine="645"/>
        <w:spacing w:after="0" w:line="255" w:lineRule="auto"/>
        <w:tabs>
          <w:tab w:leader="none" w:pos="35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Underwriters severally confirm and the Company acknowledges and agrees that the statements regarding delivery of shares by the Underwriters set forth on the cover page of, and the concession and reallowance figures and the disclosure relating to stabilization by the Underwriters in the fourth and fifteenth paragraphs under the caption “Underwriting” in, the most recent Preliminary Prospectus and the Prospectus are correct and constitute the only information concerning the Underwriters furnished in writing to the Company by or on behalf of the Underwriters specifically for inclusion in any Preliminary Prospectus, the Registration Statement, the Prospectus, any Issuer Free Writing Prospectus or in any amendment or supplement thereto or in any Marketing Materials.</w:t>
      </w:r>
    </w:p>
    <w:p>
      <w:pPr>
        <w:spacing w:after="0" w:line="19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26" w:name="page127"/>
    <w:bookmarkEnd w:id="126"/>
    <w:p>
      <w:pPr>
        <w:ind w:left="380" w:hanging="275"/>
        <w:spacing w:after="0"/>
        <w:tabs>
          <w:tab w:leader="none" w:pos="3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Defaulting Underwriters.</w:t>
      </w:r>
    </w:p>
    <w:p>
      <w:pPr>
        <w:spacing w:after="0" w:line="225" w:lineRule="exact"/>
        <w:rPr>
          <w:sz w:val="20"/>
          <w:szCs w:val="20"/>
          <w:color w:val="auto"/>
        </w:rPr>
      </w:pPr>
    </w:p>
    <w:p>
      <w:pPr>
        <w:jc w:val="both"/>
        <w:ind w:left="-540" w:firstLine="645"/>
        <w:spacing w:after="0" w:line="268" w:lineRule="auto"/>
        <w:tabs>
          <w:tab w:leader="none" w:pos="3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If, on any Delivery Date, any Underwriter defaults in its obligations to purchase the Firm Securities or Option Shares that it has agreed to purchase under this Agreement, the remaining non-defaulting Underwriters may in their discretion arrange for the purchase of such Firm Securities or Option Shares by the non-defaulting Underwriters or other persons satisfactory to the Company on the terms contained in this Agreement. If, within 36 hours after any such default by any Underwriter, the non-defaulting Underwriters do not arrange for the purchase of such Firm Securities or Option Shares, as the case may be, then the Company shall be entitled to a further period of 36 hours within which to procure other persons satisfactory to the non-defaulting Underwriters to purchase such Firm Securities or Option Shares on such terms. In the event that within the respective prescribed periods, the non-defaulting Underwriters notify the Company that they have so arranged for the purchase of such Firm Securities or Option Shares, or the Company notifies the non-defaulting Underwriters that it has so arranged for the purchase of such Firm Securities or Option Shares, either the non-defaulting Underwriters or the Company may postpone such Delivery Date for up to seven full business days in order to effect any changes that in the opinion of counsel for the Company or counsel for the Underwriters may be necessary in the Registration Statement, the Prospectus or in any other document or arrangement, and the Company agrees to promptly prepare any amendment or supplement to the Registration Statement, the Prospectus or in any such other document or arrangement that effects any such changes. As used in this Agreement, the term “Underwriter” includes, for all purposes of this Agreement unless the context requires otherwise, any party not listed in </w:t>
      </w:r>
      <w:r>
        <w:rPr>
          <w:rFonts w:ascii="Arial" w:cs="Arial" w:eastAsia="Arial" w:hAnsi="Arial"/>
          <w:sz w:val="17"/>
          <w:szCs w:val="17"/>
          <w:b w:val="1"/>
          <w:bCs w:val="1"/>
          <w:color w:val="auto"/>
        </w:rPr>
        <w:t xml:space="preserve">Schedule I </w:t>
      </w:r>
      <w:r>
        <w:rPr>
          <w:rFonts w:ascii="Arial" w:cs="Arial" w:eastAsia="Arial" w:hAnsi="Arial"/>
          <w:sz w:val="17"/>
          <w:szCs w:val="17"/>
          <w:color w:val="auto"/>
        </w:rPr>
        <w:t>hereto that, pursuant to this Section 10, purchases Firm Securities or Option Shares that a defaulting Underwriter agreed but failed to</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w:t>
      </w:r>
    </w:p>
    <w:p>
      <w:pPr>
        <w:spacing w:after="0" w:line="18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27" w:name="page128"/>
    <w:bookmarkEnd w:id="127"/>
    <w:p>
      <w:pPr>
        <w:jc w:val="both"/>
        <w:ind w:left="640" w:firstLine="645"/>
        <w:spacing w:after="0" w:line="270" w:lineRule="auto"/>
        <w:tabs>
          <w:tab w:leader="none" w:pos="156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Firm Securities or Option Shares of a defaulting Underwriter or Underwriters by the non-defaulting Underwriters and the Company as provided in paragraph (a) above, the total number of Firm Securities or Option Shares that remains unpurchased does not exceed one-eleventh of the total number of Firm Securities or Option Shares, as the case may be, to be purchased on such Delivery Date, then the Company shall have the right to require each non-defaulting Underwriter to purchase the total number of Firm Securities or Option Shares, as the case may be, that such Underwriter agreed to purchase hereunder plus such Underwriter’s pro rata share (based on the total number of Firm Securities or Option Shares that such Underwriter agreed to purchase hereunder) of the Firm Securities or Option Shares of such defaulting Underwriter or Underwriters for which such arrangements have not been made; provided that the non-defaulting Underwriters shall not be obligated to purchase more than 110% of the total number of Firm Securities or Option Shares that it agreed to purchase on such Delivery Date pursuant to the terms of Section 2.</w:t>
      </w:r>
    </w:p>
    <w:p>
      <w:pPr>
        <w:spacing w:after="0" w:line="181" w:lineRule="exact"/>
        <w:rPr>
          <w:rFonts w:ascii="Arial" w:cs="Arial" w:eastAsia="Arial" w:hAnsi="Arial"/>
          <w:sz w:val="17"/>
          <w:szCs w:val="17"/>
          <w:color w:val="auto"/>
        </w:rPr>
      </w:pPr>
    </w:p>
    <w:p>
      <w:pPr>
        <w:jc w:val="both"/>
        <w:ind w:left="640" w:firstLine="645"/>
        <w:spacing w:after="0" w:line="255" w:lineRule="auto"/>
        <w:tabs>
          <w:tab w:leader="none" w:pos="155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Firm Securities or Option Shares of a defaulting Underwriter or Underwriters by the non-defaulting Underwriters and the Company as provided in paragraph (a) above, the total number of Firm Securities or Option Shares that remains unpurchased exceeds one-eleventh of the total number of Firm Securities or Option Shares, as the case may be, or if the Company shall not exercise the right described in paragraph (b) 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Sections 7 and 12 and except that the provisions of Section 9 shall not terminate and shall remain in effect.</w:t>
      </w:r>
    </w:p>
    <w:p>
      <w:pPr>
        <w:spacing w:after="0" w:line="189" w:lineRule="exact"/>
        <w:rPr>
          <w:rFonts w:ascii="Arial" w:cs="Arial" w:eastAsia="Arial" w:hAnsi="Arial"/>
          <w:sz w:val="18"/>
          <w:szCs w:val="18"/>
          <w:color w:val="auto"/>
        </w:rPr>
      </w:pPr>
    </w:p>
    <w:p>
      <w:pPr>
        <w:ind w:left="640" w:right="20" w:firstLine="645"/>
        <w:spacing w:after="0" w:line="277" w:lineRule="auto"/>
        <w:tabs>
          <w:tab w:leader="none" w:pos="156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70" w:lineRule="exact"/>
        <w:rPr>
          <w:sz w:val="20"/>
          <w:szCs w:val="20"/>
          <w:color w:val="auto"/>
        </w:rPr>
      </w:pPr>
    </w:p>
    <w:p>
      <w:pPr>
        <w:jc w:val="both"/>
        <w:ind w:left="-20" w:firstLine="1305"/>
        <w:spacing w:after="0" w:line="264" w:lineRule="auto"/>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obligations of the Underwriters hereunder may be terminated by the Representative by notice given to and received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prior to payment by the Underwriters for delivery of the Firm Securities or Option Shares to the Underwriters, if, prior to that time, any of the events described in Sections 8(i) and 8(j) shall have occurred.</w:t>
      </w:r>
    </w:p>
    <w:p>
      <w:pPr>
        <w:spacing w:after="0" w:line="181" w:lineRule="exact"/>
        <w:rPr>
          <w:rFonts w:ascii="Arial" w:cs="Arial" w:eastAsia="Arial" w:hAnsi="Arial"/>
          <w:sz w:val="18"/>
          <w:szCs w:val="18"/>
          <w:color w:val="auto"/>
        </w:rPr>
      </w:pPr>
    </w:p>
    <w:p>
      <w:pPr>
        <w:jc w:val="both"/>
        <w:ind w:left="-20" w:firstLine="1305"/>
        <w:spacing w:after="0" w:line="270" w:lineRule="auto"/>
        <w:tabs>
          <w:tab w:leader="none" w:pos="1546"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 xml:space="preserve">Reimbursement of Underwriters’ Expenses. </w:t>
      </w:r>
      <w:r>
        <w:rPr>
          <w:rFonts w:ascii="Arial" w:cs="Arial" w:eastAsia="Arial" w:hAnsi="Arial"/>
          <w:sz w:val="17"/>
          <w:szCs w:val="17"/>
          <w:color w:val="auto"/>
        </w:rPr>
        <w:t>If (a) the Company shall fail to tender the Firm Securities or Option Shares for delivery to</w:t>
      </w:r>
      <w:r>
        <w:rPr>
          <w:rFonts w:ascii="Arial" w:cs="Arial" w:eastAsia="Arial" w:hAnsi="Arial"/>
          <w:sz w:val="17"/>
          <w:szCs w:val="17"/>
          <w:i w:val="1"/>
          <w:iCs w:val="1"/>
          <w:color w:val="auto"/>
        </w:rPr>
        <w:t xml:space="preserve"> </w:t>
      </w:r>
      <w:r>
        <w:rPr>
          <w:rFonts w:ascii="Arial" w:cs="Arial" w:eastAsia="Arial" w:hAnsi="Arial"/>
          <w:sz w:val="17"/>
          <w:szCs w:val="17"/>
          <w:color w:val="auto"/>
        </w:rPr>
        <w:t>the Underwriters for any reason, or (b) the Underwriters shall decline to purchase the Firm Securities or Option Shares for any reason permitted under this Agreement, the Company will reimburse the Underwriters for all reasonable and documented out-of-pocket expenses (including reasonable fees and disbursements of counsel for the Underwriters) incurred by the Underwriters in connection with this Agreement and the proposed purchase of the Firm Securities or Option Shares, and upon demand the Company shall pay the full amount thereof to the Underwriters, subject to the delivery to the Company of reasonable documentation thereof inclusive of the Advance; provided, however, that such amount set forth above in no way limits or impairs the indemnification and contribution provisions of this Agreement. Notwithstanding the foregoing, any Advance received by the Representative will be reimbursed to the Company to the extent not actually incurred in compliance with FINRA Rule 5110(f)(2)(C) and f(2)(D). If this Agreement is terminated pursuant to Section 10 by reason of the default of one or more Underwriters, the Company shall not be obligated to reimburse any defaulting Underwriter on account of those expenses.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128" w:name="page129"/>
    <w:bookmarkEnd w:id="128"/>
    <w:p>
      <w:pPr>
        <w:jc w:val="both"/>
        <w:ind w:left="-20" w:firstLine="1305"/>
        <w:spacing w:after="0" w:line="270" w:lineRule="auto"/>
        <w:tabs>
          <w:tab w:leader="none" w:pos="1560"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 xml:space="preserve">Research Analyst Independence. </w:t>
      </w:r>
      <w:r>
        <w:rPr>
          <w:rFonts w:ascii="Arial" w:cs="Arial" w:eastAsia="Arial" w:hAnsi="Arial"/>
          <w:sz w:val="17"/>
          <w:szCs w:val="17"/>
          <w:color w:val="auto"/>
        </w:rPr>
        <w:t>The Company acknowledges that the Underwriters’ research analysts and research departments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the Underwriters’ investment banking divisions.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77" w:lineRule="exact"/>
        <w:rPr>
          <w:rFonts w:ascii="Arial" w:cs="Arial" w:eastAsia="Arial" w:hAnsi="Arial"/>
          <w:sz w:val="17"/>
          <w:szCs w:val="17"/>
          <w:color w:val="auto"/>
        </w:rPr>
      </w:pPr>
    </w:p>
    <w:p>
      <w:pPr>
        <w:jc w:val="both"/>
        <w:ind w:left="-20" w:firstLine="1305"/>
        <w:spacing w:after="0" w:line="253" w:lineRule="auto"/>
        <w:tabs>
          <w:tab w:leader="none" w:pos="1546"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No Fiduciary Duty</w:t>
      </w:r>
      <w:r>
        <w:rPr>
          <w:rFonts w:ascii="Arial" w:cs="Arial" w:eastAsia="Arial" w:hAnsi="Arial"/>
          <w:sz w:val="18"/>
          <w:szCs w:val="18"/>
          <w:color w:val="auto"/>
        </w:rPr>
        <w:t>. The Company acknowledges and agrees that in connection with this offering, sale of the Firm Securities and Option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or any other services the Underwriters may be deemed to be providing hereunder, notwithstanding any preexisting relationship, advisory or otherwise, between the parties or any oral representations or assurances previously or subsequently made by the Underwriters: (a) no fiduciary or agency relationship between the Company and any other person, on the one hand, and the Underwriters, on the other, exists; (b) the Underwriters are not acting as advisors, experts or otherwise, to the Company, including, without limitation, with respect to the determination of the public offering price of the Common Stock and the Pre-Funded Warrants and such relationship between the Company, on the one hand, and the Underwriters, on the other, is entirely and solely commercial, based on arms-length negotiations; (c) any duties and obligations that the Underwriters may have to the Company shall be limited to those duties and obligations specifically stated herein; and (d) the Underwriters and their respective affiliates may have interests that differ from those of the Company. The Company hereby waives any claims that the Company may have against the Underwriters with respect to any breach of fiduciary duty in connection with this offering.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129" w:name="page130"/>
    <w:bookmarkEnd w:id="129"/>
    <w:p>
      <w:pPr>
        <w:ind w:left="1580" w:hanging="275"/>
        <w:spacing w:after="0"/>
        <w:tabs>
          <w:tab w:leader="none" w:pos="158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Notices, etc. </w:t>
      </w:r>
      <w:r>
        <w:rPr>
          <w:rFonts w:ascii="Arial" w:cs="Arial" w:eastAsia="Arial" w:hAnsi="Arial"/>
          <w:sz w:val="18"/>
          <w:szCs w:val="18"/>
          <w:color w:val="auto"/>
        </w:rPr>
        <w:t>All statements, requests, notices and agreements hereunder shall be in writing, and:</w:t>
      </w:r>
    </w:p>
    <w:p>
      <w:pPr>
        <w:spacing w:after="0" w:line="225" w:lineRule="exact"/>
        <w:rPr>
          <w:rFonts w:ascii="Arial" w:cs="Arial" w:eastAsia="Arial" w:hAnsi="Arial"/>
          <w:sz w:val="18"/>
          <w:szCs w:val="18"/>
          <w:color w:val="auto"/>
        </w:rPr>
      </w:pPr>
    </w:p>
    <w:p>
      <w:pPr>
        <w:ind w:left="1300" w:firstLine="653"/>
        <w:spacing w:after="0" w:line="277" w:lineRule="auto"/>
        <w:tabs>
          <w:tab w:leader="none" w:pos="2197"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to the Representative, shall be delivered or sent by mail or facsimile transmission to H.C. Wainwright &amp; Co., LLC, 430 Park Avenue, 4th Floor New York, New York, 10022, Attention: Head of Investment Banking (Fax (212) 214 -0803),</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with a copy to Lowenstein Sandler, LLP, 1251 Avenue of the Americas, New York, New York, 10020, Attention: Steven M.</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Skolnick (Fax: (973) 597-2477); and</w:t>
      </w:r>
    </w:p>
    <w:p>
      <w:pPr>
        <w:spacing w:after="0" w:line="211" w:lineRule="exact"/>
        <w:rPr>
          <w:sz w:val="20"/>
          <w:szCs w:val="20"/>
          <w:color w:val="auto"/>
        </w:rPr>
      </w:pPr>
    </w:p>
    <w:p>
      <w:pPr>
        <w:ind w:left="1300" w:right="20" w:firstLine="653"/>
        <w:spacing w:after="0" w:line="277" w:lineRule="auto"/>
        <w:tabs>
          <w:tab w:leader="none" w:pos="221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to the Company, shall be delivered or sent by mail or facsimile transmission to the address of the Company set forth in the Registration Statement, Attention: Harel Gadot (Fax: 781-556-5347 ),</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with copies to Mintz, Levin, Cohn, Ferris, Glovsky and Popeo, P.C., One Financial Center, Boston, Massachusetts, 02111,</w:t>
      </w:r>
    </w:p>
    <w:p>
      <w:pPr>
        <w:ind w:left="1300"/>
        <w:spacing w:after="0" w:line="235" w:lineRule="auto"/>
        <w:rPr>
          <w:sz w:val="20"/>
          <w:szCs w:val="20"/>
          <w:color w:val="auto"/>
        </w:rPr>
      </w:pPr>
      <w:r>
        <w:rPr>
          <w:rFonts w:ascii="Arial" w:cs="Arial" w:eastAsia="Arial" w:hAnsi="Arial"/>
          <w:sz w:val="16"/>
          <w:szCs w:val="16"/>
          <w:color w:val="auto"/>
        </w:rPr>
        <w:t>Attention: Marc D. Mantell (Fax: 617-542-2241) and Ruskin Moscou Faltischek PC, 1425 RXR Plaza,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East Tower, Uniondale,</w:t>
      </w:r>
    </w:p>
    <w:p>
      <w:pPr>
        <w:ind w:left="1300"/>
        <w:spacing w:after="0"/>
        <w:rPr>
          <w:sz w:val="20"/>
          <w:szCs w:val="20"/>
          <w:color w:val="auto"/>
        </w:rPr>
      </w:pPr>
      <w:r>
        <w:rPr>
          <w:rFonts w:ascii="Arial" w:cs="Arial" w:eastAsia="Arial" w:hAnsi="Arial"/>
          <w:sz w:val="18"/>
          <w:szCs w:val="18"/>
          <w:color w:val="auto"/>
        </w:rPr>
        <w:t>New York 11556, Attention: Stephen E. Fox (Fax: 516-663-6780).</w:t>
      </w:r>
    </w:p>
    <w:p>
      <w:pPr>
        <w:spacing w:after="0" w:line="2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such statements, requests, notices or agreements shall take effect at the time of receipt thereof. The Company shall be entitled to act and rely upon any request, consent, notice or agreement given or made on behalf of the Underwriters by the Representative.</w:t>
      </w:r>
    </w:p>
    <w:p>
      <w:pPr>
        <w:spacing w:after="0" w:line="170" w:lineRule="exact"/>
        <w:rPr>
          <w:sz w:val="20"/>
          <w:szCs w:val="20"/>
          <w:color w:val="auto"/>
        </w:rPr>
      </w:pPr>
    </w:p>
    <w:p>
      <w:pPr>
        <w:jc w:val="both"/>
        <w:ind w:firstLine="1305"/>
        <w:spacing w:after="0" w:line="290" w:lineRule="auto"/>
        <w:tabs>
          <w:tab w:leader="none" w:pos="1593"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Persons Entitled to Benefit of Agreement</w:t>
      </w:r>
      <w:r>
        <w:rPr>
          <w:rFonts w:ascii="Arial" w:cs="Arial" w:eastAsia="Arial" w:hAnsi="Arial"/>
          <w:sz w:val="16"/>
          <w:szCs w:val="16"/>
          <w:color w:val="auto"/>
        </w:rPr>
        <w:t>. This Agreement shall inure to the benefit of and be binding upon the Underwriters,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their respective successors. This Agreement and the terms and provisions hereof are for the sole benefit of only those persons, except that (a) the representations, warranties, indemnities and agreements of the Company contained in this Agreement shall also be deemed to be for the benefit of the directors, officers and employees of the Underwriters and each person or persons, if any, who control any Underwriter within the meaning of Section 15 of the Securities Act, and (b) the indemnity agreement of the Underwriters contained in Section 9(b) of this Agreement shall be deemed to be for the benefit of the directors, officers and employees of the Company and any person controlling the Company within the meaning of Section 15 of the Securities Act or Section 20 of the Exchange Act. Nothing in this Agreement is intended or shall be construed to give any person, other than the persons referred to in this Section 15, any legal or equitable right, remedy or claim under or in respect of this Agreement or any provision contained herein.</w:t>
      </w:r>
    </w:p>
    <w:p>
      <w:pPr>
        <w:spacing w:after="0" w:line="166" w:lineRule="exact"/>
        <w:rPr>
          <w:rFonts w:ascii="Arial" w:cs="Arial" w:eastAsia="Arial" w:hAnsi="Arial"/>
          <w:sz w:val="16"/>
          <w:szCs w:val="16"/>
          <w:color w:val="auto"/>
        </w:rPr>
      </w:pPr>
    </w:p>
    <w:p>
      <w:pPr>
        <w:jc w:val="both"/>
        <w:ind w:firstLine="1305"/>
        <w:spacing w:after="0" w:line="259" w:lineRule="auto"/>
        <w:tabs>
          <w:tab w:leader="none" w:pos="1566"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 xml:space="preserve">Survival. </w:t>
      </w:r>
      <w:r>
        <w:rPr>
          <w:rFonts w:ascii="Arial" w:cs="Arial" w:eastAsia="Arial" w:hAnsi="Arial"/>
          <w:sz w:val="18"/>
          <w:szCs w:val="18"/>
          <w:color w:val="auto"/>
        </w:rPr>
        <w:t>The respective indemnities, representations, warranties and agreements of the Company and the Underwriters contained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made by or on behalf of them, respectively, pursuant to this Agreement, shall survive the delivery of and payment for the Firm Securities and Option Shares and shall remain in full force and effect, regardless of any investigation made by or on behalf of any of them or any person controlling any of them.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0" w:name="page131"/>
    <w:bookmarkEnd w:id="130"/>
    <w:p>
      <w:pPr>
        <w:jc w:val="both"/>
        <w:ind w:left="-20" w:firstLine="1305"/>
        <w:spacing w:after="0" w:line="268" w:lineRule="auto"/>
        <w:tabs>
          <w:tab w:leader="none" w:pos="1573"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Entire Agreement; Amendment; Severability; Waiver</w:t>
      </w:r>
      <w:r>
        <w:rPr>
          <w:rFonts w:ascii="Arial" w:cs="Arial" w:eastAsia="Arial" w:hAnsi="Arial"/>
          <w:sz w:val="17"/>
          <w:szCs w:val="17"/>
          <w:color w:val="auto"/>
        </w:rPr>
        <w:t>. This Agreement (including all schedules and exhibits attached hereto issued</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hereto) constitutes the entire agreement and supersedes all other prior and contemporaneous agreements and undertakings, both written and oral, among the parties hereto with regard to the subject matter hereof. Notwithstanding anything herein to the contrary, the engagement agreement dated October 12, 2018 between the Company and the Representative , as amended, shall continue to be effective, without duplication, and continue to survive and be enforceable by the parties in accordance with its terms. Neither this Agreement nor any term hereof may be amended except pursuant to a written instrument executed by the Company and the Underwriters.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87" w:lineRule="exact"/>
        <w:rPr>
          <w:rFonts w:ascii="Arial" w:cs="Arial" w:eastAsia="Arial" w:hAnsi="Arial"/>
          <w:sz w:val="17"/>
          <w:szCs w:val="17"/>
          <w:color w:val="auto"/>
        </w:rPr>
      </w:pPr>
    </w:p>
    <w:p>
      <w:pPr>
        <w:jc w:val="both"/>
        <w:ind w:left="-20" w:firstLine="1305"/>
        <w:spacing w:after="0" w:line="286" w:lineRule="auto"/>
        <w:tabs>
          <w:tab w:leader="none" w:pos="1546"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Definition of the Terms “Business Day”, “Affiliate” and “Subsidiary”</w:t>
      </w:r>
      <w:r>
        <w:rPr>
          <w:rFonts w:ascii="Arial" w:cs="Arial" w:eastAsia="Arial" w:hAnsi="Arial"/>
          <w:sz w:val="17"/>
          <w:szCs w:val="17"/>
          <w:color w:val="auto"/>
        </w:rPr>
        <w:t>. For purposes of this Agreement, (a) “</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each</w:t>
      </w:r>
      <w:r>
        <w:rPr>
          <w:rFonts w:ascii="Arial" w:cs="Arial" w:eastAsia="Arial" w:hAnsi="Arial"/>
          <w:sz w:val="17"/>
          <w:szCs w:val="17"/>
          <w:i w:val="1"/>
          <w:iCs w:val="1"/>
          <w:color w:val="auto"/>
        </w:rPr>
        <w:t xml:space="preserve"> </w:t>
      </w:r>
      <w:r>
        <w:rPr>
          <w:rFonts w:ascii="Arial" w:cs="Arial" w:eastAsia="Arial" w:hAnsi="Arial"/>
          <w:sz w:val="17"/>
          <w:szCs w:val="17"/>
          <w:color w:val="auto"/>
        </w:rPr>
        <w:t>Monday, Tuesday, Wednesday, Thursday or Friday that is not a day on which banking institutions in New York are generally authorized or obligated by law or executive order to close, and (b) “</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and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have the meanings set forth in Rule 405 under the Securities Act.</w:t>
      </w:r>
    </w:p>
    <w:p>
      <w:pPr>
        <w:spacing w:after="0" w:line="161" w:lineRule="exact"/>
        <w:rPr>
          <w:rFonts w:ascii="Arial" w:cs="Arial" w:eastAsia="Arial" w:hAnsi="Arial"/>
          <w:sz w:val="17"/>
          <w:szCs w:val="17"/>
          <w:color w:val="auto"/>
        </w:rPr>
      </w:pPr>
    </w:p>
    <w:p>
      <w:pPr>
        <w:ind w:left="-20" w:firstLine="1305"/>
        <w:spacing w:after="0" w:line="282" w:lineRule="auto"/>
        <w:tabs>
          <w:tab w:leader="none" w:pos="156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Agreement shall be governed by and construed in accordance with the laws of the State of New York</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without regard to conflict of laws principles (other than Section 5-1401 of the General Obligations Law).</w:t>
      </w:r>
    </w:p>
    <w:p>
      <w:pPr>
        <w:spacing w:after="0" w:line="165" w:lineRule="exact"/>
        <w:rPr>
          <w:rFonts w:ascii="Arial" w:cs="Arial" w:eastAsia="Arial" w:hAnsi="Arial"/>
          <w:sz w:val="18"/>
          <w:szCs w:val="18"/>
          <w:color w:val="auto"/>
        </w:rPr>
      </w:pPr>
    </w:p>
    <w:p>
      <w:pPr>
        <w:jc w:val="both"/>
        <w:ind w:left="-20" w:firstLine="1305"/>
        <w:spacing w:after="0" w:line="264" w:lineRule="auto"/>
        <w:tabs>
          <w:tab w:leader="none" w:pos="1546"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WAIVER OF JURY TRIAL</w:t>
      </w:r>
      <w:r>
        <w:rPr>
          <w:rFonts w:ascii="Arial" w:cs="Arial" w:eastAsia="Arial" w:hAnsi="Arial"/>
          <w:sz w:val="18"/>
          <w:szCs w:val="18"/>
          <w:color w:val="auto"/>
        </w:rPr>
        <w:t>. THE COMPANY AND EACH UNDERWRITER HEREBY IRREVOCABLY WAIVE, TO THE FULLEST</w:t>
      </w:r>
      <w:r>
        <w:rPr>
          <w:rFonts w:ascii="Arial" w:cs="Arial" w:eastAsia="Arial" w:hAnsi="Arial"/>
          <w:sz w:val="18"/>
          <w:szCs w:val="18"/>
          <w:i w:val="1"/>
          <w:iCs w:val="1"/>
          <w:color w:val="auto"/>
        </w:rPr>
        <w:t xml:space="preserve"> </w:t>
      </w:r>
      <w:r>
        <w:rPr>
          <w:rFonts w:ascii="Arial" w:cs="Arial" w:eastAsia="Arial" w:hAnsi="Arial"/>
          <w:sz w:val="18"/>
          <w:szCs w:val="18"/>
          <w:color w:val="auto"/>
        </w:rPr>
        <w:t>EXTENT PERMITTED BY APPLICABLE LAW, ANY AND ALL RIGHT TO TRIAL BY JURY IN ANY LEGAL PROCEEDING ARISING OUT OF OR RELATING TO THIS AGREEMENT OR THE TRANSACTIONS CONTEMPLATED HEREBY.</w:t>
      </w:r>
    </w:p>
    <w:p>
      <w:pPr>
        <w:spacing w:after="0" w:line="181" w:lineRule="exact"/>
        <w:rPr>
          <w:rFonts w:ascii="Arial" w:cs="Arial" w:eastAsia="Arial" w:hAnsi="Arial"/>
          <w:sz w:val="18"/>
          <w:szCs w:val="18"/>
          <w:color w:val="auto"/>
        </w:rPr>
      </w:pPr>
    </w:p>
    <w:p>
      <w:pPr>
        <w:jc w:val="both"/>
        <w:ind w:left="-20" w:firstLine="1305"/>
        <w:spacing w:after="0" w:line="257" w:lineRule="auto"/>
        <w:tabs>
          <w:tab w:leader="none" w:pos="156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Submission to Jurisdiction, Etc. </w:t>
      </w:r>
      <w:r>
        <w:rPr>
          <w:rFonts w:ascii="Arial" w:cs="Arial" w:eastAsia="Arial" w:hAnsi="Arial"/>
          <w:sz w:val="18"/>
          <w:szCs w:val="18"/>
          <w:color w:val="auto"/>
        </w:rPr>
        <w:t>The Company hereby submits to the exclusive jurisdiction of the U.S. federal and New York state</w:t>
      </w:r>
      <w:r>
        <w:rPr>
          <w:rFonts w:ascii="Arial" w:cs="Arial" w:eastAsia="Arial" w:hAnsi="Arial"/>
          <w:sz w:val="18"/>
          <w:szCs w:val="18"/>
          <w:i w:val="1"/>
          <w:iCs w:val="1"/>
          <w:color w:val="auto"/>
        </w:rPr>
        <w:t xml:space="preserve"> </w:t>
      </w:r>
      <w:r>
        <w:rPr>
          <w:rFonts w:ascii="Arial" w:cs="Arial" w:eastAsia="Arial" w:hAnsi="Arial"/>
          <w:sz w:val="18"/>
          <w:szCs w:val="18"/>
          <w:color w:val="auto"/>
        </w:rPr>
        <w:t>courts in the Borough of Manhattan, the City of New York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w:t>
      </w:r>
    </w:p>
    <w:p>
      <w:pPr>
        <w:spacing w:after="0" w:line="188" w:lineRule="exact"/>
        <w:rPr>
          <w:rFonts w:ascii="Arial" w:cs="Arial" w:eastAsia="Arial" w:hAnsi="Arial"/>
          <w:sz w:val="18"/>
          <w:szCs w:val="18"/>
          <w:color w:val="auto"/>
        </w:rPr>
      </w:pPr>
    </w:p>
    <w:p>
      <w:pPr>
        <w:jc w:val="both"/>
        <w:ind w:left="-20" w:firstLine="1305"/>
        <w:spacing w:after="0" w:line="259" w:lineRule="auto"/>
        <w:tabs>
          <w:tab w:leader="none" w:pos="1546"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executed in one or more counterparts and, if executed in more than one counterpart, the executed</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shall each be deemed to be an original but all such counterparts shall together constitute one and the same instrument. A signed copy of this Agreement delivered by facsimile, e-mail or other means of electronic transmission (to which a .pdf copy is attached) shall be deemed to have the same legal effect as delivery of an original signed copy of this Agreement.</w:t>
      </w:r>
    </w:p>
    <w:p>
      <w:pPr>
        <w:spacing w:after="0" w:line="186" w:lineRule="exact"/>
        <w:rPr>
          <w:rFonts w:ascii="Arial" w:cs="Arial" w:eastAsia="Arial" w:hAnsi="Arial"/>
          <w:sz w:val="18"/>
          <w:szCs w:val="18"/>
          <w:color w:val="auto"/>
        </w:rPr>
      </w:pPr>
    </w:p>
    <w:p>
      <w:pPr>
        <w:ind w:left="-20" w:firstLine="1305"/>
        <w:spacing w:after="0" w:line="277" w:lineRule="auto"/>
        <w:tabs>
          <w:tab w:leader="none" w:pos="1546"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inserted for convenience of reference only and are not intended to be part of, or to affect the meaning</w:t>
      </w:r>
      <w:r>
        <w:rPr>
          <w:rFonts w:ascii="Arial" w:cs="Arial" w:eastAsia="Arial" w:hAnsi="Arial"/>
          <w:sz w:val="18"/>
          <w:szCs w:val="18"/>
          <w:i w:val="1"/>
          <w:iCs w:val="1"/>
          <w:color w:val="auto"/>
        </w:rPr>
        <w:t xml:space="preserve"> </w:t>
      </w:r>
      <w:r>
        <w:rPr>
          <w:rFonts w:ascii="Arial" w:cs="Arial" w:eastAsia="Arial" w:hAnsi="Arial"/>
          <w:sz w:val="18"/>
          <w:szCs w:val="18"/>
          <w:color w:val="auto"/>
        </w:rPr>
        <w:t>or interpretation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131" w:name="page132"/>
    <w:bookmarkEnd w:id="131"/>
    <w:p>
      <w:pPr>
        <w:ind w:firstLine="1297"/>
        <w:spacing w:after="0" w:line="277" w:lineRule="auto"/>
        <w:rPr>
          <w:sz w:val="20"/>
          <w:szCs w:val="20"/>
          <w:color w:val="auto"/>
        </w:rPr>
      </w:pPr>
      <w:r>
        <w:rPr>
          <w:rFonts w:ascii="Arial" w:cs="Arial" w:eastAsia="Arial" w:hAnsi="Arial"/>
          <w:sz w:val="18"/>
          <w:szCs w:val="18"/>
          <w:color w:val="auto"/>
        </w:rPr>
        <w:t>If the foregoing correctly sets forth the agreement between the Company and the Underwriters, please indicate your acceptance in the space provided for that purpose below.</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H.C. W</w:t>
      </w:r>
      <w:r>
        <w:rPr>
          <w:rFonts w:ascii="Arial" w:cs="Arial" w:eastAsia="Arial" w:hAnsi="Arial"/>
          <w:sz w:val="12"/>
          <w:szCs w:val="12"/>
          <w:color w:val="auto"/>
        </w:rPr>
        <w:t>AINWRIGHT</w:t>
      </w:r>
      <w:r>
        <w:rPr>
          <w:rFonts w:ascii="Arial" w:cs="Arial" w:eastAsia="Arial" w:hAnsi="Arial"/>
          <w:sz w:val="18"/>
          <w:szCs w:val="18"/>
          <w:color w:val="auto"/>
        </w:rPr>
        <w:t xml:space="preserve"> &amp; C</w:t>
      </w:r>
      <w:r>
        <w:rPr>
          <w:rFonts w:ascii="Arial" w:cs="Arial" w:eastAsia="Arial" w:hAnsi="Arial"/>
          <w:sz w:val="12"/>
          <w:szCs w:val="12"/>
          <w:color w:val="auto"/>
        </w:rPr>
        <w:t>O</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itself and as Representative of the several Underwriters names in </w:t>
      </w:r>
      <w:r>
        <w:rPr>
          <w:rFonts w:ascii="Arial" w:cs="Arial" w:eastAsia="Arial" w:hAnsi="Arial"/>
          <w:sz w:val="18"/>
          <w:szCs w:val="18"/>
          <w:b w:val="1"/>
          <w:bCs w:val="1"/>
          <w:color w:val="auto"/>
        </w:rPr>
        <w:t>Schedule I</w:t>
      </w:r>
      <w:r>
        <w:rPr>
          <w:rFonts w:ascii="Arial" w:cs="Arial" w:eastAsia="Arial" w:hAnsi="Arial"/>
          <w:sz w:val="18"/>
          <w:szCs w:val="18"/>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right"/>
        <w:ind w:right="2859"/>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92" w:right="1440"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gridSpan w:val="3"/>
          </w:tcPr>
          <w:p>
            <w:pPr>
              <w:spacing w:after="0"/>
              <w:rPr>
                <w:sz w:val="20"/>
                <w:szCs w:val="20"/>
                <w:color w:val="auto"/>
              </w:rPr>
            </w:pPr>
            <w:r>
              <w:rPr>
                <w:rFonts w:ascii="Arial" w:cs="Arial" w:eastAsia="Arial" w:hAnsi="Arial"/>
                <w:sz w:val="18"/>
                <w:szCs w:val="18"/>
                <w:b w:val="1"/>
                <w:bCs w:val="1"/>
                <w:color w:val="auto"/>
              </w:rPr>
              <w:t>SCHEDULE I</w:t>
            </w: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580" w:type="dxa"/>
            <w:vAlign w:val="bottom"/>
          </w:tcPr>
          <w:p>
            <w:pPr>
              <w:spacing w:after="0"/>
              <w:rPr>
                <w:sz w:val="24"/>
                <w:szCs w:val="24"/>
                <w:color w:val="auto"/>
              </w:rPr>
            </w:pPr>
          </w:p>
        </w:tc>
        <w:tc>
          <w:tcPr>
            <w:tcW w:w="24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1"/>
              </w:rPr>
              <w:t>Number of Firm Shares</w:t>
            </w:r>
          </w:p>
        </w:tc>
        <w:tc>
          <w:tcPr>
            <w:tcW w:w="2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Number of Option Shares</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4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1"/>
              </w:rPr>
              <w:t>and Pre-Funded</w:t>
            </w: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to be Purchased if the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4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0"/>
              </w:rPr>
              <w:t>Warrants to be Purchased</w:t>
            </w: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Over-Allotment Option is</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80" w:type="dxa"/>
            <w:vAlign w:val="bottom"/>
          </w:tcPr>
          <w:p>
            <w:pPr>
              <w:spacing w:after="0"/>
              <w:rPr>
                <w:sz w:val="20"/>
                <w:szCs w:val="20"/>
                <w:color w:val="auto"/>
              </w:rPr>
            </w:pPr>
          </w:p>
        </w:tc>
        <w:tc>
          <w:tcPr>
            <w:tcW w:w="24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1"/>
              </w:rPr>
              <w:t>from the Company</w:t>
            </w: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Fully Exercised</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H.C. Wainwright &amp; Co., LLC</w:t>
            </w: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80" w:type="dxa"/>
            <w:vAlign w:val="bottom"/>
            <w:tcBorders>
              <w:top w:val="single" w:sz="8" w:color="auto"/>
              <w:bottom w:val="single" w:sz="8" w:color="auto"/>
            </w:tcBorders>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8"/>
                <w:szCs w:val="18"/>
                <w:color w:val="auto"/>
              </w:rPr>
            </w:pPr>
          </w:p>
        </w:tc>
        <w:tc>
          <w:tcPr>
            <w:tcW w:w="2080" w:type="dxa"/>
            <w:vAlign w:val="bottom"/>
          </w:tcPr>
          <w:p>
            <w:pPr>
              <w:ind w:left="1840"/>
              <w:spacing w:after="0"/>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4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5" w:right="239" w:bottom="1440" w:gutter="0" w:footer="0" w:header="0"/>
        </w:sectPr>
      </w:pPr>
    </w:p>
    <w:bookmarkStart w:id="134" w:name="page135"/>
    <w:bookmarkEnd w:id="134"/>
    <w:p>
      <w:pPr>
        <w:jc w:val="center"/>
        <w:ind w:right="-1220"/>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29" w:lineRule="exact"/>
        <w:rPr>
          <w:sz w:val="20"/>
          <w:szCs w:val="20"/>
          <w:color w:val="auto"/>
        </w:rPr>
      </w:pPr>
    </w:p>
    <w:p>
      <w:pPr>
        <w:jc w:val="right"/>
        <w:ind w:right="2499"/>
        <w:spacing w:after="0"/>
        <w:rPr>
          <w:sz w:val="20"/>
          <w:szCs w:val="20"/>
          <w:color w:val="auto"/>
        </w:rPr>
      </w:pPr>
      <w:r>
        <w:rPr>
          <w:rFonts w:ascii="Arial" w:cs="Arial" w:eastAsia="Arial" w:hAnsi="Arial"/>
          <w:sz w:val="18"/>
          <w:szCs w:val="18"/>
          <w:color w:val="auto"/>
        </w:rPr>
        <w:t>PERSONS DELIVERING LOCK-UP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Harel Gadot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Yehezkel (Hezi) Himelfarb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Yoav Waizer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Yoseph Bornstein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Pratipatti Laxminarain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Scott Burell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Martin Madden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135" w:name="page136"/>
    <w:bookmarkEnd w:id="135"/>
    <w:p>
      <w:pPr>
        <w:jc w:val="center"/>
        <w:ind w:right="-1200"/>
        <w:spacing w:after="0"/>
        <w:rPr>
          <w:sz w:val="20"/>
          <w:szCs w:val="20"/>
          <w:color w:val="auto"/>
        </w:rPr>
      </w:pPr>
      <w:r>
        <w:rPr>
          <w:rFonts w:ascii="Arial" w:cs="Arial" w:eastAsia="Arial" w:hAnsi="Arial"/>
          <w:sz w:val="18"/>
          <w:szCs w:val="18"/>
          <w:b w:val="1"/>
          <w:bCs w:val="1"/>
          <w:u w:val="single" w:color="auto"/>
          <w:color w:val="auto"/>
        </w:rPr>
        <w:t>SCHEDULE III</w:t>
      </w:r>
    </w:p>
    <w:p>
      <w:pPr>
        <w:spacing w:after="0" w:line="229" w:lineRule="exact"/>
        <w:rPr>
          <w:sz w:val="20"/>
          <w:szCs w:val="20"/>
          <w:color w:val="auto"/>
        </w:rPr>
      </w:pPr>
    </w:p>
    <w:p>
      <w:pPr>
        <w:jc w:val="right"/>
        <w:ind w:right="2619"/>
        <w:spacing w:after="0"/>
        <w:rPr>
          <w:sz w:val="20"/>
          <w:szCs w:val="20"/>
          <w:color w:val="auto"/>
        </w:rPr>
      </w:pPr>
      <w:r>
        <w:rPr>
          <w:rFonts w:ascii="Arial" w:cs="Arial" w:eastAsia="Arial" w:hAnsi="Arial"/>
          <w:sz w:val="18"/>
          <w:szCs w:val="18"/>
          <w:color w:val="auto"/>
        </w:rPr>
        <w:t>ORALLY CONVEYED PRICING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Firm Shares Offered: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Pre-Funded Warrants Offered: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Option Shares: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 per Share: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 per Pre-Funded Warrant: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Pre-Funded Warrant Exercise Price: $0.01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 per Share: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 per Pre-Funded Warrant: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Proceeds to Company per Share (before expenses):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Proceeds to Company per Pre-Funded Warrant: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136" w:name="page137"/>
    <w:bookmarkEnd w:id="136"/>
    <w:p>
      <w:pPr>
        <w:jc w:val="center"/>
        <w:ind w:right="-1200"/>
        <w:spacing w:after="0"/>
        <w:rPr>
          <w:sz w:val="20"/>
          <w:szCs w:val="20"/>
          <w:color w:val="auto"/>
        </w:rPr>
      </w:pPr>
      <w:r>
        <w:rPr>
          <w:rFonts w:ascii="Arial" w:cs="Arial" w:eastAsia="Arial" w:hAnsi="Arial"/>
          <w:sz w:val="18"/>
          <w:szCs w:val="18"/>
          <w:b w:val="1"/>
          <w:bCs w:val="1"/>
          <w:u w:val="single" w:color="auto"/>
          <w:color w:val="auto"/>
        </w:rPr>
        <w:t>SCHEDULE IV</w:t>
      </w:r>
    </w:p>
    <w:p>
      <w:pPr>
        <w:spacing w:after="0" w:line="229" w:lineRule="exact"/>
        <w:rPr>
          <w:sz w:val="20"/>
          <w:szCs w:val="20"/>
          <w:color w:val="auto"/>
        </w:rPr>
      </w:pPr>
    </w:p>
    <w:p>
      <w:pPr>
        <w:jc w:val="right"/>
        <w:ind w:right="1699"/>
        <w:spacing w:after="0"/>
        <w:rPr>
          <w:sz w:val="20"/>
          <w:szCs w:val="20"/>
          <w:color w:val="auto"/>
        </w:rPr>
      </w:pPr>
      <w:r>
        <w:rPr>
          <w:rFonts w:ascii="Arial" w:cs="Arial" w:eastAsia="Arial" w:hAnsi="Arial"/>
          <w:sz w:val="18"/>
          <w:szCs w:val="18"/>
          <w:color w:val="auto"/>
        </w:rPr>
        <w:t>ISSUER FREE WRITING PROSPECTUSES – ROAD SHOW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be updated]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137" w:name="page138"/>
    <w:bookmarkEnd w:id="137"/>
    <w:p>
      <w:pPr>
        <w:jc w:val="center"/>
        <w:ind w:right="-1200"/>
        <w:spacing w:after="0"/>
        <w:rPr>
          <w:sz w:val="20"/>
          <w:szCs w:val="20"/>
          <w:color w:val="auto"/>
        </w:rPr>
      </w:pPr>
      <w:r>
        <w:rPr>
          <w:rFonts w:ascii="Arial" w:cs="Arial" w:eastAsia="Arial" w:hAnsi="Arial"/>
          <w:sz w:val="18"/>
          <w:szCs w:val="18"/>
          <w:b w:val="1"/>
          <w:bCs w:val="1"/>
          <w:u w:val="single" w:color="auto"/>
          <w:color w:val="auto"/>
        </w:rPr>
        <w:t>SCHEDULE V</w:t>
      </w:r>
    </w:p>
    <w:p>
      <w:pPr>
        <w:spacing w:after="0" w:line="229" w:lineRule="exact"/>
        <w:rPr>
          <w:sz w:val="20"/>
          <w:szCs w:val="20"/>
          <w:color w:val="auto"/>
        </w:rPr>
      </w:pPr>
    </w:p>
    <w:p>
      <w:pPr>
        <w:jc w:val="right"/>
        <w:ind w:right="2859"/>
        <w:spacing w:after="0"/>
        <w:rPr>
          <w:sz w:val="20"/>
          <w:szCs w:val="20"/>
          <w:color w:val="auto"/>
        </w:rPr>
      </w:pPr>
      <w:r>
        <w:rPr>
          <w:rFonts w:ascii="Arial" w:cs="Arial" w:eastAsia="Arial" w:hAnsi="Arial"/>
          <w:sz w:val="18"/>
          <w:szCs w:val="18"/>
          <w:color w:val="auto"/>
        </w:rPr>
        <w:t>ISSUER FREE WRITING PROSPECTUSES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be updated]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138" w:name="page139"/>
    <w:bookmarkEnd w:id="138"/>
    <w:p>
      <w:pPr>
        <w:jc w:val="center"/>
        <w:ind w:right="-2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FORM OF PRE-FUNDED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296545</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LOCK-UP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the Representative of the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430 Park Avenue,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The undersigned understands that you (the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as representative of the several underwriters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propose to enter into an 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relating to the proposed registered public offering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of securities of Microbot Medical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The undersigned acknowledges that the Underwriters are relying on the representations and agreements of the undersigned contained in this lock-up agreement in conducting the Offering and, at a subsequent date, in entering into the Underwriting Agreement and other underwriting arrangements with the Company with respect to the Offering. Capitalized terms used herein and not otherwise defined shall have the meanings ascribed to such terms in the Underwriting Agreement.</w:t>
      </w:r>
    </w:p>
    <w:p>
      <w:pPr>
        <w:spacing w:after="0" w:line="178"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In consideration of the benefit that the Offering will confer upon the undersigned as a securityholder and/or officer and/or a director of the Company, and for other good and valuable consideration, the undersigned hereby irrevocably agrees that, without the prior written consent of the Representative, the undersigned will not, directly or indirectly, (1) offer for sale, sell, pledge, or otherwise dispose of (or enter into any transaction or device that is designed to, or could be expected to, result in the disposition by any person at any time in the future of) any shares of Common Stock of the Company, par value $0.01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(including, without limitation, Common Stock that may be deemed to be beneficially owned by the undersigned in accordance with the rules and regulations of the Securities and Exchange Commission and Common Stock that may be issued upon exercise of any options or warrants), or securities convertible into or exercisable or exchangeable for Common Stock, (2) enter into any swap or other derivatives transaction that transfers to another, in whole or in part, any of the economic benefits or risks of ownership of Common Stock, whether any such transaction described in clause (1) or (2) above is to be settled by delivery of Common Stock or other securities, in cash or otherwise, (3) make any demand for or exercise any right or cause to be filed a registration statement, including any amendments thereto, with respect to the registration of any Common Stock or securities convertible into or exercisable or exchangeable for Common Stock or any other securities of the Company, or (4) publicly disclose the intention to do any of the foregoing, for a period commencing on the date hereof and ending on the 21st day after the date of the final prospectus relating to the Offering (such 21 -day period,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40" w:name="page141"/>
    <w:bookmarkEnd w:id="140"/>
    <w:p>
      <w:pPr>
        <w:ind w:left="100"/>
        <w:spacing w:after="0"/>
        <w:rPr>
          <w:sz w:val="20"/>
          <w:szCs w:val="20"/>
          <w:color w:val="auto"/>
        </w:rPr>
      </w:pPr>
      <w:r>
        <w:rPr>
          <w:rFonts w:ascii="Arial" w:cs="Arial" w:eastAsia="Arial" w:hAnsi="Arial"/>
          <w:sz w:val="18"/>
          <w:szCs w:val="18"/>
          <w:color w:val="auto"/>
        </w:rPr>
        <w:t>The foregoing paragraph shall not apply to:</w:t>
      </w:r>
    </w:p>
    <w:p>
      <w:pPr>
        <w:spacing w:after="0" w:line="225" w:lineRule="exact"/>
        <w:rPr>
          <w:sz w:val="20"/>
          <w:szCs w:val="20"/>
          <w:color w:val="auto"/>
        </w:rPr>
      </w:pPr>
    </w:p>
    <w:p>
      <w:pPr>
        <w:ind w:left="340" w:hanging="235"/>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transactions relating to Common Stock or other securities acquired in the open market after the completion of the Offering,</w:t>
      </w:r>
    </w:p>
    <w:p>
      <w:pPr>
        <w:spacing w:after="0" w:line="225" w:lineRule="exact"/>
        <w:rPr>
          <w:rFonts w:ascii="Arial" w:cs="Arial" w:eastAsia="Arial" w:hAnsi="Arial"/>
          <w:sz w:val="18"/>
          <w:szCs w:val="18"/>
          <w:color w:val="auto"/>
        </w:rPr>
      </w:pPr>
    </w:p>
    <w:p>
      <w:pPr>
        <w:ind w:left="360" w:hanging="255"/>
        <w:spacing w:after="0"/>
        <w:tabs>
          <w:tab w:leader="none" w:pos="3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transfers by will or upon intestate succession,</w:t>
      </w:r>
    </w:p>
    <w:p>
      <w:pPr>
        <w:spacing w:after="0" w:line="225" w:lineRule="exact"/>
        <w:rPr>
          <w:rFonts w:ascii="Arial" w:cs="Arial" w:eastAsia="Arial" w:hAnsi="Arial"/>
          <w:sz w:val="18"/>
          <w:szCs w:val="18"/>
          <w:color w:val="auto"/>
        </w:rPr>
      </w:pPr>
    </w:p>
    <w:p>
      <w:pPr>
        <w:ind w:left="340" w:hanging="235"/>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transfers as bona fide gifts,</w:t>
      </w:r>
    </w:p>
    <w:p>
      <w:pPr>
        <w:spacing w:after="0" w:line="225" w:lineRule="exact"/>
        <w:rPr>
          <w:rFonts w:ascii="Arial" w:cs="Arial" w:eastAsia="Arial" w:hAnsi="Arial"/>
          <w:sz w:val="18"/>
          <w:szCs w:val="18"/>
          <w:color w:val="auto"/>
        </w:rPr>
      </w:pPr>
    </w:p>
    <w:p>
      <w:pPr>
        <w:jc w:val="both"/>
        <w:ind w:left="-1200" w:firstLine="1305"/>
        <w:spacing w:after="0" w:line="264" w:lineRule="auto"/>
        <w:tabs>
          <w:tab w:leader="none" w:pos="35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transfers to any immediate family member of the undersigned or any trust, partnership, limited liability company or other entity formed for the direct or indirect benefit of the undersigned or the immediate family of the undersigned (for purposes of this Lock-Up Letter Agreement, “immediate family” shall mean any relationship, by blood, marriage or adoption, not more remote than first cousin),</w:t>
      </w:r>
    </w:p>
    <w:p>
      <w:pPr>
        <w:spacing w:after="0" w:line="181" w:lineRule="exact"/>
        <w:rPr>
          <w:rFonts w:ascii="Arial" w:cs="Arial" w:eastAsia="Arial" w:hAnsi="Arial"/>
          <w:sz w:val="18"/>
          <w:szCs w:val="18"/>
          <w:color w:val="auto"/>
        </w:rPr>
      </w:pPr>
    </w:p>
    <w:p>
      <w:pPr>
        <w:jc w:val="both"/>
        <w:ind w:left="-1200" w:firstLine="1305"/>
        <w:spacing w:after="0" w:line="289" w:lineRule="auto"/>
        <w:tabs>
          <w:tab w:leader="none" w:pos="37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sales or other dispositions to affiliates of the undersigned, including its partners (if a partnership), members (if a limited liability company), beneficiaries or trustors (if a trust), shareholders, stockholders, or any investment fund or other entity controlled by or under common control or management with the undersigned,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shall be a condition to any transfer pursuant to clauses (b) through (e) that (i) the transferee/donee agrees to be bound by the terms of this Lock-Up Letter Agreement (including, without limitation, the restrictions set forth in the preceding sentence) to the same extent as if the transferee/donee were a party hereto, (ii) each party (donor, donee, transferor or transferee) shall not be required by law (including without limitation the disclosure requirements of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to make, and shall agree to not voluntarily make, any filing or public announcement of the transfer or disposition prior to the expiration of the 21 -day period referred to above (except this clause (ii) shall not apply to transfer by will or upon interstate succession), and (iii) the undersigned notifies the Representative at least two business days prior to the proposed transfer or disposition,</w:t>
      </w:r>
    </w:p>
    <w:p>
      <w:pPr>
        <w:spacing w:after="0" w:line="166" w:lineRule="exact"/>
        <w:rPr>
          <w:rFonts w:ascii="Arial" w:cs="Arial" w:eastAsia="Arial" w:hAnsi="Arial"/>
          <w:sz w:val="16"/>
          <w:szCs w:val="16"/>
          <w:color w:val="auto"/>
        </w:rPr>
      </w:pPr>
    </w:p>
    <w:p>
      <w:pPr>
        <w:ind w:left="320" w:hanging="215"/>
        <w:spacing w:after="0"/>
        <w:tabs>
          <w:tab w:leader="none" w:pos="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transfers made pursuant to the Underwriting Agreement, if any,</w:t>
      </w:r>
    </w:p>
    <w:p>
      <w:pPr>
        <w:spacing w:after="0" w:line="225" w:lineRule="exact"/>
        <w:rPr>
          <w:rFonts w:ascii="Arial" w:cs="Arial" w:eastAsia="Arial" w:hAnsi="Arial"/>
          <w:sz w:val="18"/>
          <w:szCs w:val="18"/>
          <w:color w:val="auto"/>
        </w:rPr>
      </w:pPr>
    </w:p>
    <w:p>
      <w:pPr>
        <w:jc w:val="both"/>
        <w:ind w:left="-1200" w:firstLine="1305"/>
        <w:spacing w:after="0" w:line="297" w:lineRule="auto"/>
        <w:tabs>
          <w:tab w:leader="none" w:pos="35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if the undersigned is an individual, dispositions solely in connection with the “cashless” exercise of options (the term “cashless” exercise being intended to include the sale of a portion of the option shares or previously owned shares to the Company or in open market transactions to cover payment of the exercise price) for the purpose of exercising such options solely in the case of termination of employment or board service following death, disability or other than for cause (including sales in respect of tax liabilities arising from such exercise and sale) if such options would otherwise expire, provided that the restrictions of this Lock-Up Letter Agreement shall apply to any Common Stock issued in connection with such exercise,</w:t>
      </w:r>
    </w:p>
    <w:p>
      <w:pPr>
        <w:spacing w:after="0" w:line="158" w:lineRule="exact"/>
        <w:rPr>
          <w:rFonts w:ascii="Arial" w:cs="Arial" w:eastAsia="Arial" w:hAnsi="Arial"/>
          <w:sz w:val="16"/>
          <w:szCs w:val="16"/>
          <w:color w:val="auto"/>
        </w:rPr>
      </w:pPr>
    </w:p>
    <w:p>
      <w:pPr>
        <w:jc w:val="both"/>
        <w:ind w:left="-1200" w:firstLine="1305"/>
        <w:spacing w:after="0" w:line="259" w:lineRule="auto"/>
        <w:tabs>
          <w:tab w:leader="none" w:pos="36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following the closing of the Offering, transfers pursuant to a bona fide third-party tender offer, merger, consolidation or other similar transaction made to all holders of the Company’s share capital involving a change of control of the Company, provided that in the event that such tender offer, merger, consolidation or other such transaction is not completed, the securities of the Company held by the undersigned shall remain subject to the provisions of this Lock-Up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264795</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41" w:name="page142"/>
    <w:bookmarkEnd w:id="141"/>
    <w:p>
      <w:pPr>
        <w:ind w:firstLine="1305"/>
        <w:spacing w:after="0" w:line="308" w:lineRule="auto"/>
        <w:tabs>
          <w:tab w:leader="none" w:pos="1514"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the exercise of warrants or the exercise of stock options granted pursuant to any Specified Equity Plan or Other Equity Plan or otherwise outstanding on the date hereof; </w:t>
      </w:r>
      <w:r>
        <w:rPr>
          <w:rFonts w:ascii="Arial" w:cs="Arial" w:eastAsia="Arial" w:hAnsi="Arial"/>
          <w:sz w:val="17"/>
          <w:szCs w:val="17"/>
          <w:i w:val="1"/>
          <w:iCs w:val="1"/>
          <w:color w:val="auto"/>
        </w:rPr>
        <w:t>provided</w:t>
      </w:r>
      <w:r>
        <w:rPr>
          <w:rFonts w:ascii="Arial" w:cs="Arial" w:eastAsia="Arial" w:hAnsi="Arial"/>
          <w:sz w:val="17"/>
          <w:szCs w:val="17"/>
          <w:color w:val="auto"/>
        </w:rPr>
        <w:t>, that the restrictions shall apply to Common Stock issued upon such exercise or conversion,</w:t>
      </w:r>
    </w:p>
    <w:p>
      <w:pPr>
        <w:spacing w:after="0" w:line="146" w:lineRule="exact"/>
        <w:rPr>
          <w:rFonts w:ascii="Arial" w:cs="Arial" w:eastAsia="Arial" w:hAnsi="Arial"/>
          <w:sz w:val="17"/>
          <w:szCs w:val="17"/>
          <w:color w:val="auto"/>
        </w:rPr>
      </w:pPr>
    </w:p>
    <w:p>
      <w:pPr>
        <w:jc w:val="both"/>
        <w:ind w:firstLine="1305"/>
        <w:spacing w:after="0" w:line="312" w:lineRule="auto"/>
        <w:tabs>
          <w:tab w:leader="none" w:pos="151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transfers of shares of Common Stock or any security convertible into or exercisable or exchangeable for Common Stock pursuant to an order of a court or regulatory agency; provided that (i) each transferee shall sign and deliver a lock-up agreement substantially in the form of this agreement and (ii) any filings under Section 16(a) of the Exchange Act shall state that the transfer is by order of such court or regulatory agency, as the case may be,</w:t>
      </w:r>
    </w:p>
    <w:p>
      <w:pPr>
        <w:spacing w:after="0" w:line="146" w:lineRule="exact"/>
        <w:rPr>
          <w:rFonts w:ascii="Arial" w:cs="Arial" w:eastAsia="Arial" w:hAnsi="Arial"/>
          <w:sz w:val="16"/>
          <w:szCs w:val="16"/>
          <w:color w:val="auto"/>
        </w:rPr>
      </w:pPr>
    </w:p>
    <w:p>
      <w:pPr>
        <w:jc w:val="both"/>
        <w:ind w:firstLine="1305"/>
        <w:spacing w:after="0" w:line="273" w:lineRule="auto"/>
        <w:tabs>
          <w:tab w:leader="none" w:pos="155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establishment of any contract, instruction or plan that satisfies all of the requirements of Rule 10b5-1 (a “</w:t>
      </w:r>
      <w:r>
        <w:rPr>
          <w:rFonts w:ascii="Arial" w:cs="Arial" w:eastAsia="Arial" w:hAnsi="Arial"/>
          <w:sz w:val="17"/>
          <w:szCs w:val="17"/>
          <w:b w:val="1"/>
          <w:bCs w:val="1"/>
          <w:i w:val="1"/>
          <w:iCs w:val="1"/>
          <w:color w:val="auto"/>
        </w:rPr>
        <w:t>Rule 10b5-1 Plan</w:t>
      </w:r>
      <w:r>
        <w:rPr>
          <w:rFonts w:ascii="Arial" w:cs="Arial" w:eastAsia="Arial" w:hAnsi="Arial"/>
          <w:sz w:val="17"/>
          <w:szCs w:val="17"/>
          <w:color w:val="auto"/>
        </w:rPr>
        <w:t xml:space="preserve">”) under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 sales of Common Stock or securities convertible into, or exchangeable or exercisable for, Common Stock, shall be made pursuant to such Rule 10b5-1 Plan prior to the expiration of the Lock-Up Period; </w:t>
      </w:r>
      <w:r>
        <w:rPr>
          <w:rFonts w:ascii="Arial" w:cs="Arial" w:eastAsia="Arial" w:hAnsi="Arial"/>
          <w:sz w:val="17"/>
          <w:szCs w:val="17"/>
          <w:i w:val="1"/>
          <w:iCs w:val="1"/>
          <w:color w:val="auto"/>
        </w:rPr>
        <w:t>provided further</w:t>
      </w:r>
      <w:r>
        <w:rPr>
          <w:rFonts w:ascii="Arial" w:cs="Arial" w:eastAsia="Arial" w:hAnsi="Arial"/>
          <w:sz w:val="17"/>
          <w:szCs w:val="17"/>
          <w:color w:val="auto"/>
        </w:rPr>
        <w:t>, that if any announcement or filing under the Exchange Act regarding the establishment or existence of such Rule 10b5-1 Plan shall be required or made voluntarily by the undersigned, the Company or any other person prior to the expiration of the Lock-Up Period, such announcement shall include a statement that sales under such Rule 10b5-1 Plan will not occur until after the expiration of the Lock-Up Period, and</w:t>
      </w:r>
    </w:p>
    <w:p>
      <w:pPr>
        <w:spacing w:after="0" w:line="178" w:lineRule="exact"/>
        <w:rPr>
          <w:rFonts w:ascii="Arial" w:cs="Arial" w:eastAsia="Arial" w:hAnsi="Arial"/>
          <w:sz w:val="17"/>
          <w:szCs w:val="17"/>
          <w:color w:val="auto"/>
        </w:rPr>
      </w:pPr>
    </w:p>
    <w:p>
      <w:pPr>
        <w:jc w:val="both"/>
        <w:ind w:firstLine="1305"/>
        <w:spacing w:after="0" w:line="259" w:lineRule="auto"/>
        <w:tabs>
          <w:tab w:leader="none" w:pos="151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dispositions of Common Stock by the undersigned or withholding of Common Stock by the Company in connection with the receipt or vesting of securities (solely in respect of tax liabilities with respect to such receipt or vesting), where such securities are issued to the undersigned by the Company pursuant to any Specified Equity Plan or Other Equity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Form 4 or other required disclosure shall disclose that such disposition or withholding was in connection with such receipt or vesting.</w:t>
      </w:r>
    </w:p>
    <w:p>
      <w:pPr>
        <w:spacing w:after="0" w:line="18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 furtherance of the foregoing, the Company and its transfer agent are hereby authorized to decline to make any transfer of securities if such transfer would constitute a violation or breach of this Lock-Up Letter Agreement.</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Whether or not the Offering actually occurs depends on a number of factors, including market conditions. Any Offering will only be made pursuant to an Underwriting Agreement, the terms of which are subject to negotiation between the Company and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2" w:name="page143"/>
    <w:bookmarkEnd w:id="142"/>
    <w:p>
      <w:pPr>
        <w:jc w:val="both"/>
        <w:ind w:firstLine="1297"/>
        <w:spacing w:after="0" w:line="257" w:lineRule="auto"/>
        <w:rPr>
          <w:sz w:val="20"/>
          <w:szCs w:val="20"/>
          <w:color w:val="auto"/>
        </w:rPr>
      </w:pPr>
      <w:r>
        <w:rPr>
          <w:rFonts w:ascii="Arial" w:cs="Arial" w:eastAsia="Arial" w:hAnsi="Arial"/>
          <w:sz w:val="18"/>
          <w:szCs w:val="18"/>
          <w:color w:val="auto"/>
        </w:rPr>
        <w:t>This Lock-Up Letter Agreement shall automatically terminate upon the earliest to occur, if any, of: (1) the Company notifying the Representative in writing prior to the execution of the Underwriting Agreement that it does not intend to proceed with the Offering, (2) the termination of the Underwriting Agreement before the sale of any securities to the Underwriters or (3) February 28, 2019, in the event that the Underwriting Agreement has not been executed by that date. If the Underwriting Agreement does not become effective, the undersigned will be released from its obligations under this Lock-Up Letter Agreement.</w:t>
      </w:r>
    </w:p>
    <w:p>
      <w:pPr>
        <w:spacing w:after="0" w:line="18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The obligations of the undersigned under this Lock-Up Letter Agreement are several and not joint with the obligations of any other persons or entities who have executed and delivered to the Underwriters an agreement of like tenor to this Lock-Up Letter Agreement (the “</w:t>
      </w:r>
      <w:r>
        <w:rPr>
          <w:rFonts w:ascii="Arial" w:cs="Arial" w:eastAsia="Arial" w:hAnsi="Arial"/>
          <w:sz w:val="18"/>
          <w:szCs w:val="18"/>
          <w:b w:val="1"/>
          <w:bCs w:val="1"/>
          <w:i w:val="1"/>
          <w:iCs w:val="1"/>
          <w:color w:val="auto"/>
        </w:rPr>
        <w:t>Other Lock-Up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Agreements</w:t>
      </w:r>
      <w:r>
        <w:rPr>
          <w:rFonts w:ascii="Arial" w:cs="Arial" w:eastAsia="Arial" w:hAnsi="Arial"/>
          <w:sz w:val="18"/>
          <w:szCs w:val="18"/>
          <w:color w:val="auto"/>
        </w:rPr>
        <w:t>”) (each such obligor, an “</w:t>
      </w:r>
      <w:r>
        <w:rPr>
          <w:rFonts w:ascii="Arial" w:cs="Arial" w:eastAsia="Arial" w:hAnsi="Arial"/>
          <w:sz w:val="18"/>
          <w:szCs w:val="18"/>
          <w:b w:val="1"/>
          <w:bCs w:val="1"/>
          <w:i w:val="1"/>
          <w:iCs w:val="1"/>
          <w:color w:val="auto"/>
        </w:rPr>
        <w:t>Other Holder</w:t>
      </w:r>
      <w:r>
        <w:rPr>
          <w:rFonts w:ascii="Arial" w:cs="Arial" w:eastAsia="Arial" w:hAnsi="Arial"/>
          <w:sz w:val="18"/>
          <w:szCs w:val="18"/>
          <w:color w:val="auto"/>
        </w:rPr>
        <w:t>”), and the undersigned shall not be responsible in any way for the performance of the obligations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Holder under any such Other Lock-Up Agreements. Nothing contained in this Lock-Up Letter Agreement, and no action taken by the undersigned pursuant hereto, shall be deemed to constitute the undersigned and Other Holders as a partnership, an association, a joint venture or any other kind of entity, or create a presumption that the undersigned and the Other Holders are in any way acting in concert or as a group with respect to such obligations or the transactions contemplated by this Lock-Up Letter Agreement. The undersigned shall be entitled to independently protect and enforce its rights, including, without limitation, the rights arising out of this Lock-Up Letter Agreement, and it shall not be necessary for any Other Holder to be joined as an additional party in any proceeding for such purpose.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3" w:name="page144"/>
    <w:bookmarkEnd w:id="143"/>
    <w:p>
      <w:pPr>
        <w:jc w:val="both"/>
        <w:ind w:firstLine="1297"/>
        <w:spacing w:after="0" w:line="286" w:lineRule="auto"/>
        <w:rPr>
          <w:sz w:val="20"/>
          <w:szCs w:val="20"/>
          <w:color w:val="auto"/>
        </w:rPr>
      </w:pPr>
      <w:r>
        <w:rPr>
          <w:rFonts w:ascii="Arial" w:cs="Arial" w:eastAsia="Arial" w:hAnsi="Arial"/>
          <w:sz w:val="17"/>
          <w:szCs w:val="17"/>
          <w:color w:val="auto"/>
        </w:rPr>
        <w:t>The undersigned hereby represents and warrants that the undersigned has full power and authority to enter into this Lock-Up Letter Agreement and that, upon request, the undersigned will execute any additional documents reasonably necessary in connection with the enforcement hereof. Any obligations of the undersigned shall be binding upon the heirs, personal representatives, successors and assigns of the undersigned.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4" w:name="page145"/>
    <w:bookmarkEnd w:id="1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PRE-FUNDED COMMON STOCK PURCHASE WARRANT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INC.</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Warrant Shares: 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Issue Date: ______, 2019</w:t>
      </w:r>
    </w:p>
    <w:p>
      <w:pPr>
        <w:spacing w:after="0" w:line="200" w:lineRule="exact"/>
        <w:rPr>
          <w:sz w:val="20"/>
          <w:szCs w:val="20"/>
          <w:color w:val="auto"/>
        </w:rPr>
      </w:pPr>
    </w:p>
    <w:p>
      <w:pPr>
        <w:sectPr>
          <w:pgSz w:w="11900" w:h="16838" w:orient="portrait"/>
          <w:cols w:equalWidth="0" w:num="2">
            <w:col w:w="6140" w:space="720"/>
            <w:col w:w="4560"/>
          </w:cols>
          <w:pgMar w:left="240" w:top="337" w:right="239" w:bottom="1440" w:gutter="0" w:footer="0" w:header="0"/>
          <w:type w:val="continuous"/>
        </w:sectPr>
      </w:pPr>
    </w:p>
    <w:p>
      <w:pPr>
        <w:spacing w:after="0" w:line="3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Initial Exercise Date: _______, 2019</w:t>
      </w:r>
    </w:p>
    <w:p>
      <w:pPr>
        <w:sectPr>
          <w:pgSz w:w="11900" w:h="16838" w:orient="portrait"/>
          <w:cols w:equalWidth="0" w:num="1">
            <w:col w:w="11420"/>
          </w:cols>
          <w:pgMar w:left="240" w:top="337" w:right="239" w:bottom="1440" w:gutter="0" w:footer="0" w:header="0"/>
          <w:type w:val="continuous"/>
        </w:sectPr>
      </w:pP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PRE-FUNDED COMMON STOCK PURCHASE WARRANT (the “</w:t>
      </w:r>
      <w:r>
        <w:rPr>
          <w:rFonts w:ascii="Arial" w:cs="Arial" w:eastAsia="Arial" w:hAnsi="Arial"/>
          <w:sz w:val="17"/>
          <w:szCs w:val="17"/>
          <w:u w:val="single" w:color="auto"/>
          <w:color w:val="auto"/>
        </w:rPr>
        <w:t>Warrant</w:t>
      </w:r>
      <w:r>
        <w:rPr>
          <w:rFonts w:ascii="Arial" w:cs="Arial" w:eastAsia="Arial" w:hAnsi="Arial"/>
          <w:sz w:val="17"/>
          <w:szCs w:val="17"/>
          <w:color w:val="auto"/>
        </w:rPr>
        <w:t>”) certifies that, for value received, _____________ or</w:t>
      </w:r>
    </w:p>
    <w:p>
      <w:pPr>
        <w:spacing w:after="0" w:line="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its assigns (the “</w:t>
      </w:r>
      <w:r>
        <w:rPr>
          <w:rFonts w:ascii="Arial" w:cs="Arial" w:eastAsia="Arial" w:hAnsi="Arial"/>
          <w:sz w:val="17"/>
          <w:szCs w:val="17"/>
          <w:u w:val="single" w:color="auto"/>
          <w:color w:val="auto"/>
        </w:rPr>
        <w:t>Holder</w:t>
      </w:r>
      <w:r>
        <w:rPr>
          <w:rFonts w:ascii="Arial" w:cs="Arial" w:eastAsia="Arial" w:hAnsi="Arial"/>
          <w:sz w:val="17"/>
          <w:szCs w:val="17"/>
          <w:color w:val="auto"/>
        </w:rPr>
        <w:t>”) is entitled, upon the terms and subject to the limitations on exercise and the conditions hereinafter set forth, at any time on or after the date hereof (the “</w:t>
      </w:r>
      <w:r>
        <w:rPr>
          <w:rFonts w:ascii="Arial" w:cs="Arial" w:eastAsia="Arial" w:hAnsi="Arial"/>
          <w:sz w:val="17"/>
          <w:szCs w:val="17"/>
          <w:u w:val="single" w:color="auto"/>
          <w:color w:val="auto"/>
        </w:rPr>
        <w:t>Initial Exercise Date</w:t>
      </w:r>
      <w:r>
        <w:rPr>
          <w:rFonts w:ascii="Arial" w:cs="Arial" w:eastAsia="Arial" w:hAnsi="Arial"/>
          <w:sz w:val="17"/>
          <w:szCs w:val="17"/>
          <w:color w:val="auto"/>
        </w:rPr>
        <w:t>”) and until this Warrant is exercised in full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to subscribe for and purchase from Microbot Medical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up to ______ shares (as subject to adjustment hereunder, the “</w:t>
      </w:r>
      <w:r>
        <w:rPr>
          <w:rFonts w:ascii="Arial" w:cs="Arial" w:eastAsia="Arial" w:hAnsi="Arial"/>
          <w:sz w:val="17"/>
          <w:szCs w:val="17"/>
          <w:u w:val="single" w:color="auto"/>
          <w:color w:val="auto"/>
        </w:rPr>
        <w:t>Warrant Shares</w:t>
      </w:r>
      <w:r>
        <w:rPr>
          <w:rFonts w:ascii="Arial" w:cs="Arial" w:eastAsia="Arial" w:hAnsi="Arial"/>
          <w:sz w:val="17"/>
          <w:szCs w:val="17"/>
          <w:color w:val="auto"/>
        </w:rPr>
        <w:t>”) of Common Stock. The purchase price of one share of Common Stock under this Warrant shall be equal to the Exercise Price, as defined in Section 2(b).</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Definitions</w:t>
      </w:r>
      <w:r>
        <w:rPr>
          <w:rFonts w:ascii="Arial" w:cs="Arial" w:eastAsia="Arial" w:hAnsi="Arial"/>
          <w:sz w:val="16"/>
          <w:szCs w:val="16"/>
          <w:color w:val="auto"/>
        </w:rPr>
        <w:t>. In addition to the terms defined elsewhere in this Warrant, the following terms have the meanings indicated in this Section 1:</w:t>
      </w:r>
    </w:p>
    <w:p>
      <w:pPr>
        <w:spacing w:after="0" w:line="248"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Bid Price</w:t>
      </w:r>
      <w:r>
        <w:rPr>
          <w:rFonts w:ascii="Arial" w:cs="Arial" w:eastAsia="Arial" w:hAnsi="Arial"/>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95" w:lineRule="exact"/>
        <w:rPr>
          <w:sz w:val="20"/>
          <w:szCs w:val="20"/>
          <w:color w:val="auto"/>
        </w:rPr>
      </w:pPr>
    </w:p>
    <w:p>
      <w:pPr>
        <w:jc w:val="both"/>
        <w:ind w:left="6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146" w:name="page147"/>
    <w:bookmarkEnd w:id="146"/>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Company’s registration statement on Form S-1 (File No. 333-228285).</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Computershare Trust Company, with offices located at Meidinger Tower, 462 South 4th Street, Louisville, KY 40202, and any successor transfer agent of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means that certain underwriting agreement entered into by and between H.C. Wainwright &amp; Co., LLC and the Company, dated as of [___], 2019.</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7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147" w:name="page148"/>
    <w:bookmarkEnd w:id="147"/>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this Warrant and other Common Stock purchase warrants issued by the Company pursuant to the Underwriting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85" w:lineRule="auto"/>
        <w:tabs>
          <w:tab w:leader="none" w:pos="833"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via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unpaid portion of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Arial" w:cs="Arial" w:eastAsia="Arial" w:hAnsi="Arial"/>
          <w:sz w:val="16"/>
          <w:szCs w:val="16"/>
          <w:b w:val="1"/>
          <w:bCs w:val="1"/>
          <w:color w:val="auto"/>
        </w:rPr>
        <w:t>The Holder and any assignee, by acceptance of this Warrant, acknowledge and</w:t>
      </w:r>
      <w:r>
        <w:rPr>
          <w:rFonts w:ascii="Arial" w:cs="Arial" w:eastAsia="Arial" w:hAnsi="Arial"/>
          <w:sz w:val="16"/>
          <w:szCs w:val="16"/>
          <w:color w:val="auto"/>
        </w:rPr>
        <w:t xml:space="preserve"> </w:t>
      </w:r>
      <w:r>
        <w:rPr>
          <w:rFonts w:ascii="Arial" w:cs="Arial" w:eastAsia="Arial" w:hAnsi="Arial"/>
          <w:sz w:val="16"/>
          <w:szCs w:val="16"/>
          <w:b w:val="1"/>
          <w:bCs w:val="1"/>
          <w:color w:val="auto"/>
        </w:rPr>
        <w:t>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Without limiting the rights of a Holder to receive Warrant Shares on a “cashless exercise” and without limiting the liquidated damages provision in Section 2(d)(i) and the buy-in provision in Section 2(d)(iv), in no event will the Company be required to net cash settle a Warrant exercise.</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148" w:name="page149"/>
    <w:bookmarkEnd w:id="148"/>
    <w:p>
      <w:pPr>
        <w:jc w:val="both"/>
        <w:ind w:firstLine="645"/>
        <w:spacing w:after="0" w:line="273" w:lineRule="auto"/>
        <w:tabs>
          <w:tab w:leader="none" w:pos="857"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aggregate exercise price of this Warrant, except for a nominal exercise price of $0.01 per Warrant Share, was pre-funded to the Company on or prior to the Initial Exercise Date and, consequently, no additional consideration (other than the nominal exercise price of $0.01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$0.01, subject to adjustment hereunder (the “</w:t>
      </w:r>
      <w:r>
        <w:rPr>
          <w:rFonts w:ascii="Arial" w:cs="Arial" w:eastAsia="Arial" w:hAnsi="Arial"/>
          <w:sz w:val="17"/>
          <w:szCs w:val="17"/>
          <w:u w:val="single" w:color="auto"/>
          <w:color w:val="auto"/>
        </w:rPr>
        <w:t>Exercise Price</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645"/>
        <w:spacing w:after="0" w:line="259" w:lineRule="auto"/>
        <w:tabs>
          <w:tab w:leader="none" w:pos="846"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7" w:lineRule="exact"/>
        <w:rPr>
          <w:sz w:val="20"/>
          <w:szCs w:val="20"/>
          <w:color w:val="auto"/>
        </w:rPr>
      </w:pPr>
    </w:p>
    <w:p>
      <w:pPr>
        <w:ind w:left="1100" w:hanging="455"/>
        <w:spacing w:after="0" w:line="269" w:lineRule="auto"/>
        <w:tabs>
          <w:tab w:leader="none" w:pos="949"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2" w:lineRule="exact"/>
        <w:rPr>
          <w:rFonts w:ascii="Arial" w:cs="Arial" w:eastAsia="Arial" w:hAnsi="Arial"/>
          <w:sz w:val="17"/>
          <w:szCs w:val="17"/>
          <w:color w:val="auto"/>
        </w:rPr>
      </w:pPr>
    </w:p>
    <w:p>
      <w:pPr>
        <w:ind w:left="920" w:hanging="275"/>
        <w:spacing w:after="0"/>
        <w:tabs>
          <w:tab w:leader="none" w:pos="9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225" w:lineRule="exact"/>
        <w:rPr>
          <w:sz w:val="20"/>
          <w:szCs w:val="20"/>
          <w:color w:val="auto"/>
        </w:rPr>
      </w:pPr>
    </w:p>
    <w:p>
      <w:pPr>
        <w:ind w:left="1100" w:hanging="455"/>
        <w:spacing w:after="0" w:line="277" w:lineRule="auto"/>
        <w:tabs>
          <w:tab w:leader="none" w:pos="94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The Company agrees not to take any position contrary to this Section 2(c).</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149" w:name="page150"/>
    <w:bookmarkEnd w:id="149"/>
    <w:p>
      <w:pPr>
        <w:ind w:left="300" w:hanging="195"/>
        <w:spacing w:after="0"/>
        <w:tabs>
          <w:tab w:leader="none" w:pos="30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60" w:hanging="2"/>
        <w:spacing w:after="0" w:line="284" w:lineRule="auto"/>
        <w:tabs>
          <w:tab w:leader="none" w:pos="700"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two (2) Trading Days and (ii) the number of days comprising the Standard Settlement Period, in each case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the Holder rescinds such exercise. The Company agrees to maintain a transfer agent that is a participant in the FAST program so long as this Warrant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Underwriting Agreement, the Company agrees to deliver the Warrant Shares subject to such notice(s) by 4:00 p.m. (New York City time) on the Initial Exercise Date.</w:t>
      </w:r>
    </w:p>
    <w:p>
      <w:pPr>
        <w:spacing w:after="0" w:line="39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50" w:name="page151"/>
    <w:bookmarkEnd w:id="150"/>
    <w:p>
      <w:pPr>
        <w:jc w:val="both"/>
        <w:ind w:left="760" w:firstLine="641"/>
        <w:spacing w:after="0" w:line="259" w:lineRule="auto"/>
        <w:tabs>
          <w:tab w:leader="none" w:pos="1598"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Delivery of New Warrants Upon Exercise</w:t>
      </w:r>
      <w:r>
        <w:rPr>
          <w:rFonts w:ascii="Arial" w:cs="Arial" w:eastAsia="Arial" w:hAnsi="Arial"/>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6" w:lineRule="exact"/>
        <w:rPr>
          <w:rFonts w:ascii="Arial" w:cs="Arial" w:eastAsia="Arial" w:hAnsi="Arial"/>
          <w:sz w:val="18"/>
          <w:szCs w:val="18"/>
          <w:color w:val="auto"/>
        </w:rPr>
      </w:pPr>
    </w:p>
    <w:p>
      <w:pPr>
        <w:ind w:left="760" w:firstLine="641"/>
        <w:spacing w:after="0" w:line="308" w:lineRule="auto"/>
        <w:tabs>
          <w:tab w:leader="none" w:pos="1662" w:val="left"/>
        </w:tabs>
        <w:numPr>
          <w:ilvl w:val="1"/>
          <w:numId w:val="130"/>
        </w:numPr>
        <w:rPr>
          <w:rFonts w:ascii="Arial" w:cs="Arial" w:eastAsia="Arial" w:hAnsi="Arial"/>
          <w:sz w:val="17"/>
          <w:szCs w:val="17"/>
          <w:color w:val="auto"/>
        </w:rPr>
      </w:pPr>
      <w:r>
        <w:rPr>
          <w:rFonts w:ascii="Arial" w:cs="Arial" w:eastAsia="Arial" w:hAnsi="Arial"/>
          <w:sz w:val="17"/>
          <w:szCs w:val="17"/>
          <w:u w:val="single" w:color="auto"/>
          <w:color w:val="auto"/>
        </w:rPr>
        <w:t>Rescission Rights</w:t>
      </w:r>
      <w:r>
        <w:rPr>
          <w:rFonts w:ascii="Arial" w:cs="Arial" w:eastAsia="Arial" w:hAnsi="Arial"/>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146" w:lineRule="exact"/>
        <w:rPr>
          <w:rFonts w:ascii="Arial" w:cs="Arial" w:eastAsia="Arial" w:hAnsi="Arial"/>
          <w:sz w:val="17"/>
          <w:szCs w:val="17"/>
          <w:color w:val="auto"/>
        </w:rPr>
      </w:pPr>
    </w:p>
    <w:p>
      <w:pPr>
        <w:jc w:val="both"/>
        <w:ind w:left="760" w:firstLine="641"/>
        <w:spacing w:after="0" w:line="283" w:lineRule="auto"/>
        <w:tabs>
          <w:tab w:leader="none" w:pos="1626" w:val="left"/>
        </w:tabs>
        <w:numPr>
          <w:ilvl w:val="1"/>
          <w:numId w:val="130"/>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but did not receive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failed to deliver, to the Holder in connection with the exercise at issue times</w:t>
      </w:r>
    </w:p>
    <w:p>
      <w:pPr>
        <w:spacing w:after="0" w:line="6" w:lineRule="exact"/>
        <w:rPr>
          <w:rFonts w:ascii="Arial" w:cs="Arial" w:eastAsia="Arial" w:hAnsi="Arial"/>
          <w:sz w:val="16"/>
          <w:szCs w:val="16"/>
          <w:color w:val="auto"/>
        </w:rPr>
      </w:pPr>
    </w:p>
    <w:p>
      <w:pPr>
        <w:jc w:val="both"/>
        <w:ind w:left="760" w:hanging="7"/>
        <w:spacing w:after="0" w:line="286" w:lineRule="auto"/>
        <w:tabs>
          <w:tab w:leader="none" w:pos="101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6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51" w:name="page152"/>
    <w:bookmarkEnd w:id="151"/>
    <w:p>
      <w:pPr>
        <w:jc w:val="both"/>
        <w:ind w:left="760" w:firstLine="648"/>
        <w:spacing w:after="0" w:line="259" w:lineRule="auto"/>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7" w:lineRule="exact"/>
        <w:rPr>
          <w:sz w:val="20"/>
          <w:szCs w:val="20"/>
          <w:color w:val="auto"/>
        </w:rPr>
      </w:pPr>
    </w:p>
    <w:p>
      <w:pPr>
        <w:jc w:val="both"/>
        <w:ind w:left="760" w:firstLine="641"/>
        <w:spacing w:after="0" w:line="270" w:lineRule="auto"/>
        <w:tabs>
          <w:tab w:leader="none" w:pos="1638"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Charges, Taxes and Expenses</w:t>
      </w:r>
      <w:r>
        <w:rPr>
          <w:rFonts w:ascii="Arial" w:cs="Arial" w:eastAsia="Arial" w:hAnsi="Arial"/>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1" w:lineRule="exact"/>
        <w:rPr>
          <w:rFonts w:ascii="Arial" w:cs="Arial" w:eastAsia="Arial" w:hAnsi="Arial"/>
          <w:sz w:val="17"/>
          <w:szCs w:val="17"/>
          <w:color w:val="auto"/>
        </w:rPr>
      </w:pPr>
    </w:p>
    <w:p>
      <w:pPr>
        <w:ind w:left="760" w:firstLine="641"/>
        <w:spacing w:after="0" w:line="277" w:lineRule="auto"/>
        <w:tabs>
          <w:tab w:leader="none" w:pos="1702"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52" w:name="page153"/>
    <w:bookmarkEnd w:id="152"/>
    <w:p>
      <w:pPr>
        <w:jc w:val="both"/>
        <w:ind w:firstLine="645"/>
        <w:spacing w:after="0" w:line="282" w:lineRule="auto"/>
        <w:tabs>
          <w:tab w:leader="none" w:pos="846"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(including any determination as to group status pursuant to the next sentence).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Ownership Limitation</w:t>
      </w:r>
      <w:r>
        <w:rPr>
          <w:rFonts w:ascii="Arial" w:cs="Arial" w:eastAsia="Arial" w:hAnsi="Arial"/>
          <w:sz w:val="16"/>
          <w:szCs w:val="16"/>
          <w:color w:val="auto"/>
        </w:rPr>
        <w:t>” shall be [4.99%/9.99%]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w:t>
      </w:r>
    </w:p>
    <w:p>
      <w:pPr>
        <w:spacing w:after="0" w:line="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not be effective until the 61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8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87" w:lineRule="auto"/>
        <w:tabs>
          <w:tab w:leader="none" w:pos="833"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2" w:lineRule="exact"/>
        <w:rPr>
          <w:rFonts w:ascii="Arial" w:cs="Arial" w:eastAsia="Arial" w:hAnsi="Arial"/>
          <w:sz w:val="16"/>
          <w:szCs w:val="16"/>
          <w:color w:val="auto"/>
        </w:rPr>
      </w:pPr>
    </w:p>
    <w:p>
      <w:pPr>
        <w:jc w:val="both"/>
        <w:ind w:firstLine="645"/>
        <w:spacing w:after="0" w:line="287" w:lineRule="auto"/>
        <w:tabs>
          <w:tab w:leader="none" w:pos="843"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Subsequent Rights Offerings</w:t>
      </w:r>
      <w:r>
        <w:rPr>
          <w:rFonts w:ascii="Arial" w:cs="Arial" w:eastAsia="Arial" w:hAnsi="Arial"/>
          <w:sz w:val="16"/>
          <w:szCs w:val="16"/>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6"/>
          <w:szCs w:val="16"/>
          <w:u w:val="single" w:color="auto"/>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2" w:lineRule="exact"/>
        <w:rPr>
          <w:rFonts w:ascii="Arial" w:cs="Arial" w:eastAsia="Arial" w:hAnsi="Arial"/>
          <w:sz w:val="16"/>
          <w:szCs w:val="16"/>
          <w:color w:val="auto"/>
        </w:rPr>
      </w:pPr>
    </w:p>
    <w:p>
      <w:pPr>
        <w:jc w:val="both"/>
        <w:ind w:firstLine="645"/>
        <w:spacing w:after="0" w:line="268" w:lineRule="auto"/>
        <w:tabs>
          <w:tab w:leader="none" w:pos="846"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3" w:right="239" w:bottom="1440" w:gutter="0" w:footer="0" w:header="0"/>
        </w:sectPr>
      </w:pPr>
    </w:p>
    <w:bookmarkStart w:id="154" w:name="page155"/>
    <w:bookmarkEnd w:id="154"/>
    <w:p>
      <w:pPr>
        <w:jc w:val="both"/>
        <w:ind w:left="-540" w:firstLine="645"/>
        <w:spacing w:after="0" w:line="283" w:lineRule="auto"/>
        <w:tabs>
          <w:tab w:leader="none" w:pos="303"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in which the Company is not the surviving entity or the stockholders of the Company immediately prior to such merger or consolidation do not own, directly or indirectly, at least 50% of the voting power of the surviving entity immediately after such merger or consolidation,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outstanding shares of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voting power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3" w:right="239" w:bottom="1440" w:gutter="0" w:footer="0" w:header="0"/>
        </w:sectPr>
      </w:pPr>
    </w:p>
    <w:bookmarkStart w:id="155" w:name="page156"/>
    <w:bookmarkEnd w:id="155"/>
    <w:p>
      <w:pPr>
        <w:jc w:val="both"/>
        <w:ind w:left="-540" w:firstLine="645"/>
        <w:spacing w:after="0" w:line="264" w:lineRule="auto"/>
        <w:tabs>
          <w:tab w:leader="none" w:pos="293"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81" w:lineRule="exact"/>
        <w:rPr>
          <w:rFonts w:ascii="Arial" w:cs="Arial" w:eastAsia="Arial" w:hAnsi="Arial"/>
          <w:sz w:val="18"/>
          <w:szCs w:val="18"/>
          <w:color w:val="auto"/>
        </w:rPr>
      </w:pPr>
    </w:p>
    <w:p>
      <w:pPr>
        <w:ind w:left="260" w:hanging="155"/>
        <w:spacing w:after="0"/>
        <w:tabs>
          <w:tab w:leader="none" w:pos="2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firstLine="641"/>
        <w:spacing w:after="0" w:line="259" w:lineRule="auto"/>
        <w:tabs>
          <w:tab w:leader="none" w:pos="1548"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pursuant to Section 5(h) a notice setting forth the Exercise Price after such adjustment and any resulting adjustment to the number of Warrant Shares and setting forth a brief statement of the facts requiring such adjustment.</w:t>
      </w:r>
    </w:p>
    <w:p>
      <w:pPr>
        <w:spacing w:after="0" w:line="186" w:lineRule="exact"/>
        <w:rPr>
          <w:rFonts w:ascii="Arial" w:cs="Arial" w:eastAsia="Arial" w:hAnsi="Arial"/>
          <w:sz w:val="18"/>
          <w:szCs w:val="18"/>
          <w:color w:val="auto"/>
        </w:rPr>
      </w:pPr>
    </w:p>
    <w:p>
      <w:pPr>
        <w:jc w:val="both"/>
        <w:ind w:left="760" w:firstLine="641"/>
        <w:spacing w:after="0" w:line="285" w:lineRule="auto"/>
        <w:tabs>
          <w:tab w:leader="none" w:pos="1598"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pursuant to Section 5(h)to the Holder at its last facsimile number, email address or other contact information as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88" w:lineRule="auto"/>
        <w:tabs>
          <w:tab w:leader="none" w:pos="833"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69" w:lineRule="exact"/>
        <w:rPr>
          <w:rFonts w:ascii="Arial" w:cs="Arial" w:eastAsia="Arial" w:hAnsi="Arial"/>
          <w:sz w:val="16"/>
          <w:szCs w:val="16"/>
          <w:color w:val="auto"/>
        </w:rPr>
      </w:pPr>
    </w:p>
    <w:p>
      <w:pPr>
        <w:jc w:val="both"/>
        <w:ind w:firstLine="645"/>
        <w:spacing w:after="0" w:line="255" w:lineRule="auto"/>
        <w:tabs>
          <w:tab w:leader="none" w:pos="857"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New Warrants</w:t>
      </w:r>
      <w:r>
        <w:rPr>
          <w:rFonts w:ascii="Arial" w:cs="Arial" w:eastAsia="Arial" w:hAnsi="Arial"/>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93" w:lineRule="exact"/>
        <w:rPr>
          <w:rFonts w:ascii="Arial" w:cs="Arial" w:eastAsia="Arial" w:hAnsi="Arial"/>
          <w:sz w:val="18"/>
          <w:szCs w:val="18"/>
          <w:color w:val="auto"/>
        </w:rPr>
      </w:pPr>
    </w:p>
    <w:p>
      <w:pPr>
        <w:jc w:val="both"/>
        <w:ind w:firstLine="645"/>
        <w:spacing w:after="0" w:line="259" w:lineRule="auto"/>
        <w:tabs>
          <w:tab w:leader="none" w:pos="8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79" w:lineRule="auto"/>
        <w:tabs>
          <w:tab w:leader="none" w:pos="833"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No Rights as Stockholder Until Exercise; No Settlement in Cash</w:t>
      </w:r>
      <w:r>
        <w:rPr>
          <w:rFonts w:ascii="Arial" w:cs="Arial" w:eastAsia="Arial" w:hAnsi="Arial"/>
          <w:sz w:val="17"/>
          <w:szCs w:val="17"/>
          <w:color w:val="auto"/>
        </w:rPr>
        <w:t>. This Warrant does not entitle the Holder to any voting rights, dividends or other rights as a stockholder of the Company prior to the exercise hereof as set forth in Section 2(d)(i), except as expressly set forth in Section 3. Without limiting the rights of a Holder to receive Warrant Shares on a “cashless exercise,” and to receive the cash payments contemplated pursuant to Sections 2(d)(i) and 2(d)(iv), in no event will the Company be required to net cash settle a Warrant exercise.</w:t>
      </w:r>
    </w:p>
    <w:p>
      <w:pPr>
        <w:spacing w:after="0" w:line="171" w:lineRule="exact"/>
        <w:rPr>
          <w:rFonts w:ascii="Arial" w:cs="Arial" w:eastAsia="Arial" w:hAnsi="Arial"/>
          <w:sz w:val="17"/>
          <w:szCs w:val="17"/>
          <w:color w:val="auto"/>
        </w:rPr>
      </w:pPr>
    </w:p>
    <w:p>
      <w:pPr>
        <w:jc w:val="both"/>
        <w:ind w:firstLine="645"/>
        <w:spacing w:after="0" w:line="276" w:lineRule="auto"/>
        <w:tabs>
          <w:tab w:leader="none" w:pos="857"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Loss, Theft, Destruction or Mutilation of Warrant</w:t>
      </w:r>
      <w:r>
        <w:rPr>
          <w:rFonts w:ascii="Arial" w:cs="Arial" w:eastAsia="Arial" w:hAnsi="Arial"/>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157" w:name="page158"/>
    <w:bookmarkEnd w:id="157"/>
    <w:p>
      <w:pPr>
        <w:ind w:left="-540" w:right="20" w:firstLine="645"/>
        <w:spacing w:after="0" w:line="342" w:lineRule="auto"/>
        <w:tabs>
          <w:tab w:leader="none" w:pos="306"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3" w:lineRule="exact"/>
        <w:rPr>
          <w:rFonts w:ascii="Arial" w:cs="Arial" w:eastAsia="Arial" w:hAnsi="Arial"/>
          <w:sz w:val="16"/>
          <w:szCs w:val="16"/>
          <w:color w:val="auto"/>
        </w:rPr>
      </w:pPr>
    </w:p>
    <w:p>
      <w:pPr>
        <w:ind w:left="300" w:hanging="195"/>
        <w:spacing w:after="0"/>
        <w:tabs>
          <w:tab w:leader="none" w:pos="30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ind w:left="100" w:firstLine="1296"/>
        <w:spacing w:after="0" w:line="288" w:lineRule="auto"/>
        <w:rPr>
          <w:sz w:val="20"/>
          <w:szCs w:val="20"/>
          <w:color w:val="auto"/>
        </w:rPr>
      </w:pPr>
      <w:r>
        <w:rPr>
          <w:rFonts w:ascii="Arial" w:cs="Arial" w:eastAsia="Arial" w:hAnsi="Arial"/>
          <w:sz w:val="16"/>
          <w:szCs w:val="16"/>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9" w:lineRule="exact"/>
        <w:rPr>
          <w:sz w:val="20"/>
          <w:szCs w:val="20"/>
          <w:color w:val="auto"/>
        </w:rPr>
      </w:pPr>
    </w:p>
    <w:p>
      <w:pPr>
        <w:jc w:val="both"/>
        <w:ind w:left="100" w:firstLine="648"/>
        <w:spacing w:after="0" w:line="270" w:lineRule="auto"/>
        <w:rPr>
          <w:sz w:val="20"/>
          <w:szCs w:val="20"/>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58" w:name="page159"/>
    <w:bookmarkEnd w:id="158"/>
    <w:p>
      <w:pPr>
        <w:jc w:val="both"/>
        <w:ind w:left="100" w:firstLine="648"/>
        <w:spacing w:after="0" w:line="264"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1" w:lineRule="exact"/>
        <w:rPr>
          <w:sz w:val="20"/>
          <w:szCs w:val="20"/>
          <w:color w:val="auto"/>
        </w:rPr>
      </w:pPr>
    </w:p>
    <w:p>
      <w:pPr>
        <w:jc w:val="both"/>
        <w:ind w:left="-540" w:firstLine="645"/>
        <w:spacing w:after="0" w:line="268" w:lineRule="auto"/>
        <w:tabs>
          <w:tab w:leader="none" w:pos="293"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All questions concerning the construction, validity, enforcement and interpretation of this Warrant shall be governed by and construed and enforced in accordance with the internal laws of the State of New York,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w:t>
      </w:r>
      <w:r>
        <w:rPr>
          <w:rFonts w:ascii="Arial" w:cs="Arial" w:eastAsia="Arial" w:hAnsi="Arial"/>
          <w:sz w:val="17"/>
          <w:szCs w:val="17"/>
          <w:u w:val="single" w:color="auto"/>
          <w:color w:val="auto"/>
        </w:rPr>
        <w:t>New York Courts</w:t>
      </w:r>
      <w:r>
        <w:rPr>
          <w:rFonts w:ascii="Arial" w:cs="Arial" w:eastAsia="Arial" w:hAnsi="Arial"/>
          <w:sz w:val="17"/>
          <w:szCs w:val="17"/>
          <w:color w:val="auto"/>
        </w:rPr>
        <w:t>”). Each party hereto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87" w:lineRule="exact"/>
        <w:rPr>
          <w:rFonts w:ascii="Arial" w:cs="Arial" w:eastAsia="Arial" w:hAnsi="Arial"/>
          <w:sz w:val="17"/>
          <w:szCs w:val="17"/>
          <w:color w:val="auto"/>
        </w:rPr>
      </w:pPr>
    </w:p>
    <w:p>
      <w:pPr>
        <w:ind w:left="-540" w:firstLine="645"/>
        <w:spacing w:after="0" w:line="277" w:lineRule="auto"/>
        <w:tabs>
          <w:tab w:leader="none" w:pos="287"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70" w:lineRule="exact"/>
        <w:rPr>
          <w:rFonts w:ascii="Arial" w:cs="Arial" w:eastAsia="Arial" w:hAnsi="Arial"/>
          <w:sz w:val="18"/>
          <w:szCs w:val="18"/>
          <w:color w:val="auto"/>
        </w:rPr>
      </w:pPr>
    </w:p>
    <w:p>
      <w:pPr>
        <w:jc w:val="both"/>
        <w:ind w:left="-540" w:firstLine="645"/>
        <w:spacing w:after="0" w:line="255" w:lineRule="auto"/>
        <w:tabs>
          <w:tab w:leader="none" w:pos="303"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Nonwaiver and Expenses</w:t>
      </w:r>
      <w:r>
        <w:rPr>
          <w:rFonts w:ascii="Arial" w:cs="Arial" w:eastAsia="Arial" w:hAnsi="Arial"/>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3" w:right="239" w:bottom="1440" w:gutter="0" w:footer="0" w:header="0"/>
        </w:sectPr>
      </w:pPr>
    </w:p>
    <w:bookmarkStart w:id="159" w:name="page160"/>
    <w:bookmarkEnd w:id="159"/>
    <w:p>
      <w:pPr>
        <w:jc w:val="both"/>
        <w:ind w:firstLine="645"/>
        <w:spacing w:after="0" w:line="268" w:lineRule="auto"/>
        <w:tabs>
          <w:tab w:leader="none" w:pos="884"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or other communications or deliveries to be provided by the Holders hereunder including, without limitation, any Notice of Exercise, shall be in writing and delivered personally, by facsimile or e-mail, or sent by a nationally recognized overnight courier service, addressed to the Company, at the address set forth above Attention: Chief Executive Officer, facsimile number 781-556-5347, email address info@microbotmedical.com, or such other facsimile number, email address or address as the Company may specify for such purposes by notice to the Holders. Any and all notices or other communications or deliveries to be provided by the Company hereunder shall be in writing and delivered personally, by facsimile or email, or sent by a nationally recognized overnight courier service addressed to each Holder at the facsimile number, email address or address of such Holder appearing on the books of the Company. Any notice or other communication or deliveries hereunder shall be deemed given and effective on the earliest of (i) the time of transmission, if such notice or communication is delivered via facsimile or email at the facsimile number or email address set forth in this Section prior to 5:30 p.m. (New York City time) on any date, (ii) the next Trading Day after the time of transmission, if such notice or communication is delivered via facsimile or email at the facsimile number or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87" w:lineRule="exact"/>
        <w:rPr>
          <w:rFonts w:ascii="Arial" w:cs="Arial" w:eastAsia="Arial" w:hAnsi="Arial"/>
          <w:sz w:val="17"/>
          <w:szCs w:val="17"/>
          <w:color w:val="auto"/>
        </w:rPr>
      </w:pPr>
    </w:p>
    <w:p>
      <w:pPr>
        <w:jc w:val="both"/>
        <w:ind w:firstLine="645"/>
        <w:spacing w:after="0" w:line="312" w:lineRule="auto"/>
        <w:tabs>
          <w:tab w:leader="none" w:pos="803"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46" w:lineRule="exact"/>
        <w:rPr>
          <w:rFonts w:ascii="Arial" w:cs="Arial" w:eastAsia="Arial" w:hAnsi="Arial"/>
          <w:sz w:val="16"/>
          <w:szCs w:val="16"/>
          <w:color w:val="auto"/>
        </w:rPr>
      </w:pPr>
    </w:p>
    <w:p>
      <w:pPr>
        <w:jc w:val="both"/>
        <w:ind w:firstLine="645"/>
        <w:spacing w:after="0" w:line="259" w:lineRule="auto"/>
        <w:tabs>
          <w:tab w:leader="none" w:pos="803"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6" w:lineRule="exact"/>
        <w:rPr>
          <w:rFonts w:ascii="Arial" w:cs="Arial" w:eastAsia="Arial" w:hAnsi="Arial"/>
          <w:sz w:val="18"/>
          <w:szCs w:val="18"/>
          <w:color w:val="auto"/>
        </w:rPr>
      </w:pPr>
    </w:p>
    <w:p>
      <w:pPr>
        <w:jc w:val="both"/>
        <w:ind w:firstLine="645"/>
        <w:spacing w:after="0" w:line="259" w:lineRule="auto"/>
        <w:tabs>
          <w:tab w:leader="none" w:pos="843"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color w:val="auto"/>
        </w:rPr>
      </w:pPr>
    </w:p>
    <w:p>
      <w:pPr>
        <w:ind w:left="800" w:hanging="155"/>
        <w:spacing w:after="0"/>
        <w:tabs>
          <w:tab w:leader="none" w:pos="800"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Holder.</w:t>
      </w:r>
    </w:p>
    <w:p>
      <w:pPr>
        <w:spacing w:after="0" w:line="210" w:lineRule="exact"/>
        <w:rPr>
          <w:rFonts w:ascii="Arial" w:cs="Arial" w:eastAsia="Arial" w:hAnsi="Arial"/>
          <w:sz w:val="16"/>
          <w:szCs w:val="16"/>
          <w:color w:val="auto"/>
        </w:rPr>
      </w:pPr>
    </w:p>
    <w:p>
      <w:pPr>
        <w:jc w:val="both"/>
        <w:ind w:firstLine="645"/>
        <w:spacing w:after="0" w:line="312" w:lineRule="auto"/>
        <w:tabs>
          <w:tab w:leader="none" w:pos="907"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6" w:lineRule="exact"/>
        <w:rPr>
          <w:rFonts w:ascii="Arial" w:cs="Arial" w:eastAsia="Arial" w:hAnsi="Arial"/>
          <w:sz w:val="16"/>
          <w:szCs w:val="16"/>
          <w:color w:val="auto"/>
        </w:rPr>
      </w:pPr>
    </w:p>
    <w:p>
      <w:pPr>
        <w:jc w:val="both"/>
        <w:ind w:firstLine="645"/>
        <w:spacing w:after="0" w:line="286" w:lineRule="auto"/>
        <w:tabs>
          <w:tab w:leader="none" w:pos="843"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used in this Warrant are for the convenience of reference only and shall not, for any purpose, be deemed a part of this Warrant. A signed copy of this Warrant delivered by facsimile, e-mail or other means of electronic transmission (to which a .pdf copy is attached) shall be deemed to have the same legal effect as delivery of an original signed copy of this Agreement.</w:t>
      </w:r>
    </w:p>
    <w:p>
      <w:pPr>
        <w:spacing w:after="0" w:line="16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color w:val="auto"/>
        </w:rPr>
        <w:t>IN WITNESS WHEREOF, the Company has caused this Warrant to be executed by its officer thereunto duly authorized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indicated.</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MICROBOT MEDICAL INC.</w:t>
      </w:r>
    </w:p>
    <w:p>
      <w:pPr>
        <w:spacing w:after="0" w:line="225" w:lineRule="exact"/>
        <w:rPr>
          <w:sz w:val="20"/>
          <w:szCs w:val="20"/>
          <w:color w:val="auto"/>
        </w:rPr>
      </w:pPr>
    </w:p>
    <w:p>
      <w:pPr>
        <w:ind w:firstLine="1305"/>
        <w:spacing w:after="0" w:line="308" w:lineRule="auto"/>
        <w:tabs>
          <w:tab w:leader="none" w:pos="1568"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6" w:lineRule="exact"/>
        <w:rPr>
          <w:rFonts w:ascii="Arial" w:cs="Arial" w:eastAsia="Arial" w:hAnsi="Arial"/>
          <w:sz w:val="17"/>
          <w:szCs w:val="17"/>
          <w:color w:val="auto"/>
        </w:rPr>
      </w:pPr>
    </w:p>
    <w:p>
      <w:pPr>
        <w:ind w:left="1560" w:hanging="255"/>
        <w:spacing w:after="0"/>
        <w:tabs>
          <w:tab w:leader="none" w:pos="15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 in lawful money of the United States; or</w:t>
      </w:r>
    </w:p>
    <w:p>
      <w:pPr>
        <w:spacing w:after="0" w:line="225" w:lineRule="exact"/>
        <w:rPr>
          <w:sz w:val="20"/>
          <w:szCs w:val="20"/>
          <w:color w:val="auto"/>
        </w:rPr>
      </w:pPr>
    </w:p>
    <w:p>
      <w:pPr>
        <w:jc w:val="both"/>
        <w:ind w:left="1960"/>
        <w:spacing w:after="0" w:line="264" w:lineRule="auto"/>
        <w:rPr>
          <w:sz w:val="20"/>
          <w:szCs w:val="20"/>
          <w:color w:val="auto"/>
        </w:rPr>
      </w:pPr>
      <w:r>
        <w:rPr>
          <w:rFonts w:ascii="Arial" w:cs="Arial" w:eastAsia="Arial" w:hAnsi="Arial"/>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1" w:lineRule="exact"/>
        <w:rPr>
          <w:sz w:val="20"/>
          <w:szCs w:val="20"/>
          <w:color w:val="auto"/>
        </w:rPr>
      </w:pPr>
    </w:p>
    <w:p>
      <w:pPr>
        <w:ind w:left="1560" w:hanging="255"/>
        <w:spacing w:after="0"/>
        <w:tabs>
          <w:tab w:leader="none" w:pos="15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62" w:name="page163"/>
    <w:bookmarkEnd w:id="162"/>
    <w:p>
      <w:pPr>
        <w:ind w:left="1048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200" w:right="2080"/>
        <w:spacing w:after="0" w:line="530" w:lineRule="auto"/>
        <w:rPr>
          <w:sz w:val="20"/>
          <w:szCs w:val="20"/>
          <w:color w:val="auto"/>
        </w:rPr>
      </w:pPr>
      <w:r>
        <w:rPr>
          <w:rFonts w:ascii="Arial" w:cs="Arial" w:eastAsia="Arial" w:hAnsi="Arial"/>
          <w:sz w:val="17"/>
          <w:szCs w:val="17"/>
          <w:i w:val="1"/>
          <w:iCs w:val="1"/>
          <w:color w:val="auto"/>
        </w:rPr>
        <w:t xml:space="preserve">(To assign the foregoing Warrant, execute this form and supply required information. Do not use this form to purchase shares.) </w:t>
      </w:r>
      <w:r>
        <w:rPr>
          <w:rFonts w:ascii="Arial" w:cs="Arial" w:eastAsia="Arial" w:hAnsi="Arial"/>
          <w:sz w:val="17"/>
          <w:szCs w:val="17"/>
          <w:color w:val="auto"/>
        </w:rPr>
        <w:t>FOR VALUE RECEIVED, the foregoing Warrant and all rights evidenced thereby are hereby assigned to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Name:</w:t>
            </w:r>
          </w:p>
        </w:tc>
        <w:tc>
          <w:tcPr>
            <w:tcW w:w="7020" w:type="dxa"/>
            <w:vAlign w:val="bottom"/>
          </w:tcPr>
          <w:p>
            <w:pPr>
              <w:ind w:left="1320"/>
              <w:spacing w:after="0"/>
              <w:rPr>
                <w:sz w:val="20"/>
                <w:szCs w:val="20"/>
                <w:color w:val="auto"/>
              </w:rPr>
            </w:pPr>
            <w:r>
              <w:rPr>
                <w:rFonts w:ascii="Arial" w:cs="Arial" w:eastAsia="Arial" w:hAnsi="Arial"/>
                <w:sz w:val="18"/>
                <w:szCs w:val="18"/>
                <w:color w:val="auto"/>
              </w:rPr>
              <w:t>______________________________________</w:t>
            </w:r>
          </w:p>
        </w:tc>
      </w:tr>
      <w:tr>
        <w:trPr>
          <w:trHeight w:val="230"/>
        </w:trPr>
        <w:tc>
          <w:tcPr>
            <w:tcW w:w="4400" w:type="dxa"/>
            <w:vAlign w:val="bottom"/>
          </w:tcPr>
          <w:p>
            <w:pPr>
              <w:spacing w:after="0"/>
              <w:rPr>
                <w:sz w:val="20"/>
                <w:szCs w:val="20"/>
                <w:color w:val="auto"/>
              </w:rPr>
            </w:pPr>
          </w:p>
        </w:tc>
        <w:tc>
          <w:tcPr>
            <w:tcW w:w="7020" w:type="dxa"/>
            <w:vAlign w:val="bottom"/>
          </w:tcPr>
          <w:p>
            <w:pPr>
              <w:ind w:left="1320"/>
              <w:spacing w:after="0"/>
              <w:rPr>
                <w:sz w:val="20"/>
                <w:szCs w:val="20"/>
                <w:color w:val="auto"/>
              </w:rPr>
            </w:pPr>
            <w:r>
              <w:rPr>
                <w:rFonts w:ascii="Arial" w:cs="Arial" w:eastAsia="Arial" w:hAnsi="Arial"/>
                <w:sz w:val="18"/>
                <w:szCs w:val="18"/>
                <w:color w:val="auto"/>
              </w:rPr>
              <w:t>(Please Print)</w:t>
            </w:r>
          </w:p>
        </w:tc>
      </w:tr>
      <w:tr>
        <w:trPr>
          <w:trHeight w:val="418"/>
        </w:trPr>
        <w:tc>
          <w:tcPr>
            <w:tcW w:w="4400" w:type="dxa"/>
            <w:vAlign w:val="bottom"/>
          </w:tcPr>
          <w:p>
            <w:pPr>
              <w:spacing w:after="0"/>
              <w:rPr>
                <w:sz w:val="20"/>
                <w:szCs w:val="20"/>
                <w:color w:val="auto"/>
              </w:rPr>
            </w:pPr>
            <w:r>
              <w:rPr>
                <w:rFonts w:ascii="Arial" w:cs="Arial" w:eastAsia="Arial" w:hAnsi="Arial"/>
                <w:sz w:val="18"/>
                <w:szCs w:val="18"/>
                <w:color w:val="auto"/>
              </w:rPr>
              <w:t>Address:</w:t>
            </w:r>
          </w:p>
        </w:tc>
        <w:tc>
          <w:tcPr>
            <w:tcW w:w="7020" w:type="dxa"/>
            <w:vAlign w:val="bottom"/>
          </w:tcPr>
          <w:p>
            <w:pPr>
              <w:ind w:left="1320"/>
              <w:spacing w:after="0"/>
              <w:rPr>
                <w:sz w:val="20"/>
                <w:szCs w:val="20"/>
                <w:color w:val="auto"/>
              </w:rPr>
            </w:pPr>
            <w:r>
              <w:rPr>
                <w:rFonts w:ascii="Arial" w:cs="Arial" w:eastAsia="Arial" w:hAnsi="Arial"/>
                <w:sz w:val="18"/>
                <w:szCs w:val="18"/>
                <w:color w:val="auto"/>
              </w:rPr>
              <w:t>______________________________________</w:t>
            </w:r>
          </w:p>
        </w:tc>
      </w:tr>
      <w:tr>
        <w:trPr>
          <w:trHeight w:val="230"/>
        </w:trPr>
        <w:tc>
          <w:tcPr>
            <w:tcW w:w="4400" w:type="dxa"/>
            <w:vAlign w:val="bottom"/>
          </w:tcPr>
          <w:p>
            <w:pPr>
              <w:spacing w:after="0"/>
              <w:rPr>
                <w:sz w:val="20"/>
                <w:szCs w:val="20"/>
                <w:color w:val="auto"/>
              </w:rPr>
            </w:pPr>
          </w:p>
        </w:tc>
        <w:tc>
          <w:tcPr>
            <w:tcW w:w="7020" w:type="dxa"/>
            <w:vAlign w:val="bottom"/>
          </w:tcPr>
          <w:p>
            <w:pPr>
              <w:ind w:left="1320"/>
              <w:spacing w:after="0"/>
              <w:rPr>
                <w:sz w:val="20"/>
                <w:szCs w:val="20"/>
                <w:color w:val="auto"/>
              </w:rPr>
            </w:pPr>
            <w:r>
              <w:rPr>
                <w:rFonts w:ascii="Arial" w:cs="Arial" w:eastAsia="Arial" w:hAnsi="Arial"/>
                <w:sz w:val="18"/>
                <w:szCs w:val="18"/>
                <w:color w:val="auto"/>
              </w:rPr>
              <w:t>(Please Print)</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Phone Number:</w:t>
            </w:r>
          </w:p>
        </w:tc>
        <w:tc>
          <w:tcPr>
            <w:tcW w:w="7020" w:type="dxa"/>
            <w:vAlign w:val="bottom"/>
          </w:tcPr>
          <w:p>
            <w:pPr>
              <w:ind w:left="1320"/>
              <w:spacing w:after="0"/>
              <w:rPr>
                <w:sz w:val="20"/>
                <w:szCs w:val="20"/>
                <w:color w:val="auto"/>
              </w:rPr>
            </w:pPr>
            <w:r>
              <w:rPr>
                <w:rFonts w:ascii="Arial" w:cs="Arial" w:eastAsia="Arial" w:hAnsi="Arial"/>
                <w:sz w:val="18"/>
                <w:szCs w:val="18"/>
                <w:color w:val="auto"/>
              </w:rPr>
              <w:t>______________________________________</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Email Address:</w:t>
            </w:r>
          </w:p>
        </w:tc>
        <w:tc>
          <w:tcPr>
            <w:tcW w:w="7020" w:type="dxa"/>
            <w:vAlign w:val="bottom"/>
          </w:tcPr>
          <w:p>
            <w:pPr>
              <w:ind w:left="1320"/>
              <w:spacing w:after="0"/>
              <w:rPr>
                <w:sz w:val="20"/>
                <w:szCs w:val="20"/>
                <w:color w:val="auto"/>
              </w:rPr>
            </w:pPr>
            <w:r>
              <w:rPr>
                <w:rFonts w:ascii="Arial" w:cs="Arial" w:eastAsia="Arial" w:hAnsi="Arial"/>
                <w:sz w:val="18"/>
                <w:szCs w:val="18"/>
                <w:color w:val="auto"/>
              </w:rPr>
              <w:t>______________________________________</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Dated: _______________ __, ______</w:t>
            </w:r>
          </w:p>
        </w:tc>
        <w:tc>
          <w:tcPr>
            <w:tcW w:w="7020" w:type="dxa"/>
            <w:vAlign w:val="bottom"/>
          </w:tcPr>
          <w:p>
            <w:pPr>
              <w:spacing w:after="0"/>
              <w:rPr>
                <w:sz w:val="24"/>
                <w:szCs w:val="24"/>
                <w:color w:val="auto"/>
              </w:rPr>
            </w:pP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Holder’s Signature: __________________</w:t>
            </w:r>
          </w:p>
        </w:tc>
        <w:tc>
          <w:tcPr>
            <w:tcW w:w="7020" w:type="dxa"/>
            <w:vAlign w:val="bottom"/>
          </w:tcPr>
          <w:p>
            <w:pPr>
              <w:spacing w:after="0"/>
              <w:rPr>
                <w:sz w:val="24"/>
                <w:szCs w:val="24"/>
                <w:color w:val="auto"/>
              </w:rPr>
            </w:pP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Holder’s Address: ___________________</w:t>
            </w:r>
          </w:p>
        </w:tc>
        <w:tc>
          <w:tcPr>
            <w:tcW w:w="7020" w:type="dxa"/>
            <w:vAlign w:val="bottom"/>
          </w:tcPr>
          <w:p>
            <w:pPr>
              <w:spacing w:after="0"/>
              <w:rPr>
                <w:sz w:val="24"/>
                <w:szCs w:val="24"/>
                <w:color w:val="auto"/>
              </w:rPr>
            </w:pPr>
          </w:p>
        </w:tc>
      </w:tr>
      <w:tr>
        <w:trPr>
          <w:trHeight w:val="439"/>
        </w:trPr>
        <w:tc>
          <w:tcPr>
            <w:tcW w:w="440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9" w:right="239" w:bottom="1440" w:gutter="0" w:footer="0" w:header="0"/>
        </w:sectPr>
      </w:pPr>
    </w:p>
    <w:bookmarkStart w:id="163" w:name="page164"/>
    <w:bookmarkEnd w:id="16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4" w:name="page165"/>
    <w:bookmarkEnd w:id="164"/>
    <w:p>
      <w:pPr>
        <w:ind w:left="10580"/>
        <w:spacing w:after="0"/>
        <w:rPr>
          <w:sz w:val="20"/>
          <w:szCs w:val="20"/>
          <w:color w:val="auto"/>
        </w:rPr>
      </w:pPr>
      <w:r>
        <w:rPr>
          <w:rFonts w:ascii="Arial" w:cs="Arial" w:eastAsia="Arial" w:hAnsi="Arial"/>
          <w:sz w:val="16"/>
          <w:szCs w:val="16"/>
          <w:b w:val="1"/>
          <w:bCs w:val="1"/>
          <w:color w:val="auto"/>
        </w:rPr>
        <w:t>Exhibit 4.4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UNDERWRITER COMMON STOCK PURCHASE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INC.</w:t>
      </w:r>
    </w:p>
    <w:p>
      <w:pPr>
        <w:sectPr>
          <w:pgSz w:w="11900" w:h="16838" w:orient="portrait"/>
          <w:cols w:equalWidth="0" w:num="1">
            <w:col w:w="11420"/>
          </w:cols>
          <w:pgMar w:left="240" w:top="337"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Issue Date: ______, 2019</w:t>
      </w:r>
    </w:p>
    <w:p>
      <w:pPr>
        <w:spacing w:after="0" w:line="200" w:lineRule="exact"/>
        <w:rPr>
          <w:sz w:val="20"/>
          <w:szCs w:val="20"/>
          <w:color w:val="auto"/>
        </w:rPr>
      </w:pPr>
    </w:p>
    <w:p>
      <w:pPr>
        <w:sectPr>
          <w:pgSz w:w="11900" w:h="16838" w:orient="portrait"/>
          <w:cols w:equalWidth="0" w:num="2">
            <w:col w:w="6140" w:space="720"/>
            <w:col w:w="4560"/>
          </w:cols>
          <w:pgMar w:left="240" w:top="337" w:right="239" w:bottom="1440" w:gutter="0" w:footer="0" w:header="0"/>
          <w:type w:val="continuous"/>
        </w:sectPr>
      </w:pPr>
    </w:p>
    <w:p>
      <w:pPr>
        <w:spacing w:after="0" w:line="4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Initial Exercise Date: _______, 2019</w:t>
      </w:r>
    </w:p>
    <w:p>
      <w:pPr>
        <w:sectPr>
          <w:pgSz w:w="11900" w:h="16838" w:orient="portrait"/>
          <w:cols w:equalWidth="0" w:num="1">
            <w:col w:w="11420"/>
          </w:cols>
          <w:pgMar w:left="240" w:top="337" w:right="239" w:bottom="1440" w:gutter="0" w:footer="0" w:header="0"/>
          <w:type w:val="continuous"/>
        </w:sectPr>
      </w:pP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UNDERWRITER COMMON STOCK PURCHASE WARRANT (the “</w:t>
      </w:r>
      <w:r>
        <w:rPr>
          <w:rFonts w:ascii="Arial" w:cs="Arial" w:eastAsia="Arial" w:hAnsi="Arial"/>
          <w:sz w:val="17"/>
          <w:szCs w:val="17"/>
          <w:u w:val="single" w:color="auto"/>
          <w:color w:val="auto"/>
        </w:rPr>
        <w:t>Warrant</w:t>
      </w:r>
      <w:r>
        <w:rPr>
          <w:rFonts w:ascii="Arial" w:cs="Arial" w:eastAsia="Arial" w:hAnsi="Arial"/>
          <w:sz w:val="17"/>
          <w:szCs w:val="17"/>
          <w:color w:val="auto"/>
        </w:rPr>
        <w:t>”) certifies that, for value received, 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or its 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 any time on or</w:t>
      </w:r>
    </w:p>
    <w:p>
      <w:pPr>
        <w:spacing w:after="0" w:line="233" w:lineRule="auto"/>
        <w:rPr>
          <w:sz w:val="20"/>
          <w:szCs w:val="20"/>
          <w:color w:val="auto"/>
        </w:rPr>
      </w:pPr>
      <w:r>
        <w:rPr>
          <w:rFonts w:ascii="Arial" w:cs="Arial" w:eastAsia="Arial" w:hAnsi="Arial"/>
          <w:sz w:val="16"/>
          <w:szCs w:val="16"/>
          <w:color w:val="auto"/>
        </w:rPr>
        <w:t>after the six-month anniversary of the date hereof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on or prior to 5:00 p.m. (New York City time) on ______________</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(the</w:t>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Date</w:t>
      </w:r>
      <w:r>
        <w:rPr>
          <w:rFonts w:ascii="Arial" w:cs="Arial" w:eastAsia="Arial" w:hAnsi="Arial"/>
          <w:sz w:val="17"/>
          <w:szCs w:val="17"/>
          <w:color w:val="auto"/>
        </w:rPr>
        <w:t>”) but not thereafter, to subscribe for and purchase from Microbot Medical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up to ______</w:t>
      </w:r>
    </w:p>
    <w:p>
      <w:pPr>
        <w:spacing w:after="0" w:line="1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shares (as subject to adjustment hereunder, the “</w:t>
      </w:r>
      <w:r>
        <w:rPr>
          <w:rFonts w:ascii="Arial" w:cs="Arial" w:eastAsia="Arial" w:hAnsi="Arial"/>
          <w:sz w:val="18"/>
          <w:szCs w:val="18"/>
          <w:u w:val="single" w:color="auto"/>
          <w:color w:val="auto"/>
        </w:rPr>
        <w:t>Warrant Shares</w:t>
      </w:r>
      <w:r>
        <w:rPr>
          <w:rFonts w:ascii="Arial" w:cs="Arial" w:eastAsia="Arial" w:hAnsi="Arial"/>
          <w:sz w:val="18"/>
          <w:szCs w:val="18"/>
          <w:color w:val="auto"/>
        </w:rPr>
        <w:t>”) of Common Stock. The purchase price of one share of Common Stock under this Warrant shall be equal to the Exercise Price, as defined in Section 2(b).</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Definitions</w:t>
      </w:r>
      <w:r>
        <w:rPr>
          <w:rFonts w:ascii="Arial" w:cs="Arial" w:eastAsia="Arial" w:hAnsi="Arial"/>
          <w:sz w:val="16"/>
          <w:szCs w:val="16"/>
          <w:color w:val="auto"/>
        </w:rPr>
        <w:t>. In addition to the terms defined elsewhere in this Warrant, the following terms have the meanings indicated in this Section 1:</w:t>
      </w:r>
    </w:p>
    <w:p>
      <w:pPr>
        <w:spacing w:after="0" w:line="248"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Bid Price</w:t>
      </w:r>
      <w:r>
        <w:rPr>
          <w:rFonts w:ascii="Arial" w:cs="Arial" w:eastAsia="Arial" w:hAnsi="Arial"/>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80975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56" w:lineRule="exact"/>
        <w:rPr>
          <w:sz w:val="20"/>
          <w:szCs w:val="20"/>
          <w:color w:val="auto"/>
        </w:rPr>
      </w:pPr>
    </w:p>
    <w:p>
      <w:pPr>
        <w:ind w:firstLine="8"/>
        <w:spacing w:after="0" w:line="207" w:lineRule="auto"/>
        <w:tabs>
          <w:tab w:leader="none" w:pos="113" w:val="left"/>
        </w:tabs>
        <w:numPr>
          <w:ilvl w:val="0"/>
          <w:numId w:val="144"/>
        </w:numPr>
        <w:rPr>
          <w:rFonts w:ascii="Arial" w:cs="Arial" w:eastAsia="Arial" w:hAnsi="Arial"/>
          <w:sz w:val="28"/>
          <w:szCs w:val="28"/>
          <w:color w:val="auto"/>
          <w:vertAlign w:val="superscript"/>
        </w:rPr>
      </w:pPr>
      <w:r>
        <w:rPr>
          <w:rFonts w:ascii="Arial" w:cs="Arial" w:eastAsia="Arial" w:hAnsi="Arial"/>
          <w:sz w:val="17"/>
          <w:szCs w:val="17"/>
          <w:color w:val="auto"/>
        </w:rPr>
        <w:t>The date that is the three (3) year anniversary of the Initial Exercise Date, provided that, if such date is not a Trading Day, insert the immediately following Trading Day .</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165" w:name="page166"/>
    <w:bookmarkEnd w:id="165"/>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Company’s registration statement on Form S-1 (File No. 333-228285).</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Computershare Trust Company, with offices located at Meidinger Tower, 462 South 4th Street, Louisville, KY 40202, and any successor transfer agent of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means that certain underwriting agreement entered into by and between H.C. Wainwright &amp; Co., LLC and the Company, dated as of [___], 2019.</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3" w:right="239" w:bottom="1440" w:gutter="0" w:footer="0" w:header="0"/>
        </w:sectPr>
      </w:pPr>
    </w:p>
    <w:bookmarkStart w:id="166" w:name="page167"/>
    <w:bookmarkEnd w:id="166"/>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this Warrant and other Common Stock purchase warrants issued by the Company to the Underwriter pursuant to the Underwriting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85" w:lineRule="auto"/>
        <w:tabs>
          <w:tab w:leader="none" w:pos="833"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via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Arial" w:cs="Arial" w:eastAsia="Arial" w:hAnsi="Arial"/>
          <w:sz w:val="16"/>
          <w:szCs w:val="16"/>
          <w:b w:val="1"/>
          <w:bCs w:val="1"/>
          <w:color w:val="auto"/>
        </w:rPr>
        <w:t>The Holder and any assignee, by acceptance of this Warrant, acknowledge and agree that, by reason of the</w:t>
      </w:r>
      <w:r>
        <w:rPr>
          <w:rFonts w:ascii="Arial" w:cs="Arial" w:eastAsia="Arial" w:hAnsi="Arial"/>
          <w:sz w:val="16"/>
          <w:szCs w:val="16"/>
          <w:color w:val="auto"/>
        </w:rPr>
        <w:t xml:space="preserve"> </w:t>
      </w:r>
      <w:r>
        <w:rPr>
          <w:rFonts w:ascii="Arial" w:cs="Arial" w:eastAsia="Arial" w:hAnsi="Arial"/>
          <w:sz w:val="16"/>
          <w:szCs w:val="16"/>
          <w:b w:val="1"/>
          <w:bCs w:val="1"/>
          <w:color w:val="auto"/>
        </w:rPr>
        <w:t>provisions of this paragraph, following the purchase of a portion of the Warrant Shares hereunder, the number of Warrant Shares available for purchase hereunder at any given time may be less than the amount stated on the face hereof.</w:t>
      </w:r>
    </w:p>
    <w:p>
      <w:pPr>
        <w:spacing w:after="0" w:line="17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167" w:name="page168"/>
    <w:bookmarkEnd w:id="167"/>
    <w:p>
      <w:pPr>
        <w:jc w:val="both"/>
        <w:ind w:firstLine="648"/>
        <w:spacing w:after="0" w:line="264" w:lineRule="auto"/>
        <w:rPr>
          <w:sz w:val="20"/>
          <w:szCs w:val="20"/>
          <w:color w:val="auto"/>
        </w:rPr>
      </w:pPr>
      <w:r>
        <w:rPr>
          <w:rFonts w:ascii="Arial" w:cs="Arial" w:eastAsia="Arial" w:hAnsi="Arial"/>
          <w:sz w:val="18"/>
          <w:szCs w:val="18"/>
          <w:color w:val="auto"/>
        </w:rPr>
        <w:t>Without limiting the rights of a Holder to receive Warrant Shares on a “cashless exercise” and without limiting the liquidated damages provision in Section 2(d)(i) and the buy-in provision in Section 2(d)(iv), in no event will the Company be required to net cash settle a Warrant exercise.</w:t>
      </w:r>
    </w:p>
    <w:p>
      <w:pPr>
        <w:spacing w:after="0" w:line="177" w:lineRule="exact"/>
        <w:rPr>
          <w:sz w:val="20"/>
          <w:szCs w:val="20"/>
          <w:color w:val="auto"/>
        </w:rPr>
      </w:pPr>
    </w:p>
    <w:p>
      <w:pPr>
        <w:ind w:right="20" w:firstLine="645"/>
        <w:spacing w:after="0" w:line="282" w:lineRule="auto"/>
        <w:tabs>
          <w:tab w:leader="none" w:pos="843"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share of Common Stock under this Warrant shall be </w:t>
      </w:r>
      <w:r>
        <w:rPr>
          <w:rFonts w:ascii="Arial" w:cs="Arial" w:eastAsia="Arial" w:hAnsi="Arial"/>
          <w:sz w:val="18"/>
          <w:szCs w:val="18"/>
          <w:b w:val="1"/>
          <w:bCs w:val="1"/>
          <w:color w:val="auto"/>
        </w:rPr>
        <w:t>$[</w:t>
      </w:r>
      <w:r>
        <w:rPr>
          <w:rFonts w:ascii="Arial" w:cs="Arial" w:eastAsia="Arial" w:hAnsi="Arial"/>
          <w:sz w:val="18"/>
          <w:szCs w:val="18"/>
          <w:color w:val="auto"/>
        </w:rPr>
        <w:t>_____,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firstLine="645"/>
        <w:spacing w:after="0" w:line="259" w:lineRule="auto"/>
        <w:tabs>
          <w:tab w:leader="none" w:pos="846"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7" w:lineRule="exact"/>
        <w:rPr>
          <w:sz w:val="20"/>
          <w:szCs w:val="20"/>
          <w:color w:val="auto"/>
        </w:rPr>
      </w:pPr>
    </w:p>
    <w:p>
      <w:pPr>
        <w:ind w:left="1100" w:hanging="455"/>
        <w:spacing w:after="0" w:line="269" w:lineRule="auto"/>
        <w:tabs>
          <w:tab w:leader="none" w:pos="949"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2" w:lineRule="exact"/>
        <w:rPr>
          <w:rFonts w:ascii="Arial" w:cs="Arial" w:eastAsia="Arial" w:hAnsi="Arial"/>
          <w:sz w:val="17"/>
          <w:szCs w:val="17"/>
          <w:color w:val="auto"/>
        </w:rPr>
      </w:pPr>
    </w:p>
    <w:p>
      <w:pPr>
        <w:ind w:left="920" w:hanging="275"/>
        <w:spacing w:after="0"/>
        <w:tabs>
          <w:tab w:leader="none" w:pos="9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225" w:lineRule="exact"/>
        <w:rPr>
          <w:sz w:val="20"/>
          <w:szCs w:val="20"/>
          <w:color w:val="auto"/>
        </w:rPr>
      </w:pPr>
    </w:p>
    <w:p>
      <w:pPr>
        <w:ind w:left="1100" w:hanging="455"/>
        <w:spacing w:after="0" w:line="277" w:lineRule="auto"/>
        <w:tabs>
          <w:tab w:leader="none" w:pos="94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3" w:right="239" w:bottom="1440" w:gutter="0" w:footer="0" w:header="0"/>
        </w:sectPr>
      </w:pPr>
    </w:p>
    <w:bookmarkStart w:id="168" w:name="page169"/>
    <w:bookmarkEnd w:id="168"/>
    <w:p>
      <w:pPr>
        <w:ind w:left="300" w:hanging="195"/>
        <w:spacing w:after="0"/>
        <w:tabs>
          <w:tab w:leader="none" w:pos="30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firstLine="641"/>
        <w:spacing w:after="0" w:line="284" w:lineRule="auto"/>
        <w:tabs>
          <w:tab w:leader="none" w:pos="1562" w:val="left"/>
        </w:tabs>
        <w:numPr>
          <w:ilvl w:val="1"/>
          <w:numId w:val="149"/>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two (2) Trading Days and (ii) the number of days comprising the Standard Settlement Period, in each case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the Holder rescinds such exercise. The Company agrees to maintain a transfer agent that is a participant in the FAST program so long as this Warrant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w:t>
      </w:r>
    </w:p>
    <w:p>
      <w:pPr>
        <w:spacing w:after="0" w:line="181" w:lineRule="exact"/>
        <w:rPr>
          <w:rFonts w:ascii="Arial" w:cs="Arial" w:eastAsia="Arial" w:hAnsi="Arial"/>
          <w:sz w:val="16"/>
          <w:szCs w:val="16"/>
          <w:color w:val="auto"/>
        </w:rPr>
      </w:pPr>
    </w:p>
    <w:p>
      <w:pPr>
        <w:jc w:val="both"/>
        <w:ind w:left="760" w:firstLine="641"/>
        <w:spacing w:after="0" w:line="259" w:lineRule="auto"/>
        <w:tabs>
          <w:tab w:leader="none" w:pos="1598"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Delivery of New Warrants Upon Exercise</w:t>
      </w:r>
      <w:r>
        <w:rPr>
          <w:rFonts w:ascii="Arial" w:cs="Arial" w:eastAsia="Arial" w:hAnsi="Arial"/>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3" w:right="239" w:bottom="1440" w:gutter="0" w:footer="0" w:header="0"/>
        </w:sectPr>
      </w:pPr>
    </w:p>
    <w:bookmarkStart w:id="169" w:name="page170"/>
    <w:bookmarkEnd w:id="169"/>
    <w:p>
      <w:pPr>
        <w:ind w:left="760" w:firstLine="641"/>
        <w:spacing w:after="0" w:line="308" w:lineRule="auto"/>
        <w:tabs>
          <w:tab w:leader="none" w:pos="1662" w:val="left"/>
        </w:tabs>
        <w:numPr>
          <w:ilvl w:val="1"/>
          <w:numId w:val="150"/>
        </w:numPr>
        <w:rPr>
          <w:rFonts w:ascii="Arial" w:cs="Arial" w:eastAsia="Arial" w:hAnsi="Arial"/>
          <w:sz w:val="17"/>
          <w:szCs w:val="17"/>
          <w:color w:val="auto"/>
        </w:rPr>
      </w:pPr>
      <w:r>
        <w:rPr>
          <w:rFonts w:ascii="Arial" w:cs="Arial" w:eastAsia="Arial" w:hAnsi="Arial"/>
          <w:sz w:val="17"/>
          <w:szCs w:val="17"/>
          <w:u w:val="single" w:color="auto"/>
          <w:color w:val="auto"/>
        </w:rPr>
        <w:t>Rescission Rights</w:t>
      </w:r>
      <w:r>
        <w:rPr>
          <w:rFonts w:ascii="Arial" w:cs="Arial" w:eastAsia="Arial" w:hAnsi="Arial"/>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146" w:lineRule="exact"/>
        <w:rPr>
          <w:rFonts w:ascii="Arial" w:cs="Arial" w:eastAsia="Arial" w:hAnsi="Arial"/>
          <w:sz w:val="17"/>
          <w:szCs w:val="17"/>
          <w:color w:val="auto"/>
        </w:rPr>
      </w:pPr>
    </w:p>
    <w:p>
      <w:pPr>
        <w:jc w:val="both"/>
        <w:ind w:left="760" w:firstLine="641"/>
        <w:spacing w:after="0" w:line="283" w:lineRule="auto"/>
        <w:tabs>
          <w:tab w:leader="none" w:pos="1626" w:val="left"/>
        </w:tabs>
        <w:numPr>
          <w:ilvl w:val="1"/>
          <w:numId w:val="150"/>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but did not receive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failed to deliver, to the Holder in connection with the exercise at issue times</w:t>
      </w:r>
    </w:p>
    <w:p>
      <w:pPr>
        <w:spacing w:after="0" w:line="6" w:lineRule="exact"/>
        <w:rPr>
          <w:rFonts w:ascii="Arial" w:cs="Arial" w:eastAsia="Arial" w:hAnsi="Arial"/>
          <w:sz w:val="16"/>
          <w:szCs w:val="16"/>
          <w:color w:val="auto"/>
        </w:rPr>
      </w:pPr>
    </w:p>
    <w:p>
      <w:pPr>
        <w:jc w:val="both"/>
        <w:ind w:left="760" w:hanging="7"/>
        <w:spacing w:after="0" w:line="286" w:lineRule="auto"/>
        <w:tabs>
          <w:tab w:leader="none" w:pos="1016"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66" w:lineRule="exact"/>
        <w:rPr>
          <w:rFonts w:ascii="Arial" w:cs="Arial" w:eastAsia="Arial" w:hAnsi="Arial"/>
          <w:sz w:val="16"/>
          <w:szCs w:val="16"/>
          <w:color w:val="auto"/>
        </w:rPr>
      </w:pPr>
    </w:p>
    <w:p>
      <w:pPr>
        <w:jc w:val="both"/>
        <w:ind w:left="760" w:firstLine="641"/>
        <w:spacing w:after="0" w:line="259" w:lineRule="auto"/>
        <w:tabs>
          <w:tab w:leader="none" w:pos="1590"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70" w:name="page171"/>
    <w:bookmarkEnd w:id="170"/>
    <w:p>
      <w:pPr>
        <w:jc w:val="both"/>
        <w:ind w:left="1300" w:firstLine="641"/>
        <w:spacing w:after="0" w:line="270" w:lineRule="auto"/>
        <w:tabs>
          <w:tab w:leader="none" w:pos="2178" w:val="left"/>
        </w:tabs>
        <w:numPr>
          <w:ilvl w:val="1"/>
          <w:numId w:val="152"/>
        </w:numPr>
        <w:rPr>
          <w:rFonts w:ascii="Arial" w:cs="Arial" w:eastAsia="Arial" w:hAnsi="Arial"/>
          <w:sz w:val="17"/>
          <w:szCs w:val="17"/>
          <w:color w:val="auto"/>
        </w:rPr>
      </w:pPr>
      <w:r>
        <w:rPr>
          <w:rFonts w:ascii="Arial" w:cs="Arial" w:eastAsia="Arial" w:hAnsi="Arial"/>
          <w:sz w:val="17"/>
          <w:szCs w:val="17"/>
          <w:u w:val="single" w:color="auto"/>
          <w:color w:val="auto"/>
        </w:rPr>
        <w:t>Charges, Taxes and Expenses</w:t>
      </w:r>
      <w:r>
        <w:rPr>
          <w:rFonts w:ascii="Arial" w:cs="Arial" w:eastAsia="Arial" w:hAnsi="Arial"/>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1" w:lineRule="exact"/>
        <w:rPr>
          <w:rFonts w:ascii="Arial" w:cs="Arial" w:eastAsia="Arial" w:hAnsi="Arial"/>
          <w:sz w:val="17"/>
          <w:szCs w:val="17"/>
          <w:color w:val="auto"/>
        </w:rPr>
      </w:pPr>
    </w:p>
    <w:p>
      <w:pPr>
        <w:ind w:left="1300" w:firstLine="641"/>
        <w:spacing w:after="0" w:line="277" w:lineRule="auto"/>
        <w:tabs>
          <w:tab w:leader="none" w:pos="2242"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170" w:lineRule="exact"/>
        <w:rPr>
          <w:rFonts w:ascii="Arial" w:cs="Arial" w:eastAsia="Arial" w:hAnsi="Arial"/>
          <w:sz w:val="18"/>
          <w:szCs w:val="18"/>
          <w:color w:val="auto"/>
        </w:rPr>
      </w:pPr>
    </w:p>
    <w:p>
      <w:pPr>
        <w:jc w:val="both"/>
        <w:ind w:firstLine="645"/>
        <w:spacing w:after="0" w:line="282" w:lineRule="auto"/>
        <w:tabs>
          <w:tab w:leader="none" w:pos="846"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(including any determination as to group status pursuant to the next sentence).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Ownership Limitation</w:t>
      </w:r>
      <w:r>
        <w:rPr>
          <w:rFonts w:ascii="Arial" w:cs="Arial" w:eastAsia="Arial" w:hAnsi="Arial"/>
          <w:sz w:val="16"/>
          <w:szCs w:val="16"/>
          <w:color w:val="auto"/>
        </w:rPr>
        <w:t>” shall be [4.99%/9.99%]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w:t>
      </w:r>
    </w:p>
    <w:p>
      <w:pPr>
        <w:spacing w:after="0" w:line="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not be effective until the 61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8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3" w:right="2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87" w:lineRule="auto"/>
        <w:tabs>
          <w:tab w:leader="none" w:pos="833"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2" w:lineRule="exact"/>
        <w:rPr>
          <w:rFonts w:ascii="Arial" w:cs="Arial" w:eastAsia="Arial" w:hAnsi="Arial"/>
          <w:sz w:val="16"/>
          <w:szCs w:val="16"/>
          <w:color w:val="auto"/>
        </w:rPr>
      </w:pPr>
    </w:p>
    <w:p>
      <w:pPr>
        <w:jc w:val="both"/>
        <w:ind w:firstLine="645"/>
        <w:spacing w:after="0" w:line="287" w:lineRule="auto"/>
        <w:tabs>
          <w:tab w:leader="none" w:pos="843"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Subsequent Rights Offerings</w:t>
      </w:r>
      <w:r>
        <w:rPr>
          <w:rFonts w:ascii="Arial" w:cs="Arial" w:eastAsia="Arial" w:hAnsi="Arial"/>
          <w:sz w:val="16"/>
          <w:szCs w:val="16"/>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6"/>
          <w:szCs w:val="16"/>
          <w:u w:val="single" w:color="auto"/>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2" w:lineRule="exact"/>
        <w:rPr>
          <w:rFonts w:ascii="Arial" w:cs="Arial" w:eastAsia="Arial" w:hAnsi="Arial"/>
          <w:sz w:val="16"/>
          <w:szCs w:val="16"/>
          <w:color w:val="auto"/>
        </w:rPr>
      </w:pPr>
    </w:p>
    <w:p>
      <w:pPr>
        <w:jc w:val="both"/>
        <w:ind w:firstLine="645"/>
        <w:spacing w:after="0" w:line="268" w:lineRule="auto"/>
        <w:tabs>
          <w:tab w:leader="none" w:pos="833"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During such time as this Warrant is outstanding, if the Company shall declare or make any dividend (other than cash) or other distribution of its assets (or rights to acquire its assets) to holders of shares of Common Stock, by way of return of capital or otherwise (including, without limitation, any distribution of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72" w:name="page173"/>
    <w:bookmarkEnd w:id="172"/>
    <w:p>
      <w:pPr>
        <w:jc w:val="both"/>
        <w:ind w:left="-540" w:firstLine="645"/>
        <w:spacing w:after="0" w:line="282" w:lineRule="auto"/>
        <w:tabs>
          <w:tab w:leader="none" w:pos="303"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in which the Company is not the surviving entity or the stockholders of the Company immediately prior to such merger or consolidation do not own, directly or indirectly, at least 50% of the voting power of the surviving entity immediately after such merger or consolidation,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outstanding shares of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voting power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of the remaining unexercised portion of this Warrant on the date of the consummation of such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Fundamental Transaction is not within the Company’s control, including not approved by the Company’s Board of Directors, Holder shall only be entitled to receive from the Company or any Successor Entity, as of the date of consummation of such Fundamental Transaction, the same type or form of consideration (and in the same proportion), at the Black Scholes Value (as defined below)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Arial" w:cs="Arial" w:eastAsia="Arial" w:hAnsi="Arial"/>
          <w:sz w:val="16"/>
          <w:szCs w:val="16"/>
          <w:u w:val="single" w:color="auto"/>
          <w:color w:val="auto"/>
        </w:rPr>
        <w:t>Black Scholes Value</w:t>
      </w:r>
      <w:r>
        <w:rPr>
          <w:rFonts w:ascii="Arial" w:cs="Arial" w:eastAsia="Arial" w:hAnsi="Arial"/>
          <w:sz w:val="16"/>
          <w:szCs w:val="16"/>
          <w:color w:val="auto"/>
        </w:rPr>
        <w:t>” means the value of this Warrant based on the Black and Scholes Option Pricing Model obtained from the “OV” function on Bloomberg, L.P. (“</w:t>
      </w:r>
      <w:r>
        <w:rPr>
          <w:rFonts w:ascii="Arial" w:cs="Arial" w:eastAsia="Arial" w:hAnsi="Arial"/>
          <w:sz w:val="16"/>
          <w:szCs w:val="16"/>
          <w:u w:val="single" w:color="auto"/>
          <w:color w:val="auto"/>
        </w:rPr>
        <w:t>Bloomberg</w:t>
      </w:r>
      <w:r>
        <w:rPr>
          <w:rFonts w:ascii="Arial" w:cs="Arial" w:eastAsia="Arial" w:hAnsi="Arial"/>
          <w:sz w:val="16"/>
          <w:szCs w:val="16"/>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Fundamental Transaction and (y) the last VWAP immediately prior to the consummation of such Fundamental Transaction and (D) a remaining option time equal to the time between the date of the public announcement of the applicable Fundamental Transaction and the Termination Date. The payment of the Black Scholes Value will be made by wire transfer of immediately available funds within five Business Days of the Holder’s election (or, if later, on the effective date of the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200" w:lineRule="exact"/>
        <w:rPr>
          <w:sz w:val="20"/>
          <w:szCs w:val="20"/>
          <w:color w:val="auto"/>
        </w:rPr>
      </w:pPr>
    </w:p>
    <w:p>
      <w:pPr>
        <w:spacing w:after="0" w:line="22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6" w:right="239" w:bottom="1440" w:gutter="0" w:footer="0" w:header="0"/>
        </w:sectPr>
      </w:pPr>
    </w:p>
    <w:bookmarkStart w:id="173" w:name="page174"/>
    <w:bookmarkEnd w:id="173"/>
    <w:p>
      <w:pPr>
        <w:jc w:val="both"/>
        <w:ind w:left="-540" w:firstLine="645"/>
        <w:spacing w:after="0" w:line="264" w:lineRule="auto"/>
        <w:tabs>
          <w:tab w:leader="none" w:pos="293"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81" w:lineRule="exact"/>
        <w:rPr>
          <w:rFonts w:ascii="Arial" w:cs="Arial" w:eastAsia="Arial" w:hAnsi="Arial"/>
          <w:sz w:val="18"/>
          <w:szCs w:val="18"/>
          <w:color w:val="auto"/>
        </w:rPr>
      </w:pPr>
    </w:p>
    <w:p>
      <w:pPr>
        <w:ind w:left="260" w:hanging="155"/>
        <w:spacing w:after="0"/>
        <w:tabs>
          <w:tab w:leader="none" w:pos="26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firstLine="641"/>
        <w:spacing w:after="0" w:line="259" w:lineRule="auto"/>
        <w:tabs>
          <w:tab w:leader="none" w:pos="1548"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pursuant to Section 5(h) a notice setting forth the Exercise Price after such adjustment and any resulting adjustment to the number of Warrant Shares and setting forth a brief statement of the facts requiring such adjustment.</w:t>
      </w:r>
    </w:p>
    <w:p>
      <w:pPr>
        <w:spacing w:after="0" w:line="186" w:lineRule="exact"/>
        <w:rPr>
          <w:rFonts w:ascii="Arial" w:cs="Arial" w:eastAsia="Arial" w:hAnsi="Arial"/>
          <w:sz w:val="18"/>
          <w:szCs w:val="18"/>
          <w:color w:val="auto"/>
        </w:rPr>
      </w:pPr>
    </w:p>
    <w:p>
      <w:pPr>
        <w:jc w:val="both"/>
        <w:ind w:left="760" w:firstLine="641"/>
        <w:spacing w:after="0" w:line="285" w:lineRule="auto"/>
        <w:tabs>
          <w:tab w:leader="none" w:pos="1598"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pursuant to Section 5(h) to the Holder at its last facsimile number, email address or other contact information as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6"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302" w:lineRule="auto"/>
        <w:tabs>
          <w:tab w:leader="none" w:pos="846"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Pursuant to FINRA Rule 5110(g)(1), 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except the transfer of any security:</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by operation of law or by reason of reorganization of the Company;</w:t>
      </w:r>
    </w:p>
    <w:p>
      <w:pPr>
        <w:spacing w:after="0" w:line="225" w:lineRule="exact"/>
        <w:rPr>
          <w:sz w:val="20"/>
          <w:szCs w:val="20"/>
          <w:color w:val="auto"/>
        </w:rPr>
      </w:pPr>
    </w:p>
    <w:p>
      <w:pPr>
        <w:ind w:left="160" w:right="20" w:firstLine="485"/>
        <w:spacing w:after="0" w:line="277" w:lineRule="auto"/>
        <w:tabs>
          <w:tab w:leader="none" w:pos="83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any FINRA member firm participating in the offering and the officers or partners thereof, if all securities so transferred remain subject to the lock-up restriction in this Section 4(a) for the remainder of the time period;</w:t>
      </w:r>
    </w:p>
    <w:p>
      <w:pPr>
        <w:spacing w:after="0" w:line="170" w:lineRule="exact"/>
        <w:rPr>
          <w:rFonts w:ascii="Arial" w:cs="Arial" w:eastAsia="Arial" w:hAnsi="Arial"/>
          <w:sz w:val="18"/>
          <w:szCs w:val="18"/>
          <w:color w:val="auto"/>
        </w:rPr>
      </w:pPr>
    </w:p>
    <w:p>
      <w:pPr>
        <w:ind w:left="880" w:hanging="235"/>
        <w:spacing w:after="0"/>
        <w:tabs>
          <w:tab w:leader="none" w:pos="8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if the aggregate amount of securities of the Company held by the underwriter or related persons do not exceed 1% of the securities being</w:t>
      </w:r>
    </w:p>
    <w:p>
      <w:pPr>
        <w:spacing w:after="0" w:line="46"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8"/>
          <w:szCs w:val="18"/>
          <w:color w:val="auto"/>
        </w:rPr>
        <w:t>offered;</w:t>
      </w:r>
    </w:p>
    <w:p>
      <w:pPr>
        <w:spacing w:after="0" w:line="210" w:lineRule="exact"/>
        <w:rPr>
          <w:rFonts w:ascii="Arial" w:cs="Arial" w:eastAsia="Arial" w:hAnsi="Arial"/>
          <w:sz w:val="16"/>
          <w:szCs w:val="16"/>
          <w:color w:val="auto"/>
        </w:rPr>
      </w:pPr>
    </w:p>
    <w:p>
      <w:pPr>
        <w:ind w:left="160" w:firstLine="485"/>
        <w:spacing w:after="0" w:line="342" w:lineRule="auto"/>
        <w:tabs>
          <w:tab w:leader="none" w:pos="864"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p>
      <w:pPr>
        <w:spacing w:after="0" w:line="123" w:lineRule="exact"/>
        <w:rPr>
          <w:rFonts w:ascii="Arial" w:cs="Arial" w:eastAsia="Arial" w:hAnsi="Arial"/>
          <w:sz w:val="16"/>
          <w:szCs w:val="16"/>
          <w:color w:val="auto"/>
        </w:rPr>
      </w:pPr>
    </w:p>
    <w:p>
      <w:pPr>
        <w:ind w:left="160" w:firstLine="485"/>
        <w:spacing w:after="0" w:line="277" w:lineRule="auto"/>
        <w:tabs>
          <w:tab w:leader="none" w:pos="82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exercise or conversion of any security, if all securities received remain subject to the lock-up restriction in this Section 4(a) for the remainder of the time period.</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6" w:right="239" w:bottom="1440" w:gutter="0" w:footer="0" w:header="0"/>
        </w:sectPr>
      </w:pPr>
    </w:p>
    <w:bookmarkStart w:id="175" w:name="page176"/>
    <w:bookmarkEnd w:id="175"/>
    <w:p>
      <w:pPr>
        <w:jc w:val="both"/>
        <w:ind w:firstLine="648"/>
        <w:spacing w:after="0" w:line="270" w:lineRule="auto"/>
        <w:rPr>
          <w:sz w:val="20"/>
          <w:szCs w:val="20"/>
          <w:color w:val="auto"/>
        </w:rPr>
      </w:pPr>
      <w:r>
        <w:rPr>
          <w:rFonts w:ascii="Arial" w:cs="Arial" w:eastAsia="Arial" w:hAnsi="Arial"/>
          <w:sz w:val="17"/>
          <w:szCs w:val="17"/>
          <w:color w:val="auto"/>
        </w:rPr>
        <w:t>Subject to the foregoing restriction,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78" w:lineRule="exact"/>
        <w:rPr>
          <w:sz w:val="20"/>
          <w:szCs w:val="20"/>
          <w:color w:val="auto"/>
        </w:rPr>
      </w:pPr>
    </w:p>
    <w:p>
      <w:pPr>
        <w:jc w:val="both"/>
        <w:ind w:left="660" w:firstLine="645"/>
        <w:spacing w:after="0" w:line="255" w:lineRule="auto"/>
        <w:tabs>
          <w:tab w:leader="none" w:pos="1517"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New Warrants</w:t>
      </w:r>
      <w:r>
        <w:rPr>
          <w:rFonts w:ascii="Arial" w:cs="Arial" w:eastAsia="Arial" w:hAnsi="Arial"/>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93" w:lineRule="exact"/>
        <w:rPr>
          <w:rFonts w:ascii="Arial" w:cs="Arial" w:eastAsia="Arial" w:hAnsi="Arial"/>
          <w:sz w:val="18"/>
          <w:szCs w:val="18"/>
          <w:color w:val="auto"/>
        </w:rPr>
      </w:pPr>
    </w:p>
    <w:p>
      <w:pPr>
        <w:jc w:val="both"/>
        <w:ind w:left="660" w:firstLine="645"/>
        <w:spacing w:after="0" w:line="259" w:lineRule="auto"/>
        <w:tabs>
          <w:tab w:leader="none" w:pos="152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79" w:lineRule="auto"/>
        <w:tabs>
          <w:tab w:leader="none" w:pos="1493"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No Rights as Stockholder Until Exercise; No Settlement in Cash</w:t>
      </w:r>
      <w:r>
        <w:rPr>
          <w:rFonts w:ascii="Arial" w:cs="Arial" w:eastAsia="Arial" w:hAnsi="Arial"/>
          <w:sz w:val="17"/>
          <w:szCs w:val="17"/>
          <w:color w:val="auto"/>
        </w:rPr>
        <w:t>. This Warrant does not entitle the Holder to any voting rights, dividends or other rights as a stockholder of the Company prior to the exercise hereof as set forth in Section 2(d)(i), except as expressly set forth in Section 3. Without limiting the rights of a Holder to receive Warrant Shares on a “cashless exercise,” and to receive the cash payments contemplated pursuant to Sections 2(d)(i) and 2(d)(iv), in no event will the Company be required to net cash settle a Warrant exercise.</w:t>
      </w:r>
    </w:p>
    <w:p>
      <w:pPr>
        <w:spacing w:after="0" w:line="171" w:lineRule="exact"/>
        <w:rPr>
          <w:rFonts w:ascii="Arial" w:cs="Arial" w:eastAsia="Arial" w:hAnsi="Arial"/>
          <w:sz w:val="17"/>
          <w:szCs w:val="17"/>
          <w:color w:val="auto"/>
        </w:rPr>
      </w:pPr>
    </w:p>
    <w:p>
      <w:pPr>
        <w:jc w:val="both"/>
        <w:ind w:left="660" w:firstLine="645"/>
        <w:spacing w:after="0" w:line="276" w:lineRule="auto"/>
        <w:tabs>
          <w:tab w:leader="none" w:pos="1517"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Loss, Theft, Destruction or Mutilation of Warrant</w:t>
      </w:r>
      <w:r>
        <w:rPr>
          <w:rFonts w:ascii="Arial" w:cs="Arial" w:eastAsia="Arial" w:hAnsi="Arial"/>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6" w:name="page177"/>
    <w:bookmarkEnd w:id="176"/>
    <w:p>
      <w:pPr>
        <w:ind w:left="-540" w:right="20" w:firstLine="645"/>
        <w:spacing w:after="0" w:line="342" w:lineRule="auto"/>
        <w:tabs>
          <w:tab w:leader="none" w:pos="306"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3" w:lineRule="exact"/>
        <w:rPr>
          <w:rFonts w:ascii="Arial" w:cs="Arial" w:eastAsia="Arial" w:hAnsi="Arial"/>
          <w:sz w:val="16"/>
          <w:szCs w:val="16"/>
          <w:color w:val="auto"/>
        </w:rPr>
      </w:pPr>
    </w:p>
    <w:p>
      <w:pPr>
        <w:ind w:left="300" w:hanging="195"/>
        <w:spacing w:after="0"/>
        <w:tabs>
          <w:tab w:leader="none" w:pos="30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ind w:left="100" w:firstLine="1296"/>
        <w:spacing w:after="0" w:line="288" w:lineRule="auto"/>
        <w:rPr>
          <w:sz w:val="20"/>
          <w:szCs w:val="20"/>
          <w:color w:val="auto"/>
        </w:rPr>
      </w:pPr>
      <w:r>
        <w:rPr>
          <w:rFonts w:ascii="Arial" w:cs="Arial" w:eastAsia="Arial" w:hAnsi="Arial"/>
          <w:sz w:val="16"/>
          <w:szCs w:val="16"/>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9" w:lineRule="exact"/>
        <w:rPr>
          <w:sz w:val="20"/>
          <w:szCs w:val="20"/>
          <w:color w:val="auto"/>
        </w:rPr>
      </w:pPr>
    </w:p>
    <w:p>
      <w:pPr>
        <w:jc w:val="both"/>
        <w:ind w:left="100" w:firstLine="648"/>
        <w:spacing w:after="0" w:line="270" w:lineRule="auto"/>
        <w:rPr>
          <w:sz w:val="20"/>
          <w:szCs w:val="20"/>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77" w:name="page178"/>
    <w:bookmarkEnd w:id="177"/>
    <w:p>
      <w:pPr>
        <w:jc w:val="both"/>
        <w:ind w:left="100" w:firstLine="648"/>
        <w:spacing w:after="0" w:line="264"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1" w:lineRule="exact"/>
        <w:rPr>
          <w:sz w:val="20"/>
          <w:szCs w:val="20"/>
          <w:color w:val="auto"/>
        </w:rPr>
      </w:pPr>
    </w:p>
    <w:p>
      <w:pPr>
        <w:jc w:val="both"/>
        <w:ind w:left="-540" w:firstLine="645"/>
        <w:spacing w:after="0" w:line="268" w:lineRule="auto"/>
        <w:tabs>
          <w:tab w:leader="none" w:pos="293"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All questions concerning the construction, validity, enforcement and interpretation of this Warrant shall be governed by and construed and enforced in accordance with the internal laws of the State of New York,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w:t>
      </w:r>
      <w:r>
        <w:rPr>
          <w:rFonts w:ascii="Arial" w:cs="Arial" w:eastAsia="Arial" w:hAnsi="Arial"/>
          <w:sz w:val="17"/>
          <w:szCs w:val="17"/>
          <w:u w:val="single" w:color="auto"/>
          <w:color w:val="auto"/>
        </w:rPr>
        <w:t>New York Courts</w:t>
      </w:r>
      <w:r>
        <w:rPr>
          <w:rFonts w:ascii="Arial" w:cs="Arial" w:eastAsia="Arial" w:hAnsi="Arial"/>
          <w:sz w:val="17"/>
          <w:szCs w:val="17"/>
          <w:color w:val="auto"/>
        </w:rPr>
        <w:t>”). Each party hereto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87" w:lineRule="exact"/>
        <w:rPr>
          <w:rFonts w:ascii="Arial" w:cs="Arial" w:eastAsia="Arial" w:hAnsi="Arial"/>
          <w:sz w:val="17"/>
          <w:szCs w:val="17"/>
          <w:color w:val="auto"/>
        </w:rPr>
      </w:pPr>
    </w:p>
    <w:p>
      <w:pPr>
        <w:ind w:left="-540" w:firstLine="645"/>
        <w:spacing w:after="0" w:line="277" w:lineRule="auto"/>
        <w:tabs>
          <w:tab w:leader="none" w:pos="287"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70" w:lineRule="exact"/>
        <w:rPr>
          <w:rFonts w:ascii="Arial" w:cs="Arial" w:eastAsia="Arial" w:hAnsi="Arial"/>
          <w:sz w:val="18"/>
          <w:szCs w:val="18"/>
          <w:color w:val="auto"/>
        </w:rPr>
      </w:pPr>
    </w:p>
    <w:p>
      <w:pPr>
        <w:jc w:val="both"/>
        <w:ind w:left="-540" w:firstLine="645"/>
        <w:spacing w:after="0" w:line="255" w:lineRule="auto"/>
        <w:tabs>
          <w:tab w:leader="none" w:pos="303"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Nonwaiver and Expenses</w:t>
      </w:r>
      <w:r>
        <w:rPr>
          <w:rFonts w:ascii="Arial" w:cs="Arial" w:eastAsia="Arial" w:hAnsi="Arial"/>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6" w:right="239" w:bottom="1440" w:gutter="0" w:footer="0" w:header="0"/>
        </w:sectPr>
      </w:pPr>
    </w:p>
    <w:bookmarkStart w:id="178" w:name="page179"/>
    <w:bookmarkEnd w:id="178"/>
    <w:p>
      <w:pPr>
        <w:jc w:val="both"/>
        <w:ind w:firstLine="645"/>
        <w:spacing w:after="0" w:line="268" w:lineRule="auto"/>
        <w:tabs>
          <w:tab w:leader="none" w:pos="884"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or other communications or deliveries to be provided by the Holders hereunder including, without limitation, any Notice of Exercise, shall be in writing and delivered personally, by facsimile or e-mail, or sent by a nationally recognized overnight courier service, addressed to the Company, at the address set forth above Attention: Chief Executive Officer, facsimile number 781-556-5347, email address info@microbotmedical.com, or such other facsimile number, email address or address as the Company may specify for such purposes by notice to the Holders. Any and all notices or other communications or deliveries to be provided by the Company hereunder shall be in writing and delivered personally, by facsimile or email, or sent by a nationally recognized overnight courier service addressed to each Holder at the facsimile number, email address or address of such Holder appearing on the books of the Company. Any notice or other communication or deliveries hereunder shall be deemed given and effective on the earliest of (i) the time of transmission, if such notice or communication is delivered via facsimile or email at the facsimile number or email address set forth in this Section prior to 5:30 p.m. (New York City time) on any date, (ii) the next Trading Day after the time of transmission, if such notice or communication is delivered via facsimile or email at the facsimile number or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87" w:lineRule="exact"/>
        <w:rPr>
          <w:rFonts w:ascii="Arial" w:cs="Arial" w:eastAsia="Arial" w:hAnsi="Arial"/>
          <w:sz w:val="17"/>
          <w:szCs w:val="17"/>
          <w:color w:val="auto"/>
        </w:rPr>
      </w:pPr>
    </w:p>
    <w:p>
      <w:pPr>
        <w:jc w:val="both"/>
        <w:ind w:firstLine="645"/>
        <w:spacing w:after="0" w:line="312" w:lineRule="auto"/>
        <w:tabs>
          <w:tab w:leader="none" w:pos="803"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46" w:lineRule="exact"/>
        <w:rPr>
          <w:rFonts w:ascii="Arial" w:cs="Arial" w:eastAsia="Arial" w:hAnsi="Arial"/>
          <w:sz w:val="16"/>
          <w:szCs w:val="16"/>
          <w:color w:val="auto"/>
        </w:rPr>
      </w:pPr>
    </w:p>
    <w:p>
      <w:pPr>
        <w:jc w:val="both"/>
        <w:ind w:firstLine="645"/>
        <w:spacing w:after="0" w:line="259" w:lineRule="auto"/>
        <w:tabs>
          <w:tab w:leader="none" w:pos="803"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6" w:lineRule="exact"/>
        <w:rPr>
          <w:rFonts w:ascii="Arial" w:cs="Arial" w:eastAsia="Arial" w:hAnsi="Arial"/>
          <w:sz w:val="18"/>
          <w:szCs w:val="18"/>
          <w:color w:val="auto"/>
        </w:rPr>
      </w:pPr>
    </w:p>
    <w:p>
      <w:pPr>
        <w:jc w:val="both"/>
        <w:ind w:firstLine="645"/>
        <w:spacing w:after="0" w:line="259" w:lineRule="auto"/>
        <w:tabs>
          <w:tab w:leader="none" w:pos="843"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color w:val="auto"/>
        </w:rPr>
      </w:pPr>
    </w:p>
    <w:p>
      <w:pPr>
        <w:ind w:left="800" w:hanging="155"/>
        <w:spacing w:after="0"/>
        <w:tabs>
          <w:tab w:leader="none" w:pos="800"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Holder.</w:t>
      </w:r>
    </w:p>
    <w:p>
      <w:pPr>
        <w:spacing w:after="0" w:line="210" w:lineRule="exact"/>
        <w:rPr>
          <w:rFonts w:ascii="Arial" w:cs="Arial" w:eastAsia="Arial" w:hAnsi="Arial"/>
          <w:sz w:val="16"/>
          <w:szCs w:val="16"/>
          <w:color w:val="auto"/>
        </w:rPr>
      </w:pPr>
    </w:p>
    <w:p>
      <w:pPr>
        <w:jc w:val="both"/>
        <w:ind w:firstLine="645"/>
        <w:spacing w:after="0" w:line="312" w:lineRule="auto"/>
        <w:tabs>
          <w:tab w:leader="none" w:pos="907"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6" w:lineRule="exact"/>
        <w:rPr>
          <w:rFonts w:ascii="Arial" w:cs="Arial" w:eastAsia="Arial" w:hAnsi="Arial"/>
          <w:sz w:val="16"/>
          <w:szCs w:val="16"/>
          <w:color w:val="auto"/>
        </w:rPr>
      </w:pPr>
    </w:p>
    <w:p>
      <w:pPr>
        <w:jc w:val="both"/>
        <w:ind w:firstLine="645"/>
        <w:spacing w:after="0" w:line="286" w:lineRule="auto"/>
        <w:tabs>
          <w:tab w:leader="none" w:pos="843"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used in this Warrant are for the convenience of reference only and shall not, for any purpose, be deemed a part of this Warrant. A signed copy of this Warrant delivered by facsimile, e-mail or other means of electronic transmission (to which a .pdf copy is attached) shall be deemed to have the same legal effect as delivery of an original signed copy of this Agreement.</w:t>
      </w:r>
    </w:p>
    <w:p>
      <w:pPr>
        <w:spacing w:after="0" w:line="16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color w:val="auto"/>
        </w:rPr>
        <w:t>IN WITNESS WHEREOF, the Company has caused this Warrant to be executed by its officer thereunto duly authorized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indicated.</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MICROBOT MEDICAL INC.</w:t>
      </w:r>
    </w:p>
    <w:p>
      <w:pPr>
        <w:spacing w:after="0" w:line="225" w:lineRule="exact"/>
        <w:rPr>
          <w:sz w:val="20"/>
          <w:szCs w:val="20"/>
          <w:color w:val="auto"/>
        </w:rPr>
      </w:pPr>
    </w:p>
    <w:p>
      <w:pPr>
        <w:ind w:firstLine="1305"/>
        <w:spacing w:after="0" w:line="308" w:lineRule="auto"/>
        <w:tabs>
          <w:tab w:leader="none" w:pos="156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6" w:lineRule="exact"/>
        <w:rPr>
          <w:rFonts w:ascii="Arial" w:cs="Arial" w:eastAsia="Arial" w:hAnsi="Arial"/>
          <w:sz w:val="17"/>
          <w:szCs w:val="17"/>
          <w:color w:val="auto"/>
        </w:rPr>
      </w:pPr>
    </w:p>
    <w:p>
      <w:pPr>
        <w:ind w:left="1560" w:hanging="255"/>
        <w:spacing w:after="0"/>
        <w:tabs>
          <w:tab w:leader="none" w:pos="15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 in lawful money of the United States; or</w:t>
      </w:r>
    </w:p>
    <w:p>
      <w:pPr>
        <w:spacing w:after="0" w:line="225" w:lineRule="exact"/>
        <w:rPr>
          <w:sz w:val="20"/>
          <w:szCs w:val="20"/>
          <w:color w:val="auto"/>
        </w:rPr>
      </w:pPr>
    </w:p>
    <w:p>
      <w:pPr>
        <w:jc w:val="both"/>
        <w:ind w:left="1960"/>
        <w:spacing w:after="0" w:line="264" w:lineRule="auto"/>
        <w:rPr>
          <w:sz w:val="20"/>
          <w:szCs w:val="20"/>
          <w:color w:val="auto"/>
        </w:rPr>
      </w:pPr>
      <w:r>
        <w:rPr>
          <w:rFonts w:ascii="Arial" w:cs="Arial" w:eastAsia="Arial" w:hAnsi="Arial"/>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1" w:lineRule="exact"/>
        <w:rPr>
          <w:sz w:val="20"/>
          <w:szCs w:val="20"/>
          <w:color w:val="auto"/>
        </w:rPr>
      </w:pPr>
    </w:p>
    <w:p>
      <w:pPr>
        <w:ind w:left="1560" w:hanging="255"/>
        <w:spacing w:after="0"/>
        <w:tabs>
          <w:tab w:leader="none" w:pos="15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1" w:name="page182"/>
    <w:bookmarkEnd w:id="181"/>
    <w:p>
      <w:pPr>
        <w:ind w:left="1048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200" w:right="2080"/>
        <w:spacing w:after="0" w:line="530" w:lineRule="auto"/>
        <w:rPr>
          <w:sz w:val="20"/>
          <w:szCs w:val="20"/>
          <w:color w:val="auto"/>
        </w:rPr>
      </w:pPr>
      <w:r>
        <w:rPr>
          <w:rFonts w:ascii="Arial" w:cs="Arial" w:eastAsia="Arial" w:hAnsi="Arial"/>
          <w:sz w:val="17"/>
          <w:szCs w:val="17"/>
          <w:i w:val="1"/>
          <w:iCs w:val="1"/>
          <w:color w:val="auto"/>
        </w:rPr>
        <w:t xml:space="preserve">(To assign the foregoing Warrant, execute this form and supply required information. Do not use this form to purchase shares.) </w:t>
      </w:r>
      <w:r>
        <w:rPr>
          <w:rFonts w:ascii="Arial" w:cs="Arial" w:eastAsia="Arial" w:hAnsi="Arial"/>
          <w:sz w:val="17"/>
          <w:szCs w:val="17"/>
          <w:color w:val="auto"/>
        </w:rPr>
        <w:t>FOR VALUE RECEIVED, the foregoing Warrant and all rights evidenced thereby are hereby assigned to</w:t>
      </w:r>
    </w:p>
    <w:tbl>
      <w:tblPr>
        <w:tblLayout w:type="fixed"/>
        <w:tblInd w:w="0" w:type="dxa"/>
        <w:tblCellMar>
          <w:top w:w="0" w:type="dxa"/>
          <w:left w:w="0" w:type="dxa"/>
          <w:bottom w:w="0" w:type="dxa"/>
          <w:right w:w="0" w:type="dxa"/>
        </w:tblCellMar>
      </w:tblPr>
      <w:tr>
        <w:trPr>
          <w:trHeight w:val="191"/>
        </w:trPr>
        <w:tc>
          <w:tcPr>
            <w:tcW w:w="5720" w:type="dxa"/>
            <w:vAlign w:val="bottom"/>
            <w:gridSpan w:val="4"/>
          </w:tcPr>
          <w:p>
            <w:pPr>
              <w:spacing w:after="0" w:line="191" w:lineRule="exact"/>
              <w:rPr>
                <w:sz w:val="20"/>
                <w:szCs w:val="20"/>
                <w:color w:val="auto"/>
              </w:rPr>
            </w:pPr>
            <w:r>
              <w:rPr>
                <w:rFonts w:ascii="Arial" w:cs="Arial" w:eastAsia="Arial" w:hAnsi="Arial"/>
                <w:sz w:val="18"/>
                <w:szCs w:val="18"/>
                <w:color w:val="auto"/>
              </w:rPr>
              <w:t>Name:</w:t>
            </w:r>
          </w:p>
        </w:tc>
        <w:tc>
          <w:tcPr>
            <w:tcW w:w="3340" w:type="dxa"/>
            <w:vAlign w:val="bottom"/>
            <w:tcBorders>
              <w:bottom w:val="single" w:sz="8" w:color="auto"/>
            </w:tcBorders>
          </w:tcPr>
          <w:p>
            <w:pPr>
              <w:spacing w:after="0" w:line="191" w:lineRule="exact"/>
              <w:rPr>
                <w:sz w:val="20"/>
                <w:szCs w:val="20"/>
                <w:color w:val="auto"/>
              </w:rPr>
            </w:pPr>
            <w:r>
              <w:rPr>
                <w:rFonts w:ascii="Arial" w:cs="Arial" w:eastAsia="Arial" w:hAnsi="Arial"/>
                <w:sz w:val="18"/>
                <w:szCs w:val="18"/>
                <w:color w:val="auto"/>
                <w:w w:val="89"/>
              </w:rPr>
              <w:t>_____________________________________</w:t>
            </w:r>
          </w:p>
        </w:tc>
        <w:tc>
          <w:tcPr>
            <w:tcW w:w="8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37"/>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(Please Print)</w:t>
            </w:r>
          </w:p>
        </w:tc>
      </w:tr>
      <w:tr>
        <w:trPr>
          <w:trHeight w:val="392"/>
        </w:trPr>
        <w:tc>
          <w:tcPr>
            <w:tcW w:w="5720" w:type="dxa"/>
            <w:vAlign w:val="bottom"/>
            <w:gridSpan w:val="4"/>
          </w:tcPr>
          <w:p>
            <w:pPr>
              <w:spacing w:after="0"/>
              <w:rPr>
                <w:sz w:val="20"/>
                <w:szCs w:val="20"/>
                <w:color w:val="auto"/>
              </w:rPr>
            </w:pPr>
            <w:r>
              <w:rPr>
                <w:rFonts w:ascii="Arial" w:cs="Arial" w:eastAsia="Arial" w:hAnsi="Arial"/>
                <w:sz w:val="18"/>
                <w:szCs w:val="18"/>
                <w:color w:val="auto"/>
              </w:rPr>
              <w:t>Address:</w:t>
            </w:r>
          </w:p>
        </w:tc>
        <w:tc>
          <w:tcPr>
            <w:tcW w:w="5700" w:type="dxa"/>
            <w:vAlign w:val="bottom"/>
            <w:gridSpan w:val="3"/>
          </w:tcPr>
          <w:p>
            <w:pPr>
              <w:spacing w:after="0"/>
              <w:rPr>
                <w:sz w:val="20"/>
                <w:szCs w:val="20"/>
                <w:color w:val="auto"/>
              </w:rPr>
            </w:pPr>
            <w:r>
              <w:rPr>
                <w:rFonts w:ascii="Arial" w:cs="Arial" w:eastAsia="Arial" w:hAnsi="Arial"/>
                <w:sz w:val="18"/>
                <w:szCs w:val="18"/>
                <w:color w:val="auto"/>
              </w:rPr>
              <w:t>______________________________________</w:t>
            </w:r>
          </w:p>
        </w:tc>
      </w:tr>
      <w:tr>
        <w:trPr>
          <w:trHeight w:val="237"/>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(Please Print)</w:t>
            </w:r>
          </w:p>
        </w:tc>
        <w:tc>
          <w:tcPr>
            <w:tcW w:w="2280" w:type="dxa"/>
            <w:vAlign w:val="bottom"/>
          </w:tcPr>
          <w:p>
            <w:pPr>
              <w:spacing w:after="0"/>
              <w:rPr>
                <w:sz w:val="20"/>
                <w:szCs w:val="20"/>
                <w:color w:val="auto"/>
              </w:rPr>
            </w:pPr>
          </w:p>
        </w:tc>
      </w:tr>
      <w:tr>
        <w:trPr>
          <w:trHeight w:val="432"/>
        </w:trPr>
        <w:tc>
          <w:tcPr>
            <w:tcW w:w="5720" w:type="dxa"/>
            <w:vAlign w:val="bottom"/>
            <w:gridSpan w:val="4"/>
          </w:tcPr>
          <w:p>
            <w:pPr>
              <w:spacing w:after="0"/>
              <w:rPr>
                <w:sz w:val="20"/>
                <w:szCs w:val="20"/>
                <w:color w:val="auto"/>
              </w:rPr>
            </w:pPr>
            <w:r>
              <w:rPr>
                <w:rFonts w:ascii="Arial" w:cs="Arial" w:eastAsia="Arial" w:hAnsi="Arial"/>
                <w:sz w:val="18"/>
                <w:szCs w:val="18"/>
                <w:color w:val="auto"/>
              </w:rPr>
              <w:t>Phone Number:</w:t>
            </w:r>
          </w:p>
        </w:tc>
        <w:tc>
          <w:tcPr>
            <w:tcW w:w="5700" w:type="dxa"/>
            <w:vAlign w:val="bottom"/>
            <w:gridSpan w:val="3"/>
          </w:tcPr>
          <w:p>
            <w:pPr>
              <w:spacing w:after="0"/>
              <w:rPr>
                <w:sz w:val="20"/>
                <w:szCs w:val="20"/>
                <w:color w:val="auto"/>
              </w:rPr>
            </w:pPr>
            <w:r>
              <w:rPr>
                <w:rFonts w:ascii="Arial" w:cs="Arial" w:eastAsia="Arial" w:hAnsi="Arial"/>
                <w:sz w:val="18"/>
                <w:szCs w:val="18"/>
                <w:color w:val="auto"/>
              </w:rPr>
              <w:t>______________________________________</w:t>
            </w:r>
          </w:p>
        </w:tc>
      </w:tr>
      <w:tr>
        <w:trPr>
          <w:trHeight w:val="432"/>
        </w:trPr>
        <w:tc>
          <w:tcPr>
            <w:tcW w:w="5720" w:type="dxa"/>
            <w:vAlign w:val="bottom"/>
            <w:gridSpan w:val="4"/>
          </w:tcPr>
          <w:p>
            <w:pPr>
              <w:spacing w:after="0"/>
              <w:rPr>
                <w:sz w:val="20"/>
                <w:szCs w:val="20"/>
                <w:color w:val="auto"/>
              </w:rPr>
            </w:pPr>
            <w:r>
              <w:rPr>
                <w:rFonts w:ascii="Arial" w:cs="Arial" w:eastAsia="Arial" w:hAnsi="Arial"/>
                <w:sz w:val="18"/>
                <w:szCs w:val="18"/>
                <w:color w:val="auto"/>
              </w:rPr>
              <w:t>Email Address:</w:t>
            </w:r>
          </w:p>
        </w:tc>
        <w:tc>
          <w:tcPr>
            <w:tcW w:w="5700" w:type="dxa"/>
            <w:vAlign w:val="bottom"/>
            <w:gridSpan w:val="3"/>
          </w:tcPr>
          <w:p>
            <w:pPr>
              <w:spacing w:after="0"/>
              <w:rPr>
                <w:sz w:val="20"/>
                <w:szCs w:val="20"/>
                <w:color w:val="auto"/>
              </w:rPr>
            </w:pPr>
            <w:r>
              <w:rPr>
                <w:rFonts w:ascii="Arial" w:cs="Arial" w:eastAsia="Arial" w:hAnsi="Arial"/>
                <w:sz w:val="18"/>
                <w:szCs w:val="18"/>
                <w:color w:val="auto"/>
              </w:rPr>
              <w:t>______________________________________</w:t>
            </w:r>
          </w:p>
        </w:tc>
      </w:tr>
      <w:tr>
        <w:trPr>
          <w:trHeight w:val="432"/>
        </w:trPr>
        <w:tc>
          <w:tcPr>
            <w:tcW w:w="5720" w:type="dxa"/>
            <w:vAlign w:val="bottom"/>
            <w:gridSpan w:val="4"/>
          </w:tcPr>
          <w:p>
            <w:pPr>
              <w:spacing w:after="0"/>
              <w:rPr>
                <w:sz w:val="20"/>
                <w:szCs w:val="20"/>
                <w:color w:val="auto"/>
              </w:rPr>
            </w:pPr>
            <w:r>
              <w:rPr>
                <w:rFonts w:ascii="Arial" w:cs="Arial" w:eastAsia="Arial" w:hAnsi="Arial"/>
                <w:sz w:val="18"/>
                <w:szCs w:val="18"/>
                <w:color w:val="auto"/>
              </w:rPr>
              <w:t>Dated: _______________ __, ______</w:t>
            </w:r>
          </w:p>
        </w:tc>
        <w:tc>
          <w:tcPr>
            <w:tcW w:w="3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92"/>
        </w:trPr>
        <w:tc>
          <w:tcPr>
            <w:tcW w:w="5720" w:type="dxa"/>
            <w:vAlign w:val="bottom"/>
            <w:gridSpan w:val="4"/>
          </w:tcPr>
          <w:p>
            <w:pPr>
              <w:spacing w:after="0"/>
              <w:rPr>
                <w:sz w:val="20"/>
                <w:szCs w:val="20"/>
                <w:color w:val="auto"/>
              </w:rPr>
            </w:pPr>
            <w:r>
              <w:rPr>
                <w:rFonts w:ascii="Arial" w:cs="Arial" w:eastAsia="Arial" w:hAnsi="Arial"/>
                <w:sz w:val="18"/>
                <w:szCs w:val="18"/>
                <w:color w:val="auto"/>
              </w:rPr>
              <w:t>Holder’s Signature:____________________</w:t>
            </w:r>
          </w:p>
        </w:tc>
        <w:tc>
          <w:tcPr>
            <w:tcW w:w="3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right w:val="single" w:sz="8" w:color="auto"/>
            </w:tcBorders>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2"/>
        </w:trPr>
        <w:tc>
          <w:tcPr>
            <w:tcW w:w="5720" w:type="dxa"/>
            <w:vAlign w:val="bottom"/>
            <w:gridSpan w:val="4"/>
          </w:tcPr>
          <w:p>
            <w:pPr>
              <w:spacing w:after="0"/>
              <w:rPr>
                <w:sz w:val="20"/>
                <w:szCs w:val="20"/>
                <w:color w:val="auto"/>
              </w:rPr>
            </w:pPr>
            <w:r>
              <w:rPr>
                <w:rFonts w:ascii="Arial" w:cs="Arial" w:eastAsia="Arial" w:hAnsi="Arial"/>
                <w:sz w:val="18"/>
                <w:szCs w:val="18"/>
                <w:color w:val="auto"/>
              </w:rPr>
              <w:t>Holder’s Address:_____________________</w:t>
            </w:r>
          </w:p>
        </w:tc>
        <w:tc>
          <w:tcPr>
            <w:tcW w:w="3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60"/>
        </w:trPr>
        <w:tc>
          <w:tcPr>
            <w:tcW w:w="13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800" w:type="dxa"/>
            <w:vAlign w:val="bottom"/>
            <w:tcBorders>
              <w:top w:val="single" w:sz="8" w:color="auto"/>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9" w:right="239" w:bottom="1440" w:gutter="0" w:footer="0" w:header="0"/>
        </w:sectPr>
      </w:pPr>
    </w:p>
    <w:bookmarkStart w:id="182" w:name="page183"/>
    <w:bookmarkEnd w:id="18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-121920</wp:posOffset>
            </wp:positionV>
            <wp:extent cx="514350" cy="6343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8">
                      <a:extLst>
                        <a:ext uri="{28A0092B-C50C-407E-A947-70E740481C1C}"/>
                      </a:extLst>
                    </a:blip>
                    <a:srcRect/>
                    <a:stretch>
                      <a:fillRect/>
                    </a:stretch>
                  </pic:blipFill>
                  <pic:spPr bwMode="auto">
                    <a:xfrm>
                      <a:off x="0" y="0"/>
                      <a:ext cx="514350" cy="63436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617-542-6000</w:t>
      </w:r>
    </w:p>
    <w:p>
      <w:pPr>
        <w:spacing w:after="0" w:line="9"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617-542-2241 fax</w:t>
      </w:r>
    </w:p>
    <w:p>
      <w:pPr>
        <w:spacing w:after="0" w:line="32" w:lineRule="exact"/>
        <w:rPr>
          <w:sz w:val="20"/>
          <w:szCs w:val="20"/>
          <w:color w:val="auto"/>
        </w:rPr>
      </w:pPr>
    </w:p>
    <w:p>
      <w:pPr>
        <w:ind w:left="10200"/>
        <w:spacing w:after="0"/>
        <w:rPr>
          <w:sz w:val="20"/>
          <w:szCs w:val="20"/>
          <w:color w:val="auto"/>
        </w:rPr>
      </w:pPr>
      <w:r>
        <w:rPr>
          <w:rFonts w:ascii="Arial" w:cs="Arial" w:eastAsia="Arial" w:hAnsi="Arial"/>
          <w:sz w:val="17"/>
          <w:szCs w:val="17"/>
          <w:color w:val="auto"/>
        </w:rPr>
        <w:t>www.mintz.com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February 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 Medical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Recreation Park Drive, Unit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Hingham, MA 02043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We have acted as counsel for Microbot Medical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preparation of the Registration Statement on Form S-1 filed with the Securities and Exchange Commission (the “Commission”) on November 8, 2018, as amended on November 19, 2018, December 17, 2018, December 31, 2018 and February 7, 2019 (File No. 333-228285)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with respect to the offer and sale of (a) up to $11,500,000 of (i) shares (the “</w:t>
      </w:r>
      <w:r>
        <w:rPr>
          <w:rFonts w:ascii="Arial" w:cs="Arial" w:eastAsia="Arial" w:hAnsi="Arial"/>
          <w:sz w:val="17"/>
          <w:szCs w:val="17"/>
          <w:b w:val="1"/>
          <w:bCs w:val="1"/>
          <w:color w:val="auto"/>
        </w:rPr>
        <w:t>Shares</w:t>
      </w:r>
      <w:r>
        <w:rPr>
          <w:rFonts w:ascii="Arial" w:cs="Arial" w:eastAsia="Arial" w:hAnsi="Arial"/>
          <w:sz w:val="17"/>
          <w:szCs w:val="17"/>
          <w:color w:val="auto"/>
        </w:rPr>
        <w:t>”) of common stock of the Company, $0.01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and (ii) pre-funded warrants to purchase shares of Common Stock (the “</w:t>
      </w:r>
      <w:r>
        <w:rPr>
          <w:rFonts w:ascii="Arial" w:cs="Arial" w:eastAsia="Arial" w:hAnsi="Arial"/>
          <w:sz w:val="17"/>
          <w:szCs w:val="17"/>
          <w:b w:val="1"/>
          <w:bCs w:val="1"/>
          <w:color w:val="auto"/>
        </w:rPr>
        <w:t>Pre-Funded Warrant</w:t>
      </w:r>
      <w:r>
        <w:rPr>
          <w:rFonts w:ascii="Arial" w:cs="Arial" w:eastAsia="Arial" w:hAnsi="Arial"/>
          <w:sz w:val="17"/>
          <w:szCs w:val="17"/>
          <w:color w:val="auto"/>
        </w:rPr>
        <w:t>s”), and (b) warrants to purchase up to $718,750 of shares of Common Stock to be issued to H.C. Wainwright &amp; Co., LLC (the “</w:t>
      </w:r>
      <w:r>
        <w:rPr>
          <w:rFonts w:ascii="Arial" w:cs="Arial" w:eastAsia="Arial" w:hAnsi="Arial"/>
          <w:sz w:val="17"/>
          <w:szCs w:val="17"/>
          <w:b w:val="1"/>
          <w:bCs w:val="1"/>
          <w:color w:val="auto"/>
        </w:rPr>
        <w:t>Underwriter</w:t>
      </w:r>
      <w:r>
        <w:rPr>
          <w:rFonts w:ascii="Arial" w:cs="Arial" w:eastAsia="Arial" w:hAnsi="Arial"/>
          <w:sz w:val="17"/>
          <w:szCs w:val="17"/>
          <w:color w:val="auto"/>
        </w:rPr>
        <w:t>”) as compensation for its services (the “</w:t>
      </w:r>
      <w:r>
        <w:rPr>
          <w:rFonts w:ascii="Arial" w:cs="Arial" w:eastAsia="Arial" w:hAnsi="Arial"/>
          <w:sz w:val="17"/>
          <w:szCs w:val="17"/>
          <w:b w:val="1"/>
          <w:bCs w:val="1"/>
          <w:color w:val="auto"/>
        </w:rPr>
        <w:t>Underwriter Warrants</w:t>
      </w:r>
      <w:r>
        <w:rPr>
          <w:rFonts w:ascii="Arial" w:cs="Arial" w:eastAsia="Arial" w:hAnsi="Arial"/>
          <w:sz w:val="17"/>
          <w:szCs w:val="17"/>
          <w:color w:val="auto"/>
        </w:rPr>
        <w:t>,” and together with the Pre-Funded Warrants, the “</w:t>
      </w:r>
      <w:r>
        <w:rPr>
          <w:rFonts w:ascii="Arial" w:cs="Arial" w:eastAsia="Arial" w:hAnsi="Arial"/>
          <w:sz w:val="17"/>
          <w:szCs w:val="17"/>
          <w:b w:val="1"/>
          <w:bCs w:val="1"/>
          <w:color w:val="auto"/>
        </w:rPr>
        <w:t>Warrants</w:t>
      </w:r>
      <w:r>
        <w:rPr>
          <w:rFonts w:ascii="Arial" w:cs="Arial" w:eastAsia="Arial" w:hAnsi="Arial"/>
          <w:sz w:val="17"/>
          <w:szCs w:val="17"/>
          <w:color w:val="auto"/>
        </w:rPr>
        <w:t>”). The Warrants, the Shares, the shares of Common Stock underlying the Pre-Funded Warrants (the “</w:t>
      </w:r>
      <w:r>
        <w:rPr>
          <w:rFonts w:ascii="Arial" w:cs="Arial" w:eastAsia="Arial" w:hAnsi="Arial"/>
          <w:sz w:val="17"/>
          <w:szCs w:val="17"/>
          <w:b w:val="1"/>
          <w:bCs w:val="1"/>
          <w:color w:val="auto"/>
        </w:rPr>
        <w:t>Pre-Funded Warrant Shares</w:t>
      </w:r>
      <w:r>
        <w:rPr>
          <w:rFonts w:ascii="Arial" w:cs="Arial" w:eastAsia="Arial" w:hAnsi="Arial"/>
          <w:sz w:val="17"/>
          <w:szCs w:val="17"/>
          <w:color w:val="auto"/>
        </w:rPr>
        <w:t>”) and the shares of Common Stock underlying the Underwriter Warrants (the “</w:t>
      </w:r>
      <w:r>
        <w:rPr>
          <w:rFonts w:ascii="Arial" w:cs="Arial" w:eastAsia="Arial" w:hAnsi="Arial"/>
          <w:sz w:val="17"/>
          <w:szCs w:val="17"/>
          <w:b w:val="1"/>
          <w:bCs w:val="1"/>
          <w:color w:val="auto"/>
        </w:rPr>
        <w:t>Underwriter Warrant Shares</w:t>
      </w:r>
      <w:r>
        <w:rPr>
          <w:rFonts w:ascii="Arial" w:cs="Arial" w:eastAsia="Arial" w:hAnsi="Arial"/>
          <w:sz w:val="17"/>
          <w:szCs w:val="17"/>
          <w:color w:val="auto"/>
        </w:rPr>
        <w:t>”) shall be collectively referred to herein as the “</w:t>
      </w:r>
      <w:r>
        <w:rPr>
          <w:rFonts w:ascii="Arial" w:cs="Arial" w:eastAsia="Arial" w:hAnsi="Arial"/>
          <w:sz w:val="17"/>
          <w:szCs w:val="17"/>
          <w:b w:val="1"/>
          <w:bCs w:val="1"/>
          <w:color w:val="auto"/>
        </w:rPr>
        <w:t>Securities</w:t>
      </w:r>
      <w:r>
        <w:rPr>
          <w:rFonts w:ascii="Arial" w:cs="Arial" w:eastAsia="Arial" w:hAnsi="Arial"/>
          <w:sz w:val="17"/>
          <w:szCs w:val="17"/>
          <w:color w:val="auto"/>
        </w:rPr>
        <w:t>”. The Securities will be sold pursuant to an Underwriting Agreement (the “</w:t>
      </w:r>
      <w:r>
        <w:rPr>
          <w:rFonts w:ascii="Arial" w:cs="Arial" w:eastAsia="Arial" w:hAnsi="Arial"/>
          <w:sz w:val="17"/>
          <w:szCs w:val="17"/>
          <w:b w:val="1"/>
          <w:bCs w:val="1"/>
          <w:color w:val="auto"/>
        </w:rPr>
        <w:t>Agreement</w:t>
      </w:r>
      <w:r>
        <w:rPr>
          <w:rFonts w:ascii="Arial" w:cs="Arial" w:eastAsia="Arial" w:hAnsi="Arial"/>
          <w:sz w:val="17"/>
          <w:szCs w:val="17"/>
          <w:color w:val="auto"/>
        </w:rPr>
        <w:t>”) between the Company and the Underwriter.</w:t>
      </w:r>
    </w:p>
    <w:p>
      <w:pPr>
        <w:spacing w:after="0" w:line="182" w:lineRule="exact"/>
        <w:rPr>
          <w:sz w:val="20"/>
          <w:szCs w:val="20"/>
          <w:color w:val="auto"/>
        </w:rPr>
      </w:pPr>
    </w:p>
    <w:p>
      <w:pPr>
        <w:jc w:val="both"/>
        <w:ind w:firstLine="454"/>
        <w:spacing w:after="0" w:line="255" w:lineRule="auto"/>
        <w:rPr>
          <w:sz w:val="20"/>
          <w:szCs w:val="20"/>
          <w:color w:val="auto"/>
        </w:rPr>
      </w:pPr>
      <w:r>
        <w:rPr>
          <w:rFonts w:ascii="Arial" w:cs="Arial" w:eastAsia="Arial" w:hAnsi="Arial"/>
          <w:sz w:val="18"/>
          <w:szCs w:val="18"/>
          <w:color w:val="auto"/>
        </w:rPr>
        <w:t>As counsel to the Company in connection with the proposed issuance and sale of the Securities, we have examined: (a) the Restated Certificate of Incorporation of the Company and the Certificate of Designation of Preferences, Rights and Limitations of Series A Convertible Preferred Stock of the Company, as amended to date, (together, the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(b) the Amended and Restated By-laws of the Company, as amended to date (the “</w:t>
      </w:r>
      <w:r>
        <w:rPr>
          <w:rFonts w:ascii="Arial" w:cs="Arial" w:eastAsia="Arial" w:hAnsi="Arial"/>
          <w:sz w:val="18"/>
          <w:szCs w:val="18"/>
          <w:b w:val="1"/>
          <w:bCs w:val="1"/>
          <w:color w:val="auto"/>
        </w:rPr>
        <w:t>By-laws</w:t>
      </w:r>
      <w:r>
        <w:rPr>
          <w:rFonts w:ascii="Arial" w:cs="Arial" w:eastAsia="Arial" w:hAnsi="Arial"/>
          <w:sz w:val="18"/>
          <w:szCs w:val="18"/>
          <w:color w:val="auto"/>
        </w:rPr>
        <w:t>”); (c) certain resolutions of the Board of Directors of the Company relating to the sale of the Securities; (d) the Pre-Funded Warrants and the Underwriter Warrants; and (v) such corporate records, documents, agreements and such matters of law as we have considered necessary or appropriate for the purpose of this opinion. We have relied as to certain matters on information obtained from public officials, officers of the Company and other sources believed by us to be reliable.</w:t>
      </w:r>
    </w:p>
    <w:p>
      <w:pPr>
        <w:spacing w:after="0" w:line="189" w:lineRule="exact"/>
        <w:rPr>
          <w:sz w:val="20"/>
          <w:szCs w:val="20"/>
          <w:color w:val="auto"/>
        </w:rPr>
      </w:pPr>
    </w:p>
    <w:p>
      <w:pPr>
        <w:jc w:val="both"/>
        <w:ind w:firstLine="454"/>
        <w:spacing w:after="0" w:line="264" w:lineRule="auto"/>
        <w:rPr>
          <w:sz w:val="20"/>
          <w:szCs w:val="20"/>
          <w:color w:val="auto"/>
        </w:rPr>
      </w:pPr>
      <w:r>
        <w:rPr>
          <w:rFonts w:ascii="Arial" w:cs="Arial" w:eastAsia="Arial" w:hAnsi="Arial"/>
          <w:sz w:val="18"/>
          <w:szCs w:val="18"/>
          <w:color w:val="auto"/>
        </w:rPr>
        <w:t>In our examination, we have assumed the genuineness of all signatures, the legal capacity of natural persons, the authenticity of all documents submitted to us as originals and the conformity with the originals of all documents submitted to us as certified, photostatic or facsimile copies and the authenticity of the originals of such copies.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as subject to the limitations set forth herein, we advise you that in our opinion:</w:t>
      </w:r>
    </w:p>
    <w:p>
      <w:pPr>
        <w:spacing w:after="0" w:line="225" w:lineRule="exact"/>
        <w:rPr>
          <w:sz w:val="20"/>
          <w:szCs w:val="20"/>
          <w:color w:val="auto"/>
        </w:rPr>
      </w:pPr>
    </w:p>
    <w:p>
      <w:pPr>
        <w:ind w:left="780" w:hanging="326"/>
        <w:spacing w:after="0" w:line="277" w:lineRule="auto"/>
        <w:tabs>
          <w:tab w:leader="none" w:pos="7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Shares have been duly authorized for issuance by the Company and, when issued, delivered against payment therefor in accordance with the terms of the Agreement, will be validly issued, fully paid and nonassessable;</w:t>
      </w:r>
    </w:p>
    <w:p>
      <w:pPr>
        <w:spacing w:after="0" w:line="170" w:lineRule="exact"/>
        <w:rPr>
          <w:rFonts w:ascii="Arial" w:cs="Arial" w:eastAsia="Arial" w:hAnsi="Arial"/>
          <w:sz w:val="18"/>
          <w:szCs w:val="18"/>
          <w:color w:val="auto"/>
        </w:rPr>
      </w:pPr>
    </w:p>
    <w:p>
      <w:pPr>
        <w:jc w:val="both"/>
        <w:ind w:left="780" w:hanging="326"/>
        <w:spacing w:after="0" w:line="264" w:lineRule="auto"/>
        <w:tabs>
          <w:tab w:leader="none" w:pos="7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Pre-Funded Warrants have been duly authorized and, when issued and sold in accordance with the Agreement and duly executed and delivered by the Company to the purchasers thereof against payment therefor, will constitute valid and legally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819150</wp:posOffset>
            </wp:positionV>
            <wp:extent cx="72466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141605</wp:posOffset>
            </wp:positionV>
            <wp:extent cx="5746115" cy="3860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0">
                      <a:extLst>
                        <a:ext uri="{28A0092B-C50C-407E-A947-70E740481C1C}"/>
                      </a:extLst>
                    </a:blip>
                    <a:srcRect/>
                    <a:stretch>
                      <a:fillRect/>
                    </a:stretch>
                  </pic:blipFill>
                  <pic:spPr bwMode="auto">
                    <a:xfrm>
                      <a:off x="0" y="0"/>
                      <a:ext cx="5746115" cy="3860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38" w:lineRule="exact"/>
        <w:rPr>
          <w:sz w:val="20"/>
          <w:szCs w:val="20"/>
          <w:color w:val="auto"/>
        </w:rPr>
      </w:pPr>
    </w:p>
    <w:p>
      <w:pPr>
        <w:jc w:val="both"/>
        <w:ind w:left="780" w:hanging="326"/>
        <w:spacing w:after="0" w:line="264" w:lineRule="auto"/>
        <w:tabs>
          <w:tab w:leader="none" w:pos="7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Underwriter Warrants have been duly authorized and, when issued and sold in accordance with the Agreement and duly executed and delivered by the Company to the Underwriter in accordance with the Agreement, will constitute valid and legally binding obligations of the Company, enforceable against the Company in accordance with their terms; and</w:t>
      </w:r>
    </w:p>
    <w:p>
      <w:pPr>
        <w:spacing w:after="0" w:line="181" w:lineRule="exact"/>
        <w:rPr>
          <w:rFonts w:ascii="Arial" w:cs="Arial" w:eastAsia="Arial" w:hAnsi="Arial"/>
          <w:sz w:val="18"/>
          <w:szCs w:val="18"/>
          <w:color w:val="auto"/>
        </w:rPr>
      </w:pPr>
    </w:p>
    <w:p>
      <w:pPr>
        <w:jc w:val="both"/>
        <w:ind w:left="780" w:hanging="326"/>
        <w:spacing w:after="0" w:line="264" w:lineRule="auto"/>
        <w:tabs>
          <w:tab w:leader="none" w:pos="7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Pre-Funded Warrant Shares and Underwriter Warrant Shares have been duly authorized for issuance by the Company and when issued and paid for in accordance with the provisions of the Pre-Funded Warrants and Underwriter Warrants, as applicable, will be validly issued, fully paid and nonassessable.</w:t>
      </w:r>
    </w:p>
    <w:p>
      <w:pPr>
        <w:spacing w:after="0" w:line="181"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7"/>
          <w:szCs w:val="17"/>
          <w:color w:val="auto"/>
        </w:rPr>
        <w:t>The opinions expressed in paragraphs (b) and (c) above with respect to the enforceability of the Pre-Funded Warrants and Underwriter Warrants may be limited by bankruptcy, insolvency, reorganization, receivership, moratorium or other laws affecting creditors’ rights (including, without limitation, the effect of statutory and other law regarding fraudulent conveyances, fraudulent transfers and preferential transfers) and by the exercise of judicial discretion and the application of principles of equity, good faith, fair dealing, reasonableness, conscionability and materiality (regardless of whether the Pre-Funded Warrants or Underwriter Warrants, as applicable, are considered in a proceeding in equity or at law).</w:t>
      </w:r>
    </w:p>
    <w:p>
      <w:pPr>
        <w:spacing w:after="0" w:line="173" w:lineRule="exact"/>
        <w:rPr>
          <w:sz w:val="20"/>
          <w:szCs w:val="20"/>
          <w:color w:val="auto"/>
        </w:rPr>
      </w:pPr>
    </w:p>
    <w:p>
      <w:pPr>
        <w:jc w:val="both"/>
        <w:ind w:right="20" w:firstLine="454"/>
        <w:spacing w:after="0" w:line="264" w:lineRule="auto"/>
        <w:rPr>
          <w:sz w:val="20"/>
          <w:szCs w:val="20"/>
          <w:color w:val="auto"/>
        </w:rPr>
      </w:pPr>
      <w:r>
        <w:rPr>
          <w:rFonts w:ascii="Arial" w:cs="Arial" w:eastAsia="Arial" w:hAnsi="Arial"/>
          <w:sz w:val="18"/>
          <w:szCs w:val="18"/>
          <w:color w:val="auto"/>
        </w:rPr>
        <w:t>Our opinion is limited to the General Corporation Law of the State of Delaware and the United States federal laws, and with regard to our opinions in paragraphs (b) and (c) above regarding the enforceability of the Pre-Funded Warrants and Underwriter Warrants, the laws of the State of New York, and we express no opinion with respect to the laws of any other jurisdiction.</w:t>
      </w:r>
    </w:p>
    <w:p>
      <w:pPr>
        <w:spacing w:after="0" w:line="181" w:lineRule="exact"/>
        <w:rPr>
          <w:sz w:val="20"/>
          <w:szCs w:val="20"/>
          <w:color w:val="auto"/>
        </w:rPr>
      </w:pPr>
    </w:p>
    <w:p>
      <w:pPr>
        <w:jc w:val="both"/>
        <w:ind w:firstLine="454"/>
        <w:spacing w:after="0" w:line="277" w:lineRule="auto"/>
        <w:rPr>
          <w:sz w:val="20"/>
          <w:szCs w:val="20"/>
          <w:color w:val="auto"/>
        </w:rPr>
      </w:pPr>
      <w:r>
        <w:rPr>
          <w:rFonts w:ascii="Arial" w:cs="Arial" w:eastAsia="Arial" w:hAnsi="Arial"/>
          <w:sz w:val="18"/>
          <w:szCs w:val="18"/>
          <w:color w:val="auto"/>
        </w:rPr>
        <w:t>No opinion is expressed herein with respect to the qualification of the Securities under the securities or blue sky laws of any state or any foreign jurisdiction.</w:t>
      </w:r>
    </w:p>
    <w:p>
      <w:pPr>
        <w:spacing w:after="0" w:line="170" w:lineRule="exact"/>
        <w:rPr>
          <w:sz w:val="20"/>
          <w:szCs w:val="20"/>
          <w:color w:val="auto"/>
        </w:rPr>
      </w:pPr>
    </w:p>
    <w:p>
      <w:pPr>
        <w:jc w:val="both"/>
        <w:ind w:right="20" w:firstLine="454"/>
        <w:spacing w:after="0" w:line="286" w:lineRule="auto"/>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66"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in accordance with the requirements of Item 601(b)(5) of Regulation S-K promulgated under the Act, and to the references to this firm under the caption “Legal Matters” in the Prospectus. In giving this consent, we do not admit that we are within the category of persons whose consent is required under Section 7 of the Act or the rules and regulations of the Commission promulgated thereunder.</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MINTZ, LEVIN, COHN, FERRIS,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GLOVSKY &amp;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185" w:name="page186"/>
    <w:bookmarkEnd w:id="18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use in this Amendment No. 4 to Registration Statement No. 333-228285 on Form S-1/A of our report dated April 2, 2018, except Note 1D, as to which the date is November 8, 2018, relating to the consolidated financial statements of Microbot Medical, Inc. as of December 31, 2017 and 2016 and for each of the years then ended, appearing in the Prospectus, which is a part of this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heading “Experts” in such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Brightman Almagor Zohar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Certified Public Accountants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 of Deloitte Touche Tohmatsu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7" w:name="page188"/>
    <w:bookmarkEnd w:id="18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59DC"/>
    <w:multiLevelType w:val="hybridMultilevel"/>
    <w:lvl w:ilvl="0">
      <w:lvlJc w:val="left"/>
      <w:lvlText w:val="(%1)"/>
      <w:numFmt w:val="decimal"/>
      <w:start w:val="1"/>
    </w:lvl>
  </w:abstractNum>
  <w:abstractNum w:abstractNumId="1">
    <w:nsid w:val="7FB7E0AA"/>
    <w:multiLevelType w:val="hybridMultilevel"/>
    <w:lvl w:ilvl="0">
      <w:lvlJc w:val="left"/>
      <w:lvlText w:val="(%1)"/>
      <w:numFmt w:val="decimal"/>
      <w:start w:val="1"/>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
      <w:numFmt w:val="bullet"/>
      <w:start w:val="1"/>
    </w:lvl>
  </w:abstractNum>
  <w:abstractNum w:abstractNumId="4">
    <w:nsid w:val="94211F2"/>
    <w:multiLevelType w:val="hybridMultilevel"/>
    <w:lvl w:ilvl="0">
      <w:lvlJc w:val="left"/>
      <w:lvlText w:val="●"/>
      <w:numFmt w:val="bullet"/>
      <w:start w:val="1"/>
    </w:lvl>
  </w:abstractNum>
  <w:abstractNum w:abstractNumId="5">
    <w:nsid w:val="885E1B"/>
    <w:multiLevelType w:val="hybridMultilevel"/>
    <w:lvl w:ilvl="0">
      <w:lvlJc w:val="left"/>
      <w:lvlText w:val="●"/>
      <w:numFmt w:val="bullet"/>
      <w:start w:val="1"/>
    </w:lvl>
  </w:abstractNum>
  <w:abstractNum w:abstractNumId="6">
    <w:nsid w:val="76272110"/>
    <w:multiLevelType w:val="hybridMultilevel"/>
    <w:lvl w:ilvl="0">
      <w:lvlJc w:val="left"/>
      <w:lvlText w:val="●"/>
      <w:numFmt w:val="bullet"/>
      <w:start w:val="1"/>
    </w:lvl>
  </w:abstractNum>
  <w:abstractNum w:abstractNumId="7">
    <w:nsid w:val="4C04A8AF"/>
    <w:multiLevelType w:val="hybridMultilevel"/>
    <w:lvl w:ilvl="0">
      <w:lvlJc w:val="left"/>
      <w:lvlText w:val="●"/>
      <w:numFmt w:val="bullet"/>
      <w:start w:val="1"/>
    </w:lvl>
  </w:abstractNum>
  <w:abstractNum w:abstractNumId="8">
    <w:nsid w:val="1716703B"/>
    <w:multiLevelType w:val="hybridMultilevel"/>
    <w:lvl w:ilvl="0">
      <w:lvlJc w:val="left"/>
      <w:lvlText w:val="(%1)"/>
      <w:numFmt w:val="decimal"/>
      <w:start w:val="1"/>
    </w:lvl>
  </w:abstractNum>
  <w:abstractNum w:abstractNumId="9">
    <w:nsid w:val="14E17E33"/>
    <w:multiLevelType w:val="hybridMultilevel"/>
    <w:lvl w:ilvl="0">
      <w:lvlJc w:val="left"/>
      <w:lvlText w:val="(%1)"/>
      <w:numFmt w:val="decimal"/>
      <w:start w:val="1"/>
    </w:lvl>
  </w:abstractNum>
  <w:abstractNum w:abstractNumId="10">
    <w:nsid w:val="3222E7CD"/>
    <w:multiLevelType w:val="hybridMultilevel"/>
    <w:lvl w:ilvl="0">
      <w:lvlJc w:val="left"/>
      <w:lvlText w:val="●"/>
      <w:numFmt w:val="bullet"/>
      <w:start w:val="1"/>
    </w:lvl>
  </w:abstractNum>
  <w:abstractNum w:abstractNumId="11">
    <w:nsid w:val="74DE0EE3"/>
    <w:multiLevelType w:val="hybridMultilevel"/>
    <w:lvl w:ilvl="0">
      <w:lvlJc w:val="left"/>
      <w:lvlText w:val="*"/>
      <w:numFmt w:val="bullet"/>
      <w:start w:val="1"/>
    </w:lvl>
  </w:abstractNum>
  <w:abstractNum w:abstractNumId="12">
    <w:nsid w:val="68EBC550"/>
    <w:multiLevelType w:val="hybridMultilevel"/>
    <w:lvl w:ilvl="0">
      <w:lvlJc w:val="left"/>
      <w:lvlText w:val="(%1)"/>
      <w:numFmt w:val="decimal"/>
      <w:start w:val="1"/>
    </w:lvl>
  </w:abstractNum>
  <w:abstractNum w:abstractNumId="13">
    <w:nsid w:val="2DF6D648"/>
    <w:multiLevelType w:val="hybridMultilevel"/>
    <w:lvl w:ilvl="0">
      <w:lvlJc w:val="left"/>
      <w:lvlText w:val="●"/>
      <w:numFmt w:val="bullet"/>
      <w:start w:val="1"/>
    </w:lvl>
  </w:abstractNum>
  <w:abstractNum w:abstractNumId="14">
    <w:nsid w:val="46B7D447"/>
    <w:multiLevelType w:val="hybridMultilevel"/>
    <w:lvl w:ilvl="0">
      <w:lvlJc w:val="left"/>
      <w:lvlText w:val="●"/>
      <w:numFmt w:val="bullet"/>
      <w:start w:val="1"/>
    </w:lvl>
  </w:abstractNum>
  <w:abstractNum w:abstractNumId="15">
    <w:nsid w:val="4A2AC315"/>
    <w:multiLevelType w:val="hybridMultilevel"/>
    <w:lvl w:ilvl="0">
      <w:lvlJc w:val="left"/>
      <w:lvlText w:val="●"/>
      <w:numFmt w:val="bullet"/>
      <w:start w:val="1"/>
    </w:lvl>
  </w:abstractNum>
  <w:abstractNum w:abstractNumId="16">
    <w:nsid w:val="39EE015C"/>
    <w:multiLevelType w:val="hybridMultilevel"/>
    <w:lvl w:ilvl="0">
      <w:lvlJc w:val="left"/>
      <w:lvlText w:val="(%1)"/>
      <w:numFmt w:val="lowerLetter"/>
      <w:start w:val="1"/>
    </w:lvl>
  </w:abstractNum>
  <w:abstractNum w:abstractNumId="17">
    <w:nsid w:val="57FC4FBB"/>
    <w:multiLevelType w:val="hybridMultilevel"/>
    <w:lvl w:ilvl="0">
      <w:lvlJc w:val="left"/>
      <w:lvlText w:val="(%1)"/>
      <w:numFmt w:val="lowerLetter"/>
      <w:start w:val="1"/>
    </w:lvl>
  </w:abstractNum>
  <w:abstractNum w:abstractNumId="18">
    <w:nsid w:val="CC1016F"/>
    <w:multiLevelType w:val="hybridMultilevel"/>
    <w:lvl w:ilvl="0">
      <w:lvlJc w:val="left"/>
      <w:lvlText w:val="(%1)"/>
      <w:numFmt w:val="lowerLetter"/>
      <w:start w:val="1"/>
    </w:lvl>
  </w:abstractNum>
  <w:abstractNum w:abstractNumId="19">
    <w:nsid w:val="43F18422"/>
    <w:multiLevelType w:val="hybridMultilevel"/>
    <w:lvl w:ilvl="0">
      <w:lvlJc w:val="left"/>
      <w:lvlText w:val="(%1)"/>
      <w:numFmt w:val="lowerLetter"/>
      <w:start w:val="1"/>
    </w:lvl>
  </w:abstractNum>
  <w:abstractNum w:abstractNumId="20">
    <w:nsid w:val="60EF0119"/>
    <w:multiLevelType w:val="hybridMultilevel"/>
    <w:lvl w:ilvl="0">
      <w:lvlJc w:val="left"/>
      <w:lvlText w:val="●"/>
      <w:numFmt w:val="bullet"/>
      <w:start w:val="1"/>
    </w:lvl>
  </w:abstractNum>
  <w:abstractNum w:abstractNumId="21">
    <w:nsid w:val="26F324BA"/>
    <w:multiLevelType w:val="hybridMultilevel"/>
    <w:lvl w:ilvl="0">
      <w:lvlJc w:val="left"/>
      <w:lvlText w:val="(**)"/>
      <w:numFmt w:val="bullet"/>
      <w:start w:val="1"/>
    </w:lvl>
  </w:abstractNum>
  <w:abstractNum w:abstractNumId="22">
    <w:nsid w:val="7F01579B"/>
    <w:multiLevelType w:val="hybridMultilevel"/>
    <w:lvl w:ilvl="0">
      <w:lvlJc w:val="left"/>
      <w:lvlText w:val="(*)"/>
      <w:numFmt w:val="bullet"/>
      <w:start w:val="1"/>
    </w:lvl>
  </w:abstractNum>
  <w:abstractNum w:abstractNumId="23">
    <w:nsid w:val="49DA307D"/>
    <w:multiLevelType w:val="hybridMultilevel"/>
    <w:lvl w:ilvl="0">
      <w:lvlJc w:val="left"/>
      <w:lvlText w:val="*"/>
      <w:numFmt w:val="bullet"/>
      <w:start w:val="1"/>
    </w:lvl>
  </w:abstractNum>
  <w:abstractNum w:abstractNumId="24">
    <w:nsid w:val="7055A5F5"/>
    <w:multiLevelType w:val="hybridMultilevel"/>
    <w:lvl w:ilvl="0">
      <w:lvlJc w:val="left"/>
      <w:lvlText w:val="%1."/>
      <w:numFmt w:val="upperLetter"/>
      <w:start w:val="1"/>
    </w:lvl>
  </w:abstractNum>
  <w:abstractNum w:abstractNumId="25">
    <w:nsid w:val="5FB8370B"/>
    <w:multiLevelType w:val="hybridMultilevel"/>
    <w:lvl w:ilvl="0">
      <w:lvlJc w:val="left"/>
      <w:lvlText w:val="%1."/>
      <w:numFmt w:val="upperLetter"/>
      <w:start w:val="2"/>
    </w:lvl>
  </w:abstractNum>
  <w:abstractNum w:abstractNumId="26">
    <w:nsid w:val="50801EE1"/>
    <w:multiLevelType w:val="hybridMultilevel"/>
    <w:lvl w:ilvl="0">
      <w:lvlJc w:val="left"/>
      <w:lvlText w:val="%1."/>
      <w:numFmt w:val="upperLetter"/>
      <w:start w:val="3"/>
    </w:lvl>
  </w:abstractNum>
  <w:abstractNum w:abstractNumId="27">
    <w:nsid w:val="488AC1A"/>
    <w:multiLevelType w:val="hybridMultilevel"/>
    <w:lvl w:ilvl="0">
      <w:lvlJc w:val="left"/>
      <w:lvlText w:val="%1."/>
      <w:numFmt w:val="upperLetter"/>
      <w:start w:val="4"/>
    </w:lvl>
  </w:abstractNum>
  <w:abstractNum w:abstractNumId="28">
    <w:nsid w:val="5FB8011C"/>
    <w:multiLevelType w:val="hybridMultilevel"/>
    <w:lvl w:ilvl="0">
      <w:lvlJc w:val="left"/>
      <w:lvlText w:val="%1."/>
      <w:numFmt w:val="upperLetter"/>
      <w:start w:val="1"/>
    </w:lvl>
  </w:abstractNum>
  <w:abstractNum w:abstractNumId="29">
    <w:nsid w:val="6AA78F7F"/>
    <w:multiLevelType w:val="hybridMultilevel"/>
    <w:lvl w:ilvl="0">
      <w:lvlJc w:val="left"/>
      <w:lvlText w:val="%1."/>
      <w:numFmt w:val="upperLetter"/>
      <w:start w:val="2"/>
    </w:lvl>
  </w:abstractNum>
  <w:abstractNum w:abstractNumId="30">
    <w:nsid w:val="7672BD23"/>
    <w:multiLevelType w:val="hybridMultilevel"/>
    <w:lvl w:ilvl="0">
      <w:lvlJc w:val="left"/>
      <w:lvlText w:val="%1."/>
      <w:numFmt w:val="upperLetter"/>
      <w:start w:val="3"/>
    </w:lvl>
  </w:abstractNum>
  <w:abstractNum w:abstractNumId="31">
    <w:nsid w:val="6FC75AF8"/>
    <w:multiLevelType w:val="hybridMultilevel"/>
    <w:lvl w:ilvl="0">
      <w:lvlJc w:val="left"/>
      <w:lvlText w:val="%1."/>
      <w:numFmt w:val="upperLetter"/>
      <w:start w:val="4"/>
    </w:lvl>
  </w:abstractNum>
  <w:abstractNum w:abstractNumId="32">
    <w:nsid w:val="6A5F7029"/>
    <w:multiLevelType w:val="hybridMultilevel"/>
    <w:lvl w:ilvl="0">
      <w:lvlJc w:val="left"/>
      <w:lvlText w:val="%1."/>
      <w:numFmt w:val="upperLetter"/>
      <w:start w:val="5"/>
    </w:lvl>
  </w:abstractNum>
  <w:abstractNum w:abstractNumId="33">
    <w:nsid w:val="7D5E18F8"/>
    <w:multiLevelType w:val="hybridMultilevel"/>
    <w:lvl w:ilvl="0">
      <w:lvlJc w:val="left"/>
      <w:lvlText w:val="%1."/>
      <w:numFmt w:val="upperLetter"/>
      <w:start w:val="6"/>
    </w:lvl>
  </w:abstractNum>
  <w:abstractNum w:abstractNumId="34">
    <w:nsid w:val="5F3534A4"/>
    <w:multiLevelType w:val="hybridMultilevel"/>
    <w:lvl w:ilvl="0">
      <w:lvlJc w:val="left"/>
      <w:lvlText w:val="%1."/>
      <w:numFmt w:val="upperLetter"/>
      <w:start w:val="7"/>
    </w:lvl>
  </w:abstractNum>
  <w:abstractNum w:abstractNumId="35">
    <w:nsid w:val="73A1821B"/>
    <w:multiLevelType w:val="hybridMultilevel"/>
    <w:lvl w:ilvl="0">
      <w:lvlJc w:val="left"/>
      <w:lvlText w:val="%1."/>
      <w:numFmt w:val="upperLetter"/>
      <w:start w:val="8"/>
    </w:lvl>
  </w:abstractNum>
  <w:abstractNum w:abstractNumId="36">
    <w:nsid w:val="7DE67713"/>
    <w:multiLevelType w:val="hybridMultilevel"/>
    <w:lvl w:ilvl="0">
      <w:lvlJc w:val="left"/>
      <w:lvlText w:val="%1."/>
      <w:numFmt w:val="upperLetter"/>
      <w:start w:val="9"/>
    </w:lvl>
  </w:abstractNum>
  <w:abstractNum w:abstractNumId="37">
    <w:nsid w:val="555C55B5"/>
    <w:multiLevelType w:val="hybridMultilevel"/>
    <w:lvl w:ilvl="0">
      <w:lvlJc w:val="left"/>
      <w:lvlText w:val="%1."/>
      <w:numFmt w:val="upperLetter"/>
      <w:start w:val="10"/>
    </w:lvl>
  </w:abstractNum>
  <w:abstractNum w:abstractNumId="38">
    <w:nsid w:val="3FA62ACA"/>
    <w:multiLevelType w:val="hybridMultilevel"/>
    <w:lvl w:ilvl="0">
      <w:lvlJc w:val="left"/>
      <w:lvlText w:val="%1."/>
      <w:numFmt w:val="upperLetter"/>
      <w:start w:val="11"/>
    </w:lvl>
  </w:abstractNum>
  <w:abstractNum w:abstractNumId="39">
    <w:nsid w:val="14FCE74E"/>
    <w:multiLevelType w:val="hybridMultilevel"/>
    <w:lvl w:ilvl="0">
      <w:lvlJc w:val="left"/>
      <w:lvlText w:val="%1."/>
      <w:numFmt w:val="upperLetter"/>
      <w:start w:val="12"/>
    </w:lvl>
  </w:abstractNum>
  <w:abstractNum w:abstractNumId="40">
    <w:nsid w:val="6A3DD3E8"/>
    <w:multiLevelType w:val="hybridMultilevel"/>
    <w:lvl w:ilvl="0">
      <w:lvlJc w:val="left"/>
      <w:lvlText w:val="%1."/>
      <w:numFmt w:val="upperLetter"/>
      <w:start w:val="13"/>
    </w:lvl>
  </w:abstractNum>
  <w:abstractNum w:abstractNumId="41">
    <w:nsid w:val="71C91298"/>
    <w:multiLevelType w:val="hybridMultilevel"/>
    <w:lvl w:ilvl="0">
      <w:lvlJc w:val="left"/>
      <w:lvlText w:val="%1."/>
      <w:numFmt w:val="upperLetter"/>
      <w:start w:val="14"/>
    </w:lvl>
  </w:abstractNum>
  <w:abstractNum w:abstractNumId="42">
    <w:nsid w:val="9DAF632"/>
    <w:multiLevelType w:val="hybridMultilevel"/>
    <w:lvl w:ilvl="0">
      <w:lvlJc w:val="left"/>
      <w:lvlText w:val="(%1)"/>
      <w:numFmt w:val="lowerRoman"/>
      <w:start w:val="1"/>
    </w:lvl>
  </w:abstractNum>
  <w:abstractNum w:abstractNumId="43">
    <w:nsid w:val="53299938"/>
    <w:multiLevelType w:val="hybridMultilevel"/>
    <w:lvl w:ilvl="0">
      <w:lvlJc w:val="left"/>
      <w:lvlText w:val="(*)"/>
      <w:numFmt w:val="bullet"/>
      <w:start w:val="1"/>
    </w:lvl>
  </w:abstractNum>
  <w:abstractNum w:abstractNumId="44">
    <w:nsid w:val="1FBFE8E0"/>
    <w:multiLevelType w:val="hybridMultilevel"/>
    <w:lvl w:ilvl="0">
      <w:lvlJc w:val="left"/>
      <w:lvlText w:val="%1)"/>
      <w:numFmt w:val="lowerLetter"/>
      <w:start w:val="1"/>
    </w:lvl>
  </w:abstractNum>
  <w:abstractNum w:abstractNumId="45">
    <w:nsid w:val="5092CA79"/>
    <w:multiLevelType w:val="hybridMultilevel"/>
    <w:lvl w:ilvl="0">
      <w:lvlJc w:val="left"/>
      <w:lvlText w:val="(*)"/>
      <w:numFmt w:val="bullet"/>
      <w:start w:val="1"/>
    </w:lvl>
  </w:abstractNum>
  <w:abstractNum w:abstractNumId="46">
    <w:nsid w:val="1D545C4D"/>
    <w:multiLevelType w:val="hybridMultilevel"/>
    <w:lvl w:ilvl="0">
      <w:lvlJc w:val="left"/>
      <w:lvlText w:val="(**)"/>
      <w:numFmt w:val="bullet"/>
      <w:start w:val="1"/>
    </w:lvl>
  </w:abstractNum>
  <w:abstractNum w:abstractNumId="47">
    <w:nsid w:val="59ADEA3D"/>
    <w:multiLevelType w:val="hybridMultilevel"/>
    <w:lvl w:ilvl="0">
      <w:lvlJc w:val="left"/>
      <w:lvlText w:val="(*)"/>
      <w:numFmt w:val="bullet"/>
      <w:start w:val="1"/>
    </w:lvl>
  </w:abstractNum>
  <w:abstractNum w:abstractNumId="48">
    <w:nsid w:val="288F1A34"/>
    <w:multiLevelType w:val="hybridMultilevel"/>
    <w:lvl w:ilvl="0">
      <w:lvlJc w:val="left"/>
      <w:lvlText w:val="(**)"/>
      <w:numFmt w:val="bullet"/>
      <w:start w:val="1"/>
    </w:lvl>
  </w:abstractNum>
  <w:abstractNum w:abstractNumId="49">
    <w:nsid w:val="2A155DBC"/>
    <w:multiLevelType w:val="hybridMultilevel"/>
    <w:lvl w:ilvl="0">
      <w:lvlJc w:val="left"/>
      <w:lvlText w:val="(**)"/>
      <w:numFmt w:val="bullet"/>
      <w:start w:val="1"/>
    </w:lvl>
  </w:abstractNum>
  <w:abstractNum w:abstractNumId="50">
    <w:nsid w:val="1D9F6E5F"/>
    <w:multiLevelType w:val="hybridMultilevel"/>
    <w:lvl w:ilvl="0">
      <w:lvlJc w:val="left"/>
      <w:lvlText w:val="(*)"/>
      <w:numFmt w:val="bullet"/>
      <w:start w:val="1"/>
    </w:lvl>
  </w:abstractNum>
  <w:abstractNum w:abstractNumId="51">
    <w:nsid w:val="97E1B4E"/>
    <w:multiLevelType w:val="hybridMultilevel"/>
    <w:lvl w:ilvl="0">
      <w:lvlJc w:val="left"/>
      <w:lvlText w:val="%1."/>
      <w:numFmt w:val="upperLetter"/>
      <w:start w:val="1"/>
    </w:lvl>
  </w:abstractNum>
  <w:abstractNum w:abstractNumId="52">
    <w:nsid w:val="51088277"/>
    <w:multiLevelType w:val="hybridMultilevel"/>
    <w:lvl w:ilvl="0">
      <w:lvlJc w:val="left"/>
      <w:lvlText w:val="(**)"/>
      <w:numFmt w:val="bullet"/>
      <w:start w:val="1"/>
    </w:lvl>
  </w:abstractNum>
  <w:abstractNum w:abstractNumId="53">
    <w:nsid w:val="1CA0C5FA"/>
    <w:multiLevelType w:val="hybridMultilevel"/>
    <w:lvl w:ilvl="0">
      <w:lvlJc w:val="left"/>
      <w:lvlText w:val="(*)"/>
      <w:numFmt w:val="bullet"/>
      <w:start w:val="1"/>
    </w:lvl>
  </w:abstractNum>
  <w:abstractNum w:abstractNumId="54">
    <w:nsid w:val="53584BCB"/>
    <w:multiLevelType w:val="hybridMultilevel"/>
    <w:lvl w:ilvl="0">
      <w:lvlJc w:val="left"/>
      <w:lvlText w:val="(*)"/>
      <w:numFmt w:val="bullet"/>
      <w:start w:val="1"/>
    </w:lvl>
  </w:abstractNum>
  <w:abstractNum w:abstractNumId="55">
    <w:nsid w:val="415E286C"/>
    <w:multiLevelType w:val="hybridMultilevel"/>
    <w:lvl w:ilvl="0">
      <w:lvlJc w:val="left"/>
      <w:lvlText w:val="(**)"/>
      <w:numFmt w:val="bullet"/>
      <w:start w:val="1"/>
    </w:lvl>
  </w:abstractNum>
  <w:abstractNum w:abstractNumId="56">
    <w:nsid w:val="7C58FD05"/>
    <w:multiLevelType w:val="hybridMultilevel"/>
    <w:lvl w:ilvl="0">
      <w:lvlJc w:val="left"/>
      <w:lvlText w:val="(***)"/>
      <w:numFmt w:val="bullet"/>
      <w:start w:val="1"/>
    </w:lvl>
  </w:abstractNum>
  <w:abstractNum w:abstractNumId="57">
    <w:nsid w:val="23D86AAC"/>
    <w:multiLevelType w:val="hybridMultilevel"/>
    <w:lvl w:ilvl="0">
      <w:lvlJc w:val="left"/>
      <w:lvlText w:val="%1."/>
      <w:numFmt w:val="upperLetter"/>
      <w:start w:val="1"/>
    </w:lvl>
  </w:abstractNum>
  <w:abstractNum w:abstractNumId="58">
    <w:nsid w:val="45E6D486"/>
    <w:multiLevelType w:val="hybridMultilevel"/>
    <w:lvl w:ilvl="0">
      <w:lvlJc w:val="left"/>
      <w:lvlText w:val="%1."/>
      <w:numFmt w:val="upperLetter"/>
      <w:start w:val="4"/>
    </w:lvl>
  </w:abstractNum>
  <w:abstractNum w:abstractNumId="59">
    <w:nsid w:val="5C10FE21"/>
    <w:multiLevelType w:val="hybridMultilevel"/>
    <w:lvl w:ilvl="0">
      <w:lvlJc w:val="left"/>
      <w:lvlText w:val="%1)"/>
      <w:numFmt w:val="lowerLetter"/>
      <w:start w:val="1"/>
    </w:lvl>
  </w:abstractNum>
  <w:abstractNum w:abstractNumId="60">
    <w:nsid w:val="E7FFA2B"/>
    <w:multiLevelType w:val="hybridMultilevel"/>
    <w:lvl w:ilvl="0">
      <w:lvlJc w:val="left"/>
      <w:lvlText w:val="(*)"/>
      <w:numFmt w:val="bullet"/>
      <w:start w:val="1"/>
    </w:lvl>
  </w:abstractNum>
  <w:abstractNum w:abstractNumId="61">
    <w:nsid w:val="3C5991AA"/>
    <w:multiLevelType w:val="hybridMultilevel"/>
    <w:lvl w:ilvl="0">
      <w:lvlJc w:val="left"/>
      <w:lvlText w:val="$"/>
      <w:numFmt w:val="bullet"/>
      <w:start w:val="1"/>
    </w:lvl>
  </w:abstractNum>
  <w:abstractNum w:abstractNumId="62">
    <w:nsid w:val="4BD8591A"/>
    <w:multiLevelType w:val="hybridMultilevel"/>
    <w:lvl w:ilvl="0">
      <w:lvlJc w:val="left"/>
      <w:lvlText w:val="$"/>
      <w:numFmt w:val="bullet"/>
      <w:start w:val="1"/>
    </w:lvl>
  </w:abstractNum>
  <w:abstractNum w:abstractNumId="63">
    <w:nsid w:val="78DF6A55"/>
    <w:multiLevelType w:val="hybridMultilevel"/>
    <w:lvl w:ilvl="0">
      <w:lvlJc w:val="left"/>
      <w:lvlText w:val="(**)"/>
      <w:numFmt w:val="bullet"/>
      <w:start w:val="1"/>
    </w:lvl>
  </w:abstractNum>
  <w:abstractNum w:abstractNumId="64">
    <w:nsid w:val="39B7AAA2"/>
    <w:multiLevelType w:val="hybridMultilevel"/>
    <w:lvl w:ilvl="0">
      <w:lvlJc w:val="left"/>
      <w:lvlText w:val="(*)"/>
      <w:numFmt w:val="bullet"/>
      <w:start w:val="1"/>
    </w:lvl>
  </w:abstractNum>
  <w:abstractNum w:abstractNumId="65">
    <w:nsid w:val="2B0D8DBE"/>
    <w:multiLevelType w:val="hybridMultilevel"/>
    <w:lvl w:ilvl="0">
      <w:lvlJc w:val="left"/>
      <w:lvlText w:val="(%1)"/>
      <w:numFmt w:val="decimal"/>
      <w:start w:val="1"/>
    </w:lvl>
    <w:lvl w:ilvl="1">
      <w:lvlJc w:val="left"/>
      <w:lvlText w:val="(%2)"/>
      <w:numFmt w:val="lowerRoman"/>
      <w:start w:val="1"/>
    </w:lvl>
  </w:abstractNum>
  <w:abstractNum w:abstractNumId="66">
    <w:nsid w:val="6C80EC70"/>
    <w:multiLevelType w:val="hybridMultilevel"/>
    <w:lvl w:ilvl="0">
      <w:lvlJc w:val="left"/>
      <w:lvlText w:val="†"/>
      <w:numFmt w:val="bullet"/>
      <w:start w:val="1"/>
    </w:lvl>
  </w:abstractNum>
  <w:abstractNum w:abstractNumId="67">
    <w:nsid w:val="379E21B5"/>
    <w:multiLevelType w:val="hybridMultilevel"/>
    <w:lvl w:ilvl="0">
      <w:lvlJc w:val="left"/>
      <w:lvlText w:val="&amp;"/>
      <w:numFmt w:val="bullet"/>
      <w:start w:val="1"/>
    </w:lvl>
  </w:abstractNum>
  <w:abstractNum w:abstractNumId="68">
    <w:nsid w:val="69E37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9">
    <w:nsid w:val="2C27173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70">
    <w:nsid w:val="4C9B0904"/>
    <w:multiLevelType w:val="hybridMultilevel"/>
    <w:lvl w:ilvl="0">
      <w:lvlJc w:val="left"/>
      <w:lvlText w:val="(%1)"/>
      <w:numFmt w:val="lowerRoman"/>
      <w:start w:val="2"/>
    </w:lvl>
  </w:abstractNum>
  <w:abstractNum w:abstractNumId="71">
    <w:nsid w:val="6AA7B75C"/>
    <w:multiLevelType w:val="hybridMultilevel"/>
    <w:lvl w:ilvl="0">
      <w:lvlJc w:val="left"/>
      <w:lvlText w:val="(%1)"/>
      <w:numFmt w:val="lowerRoman"/>
      <w:start w:val="4"/>
    </w:lvl>
  </w:abstractNum>
  <w:abstractNum w:abstractNumId="72">
    <w:nsid w:val="1DF029D3"/>
    <w:multiLevelType w:val="hybridMultilevel"/>
    <w:lvl w:ilvl="0">
      <w:lvlJc w:val="left"/>
      <w:lvlText w:val="(%1)"/>
      <w:numFmt w:val="lowerLetter"/>
      <w:start w:val="2"/>
    </w:lvl>
  </w:abstractNum>
  <w:abstractNum w:abstractNumId="73">
    <w:nsid w:val="5675FF36"/>
    <w:multiLevelType w:val="hybridMultilevel"/>
    <w:lvl w:ilvl="0">
      <w:lvlJc w:val="left"/>
      <w:lvlText w:val="(%1)"/>
      <w:numFmt w:val="lowerLetter"/>
      <w:start w:val="8"/>
    </w:lvl>
  </w:abstractNum>
  <w:abstractNum w:abstractNumId="74">
    <w:nsid w:val="3DD15094"/>
    <w:multiLevelType w:val="hybridMultilevel"/>
    <w:lvl w:ilvl="0">
      <w:lvlJc w:val="left"/>
      <w:lvlText w:val="(%1)"/>
      <w:numFmt w:val="lowerLetter"/>
      <w:start w:val="12"/>
    </w:lvl>
  </w:abstractNum>
  <w:abstractNum w:abstractNumId="75">
    <w:nsid w:val="3DB012B3"/>
    <w:multiLevelType w:val="hybridMultilevel"/>
    <w:lvl w:ilvl="0">
      <w:lvlJc w:val="left"/>
      <w:lvlText w:val="(%1)"/>
      <w:numFmt w:val="lowerLetter"/>
      <w:start w:val="18"/>
    </w:lvl>
  </w:abstractNum>
  <w:abstractNum w:abstractNumId="76">
    <w:nsid w:val="2708C9AF"/>
    <w:multiLevelType w:val="hybridMultilevel"/>
    <w:lvl w:ilvl="0">
      <w:lvlJc w:val="left"/>
      <w:lvlText w:val="(%1)"/>
      <w:numFmt w:val="lowerLetter"/>
      <w:start w:val="21"/>
    </w:lvl>
  </w:abstractNum>
  <w:abstractNum w:abstractNumId="77">
    <w:nsid w:val="5B25ACE2"/>
    <w:multiLevelType w:val="hybridMultilevel"/>
    <w:lvl w:ilvl="0">
      <w:lvlJc w:val="left"/>
      <w:lvlText w:val="%1"/>
      <w:numFmt w:val="lowerLetter"/>
      <w:start w:val="1"/>
    </w:lvl>
    <w:lvl w:ilvl="1">
      <w:lvlJc w:val="left"/>
      <w:lvlText w:val="(%2)"/>
      <w:numFmt w:val="lowerLetter"/>
      <w:start w:val="24"/>
    </w:lvl>
  </w:abstractNum>
  <w:abstractNum w:abstractNumId="78">
    <w:nsid w:val="175DFCF0"/>
    <w:multiLevelType w:val="hybridMultilevel"/>
    <w:lvl w:ilvl="0">
      <w:lvlJc w:val="left"/>
      <w:lvlText w:val="(%1)"/>
      <w:numFmt w:val="lowerLetter"/>
      <w:start w:val="61"/>
    </w:lvl>
    <w:lvl w:ilvl="1">
      <w:lvlJc w:val="left"/>
      <w:lvlText w:val="(%2)"/>
      <w:numFmt w:val="lowerLetter"/>
      <w:start w:val="25"/>
    </w:lvl>
  </w:abstractNum>
  <w:abstractNum w:abstractNumId="79">
    <w:nsid w:val="4F97E3E4"/>
    <w:multiLevelType w:val="hybridMultilevel"/>
    <w:lvl w:ilvl="0">
      <w:lvlJc w:val="left"/>
      <w:lvlText w:val="%1"/>
      <w:numFmt w:val="lowerRoman"/>
      <w:start w:val="1"/>
    </w:lvl>
    <w:lvl w:ilvl="1">
      <w:lvlJc w:val="left"/>
      <w:lvlText w:val="(%2)"/>
      <w:numFmt w:val="lowerLetter"/>
      <w:start w:val="27"/>
    </w:lvl>
  </w:abstractNum>
  <w:abstractNum w:abstractNumId="80">
    <w:nsid w:val="53B0A9E"/>
    <w:multiLevelType w:val="hybridMultilevel"/>
    <w:lvl w:ilvl="0">
      <w:lvlJc w:val="left"/>
      <w:lvlText w:val="(%1)"/>
      <w:numFmt w:val="lowerRoman"/>
      <w:start w:val="4"/>
    </w:lvl>
    <w:lvl w:ilvl="1">
      <w:lvlJc w:val="left"/>
      <w:lvlText w:val="(%2)"/>
      <w:numFmt w:val="lowerLetter"/>
      <w:start w:val="29"/>
    </w:lvl>
  </w:abstractNum>
  <w:abstractNum w:abstractNumId="81">
    <w:nsid w:val="34FD6B4F"/>
    <w:multiLevelType w:val="hybridMultilevel"/>
    <w:lvl w:ilvl="0">
      <w:lvlJc w:val="left"/>
      <w:lvlText w:val="(%1)"/>
      <w:numFmt w:val="lowerLetter"/>
      <w:start w:val="30"/>
    </w:lvl>
  </w:abstractNum>
  <w:abstractNum w:abstractNumId="82">
    <w:nsid w:val="5915FF32"/>
    <w:multiLevelType w:val="hybridMultilevel"/>
    <w:lvl w:ilvl="0">
      <w:lvlJc w:val="left"/>
      <w:lvlText w:val="(%1)"/>
      <w:numFmt w:val="lowerLetter"/>
      <w:start w:val="32"/>
    </w:lvl>
  </w:abstractNum>
  <w:abstractNum w:abstractNumId="83">
    <w:nsid w:val="56438D15"/>
    <w:multiLevelType w:val="hybridMultilevel"/>
    <w:lvl w:ilvl="0">
      <w:lvlJc w:val="left"/>
      <w:lvlText w:val="(%1)"/>
      <w:numFmt w:val="lowerLetter"/>
      <w:start w:val="35"/>
    </w:lvl>
  </w:abstractNum>
  <w:abstractNum w:abstractNumId="84">
    <w:nsid w:val="519E3149"/>
    <w:multiLevelType w:val="hybridMultilevel"/>
    <w:lvl w:ilvl="0">
      <w:lvlJc w:val="left"/>
      <w:lvlText w:val="(%1)"/>
      <w:numFmt w:val="lowerLetter"/>
      <w:start w:val="39"/>
    </w:lvl>
  </w:abstractNum>
  <w:abstractNum w:abstractNumId="85">
    <w:nsid w:val="2C6E4AFD"/>
    <w:multiLevelType w:val="hybridMultilevel"/>
    <w:lvl w:ilvl="0">
      <w:lvlJc w:val="left"/>
      <w:lvlText w:val="(%1)"/>
      <w:numFmt w:val="lowerLetter"/>
      <w:start w:val="43"/>
    </w:lvl>
  </w:abstractNum>
  <w:abstractNum w:abstractNumId="86">
    <w:nsid w:val="17A1B582"/>
    <w:multiLevelType w:val="hybridMultilevel"/>
    <w:lvl w:ilvl="0">
      <w:lvlJc w:val="left"/>
      <w:lvlText w:val="(%1)"/>
      <w:numFmt w:val="lowerLetter"/>
      <w:start w:val="45"/>
    </w:lvl>
  </w:abstractNum>
  <w:abstractNum w:abstractNumId="87">
    <w:nsid w:val="4DF72E4E"/>
    <w:multiLevelType w:val="hybridMultilevel"/>
    <w:lvl w:ilvl="0">
      <w:lvlJc w:val="left"/>
      <w:lvlText w:val="(%1)"/>
      <w:numFmt w:val="lowerLetter"/>
      <w:start w:val="51"/>
    </w:lvl>
  </w:abstractNum>
  <w:abstractNum w:abstractNumId="88">
    <w:nsid w:val="5046B5A9"/>
    <w:multiLevelType w:val="hybridMultilevel"/>
    <w:lvl w:ilvl="0">
      <w:lvlJc w:val="left"/>
      <w:lvlText w:val="(%1)"/>
      <w:numFmt w:val="lowerLetter"/>
      <w:start w:val="53"/>
    </w:lvl>
  </w:abstractNum>
  <w:abstractNum w:abstractNumId="89">
    <w:nsid w:val="5D888A08"/>
    <w:multiLevelType w:val="hybridMultilevel"/>
    <w:lvl w:ilvl="0">
      <w:lvlJc w:val="left"/>
      <w:lvlText w:val="(%1)"/>
      <w:numFmt w:val="lowerLetter"/>
      <w:start w:val="57"/>
    </w:lvl>
  </w:abstractNum>
  <w:abstractNum w:abstractNumId="90">
    <w:nsid w:val="2A082C70"/>
    <w:multiLevelType w:val="hybridMultilevel"/>
    <w:lvl w:ilvl="0">
      <w:lvlJc w:val="left"/>
      <w:lvlText w:val="%1."/>
      <w:numFmt w:val="decimal"/>
      <w:start w:val="2"/>
    </w:lvl>
  </w:abstractNum>
  <w:abstractNum w:abstractNumId="91">
    <w:nsid w:val="5EC6AFD4"/>
    <w:multiLevelType w:val="hybridMultilevel"/>
    <w:lvl w:ilvl="0">
      <w:lvlJc w:val="left"/>
      <w:lvlText w:val="%1"/>
      <w:numFmt w:val="lowerLetter"/>
      <w:start w:val="1"/>
    </w:lvl>
    <w:lvl w:ilvl="1">
      <w:lvlJc w:val="left"/>
      <w:lvlText w:val="%2."/>
      <w:numFmt w:val="decimal"/>
      <w:start w:val="3"/>
    </w:lvl>
  </w:abstractNum>
  <w:abstractNum w:abstractNumId="92">
    <w:nsid w:val="19E21BB2"/>
    <w:multiLevelType w:val="hybridMultilevel"/>
    <w:lvl w:ilvl="0">
      <w:lvlJc w:val="left"/>
      <w:lvlText w:val="(%1)"/>
      <w:numFmt w:val="lowerLetter"/>
      <w:start w:val="2"/>
    </w:lvl>
    <w:lvl w:ilvl="1">
      <w:lvlJc w:val="left"/>
      <w:lvlText w:val="%2."/>
      <w:numFmt w:val="decimal"/>
      <w:start w:val="4"/>
    </w:lvl>
  </w:abstractNum>
  <w:abstractNum w:abstractNumId="93">
    <w:nsid w:val="75E0858A"/>
    <w:multiLevelType w:val="hybridMultilevel"/>
    <w:lvl w:ilvl="0">
      <w:lvlJc w:val="left"/>
      <w:lvlText w:val="%1."/>
      <w:numFmt w:val="decimal"/>
      <w:start w:val="5"/>
    </w:lvl>
  </w:abstractNum>
  <w:abstractNum w:abstractNumId="94">
    <w:nsid w:val="57A61A29"/>
    <w:multiLevelType w:val="hybridMultilevel"/>
    <w:lvl w:ilvl="0">
      <w:lvlJc w:val="left"/>
      <w:lvlText w:val="%1."/>
      <w:numFmt w:val="decimal"/>
      <w:start w:val="6"/>
    </w:lvl>
  </w:abstractNum>
  <w:abstractNum w:abstractNumId="95">
    <w:nsid w:val="5399C654"/>
    <w:multiLevelType w:val="hybridMultilevel"/>
    <w:lvl w:ilvl="0">
      <w:lvlJc w:val="left"/>
      <w:lvlText w:val="(%1)"/>
      <w:numFmt w:val="lowerRoman"/>
      <w:start w:val="1"/>
    </w:lvl>
  </w:abstractNum>
  <w:abstractNum w:abstractNumId="96">
    <w:nsid w:val="20EE1348"/>
    <w:multiLevelType w:val="hybridMultilevel"/>
    <w:lvl w:ilvl="0">
      <w:lvlJc w:val="left"/>
      <w:lvlText w:val="(%1)"/>
      <w:numFmt w:val="lowerRoman"/>
      <w:start w:val="5"/>
    </w:lvl>
  </w:abstractNum>
  <w:abstractNum w:abstractNumId="97">
    <w:nsid w:val="4427069A"/>
    <w:multiLevelType w:val="hybridMultilevel"/>
    <w:lvl w:ilvl="0">
      <w:lvlJc w:val="left"/>
      <w:lvlText w:val="(%1)"/>
      <w:numFmt w:val="lowerRoman"/>
      <w:start w:val="10"/>
    </w:lvl>
  </w:abstractNum>
  <w:abstractNum w:abstractNumId="98">
    <w:nsid w:val="B37E80A"/>
    <w:multiLevelType w:val="hybridMultilevel"/>
    <w:lvl w:ilvl="0">
      <w:lvlJc w:val="left"/>
      <w:lvlText w:val="(%1)"/>
      <w:numFmt w:val="lowerRoman"/>
      <w:start w:val="13"/>
    </w:lvl>
  </w:abstractNum>
  <w:abstractNum w:abstractNumId="99">
    <w:nsid w:val="2157F6BC"/>
    <w:multiLevelType w:val="hybridMultilevel"/>
    <w:lvl w:ilvl="0">
      <w:lvlJc w:val="left"/>
      <w:lvlText w:val="(%1)"/>
      <w:numFmt w:val="lowerLetter"/>
      <w:start w:val="2"/>
    </w:lvl>
  </w:abstractNum>
  <w:abstractNum w:abstractNumId="100">
    <w:nsid w:val="704E1DD5"/>
    <w:multiLevelType w:val="hybridMultilevel"/>
    <w:lvl w:ilvl="0">
      <w:lvlJc w:val="left"/>
      <w:lvlText w:val="%1."/>
      <w:numFmt w:val="decimal"/>
      <w:start w:val="7"/>
    </w:lvl>
  </w:abstractNum>
  <w:abstractNum w:abstractNumId="101">
    <w:nsid w:val="57D2F10E"/>
    <w:multiLevelType w:val="hybridMultilevel"/>
    <w:lvl w:ilvl="0">
      <w:lvlJc w:val="left"/>
      <w:lvlText w:val="%1."/>
      <w:numFmt w:val="decimal"/>
      <w:start w:val="8"/>
    </w:lvl>
  </w:abstractNum>
  <w:abstractNum w:abstractNumId="102">
    <w:nsid w:val="BFFAE18"/>
    <w:multiLevelType w:val="hybridMultilevel"/>
    <w:lvl w:ilvl="0">
      <w:lvlJc w:val="left"/>
      <w:lvlText w:val="(%1)"/>
      <w:numFmt w:val="lowerLetter"/>
      <w:start w:val="1"/>
    </w:lvl>
  </w:abstractNum>
  <w:abstractNum w:abstractNumId="103">
    <w:nsid w:val="E3E47A8"/>
    <w:multiLevelType w:val="hybridMultilevel"/>
    <w:lvl w:ilvl="0">
      <w:lvlJc w:val="left"/>
      <w:lvlText w:val="(%1)"/>
      <w:numFmt w:val="lowerLetter"/>
      <w:start w:val="3"/>
    </w:lvl>
  </w:abstractNum>
  <w:abstractNum w:abstractNumId="104">
    <w:nsid w:val="2E48F044"/>
    <w:multiLevelType w:val="hybridMultilevel"/>
    <w:lvl w:ilvl="0">
      <w:lvlJc w:val="left"/>
      <w:lvlText w:val="(%1)"/>
      <w:numFmt w:val="lowerLetter"/>
      <w:start w:val="8"/>
    </w:lvl>
  </w:abstractNum>
  <w:abstractNum w:abstractNumId="105">
    <w:nsid w:val="49D0FEAC"/>
    <w:multiLevelType w:val="hybridMultilevel"/>
    <w:lvl w:ilvl="0">
      <w:lvlJc w:val="left"/>
      <w:lvlText w:val="%1"/>
      <w:numFmt w:val="lowerLetter"/>
      <w:start w:val="1"/>
    </w:lvl>
    <w:lvl w:ilvl="1">
      <w:lvlJc w:val="left"/>
      <w:lvlText w:val="(%2)"/>
      <w:numFmt w:val="lowerLetter"/>
      <w:start w:val="10"/>
    </w:lvl>
  </w:abstractNum>
  <w:abstractNum w:abstractNumId="106">
    <w:nsid w:val="4BEE5A5B"/>
    <w:multiLevelType w:val="hybridMultilevel"/>
    <w:lvl w:ilvl="0">
      <w:lvlJc w:val="left"/>
      <w:lvlText w:val="(%1)"/>
      <w:numFmt w:val="lowerLetter"/>
      <w:start w:val="61"/>
    </w:lvl>
    <w:lvl w:ilvl="1">
      <w:lvlJc w:val="left"/>
      <w:lvlText w:val="(%2)"/>
      <w:numFmt w:val="lowerLetter"/>
      <w:start w:val="11"/>
    </w:lvl>
  </w:abstractNum>
  <w:abstractNum w:abstractNumId="107">
    <w:nsid w:val="5551B9F3"/>
    <w:multiLevelType w:val="hybridMultilevel"/>
    <w:lvl w:ilvl="0">
      <w:lvlJc w:val="left"/>
      <w:lvlText w:val="%1."/>
      <w:numFmt w:val="decimal"/>
      <w:start w:val="9"/>
    </w:lvl>
  </w:abstractNum>
  <w:abstractNum w:abstractNumId="108">
    <w:nsid w:val="24F6AB8E"/>
    <w:multiLevelType w:val="hybridMultilevel"/>
    <w:lvl w:ilvl="0">
      <w:lvlJc w:val="left"/>
      <w:lvlText w:val="(%1)"/>
      <w:numFmt w:val="lowerLetter"/>
      <w:start w:val="1"/>
    </w:lvl>
    <w:lvl w:ilvl="1">
      <w:lvlJc w:val="left"/>
      <w:lvlText w:val="(%2)"/>
      <w:numFmt w:val="lowerRoman"/>
      <w:start w:val="1"/>
    </w:lvl>
  </w:abstractNum>
  <w:abstractNum w:abstractNumId="109">
    <w:nsid w:val="634C574C"/>
    <w:multiLevelType w:val="hybridMultilevel"/>
    <w:lvl w:ilvl="0">
      <w:lvlJc w:val="left"/>
      <w:lvlText w:val="(%1)"/>
      <w:numFmt w:val="lowerRoman"/>
      <w:start w:val="3"/>
    </w:lvl>
  </w:abstractNum>
  <w:abstractNum w:abstractNumId="110">
    <w:nsid w:val="24E99DD7"/>
    <w:multiLevelType w:val="hybridMultilevel"/>
    <w:lvl w:ilvl="0">
      <w:lvlJc w:val="left"/>
      <w:lvlText w:val="(%1)"/>
      <w:numFmt w:val="lowerLetter"/>
      <w:start w:val="2"/>
    </w:lvl>
  </w:abstractNum>
  <w:abstractNum w:abstractNumId="111">
    <w:nsid w:val="2A31B62D"/>
    <w:multiLevelType w:val="hybridMultilevel"/>
    <w:lvl w:ilvl="0">
      <w:lvlJc w:val="left"/>
      <w:lvlText w:val="(%1)"/>
      <w:numFmt w:val="lowerLetter"/>
      <w:start w:val="3"/>
    </w:lvl>
  </w:abstractNum>
  <w:abstractNum w:abstractNumId="112">
    <w:nsid w:val="1849C29B"/>
    <w:multiLevelType w:val="hybridMultilevel"/>
    <w:lvl w:ilvl="0">
      <w:lvlJc w:val="left"/>
      <w:lvlText w:val="(%1)"/>
      <w:numFmt w:val="lowerLetter"/>
      <w:start w:val="4"/>
    </w:lvl>
  </w:abstractNum>
  <w:abstractNum w:abstractNumId="113">
    <w:nsid w:val="7DFF9D09"/>
    <w:multiLevelType w:val="hybridMultilevel"/>
    <w:lvl w:ilvl="0">
      <w:lvlJc w:val="left"/>
      <w:lvlText w:val="%1."/>
      <w:numFmt w:val="decimal"/>
      <w:start w:val="10"/>
    </w:lvl>
  </w:abstractNum>
  <w:abstractNum w:abstractNumId="114">
    <w:nsid w:val="754342"/>
    <w:multiLevelType w:val="hybridMultilevel"/>
    <w:lvl w:ilvl="0">
      <w:lvlJc w:val="left"/>
      <w:lvlText w:val="(%1)"/>
      <w:numFmt w:val="lowerLetter"/>
      <w:start w:val="1"/>
    </w:lvl>
  </w:abstractNum>
  <w:abstractNum w:abstractNumId="115">
    <w:nsid w:val="69E7F3E5"/>
    <w:multiLevelType w:val="hybridMultilevel"/>
    <w:lvl w:ilvl="0">
      <w:lvlJc w:val="left"/>
      <w:lvlText w:val="(%1)"/>
      <w:numFmt w:val="lowerLetter"/>
      <w:start w:val="2"/>
    </w:lvl>
  </w:abstractNum>
  <w:abstractNum w:abstractNumId="116">
    <w:nsid w:val="2A6DE806"/>
    <w:multiLevelType w:val="hybridMultilevel"/>
    <w:lvl w:ilvl="0">
      <w:lvlJc w:val="left"/>
      <w:lvlText w:val="%1."/>
      <w:numFmt w:val="decimal"/>
      <w:start w:val="11"/>
    </w:lvl>
  </w:abstractNum>
  <w:abstractNum w:abstractNumId="117">
    <w:nsid w:val="1816F8C4"/>
    <w:multiLevelType w:val="hybridMultilevel"/>
    <w:lvl w:ilvl="0">
      <w:lvlJc w:val="left"/>
      <w:lvlText w:val="%1."/>
      <w:numFmt w:val="decimal"/>
      <w:start w:val="13"/>
    </w:lvl>
  </w:abstractNum>
  <w:abstractNum w:abstractNumId="118">
    <w:nsid w:val="37DF2233"/>
    <w:multiLevelType w:val="hybridMultilevel"/>
    <w:lvl w:ilvl="0">
      <w:lvlJc w:val="left"/>
      <w:lvlText w:val="%1."/>
      <w:numFmt w:val="decimal"/>
      <w:start w:val="15"/>
    </w:lvl>
    <w:lvl w:ilvl="1">
      <w:lvlJc w:val="left"/>
      <w:lvlText w:val="(%2)"/>
      <w:numFmt w:val="lowerLetter"/>
      <w:start w:val="1"/>
    </w:lvl>
  </w:abstractNum>
  <w:abstractNum w:abstractNumId="119">
    <w:nsid w:val="7AB49DAF"/>
    <w:multiLevelType w:val="hybridMultilevel"/>
    <w:lvl w:ilvl="0">
      <w:lvlJc w:val="left"/>
      <w:lvlText w:val="(%1)"/>
      <w:numFmt w:val="lowerLetter"/>
      <w:start w:val="2"/>
    </w:lvl>
  </w:abstractNum>
  <w:abstractNum w:abstractNumId="120">
    <w:nsid w:val="759F82CD"/>
    <w:multiLevelType w:val="hybridMultilevel"/>
    <w:lvl w:ilvl="0">
      <w:lvlJc w:val="left"/>
      <w:lvlText w:val="%1."/>
      <w:numFmt w:val="decimal"/>
      <w:start w:val="16"/>
    </w:lvl>
  </w:abstractNum>
  <w:abstractNum w:abstractNumId="121">
    <w:nsid w:val="61E74EA3"/>
    <w:multiLevelType w:val="hybridMultilevel"/>
    <w:lvl w:ilvl="0">
      <w:lvlJc w:val="left"/>
      <w:lvlText w:val="%1."/>
      <w:numFmt w:val="decimal"/>
      <w:start w:val="18"/>
    </w:lvl>
  </w:abstractNum>
  <w:abstractNum w:abstractNumId="122">
    <w:nsid w:val="597B4D84"/>
    <w:multiLevelType w:val="hybridMultilevel"/>
    <w:lvl w:ilvl="0">
      <w:lvlJc w:val="left"/>
      <w:lvlText w:val="(%1)"/>
      <w:numFmt w:val="lowerLetter"/>
      <w:start w:val="1"/>
    </w:lvl>
  </w:abstractNum>
  <w:abstractNum w:abstractNumId="123">
    <w:nsid w:val="F819E7F"/>
    <w:multiLevelType w:val="hybridMultilevel"/>
    <w:lvl w:ilvl="0">
      <w:lvlJc w:val="left"/>
      <w:lvlText w:val="(%1)"/>
      <w:numFmt w:val="lowerLetter"/>
      <w:start w:val="9"/>
    </w:lvl>
  </w:abstractNum>
  <w:abstractNum w:abstractNumId="124">
    <w:nsid w:val="57C7D42D"/>
    <w:multiLevelType w:val="hybridMultilevel"/>
    <w:lvl w:ilvl="0">
      <w:lvlJc w:val="left"/>
      <w:lvlText w:val="%1)"/>
      <w:numFmt w:val="lowerLetter"/>
      <w:start w:val="1"/>
    </w:lvl>
  </w:abstractNum>
  <w:abstractNum w:abstractNumId="125">
    <w:nsid w:val="312167AD"/>
    <w:multiLevelType w:val="hybridMultilevel"/>
    <w:lvl w:ilvl="0">
      <w:lvlJc w:val="left"/>
      <w:lvlText w:val="%1)"/>
      <w:numFmt w:val="lowerLetter"/>
      <w:start w:val="2"/>
    </w:lvl>
  </w:abstractNum>
  <w:abstractNum w:abstractNumId="126">
    <w:nsid w:val="631B64D4"/>
    <w:multiLevelType w:val="hybridMultilevel"/>
    <w:lvl w:ilvl="0">
      <w:lvlJc w:val="left"/>
      <w:lvlText w:val="(%1)"/>
      <w:numFmt w:val="upperLetter"/>
      <w:start w:val="1"/>
    </w:lvl>
  </w:abstractNum>
  <w:abstractNum w:abstractNumId="127">
    <w:nsid w:val="78B5E776"/>
    <w:multiLevelType w:val="hybridMultilevel"/>
    <w:lvl w:ilvl="0">
      <w:lvlJc w:val="left"/>
      <w:lvlText w:val="(%1)"/>
      <w:numFmt w:val="upperLetter"/>
      <w:start w:val="24"/>
    </w:lvl>
  </w:abstractNum>
  <w:abstractNum w:abstractNumId="128">
    <w:nsid w:val="75486E47"/>
    <w:multiLevelType w:val="hybridMultilevel"/>
    <w:lvl w:ilvl="0">
      <w:lvlJc w:val="left"/>
      <w:lvlText w:val="%1)"/>
      <w:numFmt w:val="lowerLetter"/>
      <w:start w:val="4"/>
    </w:lvl>
    <w:lvl w:ilvl="1">
      <w:lvlJc w:val="left"/>
      <w:lvlText w:val="%2."/>
      <w:numFmt w:val="lowerRoman"/>
      <w:start w:val="1"/>
    </w:lvl>
  </w:abstractNum>
  <w:abstractNum w:abstractNumId="129">
    <w:nsid w:val="6E534CDE"/>
    <w:multiLevelType w:val="hybridMultilevel"/>
    <w:lvl w:ilvl="0">
      <w:lvlJc w:val="left"/>
      <w:lvlText w:val="%1"/>
      <w:numFmt w:val="decimal"/>
      <w:start w:val="1"/>
    </w:lvl>
    <w:lvl w:ilvl="1">
      <w:lvlJc w:val="left"/>
      <w:lvlText w:val="%2."/>
      <w:numFmt w:val="lowerRoman"/>
      <w:start w:val="2"/>
    </w:lvl>
  </w:abstractNum>
  <w:abstractNum w:abstractNumId="130">
    <w:nsid w:val="1A0DDE32"/>
    <w:multiLevelType w:val="hybridMultilevel"/>
    <w:lvl w:ilvl="0">
      <w:lvlJc w:val="left"/>
      <w:lvlText w:val="(%1)"/>
      <w:numFmt w:val="decimal"/>
      <w:start w:val="2"/>
    </w:lvl>
    <w:lvl w:ilvl="1">
      <w:lvlJc w:val="left"/>
      <w:lvlText w:val="%2"/>
      <w:numFmt w:val="lowerRoman"/>
      <w:start w:val="1"/>
    </w:lvl>
  </w:abstractNum>
  <w:abstractNum w:abstractNumId="131">
    <w:nsid w:val="65968C1C"/>
    <w:multiLevelType w:val="hybridMultilevel"/>
    <w:lvl w:ilvl="0">
      <w:lvlJc w:val="left"/>
      <w:lvlText w:val="%1."/>
      <w:numFmt w:val="lowerRoman"/>
      <w:start w:val="6"/>
    </w:lvl>
  </w:abstractNum>
  <w:abstractNum w:abstractNumId="132">
    <w:nsid w:val="46263DEC"/>
    <w:multiLevelType w:val="hybridMultilevel"/>
    <w:lvl w:ilvl="0">
      <w:lvlJc w:val="left"/>
      <w:lvlText w:val="%1)"/>
      <w:numFmt w:val="lowerLetter"/>
      <w:start w:val="5"/>
    </w:lvl>
  </w:abstractNum>
  <w:abstractNum w:abstractNumId="133">
    <w:nsid w:val="260D8C4A"/>
    <w:multiLevelType w:val="hybridMultilevel"/>
    <w:lvl w:ilvl="0">
      <w:lvlJc w:val="left"/>
      <w:lvlText w:val="%1)"/>
      <w:numFmt w:val="lowerLetter"/>
      <w:start w:val="1"/>
    </w:lvl>
  </w:abstractNum>
  <w:abstractNum w:abstractNumId="134">
    <w:nsid w:val="73D4D3C4"/>
    <w:multiLevelType w:val="hybridMultilevel"/>
    <w:lvl w:ilvl="0">
      <w:lvlJc w:val="left"/>
      <w:lvlText w:val="%1)"/>
      <w:numFmt w:val="lowerLetter"/>
      <w:start w:val="4"/>
    </w:lvl>
  </w:abstractNum>
  <w:abstractNum w:abstractNumId="135">
    <w:nsid w:val="746F2E30"/>
    <w:multiLevelType w:val="hybridMultilevel"/>
    <w:lvl w:ilvl="0">
      <w:lvlJc w:val="left"/>
      <w:lvlText w:val="%1)"/>
      <w:numFmt w:val="lowerLetter"/>
      <w:start w:val="5"/>
    </w:lvl>
    <w:lvl w:ilvl="1">
      <w:lvlJc w:val="left"/>
      <w:lvlText w:val="%2."/>
      <w:numFmt w:val="lowerRoman"/>
      <w:start w:val="1"/>
    </w:lvl>
  </w:abstractNum>
  <w:abstractNum w:abstractNumId="136">
    <w:nsid w:val="6FDE8AF6"/>
    <w:multiLevelType w:val="hybridMultilevel"/>
    <w:lvl w:ilvl="0">
      <w:lvlJc w:val="left"/>
      <w:lvlText w:val="%1)"/>
      <w:numFmt w:val="lowerLetter"/>
      <w:start w:val="1"/>
    </w:lvl>
  </w:abstractNum>
  <w:abstractNum w:abstractNumId="137">
    <w:nsid w:val="3FC32E20"/>
    <w:multiLevelType w:val="hybridMultilevel"/>
    <w:lvl w:ilvl="0">
      <w:lvlJc w:val="left"/>
      <w:lvlText w:val="%1)"/>
      <w:numFmt w:val="lowerLetter"/>
      <w:start w:val="1"/>
    </w:lvl>
  </w:abstractNum>
  <w:abstractNum w:abstractNumId="138">
    <w:nsid w:val="49C0E823"/>
    <w:multiLevelType w:val="hybridMultilevel"/>
    <w:lvl w:ilvl="0">
      <w:lvlJc w:val="left"/>
      <w:lvlText w:val="%1)"/>
      <w:numFmt w:val="lowerLetter"/>
      <w:start w:val="3"/>
    </w:lvl>
  </w:abstractNum>
  <w:abstractNum w:abstractNumId="139">
    <w:nsid w:val="14D53685"/>
    <w:multiLevelType w:val="hybridMultilevel"/>
    <w:lvl w:ilvl="0">
      <w:lvlJc w:val="left"/>
      <w:lvlText w:val="%1)"/>
      <w:numFmt w:val="lowerLetter"/>
      <w:start w:val="5"/>
    </w:lvl>
  </w:abstractNum>
  <w:abstractNum w:abstractNumId="140">
    <w:nsid w:val="230F856C"/>
    <w:multiLevelType w:val="hybridMultilevel"/>
    <w:lvl w:ilvl="0">
      <w:lvlJc w:val="left"/>
      <w:lvlText w:val="%1)"/>
      <w:numFmt w:val="lowerLetter"/>
      <w:start w:val="8"/>
    </w:lvl>
  </w:abstractNum>
  <w:abstractNum w:abstractNumId="141">
    <w:nsid w:val="6EAA85FB"/>
    <w:multiLevelType w:val="hybridMultilevel"/>
    <w:lvl w:ilvl="0">
      <w:lvlJc w:val="left"/>
      <w:lvlText w:val="(%1)"/>
      <w:numFmt w:val="decimal"/>
      <w:start w:val="1"/>
    </w:lvl>
  </w:abstractNum>
  <w:abstractNum w:abstractNumId="142">
    <w:nsid w:val="3F06ECB2"/>
    <w:multiLevelType w:val="hybridMultilevel"/>
    <w:lvl w:ilvl="0">
      <w:lvlJc w:val="left"/>
      <w:lvlText w:val="(%1)"/>
      <w:numFmt w:val="decimal"/>
      <w:start w:val="3"/>
    </w:lvl>
  </w:abstractNum>
  <w:abstractNum w:abstractNumId="143">
    <w:nsid w:val="3B594807"/>
    <w:multiLevelType w:val="hybridMultilevel"/>
    <w:lvl w:ilvl="0">
      <w:lvlJc w:val="left"/>
      <w:lvlText w:val="1"/>
      <w:numFmt w:val="bullet"/>
      <w:start w:val="1"/>
    </w:lvl>
  </w:abstractNum>
  <w:abstractNum w:abstractNumId="144">
    <w:nsid w:val="6CAA2304"/>
    <w:multiLevelType w:val="hybridMultilevel"/>
    <w:lvl w:ilvl="0">
      <w:lvlJc w:val="left"/>
      <w:lvlText w:val="%1)"/>
      <w:numFmt w:val="lowerLetter"/>
      <w:start w:val="1"/>
    </w:lvl>
  </w:abstractNum>
  <w:abstractNum w:abstractNumId="145">
    <w:nsid w:val="3F7C2FF4"/>
    <w:multiLevelType w:val="hybridMultilevel"/>
    <w:lvl w:ilvl="0">
      <w:lvlJc w:val="left"/>
      <w:lvlText w:val="%1)"/>
      <w:numFmt w:val="lowerLetter"/>
      <w:start w:val="2"/>
    </w:lvl>
  </w:abstractNum>
  <w:abstractNum w:abstractNumId="146">
    <w:nsid w:val="25413BEC"/>
    <w:multiLevelType w:val="hybridMultilevel"/>
    <w:lvl w:ilvl="0">
      <w:lvlJc w:val="left"/>
      <w:lvlText w:val="(%1)"/>
      <w:numFmt w:val="upperLetter"/>
      <w:start w:val="1"/>
    </w:lvl>
  </w:abstractNum>
  <w:abstractNum w:abstractNumId="147">
    <w:nsid w:val="17180B0B"/>
    <w:multiLevelType w:val="hybridMultilevel"/>
    <w:lvl w:ilvl="0">
      <w:lvlJc w:val="left"/>
      <w:lvlText w:val="(%1)"/>
      <w:numFmt w:val="upperLetter"/>
      <w:start w:val="24"/>
    </w:lvl>
  </w:abstractNum>
  <w:abstractNum w:abstractNumId="148">
    <w:nsid w:val="579328B9"/>
    <w:multiLevelType w:val="hybridMultilevel"/>
    <w:lvl w:ilvl="0">
      <w:lvlJc w:val="left"/>
      <w:lvlText w:val="%1)"/>
      <w:numFmt w:val="lowerLetter"/>
      <w:start w:val="4"/>
    </w:lvl>
    <w:lvl w:ilvl="1">
      <w:lvlJc w:val="left"/>
      <w:lvlText w:val="%2."/>
      <w:numFmt w:val="lowerRoman"/>
      <w:start w:val="1"/>
    </w:lvl>
  </w:abstractNum>
  <w:abstractNum w:abstractNumId="149">
    <w:nsid w:val="5D205E20"/>
    <w:multiLevelType w:val="hybridMultilevel"/>
    <w:lvl w:ilvl="0">
      <w:lvlJc w:val="left"/>
      <w:lvlText w:val="%1"/>
      <w:numFmt w:val="decimal"/>
      <w:start w:val="1"/>
    </w:lvl>
    <w:lvl w:ilvl="1">
      <w:lvlJc w:val="left"/>
      <w:lvlText w:val="%2."/>
      <w:numFmt w:val="lowerRoman"/>
      <w:start w:val="3"/>
    </w:lvl>
  </w:abstractNum>
  <w:abstractNum w:abstractNumId="150">
    <w:nsid w:val="11CCA8BA"/>
    <w:multiLevelType w:val="hybridMultilevel"/>
    <w:lvl w:ilvl="0">
      <w:lvlJc w:val="left"/>
      <w:lvlText w:val="(%1)"/>
      <w:numFmt w:val="decimal"/>
      <w:start w:val="2"/>
    </w:lvl>
    <w:lvl w:ilvl="1">
      <w:lvlJc w:val="left"/>
      <w:lvlText w:val="%2."/>
      <w:numFmt w:val="lowerRoman"/>
      <w:start w:val="5"/>
    </w:lvl>
  </w:abstractNum>
  <w:abstractNum w:abstractNumId="151">
    <w:nsid w:val="4D32AB86"/>
    <w:multiLevelType w:val="hybridMultilevel"/>
    <w:lvl w:ilvl="0">
      <w:lvlJc w:val="left"/>
      <w:lvlText w:val="%1"/>
      <w:numFmt w:val="lowerLetter"/>
      <w:start w:val="1"/>
    </w:lvl>
    <w:lvl w:ilvl="1">
      <w:lvlJc w:val="left"/>
      <w:lvlText w:val="%2."/>
      <w:numFmt w:val="lowerRoman"/>
      <w:start w:val="6"/>
    </w:lvl>
  </w:abstractNum>
  <w:abstractNum w:abstractNumId="152">
    <w:nsid w:val="3F07ACC3"/>
    <w:multiLevelType w:val="hybridMultilevel"/>
    <w:lvl w:ilvl="0">
      <w:lvlJc w:val="left"/>
      <w:lvlText w:val="%1)"/>
      <w:numFmt w:val="lowerLetter"/>
      <w:start w:val="5"/>
    </w:lvl>
    <w:lvl w:ilvl="1">
      <w:lvlJc w:val="left"/>
      <w:lvlText w:val="%2"/>
      <w:numFmt w:val="lowerRoman"/>
      <w:start w:val="1"/>
    </w:lvl>
  </w:abstractNum>
  <w:abstractNum w:abstractNumId="153">
    <w:nsid w:val="6B47F63E"/>
    <w:multiLevelType w:val="hybridMultilevel"/>
    <w:lvl w:ilvl="0">
      <w:lvlJc w:val="left"/>
      <w:lvlText w:val="%1)"/>
      <w:numFmt w:val="lowerLetter"/>
      <w:start w:val="1"/>
    </w:lvl>
  </w:abstractNum>
  <w:abstractNum w:abstractNumId="154">
    <w:nsid w:val="5CB44A05"/>
    <w:multiLevelType w:val="hybridMultilevel"/>
    <w:lvl w:ilvl="0">
      <w:lvlJc w:val="left"/>
      <w:lvlText w:val="%1)"/>
      <w:numFmt w:val="lowerLetter"/>
      <w:start w:val="4"/>
    </w:lvl>
  </w:abstractNum>
  <w:abstractNum w:abstractNumId="155">
    <w:nsid w:val="16CF80F1"/>
    <w:multiLevelType w:val="hybridMultilevel"/>
    <w:lvl w:ilvl="0">
      <w:lvlJc w:val="left"/>
      <w:lvlText w:val="%1)"/>
      <w:numFmt w:val="lowerLetter"/>
      <w:start w:val="5"/>
    </w:lvl>
    <w:lvl w:ilvl="1">
      <w:lvlJc w:val="left"/>
      <w:lvlText w:val="%2."/>
      <w:numFmt w:val="lowerRoman"/>
      <w:start w:val="1"/>
    </w:lvl>
  </w:abstractNum>
  <w:abstractNum w:abstractNumId="156">
    <w:nsid w:val="1C695DEC"/>
    <w:multiLevelType w:val="hybridMultilevel"/>
    <w:lvl w:ilvl="0">
      <w:lvlJc w:val="left"/>
      <w:lvlText w:val="%1)"/>
      <w:numFmt w:val="lowerLetter"/>
      <w:start w:val="1"/>
    </w:lvl>
  </w:abstractNum>
  <w:abstractNum w:abstractNumId="157">
    <w:nsid w:val="3FCFAED9"/>
    <w:multiLevelType w:val="hybridMultilevel"/>
    <w:lvl w:ilvl="0">
      <w:lvlJc w:val="left"/>
      <w:lvlText w:val="%1."/>
      <w:numFmt w:val="lowerRoman"/>
      <w:start w:val="2"/>
    </w:lvl>
  </w:abstractNum>
  <w:abstractNum w:abstractNumId="158">
    <w:nsid w:val="F856867"/>
    <w:multiLevelType w:val="hybridMultilevel"/>
    <w:lvl w:ilvl="0">
      <w:lvlJc w:val="left"/>
      <w:lvlText w:val="%1)"/>
      <w:numFmt w:val="lowerLetter"/>
      <w:start w:val="2"/>
    </w:lvl>
  </w:abstractNum>
  <w:abstractNum w:abstractNumId="159">
    <w:nsid w:val="11B1CC33"/>
    <w:multiLevelType w:val="hybridMultilevel"/>
    <w:lvl w:ilvl="0">
      <w:lvlJc w:val="left"/>
      <w:lvlText w:val="%1)"/>
      <w:numFmt w:val="lowerLetter"/>
      <w:start w:val="1"/>
    </w:lvl>
  </w:abstractNum>
  <w:abstractNum w:abstractNumId="160">
    <w:nsid w:val="2E22FBB7"/>
    <w:multiLevelType w:val="hybridMultilevel"/>
    <w:lvl w:ilvl="0">
      <w:lvlJc w:val="left"/>
      <w:lvlText w:val="%1)"/>
      <w:numFmt w:val="lowerLetter"/>
      <w:start w:val="3"/>
    </w:lvl>
  </w:abstractNum>
  <w:abstractNum w:abstractNumId="161">
    <w:nsid w:val="29934699"/>
    <w:multiLevelType w:val="hybridMultilevel"/>
    <w:lvl w:ilvl="0">
      <w:lvlJc w:val="left"/>
      <w:lvlText w:val="%1)"/>
      <w:numFmt w:val="lowerLetter"/>
      <w:start w:val="5"/>
    </w:lvl>
  </w:abstractNum>
  <w:abstractNum w:abstractNumId="162">
    <w:nsid w:val="77485850"/>
    <w:multiLevelType w:val="hybridMultilevel"/>
    <w:lvl w:ilvl="0">
      <w:lvlJc w:val="left"/>
      <w:lvlText w:val="%1)"/>
      <w:numFmt w:val="lowerLetter"/>
      <w:start w:val="8"/>
    </w:lvl>
  </w:abstractNum>
  <w:abstractNum w:abstractNumId="163">
    <w:nsid w:val="744939A3"/>
    <w:multiLevelType w:val="hybridMultilevel"/>
    <w:lvl w:ilvl="0">
      <w:lvlJc w:val="left"/>
      <w:lvlText w:val="(%1)"/>
      <w:numFmt w:val="decimal"/>
      <w:start w:val="1"/>
    </w:lvl>
  </w:abstractNum>
  <w:abstractNum w:abstractNumId="164">
    <w:nsid w:val="4FA0D2E3"/>
    <w:multiLevelType w:val="hybridMultilevel"/>
    <w:lvl w:ilvl="0">
      <w:lvlJc w:val="left"/>
      <w:lvlText w:val="(%1)"/>
      <w:numFmt w:val="decimal"/>
      <w:start w:val="3"/>
    </w:lvl>
  </w:abstractNum>
  <w:abstractNum w:abstractNumId="165">
    <w:nsid w:val="6B1D2C14"/>
    <w:multiLevelType w:val="hybridMultilevel"/>
    <w:lvl w:ilvl="0">
      <w:lvlJc w:val="left"/>
      <w:lvlText w:val="(%1)"/>
      <w:numFmt w:val="lowerLetter"/>
      <w:start w:val="1"/>
    </w:lvl>
  </w:abstractNum>
  <w:abstractNum w:abstractNumId="166">
    <w:nsid w:val="68B867D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54" Type="http://schemas.openxmlformats.org/officeDocument/2006/relationships/image" Target="media/image121.png"/><Relationship Id="rId177" Type="http://schemas.openxmlformats.org/officeDocument/2006/relationships/image" Target="media/image122.png"/><Relationship Id="rId178" Type="http://schemas.openxmlformats.org/officeDocument/2006/relationships/image" Target="media/image123.png"/><Relationship Id="rId179" Type="http://schemas.openxmlformats.org/officeDocument/2006/relationships/image" Target="media/image124.png"/><Relationship Id="rId180" Type="http://schemas.openxmlformats.org/officeDocument/2006/relationships/image" Target="media/image125.png"/><Relationship Id="rId181" Type="http://schemas.openxmlformats.org/officeDocument/2006/relationships/image" Target="media/image126.png"/><Relationship Id="rId182" Type="http://schemas.openxmlformats.org/officeDocument/2006/relationships/image" Target="media/image127.png"/><Relationship Id="rId183" Type="http://schemas.openxmlformats.org/officeDocument/2006/relationships/image" Target="media/image128.png"/><Relationship Id="rId184" Type="http://schemas.openxmlformats.org/officeDocument/2006/relationships/image" Target="media/image129.png"/><Relationship Id="rId185" Type="http://schemas.openxmlformats.org/officeDocument/2006/relationships/image" Target="media/image130.png"/><Relationship Id="rId186" Type="http://schemas.openxmlformats.org/officeDocument/2006/relationships/image" Target="media/image131.png"/><Relationship Id="rId187" Type="http://schemas.openxmlformats.org/officeDocument/2006/relationships/image" Target="media/image132.png"/><Relationship Id="rId188" Type="http://schemas.openxmlformats.org/officeDocument/2006/relationships/image" Target="media/image133.png"/><Relationship Id="rId189" Type="http://schemas.openxmlformats.org/officeDocument/2006/relationships/image" Target="media/image134.png"/><Relationship Id="rId190" Type="http://schemas.openxmlformats.org/officeDocument/2006/relationships/image" Target="media/image135.png"/><Relationship Id="rId191" Type="http://schemas.openxmlformats.org/officeDocument/2006/relationships/image" Target="media/image136.png"/><Relationship Id="rId192" Type="http://schemas.openxmlformats.org/officeDocument/2006/relationships/image" Target="media/image137.png"/><Relationship Id="rId193" Type="http://schemas.openxmlformats.org/officeDocument/2006/relationships/image" Target="media/image138.png"/><Relationship Id="rId194" Type="http://schemas.openxmlformats.org/officeDocument/2006/relationships/image" Target="media/image139.png"/><Relationship Id="rId195" Type="http://schemas.openxmlformats.org/officeDocument/2006/relationships/image" Target="media/image140.png"/><Relationship Id="rId196" Type="http://schemas.openxmlformats.org/officeDocument/2006/relationships/image" Target="media/image141.png"/><Relationship Id="rId197" Type="http://schemas.openxmlformats.org/officeDocument/2006/relationships/image" Target="media/image142.png"/><Relationship Id="rId198" Type="http://schemas.openxmlformats.org/officeDocument/2006/relationships/image" Target="media/image143.png"/><Relationship Id="rId199" Type="http://schemas.openxmlformats.org/officeDocument/2006/relationships/image" Target="media/image144.png"/><Relationship Id="rId200" Type="http://schemas.openxmlformats.org/officeDocument/2006/relationships/image" Target="media/image145.png"/><Relationship Id="rId201" Type="http://schemas.openxmlformats.org/officeDocument/2006/relationships/image" Target="media/image146.png"/><Relationship Id="rId202" Type="http://schemas.openxmlformats.org/officeDocument/2006/relationships/image" Target="media/image147.png"/><Relationship Id="rId203" Type="http://schemas.openxmlformats.org/officeDocument/2006/relationships/image" Target="media/image148.png"/><Relationship Id="rId204" Type="http://schemas.openxmlformats.org/officeDocument/2006/relationships/image" Target="media/image149.png"/><Relationship Id="rId205" Type="http://schemas.openxmlformats.org/officeDocument/2006/relationships/image" Target="media/image150.png"/><Relationship Id="rId206" Type="http://schemas.openxmlformats.org/officeDocument/2006/relationships/image" Target="media/image151.png"/><Relationship Id="rId207" Type="http://schemas.openxmlformats.org/officeDocument/2006/relationships/image" Target="media/image152.png"/><Relationship Id="rId208" Type="http://schemas.openxmlformats.org/officeDocument/2006/relationships/image" Target="media/image153.png"/><Relationship Id="rId209" Type="http://schemas.openxmlformats.org/officeDocument/2006/relationships/image" Target="media/image154.png"/><Relationship Id="rId210" Type="http://schemas.openxmlformats.org/officeDocument/2006/relationships/image" Target="media/image155.png"/><Relationship Id="rId211" Type="http://schemas.openxmlformats.org/officeDocument/2006/relationships/image" Target="media/image156.png"/><Relationship Id="rId212" Type="http://schemas.openxmlformats.org/officeDocument/2006/relationships/image" Target="media/image157.png"/><Relationship Id="rId213" Type="http://schemas.openxmlformats.org/officeDocument/2006/relationships/image" Target="media/image158.png"/><Relationship Id="rId214" Type="http://schemas.openxmlformats.org/officeDocument/2006/relationships/image" Target="media/image159.png"/><Relationship Id="rId215" Type="http://schemas.openxmlformats.org/officeDocument/2006/relationships/image" Target="media/image160.png"/><Relationship Id="rId216" Type="http://schemas.openxmlformats.org/officeDocument/2006/relationships/image" Target="media/image161.png"/><Relationship Id="rId217" Type="http://schemas.openxmlformats.org/officeDocument/2006/relationships/image" Target="media/image162.png"/><Relationship Id="rId218" Type="http://schemas.openxmlformats.org/officeDocument/2006/relationships/image" Target="media/image163.png"/><Relationship Id="rId219" Type="http://schemas.openxmlformats.org/officeDocument/2006/relationships/image" Target="media/image164.png"/><Relationship Id="rId220" Type="http://schemas.openxmlformats.org/officeDocument/2006/relationships/image" Target="media/image165.png"/><Relationship Id="rId221" Type="http://schemas.openxmlformats.org/officeDocument/2006/relationships/image" Target="media/image166.png"/><Relationship Id="rId222" Type="http://schemas.openxmlformats.org/officeDocument/2006/relationships/image" Target="media/image167.png"/><Relationship Id="rId223" Type="http://schemas.openxmlformats.org/officeDocument/2006/relationships/image" Target="media/image168.png"/><Relationship Id="rId224" Type="http://schemas.openxmlformats.org/officeDocument/2006/relationships/image" Target="media/image169.png"/><Relationship Id="rId225" Type="http://schemas.openxmlformats.org/officeDocument/2006/relationships/image" Target="media/image170.png"/><Relationship Id="rId226" Type="http://schemas.openxmlformats.org/officeDocument/2006/relationships/image" Target="media/image171.png"/><Relationship Id="rId227" Type="http://schemas.openxmlformats.org/officeDocument/2006/relationships/image" Target="media/image172.png"/><Relationship Id="rId228" Type="http://schemas.openxmlformats.org/officeDocument/2006/relationships/image" Target="media/image173.png"/><Relationship Id="rId229" Type="http://schemas.openxmlformats.org/officeDocument/2006/relationships/image" Target="media/image174.png"/><Relationship Id="rId230" Type="http://schemas.openxmlformats.org/officeDocument/2006/relationships/image" Target="media/image175.png"/><Relationship Id="rId231" Type="http://schemas.openxmlformats.org/officeDocument/2006/relationships/image" Target="media/image176.png"/><Relationship Id="rId232" Type="http://schemas.openxmlformats.org/officeDocument/2006/relationships/image" Target="media/image177.png"/><Relationship Id="rId233" Type="http://schemas.openxmlformats.org/officeDocument/2006/relationships/image" Target="media/image178.png"/><Relationship Id="rId234" Type="http://schemas.openxmlformats.org/officeDocument/2006/relationships/image" Target="media/image179.png"/><Relationship Id="rId235" Type="http://schemas.openxmlformats.org/officeDocument/2006/relationships/image" Target="media/image180.png"/><Relationship Id="rId236" Type="http://schemas.openxmlformats.org/officeDocument/2006/relationships/image" Target="media/image181.png"/><Relationship Id="rId237" Type="http://schemas.openxmlformats.org/officeDocument/2006/relationships/image" Target="media/image182.png"/><Relationship Id="rId238" Type="http://schemas.openxmlformats.org/officeDocument/2006/relationships/image" Target="media/image183.png"/><Relationship Id="rId239" Type="http://schemas.openxmlformats.org/officeDocument/2006/relationships/image" Target="media/image184.png"/><Relationship Id="rId240" Type="http://schemas.openxmlformats.org/officeDocument/2006/relationships/image" Target="media/image185.png"/><Relationship Id="rId241" Type="http://schemas.openxmlformats.org/officeDocument/2006/relationships/image" Target="media/image186.png"/><Relationship Id="rId242" Type="http://schemas.openxmlformats.org/officeDocument/2006/relationships/image" Target="media/image187.png"/><Relationship Id="rId243" Type="http://schemas.openxmlformats.org/officeDocument/2006/relationships/image" Target="media/image188.png"/><Relationship Id="rId244" Type="http://schemas.openxmlformats.org/officeDocument/2006/relationships/image" Target="media/image189.png"/><Relationship Id="rId245" Type="http://schemas.openxmlformats.org/officeDocument/2006/relationships/image" Target="media/image190.png"/><Relationship Id="rId246" Type="http://schemas.openxmlformats.org/officeDocument/2006/relationships/image" Target="media/image191.png"/><Relationship Id="rId247" Type="http://schemas.openxmlformats.org/officeDocument/2006/relationships/image" Target="media/image192.png"/><Relationship Id="rId248" Type="http://schemas.openxmlformats.org/officeDocument/2006/relationships/image" Target="media/image193.png"/><Relationship Id="rId249" Type="http://schemas.openxmlformats.org/officeDocument/2006/relationships/image" Target="media/image194.png"/><Relationship Id="rId250" Type="http://schemas.openxmlformats.org/officeDocument/2006/relationships/image" Target="media/image195.png"/><Relationship Id="rId251" Type="http://schemas.openxmlformats.org/officeDocument/2006/relationships/image" Target="media/image196.png"/><Relationship Id="rId252" Type="http://schemas.openxmlformats.org/officeDocument/2006/relationships/image" Target="media/image197.png"/><Relationship Id="rId253" Type="http://schemas.openxmlformats.org/officeDocument/2006/relationships/image" Target="media/image198.png"/><Relationship Id="rId254" Type="http://schemas.openxmlformats.org/officeDocument/2006/relationships/image" Target="media/image199.png"/><Relationship Id="rId255" Type="http://schemas.openxmlformats.org/officeDocument/2006/relationships/image" Target="media/image200.png"/><Relationship Id="rId256" Type="http://schemas.openxmlformats.org/officeDocument/2006/relationships/image" Target="media/image201.png"/><Relationship Id="rId257" Type="http://schemas.openxmlformats.org/officeDocument/2006/relationships/image" Target="media/image202.png"/><Relationship Id="rId258" Type="http://schemas.openxmlformats.org/officeDocument/2006/relationships/image" Target="media/image203.png"/><Relationship Id="rId259" Type="http://schemas.openxmlformats.org/officeDocument/2006/relationships/image" Target="media/image204.png"/><Relationship Id="rId260" Type="http://schemas.openxmlformats.org/officeDocument/2006/relationships/image" Target="media/image205.png"/><Relationship Id="rId261" Type="http://schemas.openxmlformats.org/officeDocument/2006/relationships/image" Target="media/image206.png"/><Relationship Id="rId262" Type="http://schemas.openxmlformats.org/officeDocument/2006/relationships/image" Target="media/image207.png"/><Relationship Id="rId263" Type="http://schemas.openxmlformats.org/officeDocument/2006/relationships/image" Target="media/image208.png"/><Relationship Id="rId264" Type="http://schemas.openxmlformats.org/officeDocument/2006/relationships/image" Target="media/image209.png"/><Relationship Id="rId265" Type="http://schemas.openxmlformats.org/officeDocument/2006/relationships/image" Target="media/image210.png"/><Relationship Id="rId266" Type="http://schemas.openxmlformats.org/officeDocument/2006/relationships/image" Target="media/image211.png"/><Relationship Id="rId267" Type="http://schemas.openxmlformats.org/officeDocument/2006/relationships/image" Target="media/image212.png"/><Relationship Id="rId268" Type="http://schemas.openxmlformats.org/officeDocument/2006/relationships/image" Target="media/image213.jpeg"/><Relationship Id="rId269" Type="http://schemas.openxmlformats.org/officeDocument/2006/relationships/image" Target="media/image214.png"/><Relationship Id="rId270" Type="http://schemas.openxmlformats.org/officeDocument/2006/relationships/image" Target="media/image215.jpeg"/><Relationship Id="rId271" Type="http://schemas.openxmlformats.org/officeDocument/2006/relationships/image" Target="media/image216.png"/><Relationship Id="rId272" Type="http://schemas.openxmlformats.org/officeDocument/2006/relationships/image" Target="media/image217.png"/><Relationship Id="rId273" Type="http://schemas.openxmlformats.org/officeDocument/2006/relationships/image" Target="media/image218.png"/><Relationship Id="rId128" Type="http://schemas.openxmlformats.org/officeDocument/2006/relationships/hyperlink" Target="http://www.sec.gov/Archives/edgar/data/883975/000119312516682077/d161430dex21.htm" TargetMode="External"/><Relationship Id="rId129" Type="http://schemas.openxmlformats.org/officeDocument/2006/relationships/hyperlink" Target="http://www.sec.gov/Archives/edgar/data/883975/000095013407005808/f27726exv3w1.htm" TargetMode="External"/><Relationship Id="rId130" Type="http://schemas.openxmlformats.org/officeDocument/2006/relationships/hyperlink" Target="http://www.sec.gov/Archives/edgar/data/883975/000119312516779597/d296933dex31.htm" TargetMode="External"/><Relationship Id="rId131" Type="http://schemas.openxmlformats.org/officeDocument/2006/relationships/hyperlink" Target="http://www.sec.gov/Archives/edgar/data/883975/000149315218012872/ex3-1.htm" TargetMode="External"/><Relationship Id="rId132" Type="http://schemas.openxmlformats.org/officeDocument/2006/relationships/hyperlink" Target="http://www.sec.gov/Archives/edgar/data/883975/000100944816000082/exhibit31.htm" TargetMode="External"/><Relationship Id="rId133" Type="http://schemas.openxmlformats.org/officeDocument/2006/relationships/hyperlink" Target="http://www.sec.gov/Archives/edgar/data/883975/000149315217005017/ex3-1.htm" TargetMode="External"/><Relationship Id="rId134" Type="http://schemas.openxmlformats.org/officeDocument/2006/relationships/hyperlink" Target="http://www.sec.gov/Archives/edgar/data/883975/000129993316002374/exhibit1.htm" TargetMode="External"/><Relationship Id="rId135" Type="http://schemas.openxmlformats.org/officeDocument/2006/relationships/hyperlink" Target="http://www.sec.gov/Archives/edgar/data/883975/000119312516501361/d68391dex41.htm" TargetMode="External"/><Relationship Id="rId136" Type="http://schemas.openxmlformats.org/officeDocument/2006/relationships/hyperlink" Target="http://www.sec.gov/Archives/edgar/data/883975/000119312516501361/d68391dex42.htm" TargetMode="External"/><Relationship Id="rId137" Type="http://schemas.openxmlformats.org/officeDocument/2006/relationships/hyperlink" Target="http://www.sec.gov/Archives/edgar/data/883975/000149315219000672/ex4-1.htm" TargetMode="External"/><Relationship Id="rId138" Type="http://schemas.openxmlformats.org/officeDocument/2006/relationships/hyperlink" Target="http://www.sec.gov/Archives/edgar/data/883975/000149315219000672/ex4-2.htm" TargetMode="External"/><Relationship Id="rId139" Type="http://schemas.openxmlformats.org/officeDocument/2006/relationships/hyperlink" Target="http://www.sec.gov/Archives/edgar/data/883975/000149315219000744/ex4-1.htm" TargetMode="External"/><Relationship Id="rId140" Type="http://schemas.openxmlformats.org/officeDocument/2006/relationships/hyperlink" Target="http://www.sec.gov/Archives/edgar/data/883975/000149315219000969/ex4-1.htm" TargetMode="External"/><Relationship Id="rId141" Type="http://schemas.openxmlformats.org/officeDocument/2006/relationships/hyperlink" Target="http://www.sec.gov/Archives/edgar/data/883975/000149315219000969/ex4-2.htm" TargetMode="External"/><Relationship Id="rId142" Type="http://schemas.openxmlformats.org/officeDocument/2006/relationships/hyperlink" Target="http://www.sec.gov/Archives/edgar/data/883975/000119312516779597/d296933dex101.htm" TargetMode="External"/><Relationship Id="rId143" Type="http://schemas.openxmlformats.org/officeDocument/2006/relationships/hyperlink" Target="http://www.sec.gov/Archives/edgar/data/883975/000119312516779597/d296933dex102.htm" TargetMode="External"/><Relationship Id="rId144" Type="http://schemas.openxmlformats.org/officeDocument/2006/relationships/hyperlink" Target="http://www.sec.gov/Archives/edgar/data/883975/000119312516779597/d296933dex103.htm" TargetMode="External"/><Relationship Id="rId145" Type="http://schemas.openxmlformats.org/officeDocument/2006/relationships/hyperlink" Target="http://www.sec.gov/Archives/edgar/data/883975/000119312516779597/d296933dex104.htm" TargetMode="External"/><Relationship Id="rId146" Type="http://schemas.openxmlformats.org/officeDocument/2006/relationships/hyperlink" Target="http://www.sec.gov/Archives/edgar/data/883975/000119312516779597/d296933dex105.htm" TargetMode="External"/><Relationship Id="rId147" Type="http://schemas.openxmlformats.org/officeDocument/2006/relationships/hyperlink" Target="http://www.sec.gov/Archives/edgar/data/883975/000119312516779597/d296933dex106.htm" TargetMode="External"/><Relationship Id="rId148" Type="http://schemas.openxmlformats.org/officeDocument/2006/relationships/hyperlink" Target="http://www.sec.gov/Archives/edgar/data/883975/000100944816000078/exhibit101.htm" TargetMode="External"/><Relationship Id="rId149" Type="http://schemas.openxmlformats.org/officeDocument/2006/relationships/hyperlink" Target="http://www.sec.gov/Archives/edgar/data/883975/000100944816000082/exhibit101.htm" TargetMode="External"/><Relationship Id="rId150" Type="http://schemas.openxmlformats.org/officeDocument/2006/relationships/hyperlink" Target="http://www.sec.gov/Archives/edgar/data/883975/000119312517003127/d288153dex101.htm" TargetMode="External"/><Relationship Id="rId151" Type="http://schemas.openxmlformats.org/officeDocument/2006/relationships/hyperlink" Target="http://www.sec.gov/Archives/edgar/data/883975/000119312517003127/d288153dex102.htm" TargetMode="External"/><Relationship Id="rId152" Type="http://schemas.openxmlformats.org/officeDocument/2006/relationships/hyperlink" Target="http://www.sec.gov/Archives/edgar/data/883975/000149315217002678/ex10-11.htm" TargetMode="External"/><Relationship Id="rId153" Type="http://schemas.openxmlformats.org/officeDocument/2006/relationships/hyperlink" Target="http://www.sec.gov/Archives/edgar/data/883975/000149315217002678/ex10-12.htm" TargetMode="External"/><Relationship Id="rId155" Type="http://schemas.openxmlformats.org/officeDocument/2006/relationships/hyperlink" Target="http://www.sec.gov/Archives/edgar/data/883975/000149315217002678/ex10-13.htm" TargetMode="External"/><Relationship Id="rId156" Type="http://schemas.openxmlformats.org/officeDocument/2006/relationships/hyperlink" Target="http://www.sec.gov/Archives/edgar/data/883975/000149315217002678/ex10-14.htm" TargetMode="External"/><Relationship Id="rId157" Type="http://schemas.openxmlformats.org/officeDocument/2006/relationships/hyperlink" Target="http://www.sec.gov/Archives/edgar/data/883975/000149315217013222/ex10-1.htm" TargetMode="External"/><Relationship Id="rId158" Type="http://schemas.openxmlformats.org/officeDocument/2006/relationships/hyperlink" Target="http://www.sec.gov/Archives/edgar/data/883975/000119312516585591/d184554dex101.htm" TargetMode="External"/><Relationship Id="rId159" Type="http://schemas.openxmlformats.org/officeDocument/2006/relationships/hyperlink" Target="http://www.sec.gov/Archives/edgar/data/883975/000119312516681927/d398404dex101.htm" TargetMode="External"/><Relationship Id="rId160" Type="http://schemas.openxmlformats.org/officeDocument/2006/relationships/hyperlink" Target="http://www.sec.gov/Archives/edgar/data/883975/000119312516681927/d398404dex102.htm" TargetMode="External"/><Relationship Id="rId161" Type="http://schemas.openxmlformats.org/officeDocument/2006/relationships/hyperlink" Target="http://www.sec.gov/Archives/edgar/data/883975/000119312516681927/d398404dex103.htm" TargetMode="External"/><Relationship Id="rId162" Type="http://schemas.openxmlformats.org/officeDocument/2006/relationships/hyperlink" Target="http://www.sec.gov/Archives/edgar/data/883975/000119312516681927/d398404dex104.htm" TargetMode="External"/><Relationship Id="rId163" Type="http://schemas.openxmlformats.org/officeDocument/2006/relationships/hyperlink" Target="http://www.sec.gov/Archives/edgar/data/883975/000119312516681927/d398404dex105.htm" TargetMode="External"/><Relationship Id="rId164" Type="http://schemas.openxmlformats.org/officeDocument/2006/relationships/hyperlink" Target="http://www.sec.gov/Archives/edgar/data/883975/000119312516681927/d398404dex106.htm" TargetMode="External"/><Relationship Id="rId165" Type="http://schemas.openxmlformats.org/officeDocument/2006/relationships/hyperlink" Target="http://www.sec.gov/Archives/edgar/data/883975/000119312516681927/d398404dex107.htm" TargetMode="External"/><Relationship Id="rId166" Type="http://schemas.openxmlformats.org/officeDocument/2006/relationships/hyperlink" Target="http://www.sec.gov/Archives/edgar/data/883975/000149315217005017/ex10-1.htm" TargetMode="External"/><Relationship Id="rId167" Type="http://schemas.openxmlformats.org/officeDocument/2006/relationships/hyperlink" Target="http://www.sec.gov/Archives/edgar/data/883975/000119312516682077/d161430dex104.htm" TargetMode="External"/><Relationship Id="rId168" Type="http://schemas.openxmlformats.org/officeDocument/2006/relationships/hyperlink" Target="http://www.sec.gov/Archives/edgar/data/883975/000119312516682077/d161430dex105.htm" TargetMode="External"/><Relationship Id="rId169" Type="http://schemas.openxmlformats.org/officeDocument/2006/relationships/hyperlink" Target="http://www.sec.gov/Archives/edgar/data/883975/000149315218000286/ex10-1.htm" TargetMode="External"/><Relationship Id="rId170" Type="http://schemas.openxmlformats.org/officeDocument/2006/relationships/hyperlink" Target="http://www.sec.gov/Archives/edgar/data/883975/000149315218016474/ex10-29.htm" TargetMode="External"/><Relationship Id="rId171" Type="http://schemas.openxmlformats.org/officeDocument/2006/relationships/hyperlink" Target="http://www.sec.gov/Archives/edgar/data/883975/000149315219000672/ex10-1.htm" TargetMode="External"/><Relationship Id="rId172" Type="http://schemas.openxmlformats.org/officeDocument/2006/relationships/hyperlink" Target="http://www.sec.gov/Archives/edgar/data/883975/000149315219000672/ex10-2.htm" TargetMode="External"/><Relationship Id="rId173" Type="http://schemas.openxmlformats.org/officeDocument/2006/relationships/hyperlink" Target="http://www.sec.gov/Archives/edgar/data/883975/000149315219000744/ex10-2.htm" TargetMode="External"/><Relationship Id="rId174" Type="http://schemas.openxmlformats.org/officeDocument/2006/relationships/hyperlink" Target="http://www.sec.gov/Archives/edgar/data/883975/000149315219000969/ex10-2.htm" TargetMode="External"/><Relationship Id="rId175" Type="http://schemas.openxmlformats.org/officeDocument/2006/relationships/hyperlink" Target="http://www.sec.gov/Archives/edgar/data/883975/000149315217002678/ex21-1.htm" TargetMode="External"/><Relationship Id="rId176" Type="http://schemas.openxmlformats.org/officeDocument/2006/relationships/hyperlink" Target="http://www.sec.gov/Archives/edgar/data/883975/000149315218015496/forms-1.htm#t_0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2019-12-05T00:29:35Z</dcterms:created>
  <dcterms:modified xsi:type="dcterms:W3CDTF">2019-12-05T00:29:35Z</dcterms:modified>
</cp:coreProperties>
</file>