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980" w:hanging="567"/>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25" w:lineRule="exact"/>
        <w:rPr>
          <w:sz w:val="24"/>
          <w:szCs w:val="24"/>
          <w:color w:val="auto"/>
        </w:rPr>
      </w:pPr>
    </w:p>
    <w:p>
      <w:pPr>
        <w:ind w:left="980" w:hanging="567"/>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6" w:lineRule="exact"/>
        <w:rPr>
          <w:rFonts w:ascii="MS PGothic" w:cs="MS PGothic" w:eastAsia="MS PGothic" w:hAnsi="MS PGothic"/>
          <w:sz w:val="17"/>
          <w:szCs w:val="17"/>
          <w:color w:val="auto"/>
        </w:rPr>
      </w:pPr>
    </w:p>
    <w:p>
      <w:pPr>
        <w:ind w:left="392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transition period from ____ to _____</w:t>
      </w:r>
    </w:p>
    <w:p>
      <w:pPr>
        <w:spacing w:after="0" w:line="225" w:lineRule="exact"/>
        <w:rPr>
          <w:rFonts w:ascii="MS PGothic" w:cs="MS PGothic" w:eastAsia="MS PGothic" w:hAnsi="MS PGothic"/>
          <w:sz w:val="17"/>
          <w:szCs w:val="17"/>
          <w:color w:val="auto"/>
        </w:rPr>
      </w:pPr>
    </w:p>
    <w:p>
      <w:pPr>
        <w:ind w:left="424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of Registrant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6"/>
          <w:szCs w:val="16"/>
          <w:b w:val="1"/>
          <w:bCs w:val="1"/>
          <w:i w:val="1"/>
          <w:iCs w:val="1"/>
          <w:color w:val="auto"/>
        </w:rPr>
        <w:t>State or Other Jurisdiction of</w:t>
      </w:r>
    </w:p>
    <w:p>
      <w:pPr>
        <w:spacing w:after="0" w:line="32" w:lineRule="exact"/>
        <w:rPr>
          <w:sz w:val="24"/>
          <w:szCs w:val="24"/>
          <w:color w:val="auto"/>
        </w:rPr>
      </w:pPr>
    </w:p>
    <w:p>
      <w:pPr>
        <w:ind w:left="1600"/>
        <w:spacing w:after="0"/>
        <w:rPr>
          <w:sz w:val="20"/>
          <w:szCs w:val="20"/>
          <w:color w:val="auto"/>
        </w:rPr>
      </w:pPr>
      <w:r>
        <w:rPr>
          <w:rFonts w:ascii="Arial" w:cs="Arial" w:eastAsia="Arial" w:hAnsi="Arial"/>
          <w:sz w:val="16"/>
          <w:szCs w:val="16"/>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7"/>
          <w:szCs w:val="17"/>
          <w:b w:val="1"/>
          <w:bCs w:val="1"/>
          <w:i w:val="1"/>
          <w:iCs w:val="1"/>
          <w:color w:val="auto"/>
        </w:rPr>
        <w:t>(I.R.S. Employer</w:t>
      </w:r>
    </w:p>
    <w:p>
      <w:pPr>
        <w:spacing w:after="0" w:line="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746"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746"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Trading Symbol(s)</w:t>
            </w: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Capital Market</w:t>
            </w:r>
          </w:p>
        </w:tc>
      </w:tr>
    </w:tbl>
    <w:p>
      <w:pPr>
        <w:spacing w:after="0" w:line="187"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560" w:type="dxa"/>
            <w:vAlign w:val="bottom"/>
          </w:tcPr>
          <w:p>
            <w:pPr>
              <w:ind w:left="7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760" w:type="dxa"/>
            <w:vAlign w:val="bottom"/>
            <w:vMerge w:val="restart"/>
          </w:tcPr>
          <w:p>
            <w:pPr>
              <w:ind w:left="600"/>
              <w:spacing w:after="0" w:line="207" w:lineRule="exact"/>
              <w:rPr>
                <w:sz w:val="20"/>
                <w:szCs w:val="20"/>
                <w:color w:val="auto"/>
              </w:rPr>
            </w:pPr>
            <w:r>
              <w:rPr>
                <w:rFonts w:ascii="Arial" w:cs="Arial" w:eastAsia="Arial" w:hAnsi="Arial"/>
                <w:sz w:val="18"/>
                <w:szCs w:val="18"/>
                <w:color w:val="auto"/>
                <w:w w:val="90"/>
              </w:rPr>
              <w:t xml:space="preserve">Emerging growth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283"/>
        </w:trPr>
        <w:tc>
          <w:tcPr>
            <w:tcW w:w="260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560" w:type="dxa"/>
            <w:vAlign w:val="bottom"/>
          </w:tcPr>
          <w:p>
            <w:pPr>
              <w:ind w:left="78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2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7,890,628 shares of Common Stock, $0.01 par value at November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80" w:type="dxa"/>
            <w:vAlign w:val="bottom"/>
            <w:gridSpan w:val="9"/>
          </w:tcPr>
          <w:p>
            <w:pPr>
              <w:jc w:val="center"/>
              <w:ind w:right="2100"/>
              <w:spacing w:after="0"/>
              <w:rPr>
                <w:sz w:val="20"/>
                <w:szCs w:val="20"/>
                <w:color w:val="auto"/>
              </w:rPr>
            </w:pPr>
            <w:r>
              <w:rPr>
                <w:rFonts w:ascii="Arial" w:cs="Arial" w:eastAsia="Arial" w:hAnsi="Arial"/>
                <w:sz w:val="18"/>
                <w:szCs w:val="18"/>
                <w:b w:val="1"/>
                <w:bCs w:val="1"/>
                <w:color w:val="auto"/>
              </w:rPr>
              <w:t>MICROBOT MEDICAL INC. AND SUBSIDIARIES</w:t>
            </w:r>
          </w:p>
        </w:tc>
        <w:tc>
          <w:tcPr>
            <w:tcW w:w="8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6"/>
          </w:tcPr>
          <w:p>
            <w:pPr>
              <w:jc w:val="center"/>
              <w:ind w:right="4160"/>
              <w:spacing w:after="0"/>
              <w:rPr>
                <w:sz w:val="20"/>
                <w:szCs w:val="20"/>
                <w:color w:val="auto"/>
              </w:rPr>
            </w:pPr>
            <w:r>
              <w:rPr>
                <w:rFonts w:ascii="Arial" w:cs="Arial" w:eastAsia="Arial" w:hAnsi="Arial"/>
                <w:sz w:val="18"/>
                <w:szCs w:val="18"/>
                <w:color w:val="auto"/>
                <w:w w:val="90"/>
              </w:rPr>
              <w:t>Index</w:t>
            </w:r>
          </w:p>
        </w:tc>
        <w:tc>
          <w:tcPr>
            <w:tcW w:w="82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042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820" w:type="dxa"/>
            <w:vAlign w:val="bottom"/>
            <w:shd w:val="clear" w:color="auto" w:fill="CCEEFF"/>
          </w:tcPr>
          <w:p>
            <w:pPr>
              <w:spacing w:after="0"/>
              <w:rPr>
                <w:sz w:val="18"/>
                <w:szCs w:val="18"/>
                <w:color w:val="auto"/>
              </w:rPr>
            </w:pPr>
          </w:p>
        </w:tc>
      </w:tr>
      <w:tr>
        <w:trPr>
          <w:trHeight w:val="216"/>
        </w:trPr>
        <w:tc>
          <w:tcPr>
            <w:tcW w:w="10420" w:type="dxa"/>
            <w:vAlign w:val="bottom"/>
            <w:gridSpan w:val="17"/>
          </w:tcPr>
          <w:p>
            <w:pPr>
              <w:spacing w:after="0"/>
              <w:rPr>
                <w:sz w:val="20"/>
                <w:szCs w:val="20"/>
                <w:color w:val="auto"/>
              </w:rPr>
            </w:pPr>
            <w:r>
              <w:rPr>
                <w:rFonts w:ascii="Arial" w:cs="Arial" w:eastAsia="Arial" w:hAnsi="Arial"/>
                <w:sz w:val="18"/>
                <w:szCs w:val="18"/>
                <w:color w:val="auto"/>
              </w:rPr>
              <w:t>Item 1 - Financial Statements</w:t>
            </w:r>
          </w:p>
        </w:tc>
        <w:tc>
          <w:tcPr>
            <w:tcW w:w="820" w:type="dxa"/>
            <w:vAlign w:val="bottom"/>
          </w:tcPr>
          <w:p>
            <w:pPr>
              <w:spacing w:after="0"/>
              <w:rPr>
                <w:sz w:val="18"/>
                <w:szCs w:val="18"/>
                <w:color w:val="auto"/>
              </w:rPr>
            </w:pPr>
          </w:p>
        </w:tc>
      </w:tr>
      <w:tr>
        <w:trPr>
          <w:trHeight w:val="175"/>
        </w:trPr>
        <w:tc>
          <w:tcPr>
            <w:tcW w:w="10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Interim Consolidated Balance Sheets as of September 30, 2022 (Unaudited) and December 31, 2021 (audited)</w:t>
            </w:r>
          </w:p>
        </w:tc>
        <w:tc>
          <w:tcPr>
            <w:tcW w:w="820" w:type="dxa"/>
            <w:vAlign w:val="bottom"/>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8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20" w:type="dxa"/>
            <w:vAlign w:val="bottom"/>
            <w:gridSpan w:val="17"/>
          </w:tcPr>
          <w:p>
            <w:pPr>
              <w:spacing w:after="0" w:line="176" w:lineRule="exact"/>
              <w:rPr>
                <w:sz w:val="20"/>
                <w:szCs w:val="20"/>
                <w:color w:val="auto"/>
              </w:rPr>
            </w:pPr>
            <w:r>
              <w:rPr>
                <w:rFonts w:ascii="Arial" w:cs="Arial" w:eastAsia="Arial" w:hAnsi="Arial"/>
                <w:sz w:val="18"/>
                <w:szCs w:val="18"/>
                <w:color w:val="0000EE"/>
                <w:w w:val="93"/>
              </w:rPr>
              <w:t>Interim Consolidated Statements of Comprehensive Loss for the Three and Nine Months Ended September 30, 2022 and 2021 (Unaudited)</w:t>
            </w:r>
          </w:p>
        </w:tc>
        <w:tc>
          <w:tcPr>
            <w:tcW w:w="820" w:type="dxa"/>
            <w:vAlign w:val="bottom"/>
          </w:tcPr>
          <w:p>
            <w:pPr>
              <w:jc w:val="center"/>
              <w:ind w:left="90"/>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04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90"/>
              </w:rPr>
              <w:t>Interim Statements of Shareholders’ Equity for the Three and Nine Months Ended September 30, 2022 and 2021 (Unaudited)</w:t>
            </w:r>
          </w:p>
        </w:tc>
        <w:tc>
          <w:tcPr>
            <w:tcW w:w="1380" w:type="dxa"/>
            <w:vAlign w:val="bottom"/>
            <w:tcBorders>
              <w:bottom w:val="single" w:sz="8" w:color="CCEEFF"/>
            </w:tcBorders>
            <w:gridSpan w:val="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10420" w:type="dxa"/>
            <w:vAlign w:val="bottom"/>
            <w:gridSpan w:val="17"/>
          </w:tcPr>
          <w:p>
            <w:pPr>
              <w:spacing w:after="0" w:line="176" w:lineRule="exact"/>
              <w:rPr>
                <w:sz w:val="20"/>
                <w:szCs w:val="20"/>
                <w:color w:val="auto"/>
              </w:rPr>
            </w:pPr>
            <w:r>
              <w:rPr>
                <w:rFonts w:ascii="Arial" w:cs="Arial" w:eastAsia="Arial" w:hAnsi="Arial"/>
                <w:sz w:val="18"/>
                <w:szCs w:val="18"/>
                <w:color w:val="0000EE"/>
              </w:rPr>
              <w:t>Interim Consolidated Statements of Cash Flows for the Nine Months Ended September 30, 2022 and 2021 (Unaudited)</w:t>
            </w:r>
          </w:p>
        </w:tc>
        <w:tc>
          <w:tcPr>
            <w:tcW w:w="820" w:type="dxa"/>
            <w:vAlign w:val="bottom"/>
          </w:tcPr>
          <w:p>
            <w:pPr>
              <w:jc w:val="center"/>
              <w:ind w:left="90"/>
              <w:spacing w:after="0" w:line="176" w:lineRule="exact"/>
              <w:rPr>
                <w:sz w:val="20"/>
                <w:szCs w:val="20"/>
                <w:color w:val="auto"/>
              </w:rPr>
            </w:pPr>
            <w:r>
              <w:rPr>
                <w:rFonts w:ascii="Arial" w:cs="Arial" w:eastAsia="Arial" w:hAnsi="Arial"/>
                <w:sz w:val="18"/>
                <w:szCs w:val="18"/>
                <w:color w:val="auto"/>
                <w:w w:val="79"/>
              </w:rPr>
              <w:t>6</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74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0"/>
              </w:rPr>
              <w:t>Notes to Interim Consolidated Financial Statements</w:t>
            </w:r>
          </w:p>
        </w:tc>
        <w:tc>
          <w:tcPr>
            <w:tcW w:w="6680" w:type="dxa"/>
            <w:vAlign w:val="bottom"/>
            <w:tcBorders>
              <w:bottom w:val="single" w:sz="8" w:color="CCEEFF"/>
            </w:tcBorders>
            <w:gridSpan w:val="8"/>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Arial" w:cs="Arial" w:eastAsia="Arial" w:hAnsi="Arial"/>
                <w:sz w:val="18"/>
                <w:szCs w:val="18"/>
                <w:color w:val="auto"/>
                <w:w w:val="79"/>
              </w:rPr>
              <w:t>7</w:t>
            </w:r>
          </w:p>
        </w:tc>
      </w:tr>
      <w:tr>
        <w:trPr>
          <w:trHeight w:val="175"/>
        </w:trPr>
        <w:tc>
          <w:tcPr>
            <w:tcW w:w="10420" w:type="dxa"/>
            <w:vAlign w:val="bottom"/>
            <w:gridSpan w:val="17"/>
          </w:tcPr>
          <w:p>
            <w:pPr>
              <w:spacing w:after="0" w:line="176" w:lineRule="exact"/>
              <w:rPr>
                <w:sz w:val="20"/>
                <w:szCs w:val="20"/>
                <w:color w:val="auto"/>
              </w:rPr>
            </w:pPr>
            <w:r>
              <w:rPr>
                <w:rFonts w:ascii="Arial" w:cs="Arial" w:eastAsia="Arial" w:hAnsi="Arial"/>
                <w:sz w:val="18"/>
                <w:szCs w:val="18"/>
                <w:color w:val="0000EE"/>
              </w:rPr>
              <w:t>Item 2 - Management’s Discussion and Analysis of Financial Condition and Results of Operations</w:t>
            </w:r>
          </w:p>
        </w:tc>
        <w:tc>
          <w:tcPr>
            <w:tcW w:w="820" w:type="dxa"/>
            <w:vAlign w:val="bottom"/>
          </w:tcPr>
          <w:p>
            <w:pPr>
              <w:jc w:val="center"/>
              <w:ind w:left="70"/>
              <w:spacing w:after="0" w:line="176" w:lineRule="exact"/>
              <w:rPr>
                <w:sz w:val="20"/>
                <w:szCs w:val="20"/>
                <w:color w:val="auto"/>
              </w:rPr>
            </w:pPr>
            <w:r>
              <w:rPr>
                <w:rFonts w:ascii="Arial" w:cs="Arial" w:eastAsia="Arial" w:hAnsi="Arial"/>
                <w:sz w:val="18"/>
                <w:szCs w:val="18"/>
                <w:color w:val="auto"/>
                <w:w w:val="89"/>
              </w:rPr>
              <w:t>15</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2"/>
              </w:rPr>
              <w:t>Item 3 - Quantitative and Qualitative Disclosures About Market Risk</w:t>
            </w:r>
          </w:p>
        </w:tc>
        <w:tc>
          <w:tcPr>
            <w:tcW w:w="5440" w:type="dxa"/>
            <w:vAlign w:val="bottom"/>
            <w:tcBorders>
              <w:bottom w:val="single" w:sz="8" w:color="CCEEFF"/>
            </w:tcBorders>
            <w:gridSpan w:val="6"/>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23</w:t>
            </w:r>
          </w:p>
        </w:tc>
      </w:tr>
      <w:tr>
        <w:trPr>
          <w:trHeight w:val="176"/>
        </w:trPr>
        <w:tc>
          <w:tcPr>
            <w:tcW w:w="10420" w:type="dxa"/>
            <w:vAlign w:val="bottom"/>
            <w:gridSpan w:val="17"/>
          </w:tcPr>
          <w:p>
            <w:pPr>
              <w:spacing w:after="0" w:line="176" w:lineRule="exact"/>
              <w:rPr>
                <w:sz w:val="20"/>
                <w:szCs w:val="20"/>
                <w:color w:val="auto"/>
              </w:rPr>
            </w:pPr>
            <w:r>
              <w:rPr>
                <w:rFonts w:ascii="Arial" w:cs="Arial" w:eastAsia="Arial" w:hAnsi="Arial"/>
                <w:sz w:val="18"/>
                <w:szCs w:val="18"/>
                <w:color w:val="0000EE"/>
              </w:rPr>
              <w:t>Item 4 - Controls and Procedures</w:t>
            </w:r>
          </w:p>
        </w:tc>
        <w:tc>
          <w:tcPr>
            <w:tcW w:w="820" w:type="dxa"/>
            <w:vAlign w:val="bottom"/>
          </w:tcPr>
          <w:p>
            <w:pPr>
              <w:jc w:val="center"/>
              <w:ind w:left="70"/>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820" w:type="dxa"/>
            <w:vAlign w:val="bottom"/>
            <w:shd w:val="clear" w:color="auto" w:fill="CCEEFF"/>
          </w:tcPr>
          <w:p>
            <w:pPr>
              <w:spacing w:after="0"/>
              <w:rPr>
                <w:sz w:val="17"/>
                <w:szCs w:val="17"/>
                <w:color w:val="auto"/>
              </w:rPr>
            </w:pPr>
          </w:p>
        </w:tc>
      </w:tr>
      <w:tr>
        <w:trPr>
          <w:trHeight w:val="176"/>
        </w:trPr>
        <w:tc>
          <w:tcPr>
            <w:tcW w:w="212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w w:val="97"/>
              </w:rPr>
              <w:t>Item 1 - Legal Proceedings</w:t>
            </w:r>
          </w:p>
        </w:tc>
        <w:tc>
          <w:tcPr>
            <w:tcW w:w="8300" w:type="dxa"/>
            <w:vAlign w:val="bottom"/>
            <w:tcBorders>
              <w:top w:val="single" w:sz="8" w:color="CCEEFF"/>
            </w:tcBorders>
            <w:gridSpan w:val="11"/>
          </w:tcPr>
          <w:p>
            <w:pPr>
              <w:spacing w:after="0"/>
              <w:rPr>
                <w:sz w:val="15"/>
                <w:szCs w:val="15"/>
                <w:color w:val="auto"/>
              </w:rPr>
            </w:pPr>
          </w:p>
        </w:tc>
        <w:tc>
          <w:tcPr>
            <w:tcW w:w="820" w:type="dxa"/>
            <w:vAlign w:val="bottom"/>
            <w:tcBorders>
              <w:top w:val="single" w:sz="8" w:color="CCEEFF"/>
            </w:tcBorders>
          </w:tcPr>
          <w:p>
            <w:pPr>
              <w:jc w:val="center"/>
              <w:ind w:left="70"/>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2"/>
              </w:rPr>
              <w:t>Item 1A - Risk Factors</w:t>
            </w:r>
          </w:p>
        </w:tc>
        <w:tc>
          <w:tcPr>
            <w:tcW w:w="8760" w:type="dxa"/>
            <w:vAlign w:val="bottom"/>
            <w:tcBorders>
              <w:bottom w:val="single" w:sz="8" w:color="CCEEFF"/>
            </w:tcBorders>
            <w:gridSpan w:val="14"/>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25</w:t>
            </w:r>
          </w:p>
        </w:tc>
      </w:tr>
      <w:tr>
        <w:trPr>
          <w:trHeight w:val="175"/>
        </w:trPr>
        <w:tc>
          <w:tcPr>
            <w:tcW w:w="10420" w:type="dxa"/>
            <w:vAlign w:val="bottom"/>
            <w:gridSpan w:val="17"/>
          </w:tcPr>
          <w:p>
            <w:pPr>
              <w:spacing w:after="0" w:line="176" w:lineRule="exact"/>
              <w:rPr>
                <w:sz w:val="20"/>
                <w:szCs w:val="20"/>
                <w:color w:val="auto"/>
              </w:rPr>
            </w:pPr>
            <w:r>
              <w:rPr>
                <w:rFonts w:ascii="Arial" w:cs="Arial" w:eastAsia="Arial" w:hAnsi="Arial"/>
                <w:sz w:val="18"/>
                <w:szCs w:val="18"/>
                <w:color w:val="0000EE"/>
              </w:rPr>
              <w:t>Item 2 - Unregistered Sales of Equity Securities and Use of Proceeds</w:t>
            </w:r>
          </w:p>
        </w:tc>
        <w:tc>
          <w:tcPr>
            <w:tcW w:w="820" w:type="dxa"/>
            <w:vAlign w:val="bottom"/>
          </w:tcPr>
          <w:p>
            <w:pPr>
              <w:jc w:val="center"/>
              <w:ind w:left="70"/>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Item 3 - Defaults Upon Senior Securities</w:t>
            </w:r>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25</w:t>
            </w:r>
          </w:p>
        </w:tc>
      </w:tr>
      <w:tr>
        <w:trPr>
          <w:trHeight w:val="176"/>
        </w:trPr>
        <w:tc>
          <w:tcPr>
            <w:tcW w:w="2940" w:type="dxa"/>
            <w:vAlign w:val="bottom"/>
            <w:tcBorders>
              <w:top w:val="single" w:sz="8" w:color="0000EE"/>
            </w:tcBorders>
            <w:gridSpan w:val="8"/>
          </w:tcPr>
          <w:p>
            <w:pPr>
              <w:spacing w:after="0" w:line="176" w:lineRule="exact"/>
              <w:rPr>
                <w:sz w:val="20"/>
                <w:szCs w:val="20"/>
                <w:color w:val="auto"/>
              </w:rPr>
            </w:pPr>
            <w:r>
              <w:rPr>
                <w:rFonts w:ascii="Arial" w:cs="Arial" w:eastAsia="Arial" w:hAnsi="Arial"/>
                <w:sz w:val="18"/>
                <w:szCs w:val="18"/>
                <w:color w:val="0000EE"/>
              </w:rPr>
              <w:t>Item 4 - Mine Safety Disclosures</w:t>
            </w:r>
          </w:p>
        </w:tc>
        <w:tc>
          <w:tcPr>
            <w:tcW w:w="7480" w:type="dxa"/>
            <w:vAlign w:val="bottom"/>
            <w:tcBorders>
              <w:top w:val="single" w:sz="8" w:color="CCEEFF"/>
            </w:tcBorders>
            <w:gridSpan w:val="9"/>
          </w:tcPr>
          <w:p>
            <w:pPr>
              <w:spacing w:after="0"/>
              <w:rPr>
                <w:sz w:val="15"/>
                <w:szCs w:val="15"/>
                <w:color w:val="auto"/>
              </w:rPr>
            </w:pPr>
          </w:p>
        </w:tc>
        <w:tc>
          <w:tcPr>
            <w:tcW w:w="820" w:type="dxa"/>
            <w:vAlign w:val="bottom"/>
            <w:tcBorders>
              <w:top w:val="single" w:sz="8" w:color="CCEEFF"/>
            </w:tcBorders>
          </w:tcPr>
          <w:p>
            <w:pPr>
              <w:jc w:val="center"/>
              <w:ind w:left="70"/>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3"/>
              </w:rPr>
              <w:t>Item 5 - Other Information</w:t>
            </w:r>
          </w:p>
        </w:tc>
        <w:tc>
          <w:tcPr>
            <w:tcW w:w="8480" w:type="dxa"/>
            <w:vAlign w:val="bottom"/>
            <w:tcBorders>
              <w:bottom w:val="single" w:sz="8" w:color="CCEEFF"/>
            </w:tcBorders>
            <w:gridSpan w:val="13"/>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25</w:t>
            </w:r>
          </w:p>
        </w:tc>
      </w:tr>
      <w:tr>
        <w:trPr>
          <w:trHeight w:val="175"/>
        </w:trPr>
        <w:tc>
          <w:tcPr>
            <w:tcW w:w="10420" w:type="dxa"/>
            <w:vAlign w:val="bottom"/>
            <w:gridSpan w:val="17"/>
          </w:tcPr>
          <w:p>
            <w:pPr>
              <w:spacing w:after="0" w:line="176" w:lineRule="exact"/>
              <w:rPr>
                <w:sz w:val="20"/>
                <w:szCs w:val="20"/>
                <w:color w:val="auto"/>
              </w:rPr>
            </w:pPr>
            <w:r>
              <w:rPr>
                <w:rFonts w:ascii="Arial" w:cs="Arial" w:eastAsia="Arial" w:hAnsi="Arial"/>
                <w:sz w:val="18"/>
                <w:szCs w:val="18"/>
                <w:color w:val="0000EE"/>
              </w:rPr>
              <w:t>Item 6 - Exhibits</w:t>
            </w:r>
          </w:p>
        </w:tc>
        <w:tc>
          <w:tcPr>
            <w:tcW w:w="820" w:type="dxa"/>
            <w:vAlign w:val="bottom"/>
          </w:tcPr>
          <w:p>
            <w:pPr>
              <w:jc w:val="center"/>
              <w:ind w:left="70"/>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4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Signatures</w:t>
            </w:r>
          </w:p>
        </w:tc>
        <w:tc>
          <w:tcPr>
            <w:tcW w:w="820" w:type="dxa"/>
            <w:vAlign w:val="bottom"/>
            <w:shd w:val="clear" w:color="auto" w:fill="CCEEFF"/>
          </w:tcPr>
          <w:p>
            <w:pPr>
              <w:jc w:val="center"/>
              <w:ind w:left="70"/>
              <w:spacing w:after="0" w:line="176" w:lineRule="exact"/>
              <w:rPr>
                <w:sz w:val="20"/>
                <w:szCs w:val="20"/>
                <w:color w:val="auto"/>
              </w:rPr>
            </w:pPr>
            <w:r>
              <w:rPr>
                <w:rFonts w:ascii="Arial" w:cs="Arial" w:eastAsia="Arial" w:hAnsi="Arial"/>
                <w:sz w:val="18"/>
                <w:szCs w:val="18"/>
                <w:color w:val="auto"/>
                <w:w w:val="89"/>
              </w:rPr>
              <w:t>27</w:t>
            </w:r>
          </w:p>
        </w:tc>
      </w:tr>
      <w:tr>
        <w:trPr>
          <w:trHeight w:val="439"/>
        </w:trPr>
        <w:tc>
          <w:tcPr>
            <w:tcW w:w="820" w:type="dxa"/>
            <w:vAlign w:val="bottom"/>
            <w:tcBorders>
              <w:top w:val="single" w:sz="8" w:color="0000EE"/>
              <w:bottom w:val="single" w:sz="8" w:color="auto"/>
            </w:tcBorders>
          </w:tcPr>
          <w:p>
            <w:pPr>
              <w:spacing w:after="0"/>
              <w:rPr>
                <w:sz w:val="24"/>
                <w:szCs w:val="24"/>
                <w:color w:val="auto"/>
              </w:rPr>
            </w:pPr>
          </w:p>
        </w:tc>
        <w:tc>
          <w:tcPr>
            <w:tcW w:w="6260" w:type="dxa"/>
            <w:vAlign w:val="bottom"/>
            <w:tcBorders>
              <w:top w:val="single" w:sz="8" w:color="CCEEFF"/>
              <w:bottom w:val="single" w:sz="8" w:color="auto"/>
            </w:tcBorders>
            <w:gridSpan w:val="11"/>
          </w:tcPr>
          <w:p>
            <w:pPr>
              <w:jc w:val="center"/>
              <w:ind w:left="3250"/>
              <w:spacing w:after="0"/>
              <w:rPr>
                <w:sz w:val="20"/>
                <w:szCs w:val="20"/>
                <w:color w:val="auto"/>
              </w:rPr>
            </w:pPr>
            <w:r>
              <w:rPr>
                <w:rFonts w:ascii="Arial" w:cs="Arial" w:eastAsia="Arial" w:hAnsi="Arial"/>
                <w:sz w:val="18"/>
                <w:szCs w:val="18"/>
                <w:color w:val="auto"/>
                <w:w w:val="79"/>
              </w:rPr>
              <w:t>2</w:t>
            </w:r>
          </w:p>
        </w:tc>
        <w:tc>
          <w:tcPr>
            <w:tcW w:w="84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As of September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As of December 31,</w:t>
            </w:r>
          </w:p>
        </w:tc>
      </w:tr>
      <w:tr>
        <w:trPr>
          <w:trHeight w:val="233"/>
        </w:trPr>
        <w:tc>
          <w:tcPr>
            <w:tcW w:w="6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0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Notes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Audited</w:t>
            </w:r>
          </w:p>
        </w:tc>
      </w:tr>
      <w:tr>
        <w:trPr>
          <w:trHeight w:val="216"/>
        </w:trPr>
        <w:tc>
          <w:tcPr>
            <w:tcW w:w="6080" w:type="dxa"/>
            <w:vAlign w:val="bottom"/>
            <w:tcBorders>
              <w:top w:val="single" w:sz="8" w:color="CCEEFF"/>
            </w:tcBorders>
            <w:shd w:val="clear" w:color="auto" w:fill="CCEEFF"/>
          </w:tcPr>
          <w:p>
            <w:pPr>
              <w:ind w:left="2600"/>
              <w:spacing w:after="0"/>
              <w:rPr>
                <w:sz w:val="20"/>
                <w:szCs w:val="20"/>
                <w:color w:val="auto"/>
              </w:rPr>
            </w:pPr>
            <w:r>
              <w:rPr>
                <w:rFonts w:ascii="Arial" w:cs="Arial" w:eastAsia="Arial" w:hAnsi="Arial"/>
                <w:sz w:val="18"/>
                <w:szCs w:val="18"/>
                <w:color w:val="auto"/>
              </w:rPr>
              <w:t>ASSETS</w:t>
            </w: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13,493</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1,999</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r>
      <w:tr>
        <w:trPr>
          <w:trHeight w:val="236"/>
        </w:trPr>
        <w:tc>
          <w:tcPr>
            <w:tcW w:w="60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0"/>
                <w:szCs w:val="20"/>
                <w:color w:val="auto"/>
              </w:rPr>
            </w:pPr>
          </w:p>
        </w:tc>
      </w:tr>
      <w:tr>
        <w:trPr>
          <w:trHeight w:val="216"/>
        </w:trPr>
        <w:tc>
          <w:tcPr>
            <w:tcW w:w="6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20"/>
                <w:szCs w:val="20"/>
                <w:color w:val="auto"/>
              </w:rPr>
            </w:pPr>
          </w:p>
        </w:tc>
      </w:tr>
      <w:tr>
        <w:trPr>
          <w:trHeight w:val="229"/>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LIABILITIES AND SHAREHOLDERS’ EQUITY</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r>
      <w:tr>
        <w:trPr>
          <w:trHeight w:val="24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CEEFF"/>
          </w:tcPr>
          <w:p>
            <w:pPr>
              <w:spacing w:after="0"/>
              <w:rPr>
                <w:sz w:val="21"/>
                <w:szCs w:val="21"/>
                <w:color w:val="auto"/>
              </w:rPr>
            </w:pPr>
          </w:p>
        </w:tc>
      </w:tr>
      <w:tr>
        <w:trPr>
          <w:trHeight w:val="203"/>
        </w:trPr>
        <w:tc>
          <w:tcPr>
            <w:tcW w:w="608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6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1,650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1,984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liabilities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21"/>
                <w:szCs w:val="21"/>
                <w:color w:val="auto"/>
              </w:rPr>
            </w:pPr>
          </w:p>
        </w:tc>
      </w:tr>
      <w:tr>
        <w:trPr>
          <w:trHeight w:val="210"/>
        </w:trPr>
        <w:tc>
          <w:tcPr>
            <w:tcW w:w="60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6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1,876</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6080" w:type="dxa"/>
            <w:vAlign w:val="bottom"/>
          </w:tcPr>
          <w:p>
            <w:pPr>
              <w:ind w:left="180"/>
              <w:spacing w:after="0" w:line="201" w:lineRule="exact"/>
              <w:rPr>
                <w:sz w:val="20"/>
                <w:szCs w:val="20"/>
                <w:color w:val="auto"/>
              </w:rPr>
            </w:pPr>
            <w:r>
              <w:rPr>
                <w:rFonts w:ascii="Arial" w:cs="Arial" w:eastAsia="Arial" w:hAnsi="Arial"/>
                <w:sz w:val="18"/>
                <w:szCs w:val="18"/>
                <w:color w:val="auto"/>
                <w:w w:val="99"/>
              </w:rPr>
              <w:t>Common  stock;  $0.01  par  value;  60,000,000  shares  authorized  as  of</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w w:val="97"/>
              </w:rPr>
              <w:t>September 30, 2022 and December 31, 2021, 7,108,133 shares issued and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outstanding as of September 30, 2022 and December 31, 2021</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69,902</w:t>
            </w:r>
          </w:p>
        </w:tc>
        <w:tc>
          <w:tcPr>
            <w:tcW w:w="80" w:type="dxa"/>
            <w:vAlign w:val="bottom"/>
            <w:shd w:val="clear" w:color="auto" w:fill="CCEEFF"/>
          </w:tcPr>
          <w:p>
            <w:pPr>
              <w:spacing w:after="0"/>
              <w:rPr>
                <w:sz w:val="18"/>
                <w:szCs w:val="18"/>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(65,763)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(55,593)</w:t>
            </w:r>
          </w:p>
        </w:tc>
      </w:tr>
      <w:tr>
        <w:trPr>
          <w:trHeight w:val="236"/>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6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608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7,409</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Interim Consolidated Statements of Comprehensive Loss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ectPr>
          <w:pgSz w:w="11900" w:h="16838" w:orient="portrait"/>
          <w:cols w:equalWidth="0" w:num="1">
            <w:col w:w="11240"/>
          </w:cols>
          <w:pgMar w:left="320" w:top="688" w:right="339" w:bottom="1440" w:gutter="0" w:footer="0" w:header="0"/>
        </w:sectPr>
      </w:pPr>
    </w:p>
    <w:p>
      <w:pPr>
        <w:spacing w:after="0" w:line="207"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For the Three Months Ended</w:t>
      </w:r>
    </w:p>
    <w:p>
      <w:pPr>
        <w:spacing w:after="0" w:line="50" w:lineRule="exact"/>
        <w:rPr>
          <w:sz w:val="20"/>
          <w:szCs w:val="20"/>
          <w:color w:val="auto"/>
        </w:rPr>
      </w:pPr>
    </w:p>
    <w:p>
      <w:pPr>
        <w:jc w:val="center"/>
        <w:ind w:left="414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5715</wp:posOffset>
            </wp:positionV>
            <wp:extent cx="20916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1690" cy="17145"/>
                    </a:xfrm>
                    <a:prstGeom prst="rect">
                      <a:avLst/>
                    </a:prstGeom>
                    <a:noFill/>
                  </pic:spPr>
                </pic:pic>
              </a:graphicData>
            </a:graphic>
          </wp:anchor>
        </w:drawing>
      </w:r>
    </w:p>
    <w:p>
      <w:pPr>
        <w:spacing w:after="0" w:line="11" w:lineRule="exact"/>
        <w:rPr>
          <w:sz w:val="20"/>
          <w:szCs w:val="20"/>
          <w:color w:val="auto"/>
        </w:rPr>
      </w:pPr>
    </w:p>
    <w:p>
      <w:pPr>
        <w:ind w:left="4840"/>
        <w:spacing w:after="0"/>
        <w:tabs>
          <w:tab w:leader="none" w:pos="664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For the Nine Months Ended</w:t>
      </w:r>
    </w:p>
    <w:p>
      <w:pPr>
        <w:spacing w:after="0" w:line="5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5715</wp:posOffset>
            </wp:positionV>
            <wp:extent cx="2040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0255" cy="17145"/>
                    </a:xfrm>
                    <a:prstGeom prst="rect">
                      <a:avLst/>
                    </a:prstGeom>
                    <a:noFill/>
                  </pic:spPr>
                </pic:pic>
              </a:graphicData>
            </a:graphic>
          </wp:anchor>
        </w:drawing>
      </w:r>
    </w:p>
    <w:p>
      <w:pPr>
        <w:spacing w:after="0" w:line="11" w:lineRule="exact"/>
        <w:rPr>
          <w:sz w:val="20"/>
          <w:szCs w:val="20"/>
          <w:color w:val="auto"/>
        </w:rPr>
      </w:pPr>
    </w:p>
    <w:p>
      <w:pPr>
        <w:spacing w:after="0"/>
        <w:tabs>
          <w:tab w:leader="none" w:pos="174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p>
    <w:p>
      <w:pPr>
        <w:spacing w:after="0" w:line="39" w:lineRule="exact"/>
        <w:rPr>
          <w:sz w:val="20"/>
          <w:szCs w:val="20"/>
          <w:color w:val="auto"/>
        </w:rPr>
      </w:pPr>
    </w:p>
    <w:p>
      <w:pPr>
        <w:sectPr>
          <w:pgSz w:w="11900" w:h="16838" w:orient="portrait"/>
          <w:cols w:equalWidth="0" w:num="2">
            <w:col w:w="7740" w:space="720"/>
            <w:col w:w="278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Unaudited</w:t>
            </w: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Unaudited</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(1,953)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(1,389)</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(5,852)</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(3,897)</w:t>
            </w:r>
          </w:p>
        </w:tc>
      </w:tr>
      <w:tr>
        <w:trPr>
          <w:trHeight w:val="236"/>
        </w:trPr>
        <w:tc>
          <w:tcPr>
            <w:tcW w:w="40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2"/>
          </w:tcPr>
          <w:p>
            <w:pPr>
              <w:jc w:val="right"/>
              <w:ind w:right="201"/>
              <w:spacing w:after="0"/>
              <w:rPr>
                <w:sz w:val="20"/>
                <w:szCs w:val="20"/>
                <w:color w:val="auto"/>
              </w:rPr>
            </w:pPr>
            <w:r>
              <w:rPr>
                <w:rFonts w:ascii="Arial" w:cs="Arial" w:eastAsia="Arial" w:hAnsi="Arial"/>
                <w:sz w:val="18"/>
                <w:szCs w:val="18"/>
                <w:color w:val="auto"/>
              </w:rPr>
              <w:t>(1,521)</w:t>
            </w:r>
          </w:p>
        </w:tc>
        <w:tc>
          <w:tcPr>
            <w:tcW w:w="480" w:type="dxa"/>
            <w:vAlign w:val="bottom"/>
          </w:tcPr>
          <w:p>
            <w:pPr>
              <w:spacing w:after="0"/>
              <w:rPr>
                <w:sz w:val="20"/>
                <w:szCs w:val="20"/>
                <w:color w:val="auto"/>
              </w:rPr>
            </w:pP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(1,163)</w:t>
            </w:r>
          </w:p>
        </w:tc>
        <w:tc>
          <w:tcPr>
            <w:tcW w:w="400" w:type="dxa"/>
            <w:vAlign w:val="bottom"/>
          </w:tcPr>
          <w:p>
            <w:pPr>
              <w:spacing w:after="0"/>
              <w:rPr>
                <w:sz w:val="20"/>
                <w:szCs w:val="20"/>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(4,361)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(3,523)</w:t>
            </w:r>
          </w:p>
        </w:tc>
      </w:tr>
      <w:tr>
        <w:trPr>
          <w:trHeight w:val="216"/>
        </w:trPr>
        <w:tc>
          <w:tcPr>
            <w:tcW w:w="4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income (expenses), net</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40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4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02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1"/>
              <w:spacing w:after="0"/>
              <w:rPr>
                <w:sz w:val="20"/>
                <w:szCs w:val="20"/>
                <w:color w:val="auto"/>
              </w:rPr>
            </w:pPr>
            <w:r>
              <w:rPr>
                <w:rFonts w:ascii="Arial" w:cs="Arial" w:eastAsia="Arial" w:hAnsi="Arial"/>
                <w:sz w:val="18"/>
                <w:szCs w:val="18"/>
                <w:color w:val="auto"/>
              </w:rPr>
              <w:t>(0.49)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(0.36)</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(1.43)</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155"/>
        </w:trPr>
        <w:tc>
          <w:tcPr>
            <w:tcW w:w="40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Basic and diluted weighted average common shares</w:t>
            </w:r>
          </w:p>
        </w:tc>
        <w:tc>
          <w:tcPr>
            <w:tcW w:w="2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7,108,133</w:t>
            </w:r>
          </w:p>
        </w:tc>
        <w:tc>
          <w:tcPr>
            <w:tcW w:w="4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7,108,133</w:t>
            </w:r>
          </w:p>
        </w:tc>
        <w:tc>
          <w:tcPr>
            <w:tcW w:w="4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7,108,133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7,108,133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5"/>
        </w:trPr>
        <w:tc>
          <w:tcPr>
            <w:tcW w:w="4180" w:type="dxa"/>
            <w:vAlign w:val="bottom"/>
          </w:tcPr>
          <w:p>
            <w:pPr>
              <w:spacing w:after="0"/>
              <w:rPr>
                <w:sz w:val="22"/>
                <w:szCs w:val="22"/>
                <w:color w:val="auto"/>
              </w:rPr>
            </w:pPr>
          </w:p>
        </w:tc>
        <w:tc>
          <w:tcPr>
            <w:tcW w:w="24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36"/>
        </w:trPr>
        <w:tc>
          <w:tcPr>
            <w:tcW w:w="4180" w:type="dxa"/>
            <w:vAlign w:val="bottom"/>
          </w:tcPr>
          <w:p>
            <w:pPr>
              <w:spacing w:after="0"/>
              <w:rPr>
                <w:sz w:val="20"/>
                <w:szCs w:val="20"/>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Capital</w:t>
            </w:r>
          </w:p>
        </w:tc>
        <w:tc>
          <w:tcPr>
            <w:tcW w:w="180" w:type="dxa"/>
            <w:vAlign w:val="bottom"/>
          </w:tcPr>
          <w:p>
            <w:pPr>
              <w:spacing w:after="0"/>
              <w:rPr>
                <w:sz w:val="20"/>
                <w:szCs w:val="20"/>
                <w:color w:val="auto"/>
              </w:rPr>
            </w:pPr>
          </w:p>
        </w:tc>
        <w:tc>
          <w:tcPr>
            <w:tcW w:w="124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2020 (Audited)</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7,108,133</w:t>
            </w:r>
          </w:p>
        </w:tc>
        <w:tc>
          <w:tcPr>
            <w:tcW w:w="11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68,516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(44,280)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(2,388)</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57"/>
        </w:trPr>
        <w:tc>
          <w:tcPr>
            <w:tcW w:w="41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Balances, March 31, 2021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7,108,133</w:t>
            </w:r>
          </w:p>
        </w:tc>
        <w:tc>
          <w:tcPr>
            <w:tcW w:w="16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72</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68,926</w:t>
            </w:r>
          </w:p>
        </w:tc>
        <w:tc>
          <w:tcPr>
            <w:tcW w:w="3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(46,668</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22,330</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299</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(2,511)</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June 30, 2021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7,108,133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Arial" w:cs="Arial" w:eastAsia="Arial" w:hAnsi="Arial"/>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307</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307</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(2,555)</w:t>
            </w:r>
          </w:p>
        </w:tc>
        <w:tc>
          <w:tcPr>
            <w:tcW w:w="2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17"/>
        </w:trPr>
        <w:tc>
          <w:tcPr>
            <w:tcW w:w="4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September 30, 2021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7,108,133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72</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69,532</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(51,734</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5"/>
        </w:trPr>
        <w:tc>
          <w:tcPr>
            <w:tcW w:w="4180" w:type="dxa"/>
            <w:vAlign w:val="bottom"/>
          </w:tcPr>
          <w:p>
            <w:pPr>
              <w:spacing w:after="0"/>
              <w:rPr>
                <w:sz w:val="22"/>
                <w:szCs w:val="22"/>
                <w:color w:val="auto"/>
              </w:rPr>
            </w:pPr>
          </w:p>
        </w:tc>
        <w:tc>
          <w:tcPr>
            <w:tcW w:w="24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Capital</w:t>
            </w:r>
          </w:p>
        </w:tc>
        <w:tc>
          <w:tcPr>
            <w:tcW w:w="180" w:type="dxa"/>
            <w:vAlign w:val="bottom"/>
          </w:tcPr>
          <w:p>
            <w:pPr>
              <w:spacing w:after="0"/>
              <w:rPr>
                <w:sz w:val="20"/>
                <w:szCs w:val="20"/>
                <w:color w:val="auto"/>
              </w:rPr>
            </w:pPr>
          </w:p>
        </w:tc>
        <w:tc>
          <w:tcPr>
            <w:tcW w:w="124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2021 (Audited)</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7,108,133</w:t>
            </w:r>
          </w:p>
        </w:tc>
        <w:tc>
          <w:tcPr>
            <w:tcW w:w="11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69,902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(55,593)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14,381</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5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(3,189)</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57"/>
        </w:trPr>
        <w:tc>
          <w:tcPr>
            <w:tcW w:w="41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Balances, March 31, 2022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7,108,133</w:t>
            </w:r>
          </w:p>
        </w:tc>
        <w:tc>
          <w:tcPr>
            <w:tcW w:w="16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72</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70,331</w:t>
            </w:r>
          </w:p>
        </w:tc>
        <w:tc>
          <w:tcPr>
            <w:tcW w:w="3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(3,513)</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7"/>
        </w:trPr>
        <w:tc>
          <w:tcPr>
            <w:tcW w:w="4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Balances, June 30, 2022 (Unaudited)</w:t>
            </w: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180" w:type="dxa"/>
            <w:vAlign w:val="bottom"/>
            <w:vMerge w:val="continue"/>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7,108,133</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70,763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(62,295</w:t>
            </w:r>
          </w:p>
        </w:tc>
        <w:tc>
          <w:tcPr>
            <w:tcW w:w="320" w:type="dxa"/>
            <w:vAlign w:val="bottom"/>
            <w:vMerge w:val="continue"/>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Share-based compensation</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461</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461</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(3,468)</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September 30, 2022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7,108,133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72</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71,224</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(65,763</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20" w:type="dxa"/>
            <w:vAlign w:val="bottom"/>
            <w:gridSpan w:val="5"/>
          </w:tcPr>
          <w:p>
            <w:pPr>
              <w:jc w:val="right"/>
              <w:ind w:right="307"/>
              <w:spacing w:after="0"/>
              <w:rPr>
                <w:sz w:val="20"/>
                <w:szCs w:val="20"/>
                <w:color w:val="auto"/>
              </w:rPr>
            </w:pPr>
            <w:r>
              <w:rPr>
                <w:rFonts w:ascii="Arial" w:cs="Arial" w:eastAsia="Arial" w:hAnsi="Arial"/>
                <w:sz w:val="18"/>
                <w:szCs w:val="18"/>
                <w:b w:val="1"/>
                <w:bCs w:val="1"/>
                <w:color w:val="auto"/>
              </w:rPr>
              <w:t>For the Nine Months Ended</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827"/>
              <w:spacing w:after="0"/>
              <w:rPr>
                <w:sz w:val="20"/>
                <w:szCs w:val="20"/>
                <w:color w:val="auto"/>
              </w:rPr>
            </w:pPr>
            <w:r>
              <w:rPr>
                <w:rFonts w:ascii="Arial" w:cs="Arial" w:eastAsia="Arial" w:hAnsi="Arial"/>
                <w:sz w:val="18"/>
                <w:szCs w:val="18"/>
                <w:b w:val="1"/>
                <w:bCs w:val="1"/>
                <w:color w:val="auto"/>
              </w:rPr>
              <w:t>September 30,</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60" w:type="dxa"/>
            <w:vAlign w:val="bottom"/>
            <w:gridSpan w:val="4"/>
          </w:tcPr>
          <w:p>
            <w:pPr>
              <w:jc w:val="right"/>
              <w:ind w:right="987"/>
              <w:spacing w:after="0"/>
              <w:rPr>
                <w:sz w:val="20"/>
                <w:szCs w:val="20"/>
                <w:color w:val="auto"/>
              </w:rPr>
            </w:pPr>
            <w:r>
              <w:rPr>
                <w:rFonts w:ascii="Arial" w:cs="Arial" w:eastAsia="Arial" w:hAnsi="Arial"/>
                <w:sz w:val="18"/>
                <w:szCs w:val="18"/>
                <w:color w:val="auto"/>
              </w:rPr>
              <w:t>Unaudited</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198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(10,170)</w:t>
            </w:r>
          </w:p>
        </w:tc>
        <w:tc>
          <w:tcPr>
            <w:tcW w:w="1280" w:type="dxa"/>
            <w:vAlign w:val="bottom"/>
            <w:gridSpan w:val="2"/>
          </w:tcPr>
          <w:p>
            <w:pPr>
              <w:jc w:val="right"/>
              <w:ind w:right="1107"/>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and accrued interest</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1,322</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9"/>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7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(657)</w:t>
            </w:r>
          </w:p>
        </w:tc>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from operating activities</w:t>
            </w:r>
          </w:p>
        </w:tc>
        <w:tc>
          <w:tcPr>
            <w:tcW w:w="72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(9,086</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(6,467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investment</w:t>
            </w:r>
          </w:p>
        </w:tc>
        <w:tc>
          <w:tcPr>
            <w:tcW w:w="7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from investing activities</w:t>
            </w:r>
          </w:p>
        </w:tc>
        <w:tc>
          <w:tcPr>
            <w:tcW w:w="72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Decrease in cash, cash equivalents and restricted cash</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(9,169)</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49"/>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7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13,580</w:t>
            </w:r>
          </w:p>
        </w:tc>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19,734</w:t>
            </w:r>
          </w:p>
        </w:tc>
        <w:tc>
          <w:tcPr>
            <w:tcW w:w="0" w:type="dxa"/>
            <w:vAlign w:val="bottom"/>
          </w:tcPr>
          <w:p>
            <w:pPr>
              <w:spacing w:after="0"/>
              <w:rPr>
                <w:sz w:val="1"/>
                <w:szCs w:val="1"/>
                <w:color w:val="auto"/>
              </w:rPr>
            </w:pPr>
          </w:p>
        </w:tc>
      </w:tr>
      <w:tr>
        <w:trPr>
          <w:trHeight w:val="257"/>
        </w:trPr>
        <w:tc>
          <w:tcPr>
            <w:tcW w:w="626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Cash, cash equivalents and restricted cash at end of period</w:t>
            </w:r>
          </w:p>
        </w:tc>
        <w:tc>
          <w:tcPr>
            <w:tcW w:w="720" w:type="dxa"/>
            <w:vAlign w:val="bottom"/>
            <w:tcBorders>
              <w:top w:val="single" w:sz="8" w:color="CCEEFF"/>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10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13,512</w:t>
            </w:r>
          </w:p>
        </w:tc>
        <w:tc>
          <w:tcPr>
            <w:tcW w:w="100" w:type="dxa"/>
            <w:vAlign w:val="bottom"/>
            <w:tcBorders>
              <w:top w:val="single" w:sz="8" w:color="CCEEFF"/>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received from interest</w:t>
            </w:r>
          </w:p>
        </w:tc>
        <w:tc>
          <w:tcPr>
            <w:tcW w:w="198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w:t>
            </w:r>
          </w:p>
        </w:tc>
        <w:tc>
          <w:tcPr>
            <w:tcW w:w="1280" w:type="dxa"/>
            <w:vAlign w:val="bottom"/>
            <w:gridSpan w:val="2"/>
            <w:shd w:val="clear" w:color="auto" w:fill="CCEEFF"/>
          </w:tcPr>
          <w:p>
            <w:pPr>
              <w:jc w:val="right"/>
              <w:ind w:right="1107"/>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Right-of-use asset and lease liability</w:t>
            </w:r>
          </w:p>
        </w:tc>
        <w:tc>
          <w:tcPr>
            <w:tcW w:w="720" w:type="dxa"/>
            <w:vAlign w:val="bottom"/>
            <w:tcBorders>
              <w:top w:val="single" w:sz="8" w:color="CCEEFF"/>
              <w:bottom w:val="single" w:sz="8" w:color="CCEEFF"/>
            </w:tcBorders>
            <w:vMerge w:val="restart"/>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ind w:right="107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tcPr>
          <w:p>
            <w:pPr>
              <w:jc w:val="right"/>
              <w:ind w:right="11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Description of business:</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focused on the development of a Multi-Generational Portfolio utilizing its proprietary technologies, which together is expected to redefine surgical robotics while improving surgical outcomes for patients.</w:t>
      </w:r>
    </w:p>
    <w:p>
      <w:pPr>
        <w:spacing w:after="0" w:line="18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4"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par value $0.01 per share (the “Common Stock”), began trading on the Nasdaq Capital Market under the symbol “MBOT”.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 the context requires it, the Company and Microbot Israel are collectively referred to as the “Company”.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Use of estimates:</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Unaudited Interim Financial Statements:</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Operating results for the nine and three-month periods ended September 30, 2022, are not necessarily indicative of the results that may be expected for the year ended December 31, 2022.</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To date, the Company has not generated revenues from its operations. As of September 30, 2022, the Company had unrestricted cash, cash equivalent and marketable securities balance of approximately $6,331 excluding encumbered cash.</w:t>
      </w:r>
    </w:p>
    <w:p>
      <w:pPr>
        <w:spacing w:after="0" w:line="170"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Due to continuing research and development activities, the Company expects to incur additional losses for the foreseeable future. Although the Company raised approximately $4.3 million in net proceeds in an October 2022 financing (See Note 6 – Subsequent Events), the Company will likely be required to raise additional funds through future issuances of either debt and/or equity securities and possibly grants from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 Even with the recently raised additional capital, there is still substantial doubt as to the Company’s ability to continue as a going concern. The Company’s interim financial statements do not include any adjustments to reflect the possible future effects on recoverability and classification of assets or the amounts and classification of liabilities that may result from the outcome of this uncertainty.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left="340"/>
        <w:spacing w:after="0" w:line="279" w:lineRule="auto"/>
        <w:rPr>
          <w:sz w:val="20"/>
          <w:szCs w:val="20"/>
          <w:color w:val="auto"/>
        </w:rPr>
      </w:pPr>
      <w:r>
        <w:rPr>
          <w:rFonts w:ascii="Arial" w:cs="Arial" w:eastAsia="Arial" w:hAnsi="Arial"/>
          <w:sz w:val="17"/>
          <w:szCs w:val="17"/>
          <w:color w:val="auto"/>
        </w:rPr>
        <w:t>An epidemic of the coronavirus disease (“COVID-19”) is ongoing throughout the world. As the outbreak is still evolving, although lockdowns in many places are being lifted, much of its impact continues to change. The Company continues to monitor and assess the potential and actual impacts, if any, on its operations and business. As of this filing, it is impossible to predict future effects and potential spread of the coronavirus disease globally. The coronavirus disease may cause significant delays and disruptions to our pre-clinical studies.</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Additionally, travel restrictions have been implemented with respect to certain countries in an effort to contain the coronavirus disease, and several countries have screenings of travelers. As travel restrictions may be implemented and adopted by countries around the world, the Company and its contract research organizations may be unable to visit its clinical trial sites and monitor the data from its clinical trials on timely basis. The Company’s employees may also face travel restrictions, which would impact its business. Furthermore, some of the Company’s manufacturers and suppliers are in Europe and may be impacted by port closures and other restrictions resulting from the coronavirus outbreak, which may disrupt the Company’s supply chain or limit its ability to obtain sufficient materials for its products.</w:t>
      </w:r>
    </w:p>
    <w:p>
      <w:pPr>
        <w:spacing w:after="0" w:line="17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ultimate impact of the COVID-19 outbreaks or similar health epidemics are highly uncertain and subject to changes, and the Company cannot presently predict the scope and severity of any potential business shutdowns or disruptions. However, if the Company or any of the third parties with whom the Company engages, including the suppliers, animal trial sites, contract research organizations, regulators, including the FDA, health care providers and other third parties with whom the Company conducts business, were to experience shutdowns or other business disruptions, the Company’s ability to conduct our business and operations could be materially and negatively impacted, which could prevent or delay the Company from obtaining approval for its devices.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340" w:right="2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color w:val="auto"/>
        </w:rPr>
        <w:t>The Company’s financial assets and liabilities subject to fair value measurements on a recurring basis and the level of inputs used in such measurements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As of September 30, 2022</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Level 3</w:t>
            </w:r>
          </w:p>
        </w:tc>
        <w:tc>
          <w:tcPr>
            <w:tcW w:w="60" w:type="dxa"/>
            <w:vAlign w:val="bottom"/>
            <w:gridSpan w:val="2"/>
          </w:tcPr>
          <w:p>
            <w:pPr>
              <w:spacing w:after="0"/>
              <w:rPr>
                <w:sz w:val="20"/>
                <w:szCs w:val="20"/>
                <w:color w:val="auto"/>
              </w:rPr>
            </w:pPr>
          </w:p>
        </w:tc>
      </w:tr>
      <w:tr>
        <w:trPr>
          <w:trHeight w:val="216"/>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197"/>
        </w:trPr>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Other 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1,999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1,999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As of December 31, 2021</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2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Level 3</w:t>
            </w:r>
          </w:p>
        </w:tc>
        <w:tc>
          <w:tcPr>
            <w:tcW w:w="60" w:type="dxa"/>
            <w:vAlign w:val="bottom"/>
            <w:gridSpan w:val="2"/>
          </w:tcPr>
          <w:p>
            <w:pPr>
              <w:spacing w:after="0"/>
              <w:rPr>
                <w:sz w:val="20"/>
                <w:szCs w:val="20"/>
                <w:color w:val="auto"/>
              </w:rPr>
            </w:pPr>
          </w:p>
        </w:tc>
      </w:tr>
      <w:tr>
        <w:trPr>
          <w:trHeight w:val="216"/>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8,587</w:t>
            </w:r>
          </w:p>
        </w:tc>
        <w:tc>
          <w:tcPr>
            <w:tcW w:w="10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197"/>
        </w:trPr>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Other 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1,999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1,999</w:t>
            </w:r>
          </w:p>
        </w:tc>
        <w:tc>
          <w:tcPr>
            <w:tcW w:w="10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r>
        <w:rPr>
          <w:rFonts w:ascii="Arial" w:cs="Arial" w:eastAsia="Arial" w:hAnsi="Arial"/>
          <w:sz w:val="18"/>
          <w:szCs w:val="18"/>
          <w:color w:val="auto"/>
        </w:rPr>
        <w: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records and discloses legal contingencies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FASB, or other standard 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which simplifies the accounting for income taxes by removing a variety of exceptions within the framework of ASC 740. 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 The guidance will be effective for the Company beginning January 1, 2022, and interim periods in fiscal years beginning January 1, 2023. Early adoption is permitted. The Company is currently evaluating the effect that ASU 2019-12 will have on its consolidated financial statements.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Therefore, the adoption will not have a material effect on the Company’s consolidated financial statements.</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92" w:right="3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June 2016, the FASB issued ASU No. 2016-13, “Financial Instruments – Credit Losses – Measurement of Credit Losses on Financial Instruments”, which introduces a model based on expected losses to estimate credit losses for most financial assets and certain other instruments. In addition, for available-for-sale debt securities with unrealized losses, the losses will be recognized as allowances rather than reductions in the amortized cost of the securities. The ASU is effective for smaller reporting companies for fiscal years, and interim periods within those fiscal years, beginning after December 15, 2022 (January 1, 2023 for the Company) with early adoption permitted. The Company is currently evaluating the impact this guidance may have on its consolidated financial statements and related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229" w:lineRule="exact"/>
        <w:rPr>
          <w:sz w:val="20"/>
          <w:szCs w:val="20"/>
          <w:color w:val="auto"/>
        </w:rPr>
      </w:pPr>
    </w:p>
    <w:p>
      <w:pPr>
        <w:jc w:val="both"/>
        <w:ind w:left="340"/>
        <w:spacing w:after="0" w:line="327" w:lineRule="auto"/>
        <w:rPr>
          <w:sz w:val="20"/>
          <w:szCs w:val="20"/>
          <w:color w:val="auto"/>
        </w:rPr>
      </w:pPr>
      <w:r>
        <w:rPr>
          <w:rFonts w:ascii="Arial" w:cs="Arial" w:eastAsia="Arial" w:hAnsi="Arial"/>
          <w:sz w:val="15"/>
          <w:szCs w:val="15"/>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 and its sublease transactions are de minimis.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35" w:lineRule="exact"/>
        <w:rPr>
          <w:sz w:val="20"/>
          <w:szCs w:val="20"/>
          <w:color w:val="auto"/>
        </w:rPr>
      </w:pPr>
    </w:p>
    <w:p>
      <w:pPr>
        <w:jc w:val="center"/>
        <w:ind w:left="3240"/>
        <w:spacing w:after="0"/>
        <w:rPr>
          <w:sz w:val="20"/>
          <w:szCs w:val="20"/>
          <w:color w:val="auto"/>
        </w:rPr>
      </w:pPr>
      <w:r>
        <w:rPr>
          <w:rFonts w:ascii="Arial" w:cs="Arial" w:eastAsia="Arial" w:hAnsi="Arial"/>
          <w:sz w:val="18"/>
          <w:szCs w:val="18"/>
          <w:b w:val="1"/>
          <w:bCs w:val="1"/>
          <w:u w:val="single" w:color="auto"/>
          <w:color w:val="auto"/>
        </w:rPr>
        <w:t>For the Nine Months Ended September 30,</w:t>
      </w:r>
    </w:p>
    <w:p>
      <w:pPr>
        <w:spacing w:after="0" w:line="50" w:lineRule="exact"/>
        <w:rPr>
          <w:sz w:val="20"/>
          <w:szCs w:val="20"/>
          <w:color w:val="auto"/>
        </w:rPr>
      </w:pPr>
    </w:p>
    <w:p>
      <w:pPr>
        <w:ind w:left="6180"/>
        <w:spacing w:after="0"/>
        <w:tabs>
          <w:tab w:leader="none" w:pos="794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0999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9945" cy="17145"/>
                    </a:xfrm>
                    <a:prstGeom prst="rect">
                      <a:avLst/>
                    </a:prstGeom>
                    <a:noFill/>
                  </pic:spPr>
                </pic:pic>
              </a:graphicData>
            </a:graphic>
          </wp:anchor>
        </w:drawing>
      </w:r>
    </w:p>
    <w:p>
      <w:pPr>
        <w:spacing w:after="0" w:line="236" w:lineRule="exact"/>
        <w:rPr>
          <w:sz w:val="20"/>
          <w:szCs w:val="20"/>
          <w:color w:val="auto"/>
        </w:rPr>
      </w:pPr>
    </w:p>
    <w:p>
      <w:pPr>
        <w:spacing w:after="0"/>
        <w:tabs>
          <w:tab w:leader="none" w:pos="5580" w:val="left"/>
          <w:tab w:leader="none" w:pos="6840" w:val="left"/>
          <w:tab w:leader="none" w:pos="7360" w:val="left"/>
          <w:tab w:leader="none" w:pos="8620" w:val="left"/>
        </w:tabs>
        <w:rPr>
          <w:sz w:val="20"/>
          <w:szCs w:val="20"/>
          <w:color w:val="auto"/>
        </w:rPr>
      </w:pPr>
      <w:r>
        <w:rPr>
          <w:rFonts w:ascii="Arial" w:cs="Arial" w:eastAsia="Arial" w:hAnsi="Arial"/>
          <w:sz w:val="18"/>
          <w:szCs w:val="18"/>
          <w:color w:val="auto"/>
        </w:rPr>
        <w:t>Cash payments and expenses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247</w:t>
        <w:tab/>
        <w:t>$</w:t>
      </w:r>
      <w:r>
        <w:rPr>
          <w:sz w:val="20"/>
          <w:szCs w:val="20"/>
          <w:color w:val="auto"/>
        </w:rPr>
        <w:tab/>
      </w:r>
      <w:r>
        <w:rPr>
          <w:rFonts w:ascii="Arial" w:cs="Arial" w:eastAsia="Arial" w:hAnsi="Arial"/>
          <w:sz w:val="15"/>
          <w:szCs w:val="15"/>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039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Undiscounted maturities of operating lease payments as of September 30, 2022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2022 (Remainder of the year)</w:t>
            </w:r>
          </w:p>
        </w:tc>
        <w:tc>
          <w:tcPr>
            <w:tcW w:w="15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2023</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5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03"/>
        </w:trPr>
        <w:tc>
          <w:tcPr>
            <w:tcW w:w="54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future lease payments</w:t>
            </w:r>
          </w:p>
        </w:tc>
        <w:tc>
          <w:tcPr>
            <w:tcW w:w="6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545</w:t>
            </w:r>
          </w:p>
        </w:tc>
        <w:tc>
          <w:tcPr>
            <w:tcW w:w="60" w:type="dxa"/>
            <w:vAlign w:val="bottom"/>
            <w:tcBorders>
              <w:top w:val="single" w:sz="8" w:color="CCEEFF"/>
            </w:tcBorders>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5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6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16"/>
        </w:trPr>
        <w:tc>
          <w:tcPr>
            <w:tcW w:w="5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lease liability balance</w:t>
            </w:r>
          </w:p>
        </w:tc>
        <w:tc>
          <w:tcPr>
            <w:tcW w:w="68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60" w:type="dxa"/>
            <w:vAlign w:val="bottom"/>
            <w:tcBorders>
              <w:top w:val="single" w:sz="8" w:color="CCEEFF"/>
            </w:tcBorders>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610"/>
        </w:trPr>
        <w:tc>
          <w:tcPr>
            <w:tcW w:w="5460" w:type="dxa"/>
            <w:vAlign w:val="bottom"/>
          </w:tcPr>
          <w:p>
            <w:pPr>
              <w:spacing w:after="0"/>
              <w:rPr>
                <w:sz w:val="24"/>
                <w:szCs w:val="24"/>
                <w:color w:val="auto"/>
              </w:rPr>
            </w:pPr>
          </w:p>
        </w:tc>
        <w:tc>
          <w:tcPr>
            <w:tcW w:w="18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4"/>
              </w:rPr>
              <w:t>As of</w:t>
            </w:r>
          </w:p>
        </w:tc>
        <w:tc>
          <w:tcPr>
            <w:tcW w:w="2260" w:type="dxa"/>
            <w:vAlign w:val="bottom"/>
          </w:tcPr>
          <w:p>
            <w:pPr>
              <w:spacing w:after="0"/>
              <w:rPr>
                <w:sz w:val="24"/>
                <w:szCs w:val="24"/>
                <w:color w:val="auto"/>
              </w:rPr>
            </w:pPr>
          </w:p>
        </w:tc>
      </w:tr>
      <w:tr>
        <w:trPr>
          <w:trHeight w:val="216"/>
        </w:trPr>
        <w:tc>
          <w:tcPr>
            <w:tcW w:w="546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6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2260" w:type="dxa"/>
            <w:vAlign w:val="bottom"/>
          </w:tcPr>
          <w:p>
            <w:pPr>
              <w:spacing w:after="0"/>
              <w:rPr>
                <w:sz w:val="18"/>
                <w:szCs w:val="18"/>
                <w:color w:val="auto"/>
              </w:rPr>
            </w:pPr>
          </w:p>
        </w:tc>
      </w:tr>
      <w:tr>
        <w:trPr>
          <w:trHeight w:val="241"/>
        </w:trPr>
        <w:tc>
          <w:tcPr>
            <w:tcW w:w="5460" w:type="dxa"/>
            <w:vAlign w:val="bottom"/>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2022</w:t>
            </w:r>
          </w:p>
        </w:tc>
        <w:tc>
          <w:tcPr>
            <w:tcW w:w="340" w:type="dxa"/>
            <w:vAlign w:val="bottom"/>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5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weighted average remaining lease term (in years)</w:t>
            </w:r>
          </w:p>
        </w:tc>
        <w:tc>
          <w:tcPr>
            <w:tcW w:w="1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1660" w:type="dxa"/>
            <w:vAlign w:val="bottom"/>
            <w:gridSpan w:val="4"/>
            <w:shd w:val="clear" w:color="auto" w:fill="CCEEFF"/>
          </w:tcPr>
          <w:p>
            <w:pPr>
              <w:ind w:left="1420"/>
              <w:spacing w:after="0"/>
              <w:rPr>
                <w:sz w:val="20"/>
                <w:szCs w:val="20"/>
                <w:color w:val="auto"/>
              </w:rPr>
            </w:pPr>
            <w:r>
              <w:rPr>
                <w:rFonts w:ascii="Arial" w:cs="Arial" w:eastAsia="Arial" w:hAnsi="Arial"/>
                <w:sz w:val="18"/>
                <w:szCs w:val="18"/>
                <w:color w:val="auto"/>
              </w:rPr>
              <w:t>3</w:t>
            </w:r>
          </w:p>
        </w:tc>
        <w:tc>
          <w:tcPr>
            <w:tcW w:w="2260" w:type="dxa"/>
            <w:vAlign w:val="bottom"/>
          </w:tcPr>
          <w:p>
            <w:pPr>
              <w:spacing w:after="0"/>
              <w:rPr>
                <w:sz w:val="18"/>
                <w:szCs w:val="18"/>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Operating leases weighted average discount rate</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1660" w:type="dxa"/>
            <w:vAlign w:val="bottom"/>
            <w:gridSpan w:val="4"/>
          </w:tcPr>
          <w:p>
            <w:pPr>
              <w:ind w:left="1420"/>
              <w:spacing w:after="0"/>
              <w:rPr>
                <w:sz w:val="20"/>
                <w:szCs w:val="20"/>
                <w:color w:val="auto"/>
              </w:rPr>
            </w:pPr>
            <w:r>
              <w:rPr>
                <w:rFonts w:ascii="Arial" w:cs="Arial" w:eastAsia="Arial" w:hAnsi="Arial"/>
                <w:sz w:val="18"/>
                <w:szCs w:val="18"/>
                <w:color w:val="auto"/>
                <w:w w:val="84"/>
              </w:rPr>
              <w:t>9%</w:t>
            </w:r>
          </w:p>
        </w:tc>
        <w:tc>
          <w:tcPr>
            <w:tcW w:w="2260" w:type="dxa"/>
            <w:vAlign w:val="bottom"/>
          </w:tcPr>
          <w:p>
            <w:pPr>
              <w:spacing w:after="0"/>
              <w:rPr>
                <w:sz w:val="20"/>
                <w:szCs w:val="20"/>
                <w:color w:val="auto"/>
              </w:rPr>
            </w:pPr>
          </w:p>
        </w:tc>
      </w:tr>
      <w:tr>
        <w:trPr>
          <w:trHeight w:val="425"/>
        </w:trPr>
        <w:tc>
          <w:tcPr>
            <w:tcW w:w="5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w:t>
            </w: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Microbot Israel has received grants from the Israeli Innovation Authority (“IIA”) for participation in research and development since 2013 through September 30, 2022 totaling approximately $1,500.</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addition, as a result of the agreement with CardioSert as described below in this Note 4, on January 4, 2018, Microbot Israel Microbot Israel took over the liability to repay CardioSert’s IIA grants in the aggregate amount of approximately $530.</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addition, as a result of the agreement with Nitiloop as described below in this Note 4, on October 6, 2022, Microbot Israel took over the liability to repay Nitiloop’s IIA grants in the aggregate amount of approximately $925.</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relation to the IIA grants described above, the Company is obligated to pay royalties amounting to 3.0%-3.5% of its future sales of the products relating to such grants.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grants are linked to the exchange rate of the dollar to the New Israeli Shekel and bears interest of Libor per annum.</w:t>
      </w:r>
    </w:p>
    <w:p>
      <w:pPr>
        <w:spacing w:after="0" w:line="225" w:lineRule="exact"/>
        <w:rPr>
          <w:sz w:val="20"/>
          <w:szCs w:val="20"/>
          <w:color w:val="auto"/>
        </w:rPr>
      </w:pPr>
    </w:p>
    <w:p>
      <w:pPr>
        <w:jc w:val="both"/>
        <w:ind w:left="340" w:right="20"/>
        <w:spacing w:after="0" w:line="311" w:lineRule="auto"/>
        <w:rPr>
          <w:sz w:val="20"/>
          <w:szCs w:val="20"/>
          <w:color w:val="auto"/>
        </w:rPr>
      </w:pPr>
      <w:r>
        <w:rPr>
          <w:rFonts w:ascii="Arial" w:cs="Arial" w:eastAsia="Arial" w:hAnsi="Arial"/>
          <w:sz w:val="16"/>
          <w:szCs w:val="16"/>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Microbot Israel signed an agreement with the Technion Research and Development Foundation (“TRDF”) in June 2012 by which TRDF transferred to Microbot Israel a global, exclusive, royalty-bearing license (as amended, the License Agreement”). As partial consideration for the license, Microbot Israel shall pay TRDF royalties on net sales (between 1.5%-3.0%) and on sublicense income as detailed in the agreement.</w:t>
      </w:r>
    </w:p>
    <w:p>
      <w:pPr>
        <w:spacing w:after="0" w:line="165"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Pursuant to the License Agreement, both parties agreed to extend the next development milestone for the Company’s Self Cleaning Shunt (SCS) project, which includes the First In Human milestone, until December 2024, and to continue to maintain the TipCat assets, which are still in a discovery phase, until December 2023. The Company in October 2022 suspended the SCS project while it evaluates alternatives for the SCS assets, which may include seeking buyers for the assets, entering into joint ventures or licensing arrangements, spinning off the assets into a new operating company or discontinuing the project altogether. The Company has certain obligations to seek to develop and commercialize the SCS and the TipCat assets under the License Agreement. At the time of filing of this Quarterly Report on Form 10-Q, the Company has been in discussions with TRDF with respect to the suspension of the SCS project, and the Company expects that if it is unsuccessful in entering into alternative arrangements for such assets, the Company will return such licensed assets to TRDF.</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 Pursuant to the agreement, Microbot Israel made an initial payment of $50 to CardioSert and had 90-days to elect to complete the acquisition. At the end of the 90-day period, at Microbot Israel’s sole option, CardioSert was required to assign and transfer the Technology to Microbot Israel and Microbot Israel was required to pay to CardioSert additional amounts and securities as determined in the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308" w:lineRule="auto"/>
        <w:rPr>
          <w:sz w:val="20"/>
          <w:szCs w:val="20"/>
          <w:color w:val="auto"/>
        </w:rPr>
      </w:pPr>
      <w:r>
        <w:rPr>
          <w:rFonts w:ascii="Arial" w:cs="Arial" w:eastAsia="Arial" w:hAnsi="Arial"/>
          <w:sz w:val="17"/>
          <w:szCs w:val="17"/>
          <w:color w:val="auto"/>
        </w:rPr>
        <w:t>On May 25, 2018, Microbot delivered an Exercise Notice to CardioSert Ltd., notifying it that Microbot elected to exercise the option to acquire the Technology owned by CardioSert and therefore made an additional cash payment of $250 and 6,738 shares of Common Stock estimated at $74.</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 CardioSert agreed to assist Microbot Israel in the development of the Technology for a minimum of one year, for a monthly consultation fee of NIS 40,000 (or approximately US$11.29, based on an exchange rate of NIS 3.543 to the dollar) covering up to 60 consulting hours per month.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 (the “June 2021 Prospectus”). To date, we have not sold any shares of Common Stock pursuant to the ATM Agreement, and as of October 13, 2022, the Company suspended the ATM Agreement, which remains in full force and effect, and terminated the June 2021 Prospectus.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 and sale of the shares pursuant to the ATM Agreement, if any, will terminate upon the earlier of (a) the issuance and sale of all of the shares of Common Stock subject to the ATM Agreement or (b) the termination of the ATM Agreement by Wainwright or the Company pursuant to the terms thereof. The Company has no obligation to sell any of the shares and may at any time suspend offers under the ATM Agreement or terminate the ATM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 agreement with Stryker</w:t>
      </w:r>
    </w:p>
    <w:p>
      <w:pPr>
        <w:spacing w:after="0" w:line="22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On December 22, 2021, the Company entered into a strategic collaboration agreement for technology co-development with Stryker Corporation, acting through its Neurovascular Division. Pursuant to the agreement, the collaborative development program between the Company and Stryker aims to integrate certain of Stryker’s instruments with the Company’s LIBERTY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Robotic System to address certain neurovascular procedures.</w:t>
      </w:r>
    </w:p>
    <w:p>
      <w:pPr>
        <w:spacing w:after="0" w:line="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activities contemplated by the agreement shall be specified in one or more development plans derived from the terms and conditions set forth in the agreement. Each party bears its own costs and expenses in connection with the performance of the agreement and its assigned development activities.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the Company and Stryker shall retain its right, title and interest to its existing intellectual property. Jointly developed intellectual property shall be owned by a party, based on the nature of the intellectual property as it relates to each parties’ respective business, and licensed back to the other party pursuant to a worldwide, irrevocable, perpetual, royalty-free, paid-up, nonexclusive, sub-licensable license. Jointly developed intellectual property that is not exclusively pertaining to one party’s business shall be jointly and equally owned by both the Company and Stryker.</w:t>
      </w:r>
    </w:p>
    <w:p>
      <w:pPr>
        <w:spacing w:after="0" w:line="15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92" w:right="339" w:bottom="1440" w:gutter="0" w:footer="0" w:header="0"/>
        </w:sectPr>
      </w:pPr>
    </w:p>
    <w:bookmarkStart w:id="12" w:name="page13"/>
    <w:bookmarkEnd w:id="12"/>
    <w:p>
      <w:pPr>
        <w:jc w:val="both"/>
        <w:ind w:left="340"/>
        <w:spacing w:after="0" w:line="286" w:lineRule="auto"/>
        <w:rPr>
          <w:sz w:val="20"/>
          <w:szCs w:val="20"/>
          <w:color w:val="auto"/>
        </w:rPr>
      </w:pPr>
      <w:r>
        <w:rPr>
          <w:rFonts w:ascii="Arial" w:cs="Arial" w:eastAsia="Arial" w:hAnsi="Arial"/>
          <w:sz w:val="17"/>
          <w:szCs w:val="17"/>
          <w:color w:val="auto"/>
        </w:rPr>
        <w:t>The term of the agreement continues until the completion of the last development plan agreed upon, unless earlier terminated pursuant to the terms of the agreement. The companies conducted discussions to define the development plan in the first quarter of 2022. Preparations for development activities started in the second fiscal quarter of 2022, and development is expected to commence during the second half of 2022.</w:t>
      </w:r>
    </w:p>
    <w:p>
      <w:pPr>
        <w:spacing w:after="0" w:line="16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Each of the Company and Stryker are subject to customary terms regarding non-disclosure of the other’s confidential information, and are further subject to mutual indemnification obligations.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 of Nitiloop’s Assets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 See Note 4 – Government Grants above.</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consideration for the acquisition of the Assets, Microbot Israel shall pay royalties to Nitiloop, which shall not, in the aggregate, exceed $8,000,000, as follows:</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Royalties at a rate of 3% of net revenue generated as a result of sales, license or other exploitation of the Devices; and</w:t>
      </w:r>
    </w:p>
    <w:p>
      <w:pPr>
        <w:spacing w:after="0" w:line="23"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Royalties at a rate of 1.5% of net revenue generated from the sale, license or other exploitation of commercialization of the technology as part of an integrated product.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Litigation Resulting from 2017 Financing</w:t>
      </w:r>
    </w:p>
    <w:p>
      <w:pPr>
        <w:spacing w:after="0" w:line="22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The Company lost its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the Company’s June 8, 2017 equity financing (the “Financing”) was rescinded as it related to Sabby Healthcare Master Fund Ltd. and Sabby Volatility Warrant Master Fund Ltd. (“Sabby”), and the Company paid approximately $3,700 to Sabby in return for the 83,333 shares of Common Stock Sabby purchased pursuant to the SPA. Soon after, the Company was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the Company breached multiple representations and warranties contained in the SPA, of which the Plaintiffs participated, and fraudulently induced Plaintiffs into signing the SPA.</w:t>
      </w:r>
    </w:p>
    <w:p>
      <w:pPr>
        <w:spacing w:after="0" w:line="18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complaint seeks rescission of the SPA and return of the Plaintiffs’ $6,750 purchase price with respect to the Financing. The Company filed a Motion to Dismiss on March 16, 2020, which was denied by decision and order entered on February 17, 2021. The parties presently are engaged in discovery. At this time no estimation of the potential outcome of the litigation can be made and as such, no allowance was recorded.</w:t>
      </w:r>
    </w:p>
    <w:p>
      <w:pPr>
        <w:spacing w:after="0" w:line="16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Company’s management is unable to assess the likelihood that it would be successful in any trial with respect to the SPA or the Financing, having previously lost the Sabby lawsuit. Accordingly, no assurance can be given that if the Company goes to trial and ultimately loses, or if the Company decides to settle at any time, such an adverse outcome would not be material to the Company’s consolidated financial position.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u w:val="single" w:color="auto"/>
          <w:color w:val="auto"/>
        </w:rPr>
        <w:t>Mona Litigation</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April 28, 2019, the Company brought an action against Alliance Investment Management, Ltd. (“Alliance”), later amended to include Joseph Mona (“Mona”) as a defendant, in the Southern District of New York under Section 16(b) of the Securities Exchange Act of 1934, to compel Alliance and Mona to disgorge short swing profits realized from purchases and sales of the Company’s securities within a period of less than six months. Mona answered the 16(b) claim the Company asserted against him by claiming various equitable defenses, and filed a counterclaim against the Company, claiming a net loss on trading Microbot stock of $151.</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March 31, 2021, a judgement was entered against Mona and in favor of the Company in the amount of $484. On April 27, 2021, Mona filed an appeal of the court’s judgment, which is pending before the U.S. Court of Appeals for the Second Circuit.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settlement conference was held in May 2022. The parties were unable to reach a settlement at the conference.</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Following the close of the discovery period, which ended on August 1, 2022, the Company requested permission to move for summary judgment. The Company’s request is pending.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2022 and December 31, 2021, the Company had 7,108,133 shares of Common Stock issued and outstanding.</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During the nine months ended September 30, 2022, the Company granted to Mr. Harel Gadot, the Company’s Chairman of the Board, President and CEO, options to purchase an aggregate of 100,000 shares of the Common Stock, at an exercise price per share of $6.48. The stock options vest over a period of three years as outlined in the option agreements evidencing such grants.</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During the nine months ended September 30, 2022, the Company granted to certain employees, consultants and directors, options to purchase an aggregate of 214,822 shares of the Common Stock, at an average exercise price per share of $5.87. The stock options vest over a period of three years as outlined in the option agreements evidencing such grants.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SUBSEQUENT EVENTS</w:t>
      </w:r>
    </w:p>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in greater detail below) and related offering expenses.</w:t>
      </w:r>
    </w:p>
    <w:p>
      <w:pPr>
        <w:spacing w:after="0" w:line="19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70"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spacing w:after="0" w:line="176"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On October 3, 2022 and in connection with the Offerings, the Company entered into an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paid Wainwright aggregate cash fees and reimbursed Wainwright for its expenses aggregating approximately $565. The Company also issued to Wainwright or its designees warrants to purchase 51,125 shares of Common Stock (the “Wainwright Warrants”). The Wainwright Warrants have a term of five years from the commencement of sales in the Offerings, and have an exercise price of $6.11 per share.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4 - Commitments and Contingencies-TRDF Agreement, above, with respect to the suspension of the Company’s SCS project.</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See Note 4 - Commitments and Contingencies-Acquisition of Nitiloop’s Assets, above, with respect to the acquisition of certain assets from Nitiloop Ltd.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currently evaluating the effect those events may have on its consolidated financial statements and related disclosures.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2021.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2021.</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pre-clinical medical device company specializing in the research, design and development of next generation robotic endoluminal surgery devices targeting the minimally invasive surgery space. We are developing the first ever fully disposable robot for various endovascular interventional procedures, and our primary mission is to enable accessibility to robotic solutions to all stakeholders by removing barriers for adoption such as capital expense and enabling remote access to patients and users.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current technological platforms are comprised of the proprietary LIBERTY® and One &amp; Done™ (the instrument platform which currently includes assets acquired from Cardiosert) innovative technological platforms, as well as other assets and intellectual property. In addition, we are focused on the development of a Multi Generation Product Portfolio utilizing our proprietary technologies, which together is expected to redefine surgical robotics while improving surgical outcomes for patients.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2022 Financing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21, 2022, we entered into a Securities Purchase Agreement with an institutional investor, pursuant to which we issued and sold, in a registered direct offering priced at-the-market under the rules of The Nasdaq Stock Market,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 million before deducting the placement agent fee (as described in greater detail below) and related offering expenses.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 concurrent private placement, we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3, 2022 we entered into an engagement letter with H.C. Wainwright &amp; Co., LLC (“Wainwright”), pursuant to which Wainwright agreed to serve as the exclusive placement agent for the issuance and sale of securities of the Company pursuant to the above-referenced Securities Purchase Agreement. As compensation for such placement agent services, the Company paid Wainwright aggregate cash fees and reimbursed Wainwright for its expenses aggregating approximately $565,000. We also issued to Wainwright or its designees warrants to purchase 51,125 shares of our common stock (the “Wainwright Warrants”). The Wainwright Warrants have a term of five years, and have an exercise price of $6.1125 per share.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Suspension of ATM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21, 2022, we delivered written notice to Wainwright that we were suspending and terminating the prospectus supplement (the “ATM Prospectus Supplement”) related to our common stock issuable pursuant to the At The Market Offering Agreement, dated June 10, 2021, by and between us and Wainwright (the “ATM Agreement”). We will not make any sales of our securities pursuant to the ATM Agreement, unless and until a new prospectus supplement is filed. Other than the termination and suspension of the ATM Prospectus Supplement, the ATM Agreement remains in full force and effect.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LIBERTY Milestones</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 October 18, 2022, we announced that we have submitted the anticipated follow-up pre-submission package for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to ensure we remain fully aligned with the U.S. Food and Drug Administration (FDA) as we prepare for our Investigational Device Exemption (IDE) submission and first-in-human clinical trial with the system in 2023.</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On October 13, 2022, we announced a significant development milestone as we completed the GLP animal study for the LIBERTY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Robotic System.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Suspension of Self Cleaning Shunt Project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11, 2022, we announced that we have made the strategic decision to suspend the continued research and development of our Self-Cleaning Shunt (SCS) project, effective immediately. We further announced that we are planning to focus our strategic efforts on the growing endovascular space</w:t>
      </w:r>
    </w:p>
    <w:p>
      <w:pPr>
        <w:jc w:val="both"/>
        <w:spacing w:after="0" w:line="250" w:lineRule="auto"/>
        <w:rPr>
          <w:sz w:val="20"/>
          <w:szCs w:val="20"/>
          <w:color w:val="auto"/>
        </w:rPr>
      </w:pPr>
      <w:r>
        <w:rPr>
          <w:rFonts w:ascii="Arial" w:cs="Arial" w:eastAsia="Arial" w:hAnsi="Arial"/>
          <w:sz w:val="16"/>
          <w:szCs w:val="16"/>
          <w:color w:val="auto"/>
        </w:rPr>
        <w:t>and advancing the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Robotic System to achieve our regulatory and commercial milestones, as well as expanding the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ecosystem. We plan to explore opportunities with the SCS assets with the focus on maximizing shareholders value, which may include seeking buyers for the assets, entering into joint ventures, licensing arrangements, spinning-off the assets into a new operating company or discontinue the project altogether.</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in discussions with the licensor of the original SCS and ViRob intellectual property with respect to the suspension of the SCS project, and we expect that if we are unsuccessful in entering into alternative arrangements for the SCS assets, we will return such licensed assets to the licensor pursuant to the terms of the license agreement. Any such return or other alternative with respect to the SCS assets will not affect any other licensed or owned assets of Microbot.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Nitiloop’s Assets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6, 2022, our wholly-owned subsidiary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such technology owned by Nitiloop and designated by Nitiloop as “NovaCross”, “NovaCross Xtreme” and “NovaCross BTK” and any enhancements, modifications and improvements thereof (“Devices”). We did not assume any material liabilities of Nitiloop other than obligations Nitiloop has to the IIA and relating to certain renewal/maintenance fees for a European patent application. In consideration for the acquisition of the Nitiloop assets, Microbot Israel shall pay royalties to Nitiloop, which shall not, in the aggregate, exceed $8,000,000, as follows:</w:t>
      </w:r>
    </w:p>
    <w:p>
      <w:pPr>
        <w:spacing w:after="0" w:line="17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Royalties at a rate of 3% of net revenue generated as a result of sales, license or other exploitation of the Devices; and</w:t>
      </w:r>
    </w:p>
    <w:p>
      <w:pPr>
        <w:spacing w:after="0" w:line="23"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Royalties at a rate of 1.5% of net revenue generated from the sale, license or other exploitation of commercialization of the technology as part of an integrated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r>
        <w:rPr>
          <w:rFonts w:ascii="Arial" w:cs="Arial" w:eastAsia="Arial" w:hAnsi="Arial"/>
          <w:sz w:val="29"/>
          <w:szCs w:val="29"/>
          <w:i w:val="1"/>
          <w:iCs w:val="1"/>
          <w:color w:val="auto"/>
          <w:vertAlign w:val="superscript"/>
        </w:rPr>
        <w:t>®</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“One &amp; Done” capabilities, which would be based in part on the CardioSert platform or possibly other guidewire/microcatheter technologies.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when combined with CardioSert technology or possibly other guidewire/microcatheter technologies, it may be designed to streamline cath-lab procedures with our proprietary “One &amp; Done” tool that combines guidewire and microcatheter into a single device. With control over tip curvature and stiffness for maneuverability and access – and without the need for constant tool exchanges –when integrated into the LIBERTY device, the device may drastically reduce procedure time and costs while enhancing the operator experience.</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we achieved design freeze of the LIBERTY device.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w:t>
      </w:r>
    </w:p>
    <w:p>
      <w:pPr>
        <w:spacing w:after="0" w:line="17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March 31, 2022, the Company filed its pre-submission package for the LIBERTY Robotic System with the U.S. Food and Drug Administration (“FDA”), addressing the regulatory pathway for the LIBERTY Robotic System. The Company expects to meet with the FDA following a normal review process to discuss the pre-submission and ensure the testing protocols and regulatory pathway are aligned with the FDA to obtain clearance for LIBERTY.</w:t>
      </w:r>
    </w:p>
    <w:p>
      <w:pPr>
        <w:spacing w:after="0" w:line="14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2022 the company conducted a GLP Animal study at an FDA accredited laboratory. The study was performed by a team of seasoned Key Opinion Leaders (KOLs) in the endovascular space at a world-class MedTech research laboratory with FDA-required levels of planning, controlling, monitoring, and reporting (GLP standards), using porcine model.</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GLP animal study, the physicians conducted pre-determined 63 navigations to the targeted sites using the investigational LIBERTY Robotic System and performed an equal number of procedures manually. The performance endpoint of the LIBERTY Robotic System after robotic navigation was successfully completed for 58 out of the 63 targets (92%), while 3 of the targets (4.8%) were not completed due to technical issues and 2 (3.2%) were not completed due to fluoroscopy related issues (non-device related). Post navigation intra-operative selective angiograms of the target vessels showed no definite evidence of acute vascular injury. Follow up angiograms of these vessels in post-procedure day 3 showed normal vessel anatomy without signs of injury. Initial postmortem gross pathology examination of some of the target organs showed preliminary findings, which will be further investigated in the pending histopathology analysis, and potentially an additional pre-clinical study. In addition to the objective measurements, the performance and usability of the LIBERTY Robotic System were subjectively graded by each of the physicians, with their assessments accounting for features such as ease of navigation to the target, learning curve, and system stability. For the target sites reached, the physicians graded the LIBERTY Robotic system at the highest grade.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continuing our feasibility animal trials with respect to the LIBERTY device.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 &amp; Done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(CardioSert) Technology</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April 8,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Our CardioSert tool is now trademarked as “One &amp; Done</w:t>
      </w:r>
      <w:r>
        <w:rPr>
          <w:rFonts w:ascii="Arial" w:cs="Arial" w:eastAsia="Arial" w:hAnsi="Arial"/>
          <w:sz w:val="29"/>
          <w:szCs w:val="29"/>
          <w:color w:val="auto"/>
          <w:vertAlign w:val="superscript"/>
        </w:rPr>
        <w:t>TM</w:t>
      </w:r>
      <w:r>
        <w:rPr>
          <w:rFonts w:ascii="Arial" w:cs="Arial" w:eastAsia="Arial" w:hAnsi="Arial"/>
          <w:sz w:val="18"/>
          <w:szCs w:val="18"/>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Nitiloop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stated above, on October 6, 2022, our wholly-owned subsidiary purchased substantially all of the assets of Nitiloop. Nitiloop’s assets are composed of the NovaCross family of microcatheters, including NovaCross CTO, NovaCross Xtreme and NovaCross BTK. These devices enable the intraluminal placement of conventional and steerable guidewires beyond stenotic lesions, including chronic total occlusions (CTO), before percutaneous transluminal coronary angioplasty (PTCA) or stent intervention. The NovaCross microcatheter family can be used as standalone devices and are expected to be able to be incorporated into our One &amp; Done technology. They can also potentially form a collection of customized procedure-related kits for the LIBERTY Robotic System.</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salaries and benefits, professional fees for accounting, auditing, consulting and legal services, and allocated overhead expenses.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Microbot expects that its general and administrative expenses may increase in the future as it expands its operating activities, maintains and expands its patent portfolio and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Significant Judgments and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ectPr>
          <w:pgSz w:w="11900" w:h="16983" w:orient="portrait"/>
          <w:cols w:equalWidth="0" w:num="1">
            <w:col w:w="11240"/>
          </w:cols>
          <w:pgMar w:left="320" w:top="696" w:right="339" w:bottom="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records and discloses legal contingencies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2022 and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key components of Microbot’s results of operations for the three and nine month periods ended September 30, 2022 and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8"/>
              </w:rPr>
              <w:t>Three months ended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4"/>
          </w:tcPr>
          <w:p>
            <w:pPr>
              <w:ind w:left="18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740" w:type="dxa"/>
            <w:vAlign w:val="bottom"/>
          </w:tcPr>
          <w:p>
            <w:pPr>
              <w:spacing w:after="0"/>
              <w:rPr>
                <w:sz w:val="20"/>
                <w:szCs w:val="20"/>
                <w:color w:val="auto"/>
              </w:rPr>
            </w:pPr>
          </w:p>
        </w:tc>
        <w:tc>
          <w:tcPr>
            <w:tcW w:w="22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740" w:type="dxa"/>
            <w:vAlign w:val="bottom"/>
          </w:tcPr>
          <w:p>
            <w:pPr>
              <w:spacing w:after="0"/>
              <w:rPr>
                <w:sz w:val="20"/>
                <w:szCs w:val="20"/>
                <w:color w:val="auto"/>
              </w:rPr>
            </w:pPr>
          </w:p>
        </w:tc>
        <w:tc>
          <w:tcPr>
            <w:tcW w:w="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Pr>
          <w:p>
            <w:pPr>
              <w:spacing w:after="0"/>
              <w:rPr>
                <w:sz w:val="20"/>
                <w:szCs w:val="20"/>
                <w:color w:val="auto"/>
              </w:rPr>
            </w:pPr>
          </w:p>
        </w:tc>
        <w:tc>
          <w:tcPr>
            <w:tcW w:w="76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Change</w:t>
            </w:r>
          </w:p>
        </w:tc>
      </w:tr>
      <w:tr>
        <w:trPr>
          <w:trHeight w:val="216"/>
        </w:trPr>
        <w:tc>
          <w:tcPr>
            <w:tcW w:w="47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   (1,953)</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(1,389)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(5,852)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   (3,897)</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(1,955)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(1,521)</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(4,361)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(3,523)</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(838)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Microbot’s research and development expenses were approximately $1,953,000 and $5,852,000 for the three and</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2022, respectively, compared to approximately $1,389,000 and $3,897,000 for the comparable periods in 2021. The increase in research and development expenses for the periods presented was primarily due to increases in payroll due to new hires and salary increases, as well as increases relating to the initial preparations to transfer the LIBERTY device from R&amp;D to low volume and controlled production (to be used for bench, animal and clinical trials). Microbot expects its research and development expenses to continue to increase over time as Microbot advances its development programs and begins pre-clinical and clinical trials for its LIBERTY device and possibly other product candidates, which increase is expected to be somewhat offset by the decrease in R&amp;D expenses relating to the SCS device due to its suspension in October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5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were approximately $1,521,000 and $4,361,000 for the three and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respectively, compared to approximately $1,163,000 and $3,523,000 for the comparable periods in 2021. The increase in general and administrative expenses for the periods presented was primarily due to increases in payroll due to new hires and salary increases, increases in share-based compensation expense, D&amp;O insurance premiums and travel expenses, which have resumed as Covid-related lockdowns have been lifted. These increases were partially offset by decreases in legal and consultant fees and expenses. Microbot believes its general and administrative expenses may increase over time as it advances its programs, increases its headcount and operating activities and incurs increasing expenses associated with being a public company.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Financing Income (Expenses), net</w:t>
      </w:r>
      <w:r>
        <w:rPr>
          <w:rFonts w:ascii="Arial" w:cs="Arial" w:eastAsia="Arial" w:hAnsi="Arial"/>
          <w:sz w:val="18"/>
          <w:szCs w:val="18"/>
          <w:color w:val="auto"/>
        </w:rPr>
        <w:t>. Financing income was approximately $6,000 and $43,000 for the three and nine months ended September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compared to financing expenses of approximately $3,000 and $34,000 for the comparable periods in 2021. The increase in financial income for the periods presented was primarily due to an increase in the exchange rate between the U.S. Dollar and NIS offset by a reduction of financial expenses related to leasing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has incurred losses since inception and negative cash flows from operating activities for all periods presented. As of September 30, 2022, Microbot had a net working capital of approximately $4,953,000, consisting primarily of cash and cash equivalents and marketable securities. The amount does not include approximately $4.3 million of net proceeds the Company raised in October 2022. This compares to net working capital of approximately $13,895,000 as of December 31, 2021. Microbot anticipates that it will continue to incur net losses for the foreseeable future as it continues research and development efforts of its primary product candidates, hires additional staff, including clinical, scientific, operational, financial and management personnel, and continues to incur costs associated with being a public company.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Microbot has funded its operations through the issuance of capital stock, grants from the Israeli Innovation Authority, and convertible debt. Since inception (November 2010) through October 31, 2022, Microbot has raised net cash proceeds of approximately $59,000,000 and through September 30, 2022 incurred a total cumulative loss of approximately $65,763,000. Microbot returned $3,375,000 (before interest) of such proceeds as a result of an adverse outcome in a litigation that concluded in the first quarter of 2020 and is now subject to an additional lawsuit seeking the return of an additional $6,750,000 of such proceeds. This litigation is in the discovery stage and we cannot project what the eventual outcome will be or if it will be settled prior to trial, though management is currently defending its position that no return of capital is warranted.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September 30, 2022 in the total amount of approximately $1,500,000. On January 4, 2018, Microbot Israel entered into an agreement with CardioSert to acquire certain of its patent-protected technology. CardioSert received grants from the IIA in the aggregate amount of approximately $530,000 and Microbot Israel took over the liability to repay such grants.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Israel is obligated to pay royalties amounting to 3%-3.5% of its future sales up to the amount of the grants. The grants are linked to the exchange rate of the dollar to the New Israeli Shekel and bears interest at an annual rate of USD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The financial risk is assumed completely by the IIA.</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our net cash, taking into account our recent capital raise of approximately $4.3 million in net proceeds, will be sufficient to fund operations necessary to continue development activities of LIBERTY for approximately eight months, based on current projected burn rate and milestones. However, in the event we are unsuccessful in our current litigation with Empery and Hudson Bay, pursuant to which they are seeking the return of $6,750,000 in proceeds we received from them in a 2017 stock offering, we would have net cash for approximately one month. Outcomes with respect to the regulatory process for our proposed products may further require adjustments to our projections or require the reallocation of funds from one or more existing projects to other projects. For instance, as a result of our recently announced suspension of the SCS project, we reallocated funds budgeted for that program to the LIBERTY device program.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both"/>
        <w:spacing w:after="0" w:line="269" w:lineRule="auto"/>
        <w:rPr>
          <w:sz w:val="20"/>
          <w:szCs w:val="20"/>
          <w:color w:val="auto"/>
        </w:rPr>
      </w:pPr>
      <w:r>
        <w:rPr>
          <w:rFonts w:ascii="Arial" w:cs="Arial" w:eastAsia="Arial" w:hAnsi="Arial"/>
          <w:sz w:val="17"/>
          <w:szCs w:val="17"/>
          <w:color w:val="auto"/>
        </w:rPr>
        <w:t>Microbot plans to continue to fund its research and development programs from time to time and other operating expenses, and the associated losses from operations, through its existing cash. Microbot intends to also raise capital through additional, future issuances of debt and/or equity securities, including possibly through its existing $10 million registered At-The-Market offering and other registered offerings under its existing Registration Statement on Form S-3 for up to $75 million of securities, which it may draw down from time to time. This is regardless that we raised approximately $4.3 million in net proceeds in a recent capital raise, subject to any limitations we may have agreed to with the investor in that capital raise or pursuant to applicable law. These issuances may be opportunistic and even if the Company has enough funds at such time for operations.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and development programs. Any of these actions could materially harm Microbot’s business.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foregoing, we are unable to fully implement our business plan without raising additional capital, if at all, and these conditions raise substantial doubt about Microbot’s ability to continue as a going concern. The accompanying consolidated interim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set forth below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8"/>
                <w:szCs w:val="18"/>
                <w:b w:val="1"/>
                <w:bCs w:val="1"/>
                <w:color w:val="auto"/>
              </w:rPr>
              <w:t>Nine Months Ended September 30,</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5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245</w:t>
            </w:r>
          </w:p>
        </w:tc>
      </w:tr>
      <w:tr>
        <w:trPr>
          <w:trHeight w:val="25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15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5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15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(9,169</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jc w:val="right"/>
              <w:ind w:right="11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(6,222</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flows from operating activities for the nine months ended September 30, 2022 were approximately $9,086,000 calculated by reducing our net loss from operations by approximately $1,084,000. Cash used in operating activities for the nine months ended September 30, 2021 was approximately $6,467,000 similarly adjusted by approximately $987,000. The increase in net cash flows used in operating activities was due to the increase in net loss for the comparable period as stated above.</w:t>
      </w:r>
    </w:p>
    <w:p>
      <w:pPr>
        <w:spacing w:after="0" w:line="18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Net cash flows used in investing activities for the nine months ended September 30, 2022 were approximately $83,000, resulting from purchases of property and equipment, compared to net cash flows provided by investing activities in the prior comparable period as a result of proceeds from selling an investment in a convertible loan in the amount of $270,000, partially offset by approximately $25,000 used for the purchase of property and equipment.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September 30, 2022 and December 31, 2021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September 30, 2022. Based on that review and evaluation, the Chief Executive Officer and Chief Financial Officer, along with the management of the Company, have determined that as of September 30, 2022,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Resulting from 2017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We filed a Motion to Dismiss on March 16, 2020, which Motion was denied in February 2021. On March 18, 2021, we filed a notice of appeal of the denial of the Motion to Dismiss, which we ultimately did not pursue. The parties presently are engaged in discovery. At this time no estimation of the potential outcome of the litigation can be made, and management is unable to assess the likelihood that we will succeed at trial with respect to the SPA or the Financing, having previously lost another lawsuit with respect to the Financing; however, we believe that differentiating facts could result in a different outcome from the prior lawsuit.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Mona 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28, 2019, we brought an action against Alliance Investment Management, Ltd. (“Alliance”), later amended to include Joseph Mona (“Mona”) as a defendant, in the Southern District of New York under Section 16(b) of the Securities Exchange Act of 1934, to compel Alliance and Mona to disgorge short swing profits realized from purchases and sales of our securities within a period of less than six months. The case is Microbot Medical Inc. v. Alliance Investment Management, Ltd., No. 19-cv-3782-GBD (SDNY).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28, 2019, Alliance filed a motion for summary judgment requesting that the Court dismiss the claims against Alliance. On February 4, 2020, Mona answered the 16(b) claim we asserted against him by claiming various equitable defenses, and filed a counterclaim against Microbot, claiming a net loss on trading Microbot stock of $150,954.</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2021, a judgement was entered against Mona and in favor of Microbot in the amount of $484,614.30. On April 27, 2021, Mona filed an appeal of the court’s judgment, which is pending before the U.S. Court of Appeals for the Second Circuit.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settlement conference was held in May 2022. The parties were unable to reach a settlement at the conference.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close of the discovery period, which ended on August 1, 2022, we requested permission to move for summary judgment. Our request is pending.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substantial doubt regarding on our ability to continue as a going concern.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stated elsewhere in this Quarterly Report on Form 10-Q, we have not generated any revenues, have sustained losses and have accumulated a significant deficits since our inception. Also, we estimate that our cash resources as of September 30, 2022 coupled with the $4.3 million in net proceeds received from financing activities in October 2022 are only sufficient to fund our operations for approximately eight months from the date of this Quarterly Report. As a result, our continued existence is dependent upon our ability to obtain additional debt or equity financing and to ultimately become a commercially viable organization.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the additional necessary debt or equity financing will be available, or will be available on terms acceptable to us, in which case we may be unable to meet our obligations or fully implement our business plan, if at all, beyond such eight month period.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beyond approximately the next eight months, which could adversely affect our ability to raise capital, expand our business and develop our planned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2.1</w:t>
            </w:r>
          </w:p>
        </w:tc>
        <w:tc>
          <w:tcPr>
            <w:tcW w:w="10260" w:type="dxa"/>
            <w:vAlign w:val="bottom"/>
            <w:tcBorders>
              <w:bottom w:val="single" w:sz="8" w:color="0000EE"/>
            </w:tcBorders>
            <w:gridSpan w:val="26"/>
          </w:tcPr>
          <w:p>
            <w:pPr>
              <w:spacing w:after="0"/>
              <w:rPr>
                <w:rFonts w:ascii="Arial" w:cs="Arial" w:eastAsia="Arial" w:hAnsi="Arial"/>
                <w:sz w:val="18"/>
                <w:szCs w:val="18"/>
                <w:color w:val="0000EE"/>
                <w:w w:val="95"/>
              </w:rPr>
            </w:pPr>
            <w:hyperlink r:id="rId39">
              <w:r>
                <w:rPr>
                  <w:rFonts w:ascii="Arial" w:cs="Arial" w:eastAsia="Arial" w:hAnsi="Arial"/>
                  <w:sz w:val="18"/>
                  <w:szCs w:val="18"/>
                  <w:color w:val="0000EE"/>
                  <w:w w:val="95"/>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Microbot Medical Ltd. (incorporated by reference to the Company’s Current Report on Form 8-K filed on August 15, 2016).</w:t>
              </w:r>
            </w:hyperlink>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02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Restated Certificate of Incorporation of the Company (incorporated by reference to the Company’s Annual Report on Form 10-K for the fiscal</w:t>
              </w:r>
            </w:hyperlink>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year ended December 31, 2006 and filed on March 15, 2007).</w:t>
              </w:r>
            </w:hyperlink>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026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Report on Form 8-K filed on November 29, 2016).</w:t>
              </w:r>
            </w:hyperlink>
          </w:p>
        </w:tc>
        <w:tc>
          <w:tcPr>
            <w:tcW w:w="6600" w:type="dxa"/>
            <w:vAlign w:val="bottom"/>
            <w:gridSpan w:val="1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1026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10260" w:type="dxa"/>
            <w:vAlign w:val="bottom"/>
            <w:gridSpan w:val="26"/>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43">
              <w:r>
                <w:rPr>
                  <w:rFonts w:ascii="Arial" w:cs="Arial" w:eastAsia="Arial" w:hAnsi="Arial"/>
                  <w:sz w:val="18"/>
                  <w:szCs w:val="18"/>
                  <w:color w:val="0000EE"/>
                  <w:w w:val="86"/>
                </w:rPr>
                <w:t>2016).</w:t>
              </w:r>
            </w:hyperlink>
          </w:p>
        </w:tc>
        <w:tc>
          <w:tcPr>
            <w:tcW w:w="10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3.5</w:t>
            </w:r>
          </w:p>
        </w:tc>
        <w:tc>
          <w:tcPr>
            <w:tcW w:w="94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Certificate of Elimination (incorporated by reference to the Company’s Current Report on Form 8-K filed on December 12, 2018).</w:t>
              </w:r>
            </w:hyperlink>
          </w:p>
        </w:tc>
        <w:tc>
          <w:tcPr>
            <w:tcW w:w="86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3.6</w:t>
            </w:r>
          </w:p>
        </w:tc>
        <w:tc>
          <w:tcPr>
            <w:tcW w:w="1026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3.7</w:t>
            </w:r>
          </w:p>
        </w:tc>
        <w:tc>
          <w:tcPr>
            <w:tcW w:w="10260" w:type="dxa"/>
            <w:vAlign w:val="bottom"/>
            <w:tcBorders>
              <w:bottom w:val="single" w:sz="8" w:color="0000EE"/>
            </w:tcBorders>
            <w:gridSpan w:val="26"/>
          </w:tcPr>
          <w:p>
            <w:pPr>
              <w:spacing w:after="0" w:line="196" w:lineRule="exact"/>
              <w:rPr>
                <w:rFonts w:ascii="Arial" w:cs="Arial" w:eastAsia="Arial" w:hAnsi="Arial"/>
                <w:sz w:val="18"/>
                <w:szCs w:val="18"/>
                <w:color w:val="0000EE"/>
                <w:w w:val="95"/>
              </w:rPr>
            </w:pPr>
            <w:hyperlink r:id="rId46">
              <w:r>
                <w:rPr>
                  <w:rFonts w:ascii="Arial" w:cs="Arial" w:eastAsia="Arial" w:hAnsi="Arial"/>
                  <w:sz w:val="18"/>
                  <w:szCs w:val="18"/>
                  <w:color w:val="0000EE"/>
                  <w:w w:val="95"/>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31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Report on Form 8-K filed on May 3, 2021).</w:t>
              </w:r>
            </w:hyperlink>
          </w:p>
        </w:tc>
        <w:tc>
          <w:tcPr>
            <w:tcW w:w="7120" w:type="dxa"/>
            <w:vAlign w:val="bottom"/>
            <w:gridSpan w:val="1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0260" w:type="dxa"/>
            <w:vAlign w:val="bottom"/>
            <w:gridSpan w:val="26"/>
          </w:tcPr>
          <w:p>
            <w:pPr>
              <w:spacing w:after="0" w:line="196" w:lineRule="exact"/>
              <w:rPr>
                <w:rFonts w:ascii="Arial" w:cs="Arial" w:eastAsia="Arial" w:hAnsi="Arial"/>
                <w:sz w:val="18"/>
                <w:szCs w:val="18"/>
                <w:color w:val="0000EE"/>
                <w:w w:val="98"/>
              </w:rPr>
            </w:pPr>
            <w:hyperlink r:id="rId47">
              <w:r>
                <w:rPr>
                  <w:rFonts w:ascii="Arial" w:cs="Arial" w:eastAsia="Arial" w:hAnsi="Arial"/>
                  <w:sz w:val="18"/>
                  <w:szCs w:val="18"/>
                  <w:color w:val="0000EE"/>
                  <w:w w:val="98"/>
                </w:rPr>
                <w:t>Form of Series A Warrant (incorporated by reference to the Registrant’s Current Report on Form 8-K filed on December 16, 2016).</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94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Form of Series B Warrant (incorporated by reference to the Company’s Current Report on Form 8-K filed on December 16, 2016).</w:t>
              </w:r>
            </w:hyperlink>
          </w:p>
        </w:tc>
        <w:tc>
          <w:tcPr>
            <w:tcW w:w="40" w:type="dxa"/>
            <w:vAlign w:val="bottom"/>
            <w:tcBorders>
              <w:top w:val="single" w:sz="8" w:color="0000EE"/>
            </w:tcBorders>
          </w:tcPr>
          <w:p>
            <w:pPr>
              <w:spacing w:after="0"/>
              <w:rPr>
                <w:sz w:val="17"/>
                <w:szCs w:val="17"/>
                <w:color w:val="auto"/>
              </w:rPr>
            </w:pPr>
          </w:p>
        </w:tc>
        <w:tc>
          <w:tcPr>
            <w:tcW w:w="82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94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Form of Wainwright Warrant (incorporated by reference to the Registrant’s Current Report on Form 8-K filed on January 16, 2019)</w:t>
              </w:r>
            </w:hyperlink>
          </w:p>
        </w:tc>
        <w:tc>
          <w:tcPr>
            <w:tcW w:w="80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95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Form of Wainwright Warrant (incorporated by reference to the Registrant’s Current Report on Form 8-K filed on January 17, 2019).</w:t>
              </w:r>
            </w:hyperlink>
          </w:p>
        </w:tc>
        <w:tc>
          <w:tcPr>
            <w:tcW w:w="76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0260" w:type="dxa"/>
            <w:vAlign w:val="bottom"/>
            <w:gridSpan w:val="26"/>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Form of Warrant (incorporated by reference to the Registrant’s Current Report on Form 8-K filed on January 25, 2019).</w:t>
              </w:r>
            </w:hyperlink>
          </w:p>
        </w:tc>
      </w:tr>
      <w:tr>
        <w:trPr>
          <w:trHeight w:val="20"/>
        </w:trPr>
        <w:tc>
          <w:tcPr>
            <w:tcW w:w="9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10260" w:type="dxa"/>
            <w:vAlign w:val="bottom"/>
            <w:gridSpan w:val="26"/>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Form of Warrant (incorporated by reference to the Registrant’s Current Report on Form 8-K filed on December 27, 2019).</w:t>
              </w:r>
            </w:hyperlink>
          </w:p>
        </w:tc>
      </w:tr>
      <w:tr>
        <w:trPr>
          <w:trHeight w:val="20"/>
        </w:trPr>
        <w:tc>
          <w:tcPr>
            <w:tcW w:w="9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10260" w:type="dxa"/>
            <w:vAlign w:val="bottom"/>
            <w:gridSpan w:val="26"/>
          </w:tcPr>
          <w:p>
            <w:pPr>
              <w:spacing w:after="0" w:line="196" w:lineRule="exact"/>
              <w:rPr>
                <w:rFonts w:ascii="Arial" w:cs="Arial" w:eastAsia="Arial" w:hAnsi="Arial"/>
                <w:sz w:val="18"/>
                <w:szCs w:val="18"/>
                <w:color w:val="0000EE"/>
                <w:w w:val="97"/>
              </w:rPr>
            </w:pPr>
            <w:hyperlink r:id="rId53">
              <w:r>
                <w:rPr>
                  <w:rFonts w:ascii="Arial" w:cs="Arial" w:eastAsia="Arial" w:hAnsi="Arial"/>
                  <w:sz w:val="18"/>
                  <w:szCs w:val="18"/>
                  <w:color w:val="0000EE"/>
                  <w:w w:val="97"/>
                </w:rPr>
                <w:t>Form of Wainwright Warrants (incorporated by reference to the Registrant’s Current Report on Form 8-K filed on January 25, 2019).</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4.8</w:t>
            </w:r>
          </w:p>
        </w:tc>
        <w:tc>
          <w:tcPr>
            <w:tcW w:w="9560" w:type="dxa"/>
            <w:vAlign w:val="bottom"/>
            <w:tcBorders>
              <w:top w:val="single" w:sz="8" w:color="0000EE"/>
            </w:tcBorders>
            <w:gridSpan w:val="24"/>
          </w:tcPr>
          <w:p>
            <w:pPr>
              <w:spacing w:after="0" w:line="196"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Form of Warrant (incorporated by reference to the Registrant’s Current Report on Form 8-K filed on December 30, 2019)</w:t>
              </w:r>
            </w:hyperlink>
            <w:r>
              <w:rPr>
                <w:rFonts w:ascii="Arial" w:cs="Arial" w:eastAsia="Arial" w:hAnsi="Arial"/>
                <w:sz w:val="18"/>
                <w:szCs w:val="18"/>
                <w:color w:val="000000"/>
                <w:w w:val="99"/>
              </w:rPr>
              <w:t>.</w:t>
            </w:r>
          </w:p>
        </w:tc>
        <w:tc>
          <w:tcPr>
            <w:tcW w:w="70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4.9</w:t>
            </w:r>
          </w:p>
        </w:tc>
        <w:tc>
          <w:tcPr>
            <w:tcW w:w="10260" w:type="dxa"/>
            <w:vAlign w:val="bottom"/>
            <w:gridSpan w:val="26"/>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Form of Warrant (incorporated by reference to the Registrant’s Current Report on Form 8-K filed on December 31, 2019).</w:t>
              </w:r>
            </w:hyperlink>
          </w:p>
        </w:tc>
      </w:tr>
      <w:tr>
        <w:trPr>
          <w:trHeight w:val="20"/>
        </w:trPr>
        <w:tc>
          <w:tcPr>
            <w:tcW w:w="9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4.10</w:t>
            </w:r>
          </w:p>
        </w:tc>
        <w:tc>
          <w:tcPr>
            <w:tcW w:w="10260" w:type="dxa"/>
            <w:vAlign w:val="bottom"/>
            <w:gridSpan w:val="26"/>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Description of the Company’s Securities (incorporated by reference to the Registrant’s Annual Report on Form 10-K for the fiscal year ended</w:t>
              </w:r>
            </w:hyperlink>
          </w:p>
        </w:tc>
      </w:tr>
      <w:tr>
        <w:trPr>
          <w:trHeight w:val="196"/>
        </w:trPr>
        <w:tc>
          <w:tcPr>
            <w:tcW w:w="9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56">
              <w:r>
                <w:rPr>
                  <w:rFonts w:ascii="Arial" w:cs="Arial" w:eastAsia="Arial" w:hAnsi="Arial"/>
                  <w:sz w:val="18"/>
                  <w:szCs w:val="18"/>
                  <w:color w:val="0000EE"/>
                  <w:w w:val="88"/>
                </w:rPr>
                <w:t>December 31, 2019).</w:t>
              </w:r>
            </w:hyperlink>
          </w:p>
        </w:tc>
        <w:tc>
          <w:tcPr>
            <w:tcW w:w="8720" w:type="dxa"/>
            <w:vAlign w:val="bottom"/>
            <w:tcBorders>
              <w:top w:val="single" w:sz="8" w:color="0000EE"/>
            </w:tcBorders>
            <w:gridSpan w:val="2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4.11</w:t>
            </w:r>
          </w:p>
        </w:tc>
        <w:tc>
          <w:tcPr>
            <w:tcW w:w="10260" w:type="dxa"/>
            <w:vAlign w:val="bottom"/>
            <w:gridSpan w:val="26"/>
          </w:tcPr>
          <w:p>
            <w:pPr>
              <w:spacing w:after="0" w:line="196" w:lineRule="exact"/>
              <w:rPr>
                <w:rFonts w:ascii="Arial" w:cs="Arial" w:eastAsia="Arial" w:hAnsi="Arial"/>
                <w:sz w:val="18"/>
                <w:szCs w:val="18"/>
                <w:color w:val="0000EE"/>
                <w:w w:val="98"/>
              </w:rPr>
            </w:pPr>
            <w:hyperlink r:id="rId57">
              <w:r>
                <w:rPr>
                  <w:rFonts w:ascii="Arial" w:cs="Arial" w:eastAsia="Arial" w:hAnsi="Arial"/>
                  <w:sz w:val="18"/>
                  <w:szCs w:val="18"/>
                  <w:color w:val="0000EE"/>
                  <w:w w:val="98"/>
                </w:rPr>
                <w:t>Form of Pre-Funded Warrant (incorporated by reference to the Registrant’s Current Report on Form 8-K filed on October 25, 2022)</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4.12</w:t>
            </w:r>
          </w:p>
        </w:tc>
        <w:tc>
          <w:tcPr>
            <w:tcW w:w="92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Form of Series A Warrant (incorporated by reference to the Registrant’s Current Report on Form 8-K filed on October 25, 2022)</w:t>
              </w:r>
            </w:hyperlink>
          </w:p>
        </w:tc>
        <w:tc>
          <w:tcPr>
            <w:tcW w:w="200" w:type="dxa"/>
            <w:vAlign w:val="bottom"/>
            <w:tcBorders>
              <w:top w:val="single" w:sz="8" w:color="0000EE"/>
            </w:tcBorders>
            <w:gridSpan w:val="3"/>
          </w:tcPr>
          <w:p>
            <w:pPr>
              <w:spacing w:after="0"/>
              <w:rPr>
                <w:sz w:val="17"/>
                <w:szCs w:val="17"/>
                <w:color w:val="auto"/>
              </w:rPr>
            </w:pPr>
          </w:p>
        </w:tc>
        <w:tc>
          <w:tcPr>
            <w:tcW w:w="80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4.13</w:t>
            </w:r>
          </w:p>
        </w:tc>
        <w:tc>
          <w:tcPr>
            <w:tcW w:w="92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Form of Series B Warrant (incorporated by reference to the Registrant’s Current Report on Form 8-K filed on October 25, 2022)</w:t>
              </w:r>
            </w:hyperlink>
          </w:p>
        </w:tc>
        <w:tc>
          <w:tcPr>
            <w:tcW w:w="102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4.14</w:t>
            </w:r>
          </w:p>
        </w:tc>
        <w:tc>
          <w:tcPr>
            <w:tcW w:w="94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Form of Wainwright Warrant (incorporated by reference to the Registrant’s Current Report on Form 8-K filed on October 25, 2022)</w:t>
              </w:r>
            </w:hyperlink>
          </w:p>
        </w:tc>
        <w:tc>
          <w:tcPr>
            <w:tcW w:w="78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02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Form of Securities Purchase Agreement, dated as of October 21, 2022, by and among Microbot Medical Inc. and the purchaser party thereto</w:t>
              </w:r>
            </w:hyperlink>
          </w:p>
        </w:tc>
      </w:tr>
      <w:tr>
        <w:trPr>
          <w:trHeight w:val="196"/>
        </w:trPr>
        <w:tc>
          <w:tcPr>
            <w:tcW w:w="980" w:type="dxa"/>
            <w:vAlign w:val="bottom"/>
          </w:tcPr>
          <w:p>
            <w:pPr>
              <w:spacing w:after="0"/>
              <w:rPr>
                <w:sz w:val="17"/>
                <w:szCs w:val="17"/>
                <w:color w:val="auto"/>
              </w:rPr>
            </w:pPr>
          </w:p>
        </w:tc>
        <w:tc>
          <w:tcPr>
            <w:tcW w:w="73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(incorporated by reference to the Registrant’s Current Report on Form 8-K filed on October 25, 2022)</w:t>
              </w:r>
            </w:hyperlink>
          </w:p>
        </w:tc>
        <w:tc>
          <w:tcPr>
            <w:tcW w:w="2920" w:type="dxa"/>
            <w:vAlign w:val="bottom"/>
            <w:gridSpan w:val="1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0260" w:type="dxa"/>
            <w:vAlign w:val="bottom"/>
            <w:gridSpan w:val="26"/>
          </w:tcPr>
          <w:p>
            <w:pPr>
              <w:spacing w:after="0" w:line="196"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Asset Purchase Agreement with Nitiloop, Ltd. dated October 6, 2022 (incorporated by reference to the Registrant’s Current Report on Form</w:t>
              </w:r>
            </w:hyperlink>
          </w:p>
        </w:tc>
      </w:tr>
      <w:tr>
        <w:trPr>
          <w:trHeight w:val="196"/>
        </w:trPr>
        <w:tc>
          <w:tcPr>
            <w:tcW w:w="980" w:type="dxa"/>
            <w:vAlign w:val="bottom"/>
          </w:tcPr>
          <w:p>
            <w:pPr>
              <w:spacing w:after="0"/>
              <w:rPr>
                <w:sz w:val="17"/>
                <w:szCs w:val="17"/>
                <w:color w:val="auto"/>
              </w:rPr>
            </w:pPr>
          </w:p>
        </w:tc>
        <w:tc>
          <w:tcPr>
            <w:tcW w:w="102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8-K filed on October 7, 2022)</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600" w:type="dxa"/>
            <w:vAlign w:val="bottom"/>
            <w:gridSpan w:val="14"/>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260" w:type="dxa"/>
            <w:vAlign w:val="bottom"/>
            <w:gridSpan w:val="26"/>
          </w:tcPr>
          <w:p>
            <w:pPr>
              <w:spacing w:after="0" w:line="196" w:lineRule="exact"/>
              <w:rPr>
                <w:sz w:val="20"/>
                <w:szCs w:val="20"/>
                <w:color w:val="auto"/>
              </w:rPr>
            </w:pPr>
            <w:r>
              <w:rPr>
                <w:rFonts w:ascii="Arial" w:cs="Arial" w:eastAsia="Arial" w:hAnsi="Arial"/>
                <w:sz w:val="18"/>
                <w:szCs w:val="18"/>
                <w:color w:val="0000EE"/>
              </w:rPr>
              <w:t>Certification of Harel Gadot, Chairman, President and Chief Executive Officer</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566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Certification of Rachel Vaknin, Chief Financial Officer</w:t>
            </w:r>
          </w:p>
        </w:tc>
        <w:tc>
          <w:tcPr>
            <w:tcW w:w="4600" w:type="dxa"/>
            <w:vAlign w:val="bottom"/>
            <w:gridSpan w:val="14"/>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300" w:type="dxa"/>
            <w:vAlign w:val="bottom"/>
            <w:gridSpan w:val="16"/>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26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2"/>
              </w:rPr>
              <w:t>Certification of Harel Gadot, Chairman, President and Chief Executive Officer, pursuant to 18 U.S.C. Section 1350, as adopted pursuant to</w:t>
            </w:r>
          </w:p>
        </w:tc>
      </w:tr>
      <w:tr>
        <w:trPr>
          <w:trHeight w:val="196"/>
        </w:trPr>
        <w:tc>
          <w:tcPr>
            <w:tcW w:w="98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Section 906 of the Sarbanes-Oxley Act of 2002</w:t>
            </w:r>
          </w:p>
        </w:tc>
        <w:tc>
          <w:tcPr>
            <w:tcW w:w="6840" w:type="dxa"/>
            <w:vAlign w:val="bottom"/>
            <w:gridSpan w:val="1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26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6"/>
              </w:rPr>
              <w:t>Certification of Rachel Vaknin, Chief Financial Officer, pursuant to 18 U.S.C. Section 1350, as adopted pursuant to Section 906 of the</w:t>
            </w:r>
          </w:p>
        </w:tc>
      </w:tr>
      <w:tr>
        <w:trPr>
          <w:trHeight w:val="196"/>
        </w:trPr>
        <w:tc>
          <w:tcPr>
            <w:tcW w:w="98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8200" w:type="dxa"/>
            <w:vAlign w:val="bottom"/>
            <w:gridSpan w:val="23"/>
          </w:tcPr>
          <w:p>
            <w:pPr>
              <w:spacing w:after="0"/>
              <w:rPr>
                <w:sz w:val="17"/>
                <w:szCs w:val="17"/>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101.1</w:t>
            </w:r>
          </w:p>
        </w:tc>
        <w:tc>
          <w:tcPr>
            <w:tcW w:w="10260" w:type="dxa"/>
            <w:vAlign w:val="bottom"/>
            <w:gridSpan w:val="26"/>
          </w:tcPr>
          <w:p>
            <w:pPr>
              <w:spacing w:after="0"/>
              <w:rPr>
                <w:sz w:val="20"/>
                <w:szCs w:val="20"/>
                <w:color w:val="auto"/>
              </w:rPr>
            </w:pPr>
            <w:r>
              <w:rPr>
                <w:rFonts w:ascii="Arial" w:cs="Arial" w:eastAsia="Arial" w:hAnsi="Arial"/>
                <w:sz w:val="18"/>
                <w:szCs w:val="18"/>
                <w:color w:val="auto"/>
                <w:w w:val="92"/>
              </w:rPr>
              <w:t>Inline XBRL Instance - The instance document does not appear in the Interactive Data File because its XBRL tags are embedded within the</w:t>
            </w:r>
          </w:p>
        </w:tc>
      </w:tr>
      <w:tr>
        <w:trPr>
          <w:trHeight w:val="216"/>
        </w:trPr>
        <w:tc>
          <w:tcPr>
            <w:tcW w:w="980" w:type="dxa"/>
            <w:vAlign w:val="bottom"/>
          </w:tcPr>
          <w:p>
            <w:pPr>
              <w:spacing w:after="0"/>
              <w:rPr>
                <w:sz w:val="18"/>
                <w:szCs w:val="18"/>
                <w:color w:val="auto"/>
              </w:rPr>
            </w:pPr>
          </w:p>
        </w:tc>
        <w:tc>
          <w:tcPr>
            <w:tcW w:w="10260" w:type="dxa"/>
            <w:vAlign w:val="bottom"/>
            <w:gridSpan w:val="26"/>
          </w:tcPr>
          <w:p>
            <w:pPr>
              <w:spacing w:after="0"/>
              <w:rPr>
                <w:sz w:val="20"/>
                <w:szCs w:val="20"/>
                <w:color w:val="auto"/>
              </w:rPr>
            </w:pPr>
            <w:r>
              <w:rPr>
                <w:rFonts w:ascii="Arial" w:cs="Arial" w:eastAsia="Arial" w:hAnsi="Arial"/>
                <w:sz w:val="18"/>
                <w:szCs w:val="18"/>
                <w:color w:val="auto"/>
              </w:rPr>
              <w:t>Inline XBRL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6"/>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6"/>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6"/>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6"/>
          </w:tcPr>
          <w:p>
            <w:pPr>
              <w:spacing w:after="0"/>
              <w:rPr>
                <w:sz w:val="20"/>
                <w:szCs w:val="20"/>
                <w:color w:val="auto"/>
              </w:rPr>
            </w:pPr>
            <w:r>
              <w:rPr>
                <w:rFonts w:ascii="Arial" w:cs="Arial" w:eastAsia="Arial" w:hAnsi="Arial"/>
                <w:sz w:val="18"/>
                <w:szCs w:val="18"/>
                <w:color w:val="auto"/>
              </w:rPr>
              <w:t>Inline XBRL Taxonomy Extension Labels.</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6"/>
          </w:tcPr>
          <w:p>
            <w:pPr>
              <w:spacing w:after="0"/>
              <w:rPr>
                <w:sz w:val="20"/>
                <w:szCs w:val="20"/>
                <w:color w:val="auto"/>
              </w:rPr>
            </w:pPr>
            <w:r>
              <w:rPr>
                <w:rFonts w:ascii="Arial" w:cs="Arial" w:eastAsia="Arial" w:hAnsi="Arial"/>
                <w:sz w:val="18"/>
                <w:szCs w:val="18"/>
                <w:color w:val="auto"/>
              </w:rPr>
              <w:t>Inline XBRL Taxonomy Extension Presentation.</w:t>
            </w:r>
          </w:p>
        </w:tc>
      </w:tr>
    </w:tbl>
    <w:p>
      <w:pPr>
        <w:ind w:left="5540" w:right="3720" w:hanging="5532"/>
        <w:spacing w:after="0" w:line="511" w:lineRule="auto"/>
        <w:tabs>
          <w:tab w:leader="none" w:pos="986"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2022.</w:t>
      </w:r>
    </w:p>
    <w:p>
      <w:pPr>
        <w:spacing w:after="0" w:line="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Rachel Vaknin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Rachel Vaknin,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220"/>
        <w:spacing w:after="0" w:line="255" w:lineRule="auto"/>
        <w:tabs>
          <w:tab w:leader="none" w:pos="130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226"/>
        <w:spacing w:after="0" w:line="250" w:lineRule="auto"/>
        <w:tabs>
          <w:tab w:leader="none" w:pos="130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220"/>
        <w:spacing w:after="0" w:line="281" w:lineRule="auto"/>
        <w:tabs>
          <w:tab w:leader="none" w:pos="1300" w:val="left"/>
        </w:tabs>
        <w:numPr>
          <w:ilvl w:val="2"/>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226"/>
        <w:spacing w:after="0" w:line="255" w:lineRule="auto"/>
        <w:tabs>
          <w:tab w:leader="none" w:pos="1300" w:val="left"/>
        </w:tabs>
        <w:numPr>
          <w:ilvl w:val="2"/>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September 30, 2022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November 14, 2022</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Rachel Vaknin, Chief Financial Officer of Microbot Medical Inc., hereby certify, pursuant to 18 U.S.C. Section 1350, as adopted pursuant to Section 906 of the Sarbanes-Oxley Act of 2002, that to my knowledge, the quarterly report on Form 10-Q for the period ending September 30, 2022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November 14, 2022</w:t>
      </w:r>
      <w:r>
        <w:rPr>
          <w:sz w:val="20"/>
          <w:szCs w:val="20"/>
          <w:color w:val="auto"/>
        </w:rPr>
        <w:tab/>
      </w:r>
      <w:r>
        <w:rPr>
          <w:rFonts w:ascii="Arial" w:cs="Arial" w:eastAsia="Arial" w:hAnsi="Arial"/>
          <w:sz w:val="16"/>
          <w:szCs w:val="16"/>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Rachel Vaknin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04"/>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74" Type="http://schemas.openxmlformats.org/officeDocument/2006/relationships/image" Target="media/image43.png"/><Relationship Id="rId39" Type="http://schemas.openxmlformats.org/officeDocument/2006/relationships/hyperlink" Target="https://www.sec.gov/Archives/edgar/data/883975/000119312516682077/d161430dex21.htm" TargetMode="External"/><Relationship Id="rId40" Type="http://schemas.openxmlformats.org/officeDocument/2006/relationships/hyperlink" Target="https://www.sec.gov/Archives/edgar/data/883975/000095013407005808/f27726exv3w1.htm" TargetMode="External"/><Relationship Id="rId41" Type="http://schemas.openxmlformats.org/officeDocument/2006/relationships/hyperlink" Target="https://www.sec.gov/Archives/edgar/data/883975/000119312516779729/d296933dex31.htm" TargetMode="External"/><Relationship Id="rId42" Type="http://schemas.openxmlformats.org/officeDocument/2006/relationships/hyperlink" Target="https://www.sec.gov/Archives/edgar/data/883975/000149315218012872/ex3-1.htm" TargetMode="External"/><Relationship Id="rId43" Type="http://schemas.openxmlformats.org/officeDocument/2006/relationships/hyperlink" Target="https://www.sec.gov/Archives/edgar/data/883975/000129993316002374/exhibit1.htm" TargetMode="External"/><Relationship Id="rId44" Type="http://schemas.openxmlformats.org/officeDocument/2006/relationships/hyperlink" Target="https://www.sec.gov/Archives/edgar/data/883975/000149315218017395/ex3-1.htm" TargetMode="External"/><Relationship Id="rId45" Type="http://schemas.openxmlformats.org/officeDocument/2006/relationships/hyperlink" Target="https://www.sec.gov/Archives/edgar/data/883975/000149315219013998/ex3-1.htm" TargetMode="External"/><Relationship Id="rId46" Type="http://schemas.openxmlformats.org/officeDocument/2006/relationships/hyperlink" Target="https://www.sec.gov/Archives/edgar/data/883975/000149315221010347/ex3-1.htm" TargetMode="External"/><Relationship Id="rId47" Type="http://schemas.openxmlformats.org/officeDocument/2006/relationships/hyperlink" Target="https://www.sec.gov/Archives/edgar/data/883975/000119312516501361/d68391dex41.htm" TargetMode="External"/><Relationship Id="rId48" Type="http://schemas.openxmlformats.org/officeDocument/2006/relationships/hyperlink" Target="https://www.sec.gov/Archives/edgar/data/883975/000119312516501361/d68391dex42.htm" TargetMode="External"/><Relationship Id="rId49" Type="http://schemas.openxmlformats.org/officeDocument/2006/relationships/hyperlink" Target="https://www.sec.gov/Archives/edgar/data/883975/000149315219000672/ex4-2.htm" TargetMode="External"/><Relationship Id="rId50" Type="http://schemas.openxmlformats.org/officeDocument/2006/relationships/hyperlink" Target="https://www.sec.gov/Archives/edgar/data/883975/000149315219000744/ex4-1.htm" TargetMode="External"/><Relationship Id="rId51" Type="http://schemas.openxmlformats.org/officeDocument/2006/relationships/hyperlink" Target="https://www.sec.gov/Archives/edgar/data/883975/000149315219000969/ex4-1.htm" TargetMode="External"/><Relationship Id="rId52" Type="http://schemas.openxmlformats.org/officeDocument/2006/relationships/hyperlink" Target="https://www.sec.gov/Archives/edgar/data/883975/000149315219019746/ex4-1.htm" TargetMode="External"/><Relationship Id="rId53" Type="http://schemas.openxmlformats.org/officeDocument/2006/relationships/hyperlink" Target="https://www.sec.gov/Archives/edgar/data/883975/000149315219000969/ex4-2.htm" TargetMode="External"/><Relationship Id="rId54" Type="http://schemas.openxmlformats.org/officeDocument/2006/relationships/hyperlink" Target="https://www.sec.gov/Archives/edgar/data/883975/000149315219019824/ex4-1.htm" TargetMode="External"/><Relationship Id="rId55" Type="http://schemas.openxmlformats.org/officeDocument/2006/relationships/hyperlink" Target="https://www.sec.gov/Archives/edgar/data/883975/000149315219019906/ex4-1.htm" TargetMode="External"/><Relationship Id="rId56" Type="http://schemas.openxmlformats.org/officeDocument/2006/relationships/hyperlink" Target="https://www.sec.gov/Archives/edgar/data/883975/000149315220006338/ex4-10.htm" TargetMode="External"/><Relationship Id="rId57" Type="http://schemas.openxmlformats.org/officeDocument/2006/relationships/hyperlink" Target="https://www.sec.gov/Archives/edgar/data/883975/000149315222029541/ex4-1.htm" TargetMode="External"/><Relationship Id="rId58" Type="http://schemas.openxmlformats.org/officeDocument/2006/relationships/hyperlink" Target="https://www.sec.gov/Archives/edgar/data/883975/000149315222029541/ex4-2.htm" TargetMode="External"/><Relationship Id="rId59" Type="http://schemas.openxmlformats.org/officeDocument/2006/relationships/hyperlink" Target="https://www.sec.gov/Archives/edgar/data/883975/000149315222029541/ex4-3.htm" TargetMode="External"/><Relationship Id="rId60" Type="http://schemas.openxmlformats.org/officeDocument/2006/relationships/hyperlink" Target="https://www.sec.gov/Archives/edgar/data/883975/000149315222029541/ex4-4.htm" TargetMode="External"/><Relationship Id="rId61" Type="http://schemas.openxmlformats.org/officeDocument/2006/relationships/hyperlink" Target="https://www.sec.gov/Archives/edgar/data/883975/000149315222029541/ex10-1.htm" TargetMode="External"/><Relationship Id="rId62" Type="http://schemas.openxmlformats.org/officeDocument/2006/relationships/hyperlink" Target="https://www.sec.gov/Archives/edgar/data/883975/00014931522202787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2022-11-15T07:48:41Z</dcterms:created>
  <dcterms:modified xsi:type="dcterms:W3CDTF">2022-11-15T07:48:41Z</dcterms:modified>
</cp:coreProperties>
</file>