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SECURITIES AND EXCHANGE COMMISSION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FORM 10-Q</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QUARTERLY REPORT UNDER SECTION 13 OR 15(d) OF</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SECURITIES EXCHANGE ACT OF 1934</w:t>
      </w:r>
    </w:p>
    <w:p>
      <w:pPr>
        <w:spacing w:after="0" w:line="200" w:lineRule="exact"/>
        <w:rPr>
          <w:sz w:val="20"/>
          <w:szCs w:val="20"/>
          <w:color w:val="auto"/>
        </w:rPr>
      </w:pPr>
    </w:p>
    <w:p>
      <w:pPr>
        <w:spacing w:after="0" w:line="244" w:lineRule="exact"/>
        <w:rPr>
          <w:sz w:val="20"/>
          <w:szCs w:val="20"/>
          <w:color w:val="auto"/>
        </w:rPr>
      </w:pPr>
    </w:p>
    <w:p>
      <w:pPr>
        <w:ind w:left="2000"/>
        <w:spacing w:after="0"/>
        <w:tabs>
          <w:tab w:leader="none" w:pos="6520" w:val="left"/>
        </w:tabs>
        <w:rPr>
          <w:sz w:val="20"/>
          <w:szCs w:val="20"/>
          <w:color w:val="auto"/>
        </w:rPr>
      </w:pPr>
      <w:r>
        <w:rPr>
          <w:rFonts w:ascii="Arial" w:cs="Arial" w:eastAsia="Arial" w:hAnsi="Arial"/>
          <w:sz w:val="18"/>
          <w:szCs w:val="18"/>
          <w:color w:val="auto"/>
        </w:rPr>
        <w:t>For the quarter ended: September 30, 2003</w:t>
      </w:r>
      <w:r>
        <w:rPr>
          <w:sz w:val="20"/>
          <w:szCs w:val="20"/>
          <w:color w:val="auto"/>
        </w:rPr>
        <w:tab/>
      </w:r>
      <w:r>
        <w:rPr>
          <w:rFonts w:ascii="Arial" w:cs="Arial" w:eastAsia="Arial" w:hAnsi="Arial"/>
          <w:sz w:val="16"/>
          <w:szCs w:val="16"/>
          <w:color w:val="auto"/>
        </w:rPr>
        <w:t>Commission File Number: 0-19871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147955</wp:posOffset>
            </wp:positionV>
            <wp:extent cx="29413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1320" cy="42545"/>
                    </a:xfrm>
                    <a:prstGeom prst="rect">
                      <a:avLst/>
                    </a:prstGeom>
                    <a:noFill/>
                  </pic:spPr>
                </pic:pic>
              </a:graphicData>
            </a:graphic>
          </wp:anchor>
        </w:drawing>
      </w:r>
    </w:p>
    <w:p>
      <w:pPr>
        <w:spacing w:after="0" w:line="359"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6320" w:type="dxa"/>
            <w:vAlign w:val="bottom"/>
            <w:gridSpan w:val="3"/>
          </w:tcPr>
          <w:p>
            <w:pPr>
              <w:jc w:val="center"/>
              <w:ind w:left="2332"/>
              <w:spacing w:after="0"/>
              <w:rPr>
                <w:sz w:val="20"/>
                <w:szCs w:val="20"/>
                <w:color w:val="auto"/>
              </w:rPr>
            </w:pPr>
            <w:r>
              <w:rPr>
                <w:rFonts w:ascii="Arial" w:cs="Arial" w:eastAsia="Arial" w:hAnsi="Arial"/>
                <w:sz w:val="18"/>
                <w:szCs w:val="18"/>
                <w:color w:val="auto"/>
                <w:w w:val="88"/>
              </w:rPr>
              <w:t>(Exact name of registrant as specified in its charter)</w:t>
            </w:r>
          </w:p>
        </w:tc>
        <w:tc>
          <w:tcPr>
            <w:tcW w:w="2280" w:type="dxa"/>
            <w:vAlign w:val="bottom"/>
          </w:tcPr>
          <w:p>
            <w:pPr>
              <w:spacing w:after="0"/>
              <w:rPr>
                <w:sz w:val="19"/>
                <w:szCs w:val="19"/>
                <w:color w:val="auto"/>
              </w:rPr>
            </w:pPr>
          </w:p>
        </w:tc>
      </w:tr>
      <w:tr>
        <w:trPr>
          <w:trHeight w:val="459"/>
        </w:trPr>
        <w:tc>
          <w:tcPr>
            <w:tcW w:w="6320" w:type="dxa"/>
            <w:vAlign w:val="bottom"/>
            <w:gridSpan w:val="3"/>
          </w:tcPr>
          <w:p>
            <w:pPr>
              <w:jc w:val="center"/>
              <w:ind w:right="2320"/>
              <w:spacing w:after="0"/>
              <w:rPr>
                <w:sz w:val="20"/>
                <w:szCs w:val="20"/>
                <w:color w:val="auto"/>
              </w:rPr>
            </w:pPr>
            <w:r>
              <w:rPr>
                <w:rFonts w:ascii="Arial" w:cs="Arial" w:eastAsia="Arial" w:hAnsi="Arial"/>
                <w:sz w:val="18"/>
                <w:szCs w:val="18"/>
                <w:color w:val="auto"/>
                <w:w w:val="94"/>
              </w:rPr>
              <w:t>DELAWARE</w:t>
            </w:r>
          </w:p>
        </w:tc>
        <w:tc>
          <w:tcPr>
            <w:tcW w:w="2280" w:type="dxa"/>
            <w:vAlign w:val="bottom"/>
          </w:tcPr>
          <w:p>
            <w:pPr>
              <w:jc w:val="center"/>
              <w:ind w:right="632"/>
              <w:spacing w:after="0"/>
              <w:rPr>
                <w:sz w:val="20"/>
                <w:szCs w:val="20"/>
                <w:color w:val="auto"/>
              </w:rPr>
            </w:pPr>
            <w:r>
              <w:rPr>
                <w:rFonts w:ascii="Arial" w:cs="Arial" w:eastAsia="Arial" w:hAnsi="Arial"/>
                <w:sz w:val="18"/>
                <w:szCs w:val="18"/>
                <w:color w:val="auto"/>
                <w:w w:val="87"/>
              </w:rPr>
              <w:t>94-3078125</w:t>
            </w:r>
          </w:p>
        </w:tc>
      </w:tr>
      <w:tr>
        <w:trPr>
          <w:trHeight w:val="104"/>
        </w:trPr>
        <w:tc>
          <w:tcPr>
            <w:tcW w:w="400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r>
      <w:tr>
        <w:trPr>
          <w:trHeight w:val="316"/>
        </w:trPr>
        <w:tc>
          <w:tcPr>
            <w:tcW w:w="6320" w:type="dxa"/>
            <w:vAlign w:val="bottom"/>
            <w:gridSpan w:val="3"/>
          </w:tcPr>
          <w:p>
            <w:pPr>
              <w:jc w:val="center"/>
              <w:ind w:right="2320"/>
              <w:spacing w:after="0"/>
              <w:rPr>
                <w:sz w:val="20"/>
                <w:szCs w:val="20"/>
                <w:color w:val="auto"/>
              </w:rPr>
            </w:pPr>
            <w:r>
              <w:rPr>
                <w:rFonts w:ascii="Arial" w:cs="Arial" w:eastAsia="Arial" w:hAnsi="Arial"/>
                <w:sz w:val="18"/>
                <w:szCs w:val="18"/>
                <w:color w:val="auto"/>
                <w:w w:val="90"/>
              </w:rPr>
              <w:t>(State or other jurisdiction of</w:t>
            </w:r>
          </w:p>
        </w:tc>
        <w:tc>
          <w:tcPr>
            <w:tcW w:w="2280" w:type="dxa"/>
            <w:vAlign w:val="bottom"/>
          </w:tcPr>
          <w:p>
            <w:pPr>
              <w:jc w:val="center"/>
              <w:ind w:right="632"/>
              <w:spacing w:after="0"/>
              <w:rPr>
                <w:sz w:val="20"/>
                <w:szCs w:val="20"/>
                <w:color w:val="auto"/>
              </w:rPr>
            </w:pPr>
            <w:r>
              <w:rPr>
                <w:rFonts w:ascii="Arial" w:cs="Arial" w:eastAsia="Arial" w:hAnsi="Arial"/>
                <w:sz w:val="18"/>
                <w:szCs w:val="18"/>
                <w:color w:val="auto"/>
                <w:w w:val="90"/>
              </w:rPr>
              <w:t>(I.R.S. Employer</w:t>
            </w:r>
          </w:p>
        </w:tc>
      </w:tr>
      <w:tr>
        <w:trPr>
          <w:trHeight w:val="222"/>
        </w:trPr>
        <w:tc>
          <w:tcPr>
            <w:tcW w:w="6320" w:type="dxa"/>
            <w:vAlign w:val="bottom"/>
            <w:gridSpan w:val="3"/>
          </w:tcPr>
          <w:p>
            <w:pPr>
              <w:jc w:val="center"/>
              <w:ind w:right="2320"/>
              <w:spacing w:after="0"/>
              <w:rPr>
                <w:sz w:val="20"/>
                <w:szCs w:val="20"/>
                <w:color w:val="auto"/>
              </w:rPr>
            </w:pPr>
            <w:r>
              <w:rPr>
                <w:rFonts w:ascii="Arial" w:cs="Arial" w:eastAsia="Arial" w:hAnsi="Arial"/>
                <w:sz w:val="18"/>
                <w:szCs w:val="18"/>
                <w:color w:val="auto"/>
                <w:w w:val="90"/>
              </w:rPr>
              <w:t>incorporation or organization)</w:t>
            </w:r>
          </w:p>
        </w:tc>
        <w:tc>
          <w:tcPr>
            <w:tcW w:w="2280" w:type="dxa"/>
            <w:vAlign w:val="bottom"/>
          </w:tcPr>
          <w:p>
            <w:pPr>
              <w:jc w:val="center"/>
              <w:ind w:right="652"/>
              <w:spacing w:after="0"/>
              <w:rPr>
                <w:sz w:val="20"/>
                <w:szCs w:val="20"/>
                <w:color w:val="auto"/>
              </w:rPr>
            </w:pPr>
            <w:r>
              <w:rPr>
                <w:rFonts w:ascii="Arial" w:cs="Arial" w:eastAsia="Arial" w:hAnsi="Arial"/>
                <w:sz w:val="18"/>
                <w:szCs w:val="18"/>
                <w:color w:val="auto"/>
                <w:w w:val="93"/>
              </w:rPr>
              <w:t>identification No)</w:t>
            </w:r>
          </w:p>
        </w:tc>
      </w:tr>
      <w:tr>
        <w:trPr>
          <w:trHeight w:val="426"/>
        </w:trPr>
        <w:tc>
          <w:tcPr>
            <w:tcW w:w="6320" w:type="dxa"/>
            <w:vAlign w:val="bottom"/>
            <w:gridSpan w:val="3"/>
          </w:tcPr>
          <w:p>
            <w:pPr>
              <w:jc w:val="center"/>
              <w:ind w:left="2352"/>
              <w:spacing w:after="0"/>
              <w:rPr>
                <w:sz w:val="20"/>
                <w:szCs w:val="20"/>
                <w:color w:val="auto"/>
              </w:rPr>
            </w:pPr>
            <w:r>
              <w:rPr>
                <w:rFonts w:ascii="Arial" w:cs="Arial" w:eastAsia="Arial" w:hAnsi="Arial"/>
                <w:sz w:val="18"/>
                <w:szCs w:val="18"/>
                <w:color w:val="auto"/>
                <w:w w:val="91"/>
              </w:rPr>
              <w:t>3155 PORTER DRIVE</w:t>
            </w:r>
          </w:p>
        </w:tc>
        <w:tc>
          <w:tcPr>
            <w:tcW w:w="2280" w:type="dxa"/>
            <w:vAlign w:val="bottom"/>
          </w:tcPr>
          <w:p>
            <w:pPr>
              <w:spacing w:after="0"/>
              <w:rPr>
                <w:sz w:val="24"/>
                <w:szCs w:val="24"/>
                <w:color w:val="auto"/>
              </w:rPr>
            </w:pPr>
          </w:p>
        </w:tc>
      </w:tr>
      <w:tr>
        <w:trPr>
          <w:trHeight w:val="222"/>
        </w:trPr>
        <w:tc>
          <w:tcPr>
            <w:tcW w:w="6320" w:type="dxa"/>
            <w:vAlign w:val="bottom"/>
            <w:gridSpan w:val="3"/>
          </w:tcPr>
          <w:p>
            <w:pPr>
              <w:jc w:val="center"/>
              <w:ind w:left="2332"/>
              <w:spacing w:after="0"/>
              <w:rPr>
                <w:sz w:val="20"/>
                <w:szCs w:val="20"/>
                <w:color w:val="auto"/>
              </w:rPr>
            </w:pPr>
            <w:r>
              <w:rPr>
                <w:rFonts w:ascii="Arial" w:cs="Arial" w:eastAsia="Arial" w:hAnsi="Arial"/>
                <w:sz w:val="18"/>
                <w:szCs w:val="18"/>
                <w:color w:val="auto"/>
                <w:w w:val="91"/>
              </w:rPr>
              <w:t>PALO ALTO, CA 94304</w:t>
            </w:r>
          </w:p>
        </w:tc>
        <w:tc>
          <w:tcPr>
            <w:tcW w:w="22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138430</wp:posOffset>
            </wp:positionV>
            <wp:extent cx="3644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(650) 475-3100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148590</wp:posOffset>
            </wp:positionV>
            <wp:extent cx="32848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Yes [X]  No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Yes [ ] No [X]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October 21, 2003, there were 33,860,567 shares of Common Stock, $.01 par value, issued and outstanding.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 FINANCIAL STATEMENTS</w:t>
        </w:r>
      </w:hyperlink>
    </w:p>
    <w:p>
      <w:pPr>
        <w:ind w:left="620" w:right="3340"/>
        <w:spacing w:after="0" w:line="241" w:lineRule="auto"/>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CONDENSED CONSOLIDATED BALANCE SHEETS</w:t>
        </w:r>
      </w:hyperlink>
      <w:r>
        <w:rPr>
          <w:rFonts w:ascii="Arial" w:cs="Arial" w:eastAsia="Arial" w:hAnsi="Arial"/>
          <w:sz w:val="21"/>
          <w:szCs w:val="21"/>
          <w:u w:val="single" w:color="auto"/>
          <w:color w:val="0000EE"/>
        </w:rPr>
        <w:t xml:space="preserve"> </w:t>
      </w:r>
      <w:hyperlink w:anchor="page7">
        <w:r>
          <w:rPr>
            <w:rFonts w:ascii="Arial" w:cs="Arial" w:eastAsia="Arial" w:hAnsi="Arial"/>
            <w:sz w:val="21"/>
            <w:szCs w:val="21"/>
            <w:u w:val="single" w:color="auto"/>
            <w:color w:val="0000EE"/>
          </w:rPr>
          <w:t>CONDENSED CONSOLIDATED STATEMENTS OF OPERATIONS</w:t>
        </w:r>
      </w:hyperlink>
      <w:r>
        <w:rPr>
          <w:rFonts w:ascii="Arial" w:cs="Arial" w:eastAsia="Arial" w:hAnsi="Arial"/>
          <w:sz w:val="21"/>
          <w:szCs w:val="21"/>
          <w:u w:val="single" w:color="auto"/>
          <w:color w:val="0000EE"/>
        </w:rPr>
        <w:t xml:space="preserve"> </w:t>
      </w:r>
      <w:hyperlink w:anchor="page8">
        <w:r>
          <w:rPr>
            <w:rFonts w:ascii="Arial" w:cs="Arial" w:eastAsia="Arial" w:hAnsi="Arial"/>
            <w:sz w:val="21"/>
            <w:szCs w:val="21"/>
            <w:u w:val="single" w:color="auto"/>
            <w:color w:val="0000EE"/>
          </w:rPr>
          <w:t>CONDENSED STATEMENTS OF CASH FLOWS</w:t>
        </w:r>
      </w:hyperlink>
    </w:p>
    <w:p>
      <w:pPr>
        <w:ind w:left="620"/>
        <w:spacing w:after="0" w:line="232"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NOTES TO CONDENSED CONSOLIDATED FINANCIAL STATEMENTS (UNAUDITED)</w:t>
        </w:r>
      </w:hyperlink>
    </w:p>
    <w:p>
      <w:pPr>
        <w:ind w:left="320"/>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ITEM 2. MANAGEMENT’S DISCUSSION AND ANALYSIS OF FINANCIAL CONDITION AND RESULTS</w:t>
        </w:r>
      </w:hyperlink>
      <w:r>
        <w:rPr>
          <w:rFonts w:ascii="Arial" w:cs="Arial" w:eastAsia="Arial" w:hAnsi="Arial"/>
          <w:sz w:val="22"/>
          <w:szCs w:val="22"/>
          <w:u w:val="single" w:color="auto"/>
          <w:color w:val="0000EE"/>
        </w:rPr>
        <w:t xml:space="preserve"> </w:t>
      </w:r>
      <w:hyperlink w:anchor="page15">
        <w:r>
          <w:rPr>
            <w:rFonts w:ascii="Arial" w:cs="Arial" w:eastAsia="Arial" w:hAnsi="Arial"/>
            <w:sz w:val="22"/>
            <w:szCs w:val="22"/>
            <w:u w:val="single" w:color="auto"/>
            <w:color w:val="0000EE"/>
          </w:rPr>
          <w:t>OF OPERATIONS</w:t>
        </w:r>
      </w:hyperlink>
    </w:p>
    <w:p>
      <w:pPr>
        <w:spacing w:after="0" w:line="1" w:lineRule="exact"/>
        <w:rPr>
          <w:sz w:val="20"/>
          <w:szCs w:val="20"/>
          <w:color w:val="auto"/>
        </w:rPr>
      </w:pPr>
    </w:p>
    <w:p>
      <w:pPr>
        <w:ind w:left="320" w:right="1620"/>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22">
        <w:r>
          <w:rPr>
            <w:rFonts w:ascii="Arial" w:cs="Arial" w:eastAsia="Arial" w:hAnsi="Arial"/>
            <w:sz w:val="22"/>
            <w:szCs w:val="22"/>
            <w:u w:val="single" w:color="auto"/>
            <w:color w:val="0000EE"/>
          </w:rPr>
          <w:t>ITEM 4. CONTROLS AND PROCEDURES</w:t>
        </w:r>
      </w:hyperlink>
    </w:p>
    <w:p>
      <w:pPr>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PART II</w:t>
        </w:r>
      </w:hyperlink>
    </w:p>
    <w:p>
      <w:pPr>
        <w:ind w:left="3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1 LEGAL PROCEEDINGS</w:t>
        </w:r>
      </w:hyperlink>
    </w:p>
    <w:p>
      <w:pPr>
        <w:spacing w:after="0" w:line="1" w:lineRule="exact"/>
        <w:rPr>
          <w:sz w:val="20"/>
          <w:szCs w:val="20"/>
          <w:color w:val="auto"/>
        </w:rPr>
      </w:pPr>
    </w:p>
    <w:p>
      <w:pPr>
        <w:ind w:left="320" w:right="3980"/>
        <w:spacing w:after="0" w:line="267" w:lineRule="auto"/>
        <w:rPr>
          <w:rFonts w:ascii="Arial" w:cs="Arial" w:eastAsia="Arial" w:hAnsi="Arial"/>
          <w:sz w:val="19"/>
          <w:szCs w:val="19"/>
          <w:u w:val="single" w:color="auto"/>
          <w:color w:val="0000EE"/>
        </w:rPr>
      </w:pPr>
      <w:hyperlink w:anchor="page22">
        <w:r>
          <w:rPr>
            <w:rFonts w:ascii="Arial" w:cs="Arial" w:eastAsia="Arial" w:hAnsi="Arial"/>
            <w:sz w:val="19"/>
            <w:szCs w:val="19"/>
            <w:u w:val="single" w:color="auto"/>
            <w:color w:val="0000EE"/>
          </w:rPr>
          <w:t>ITEM 2 CHANGES IN SECURITIES AND USE OF PROCEEDS</w:t>
        </w:r>
      </w:hyperlink>
      <w:r>
        <w:rPr>
          <w:rFonts w:ascii="Arial" w:cs="Arial" w:eastAsia="Arial" w:hAnsi="Arial"/>
          <w:sz w:val="19"/>
          <w:szCs w:val="19"/>
          <w:u w:val="single" w:color="auto"/>
          <w:color w:val="0000EE"/>
        </w:rPr>
        <w:t xml:space="preserve"> </w:t>
      </w:r>
      <w:hyperlink w:anchor="page22">
        <w:r>
          <w:rPr>
            <w:rFonts w:ascii="Arial" w:cs="Arial" w:eastAsia="Arial" w:hAnsi="Arial"/>
            <w:sz w:val="19"/>
            <w:szCs w:val="19"/>
            <w:u w:val="single" w:color="auto"/>
            <w:color w:val="0000EE"/>
          </w:rPr>
          <w:t>ITEM 3 DEFAULTS UPON SENIOR SECURITIES</w:t>
        </w:r>
      </w:hyperlink>
    </w:p>
    <w:p>
      <w:pPr>
        <w:ind w:left="320" w:right="2700"/>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22">
        <w:r>
          <w:rPr>
            <w:rFonts w:ascii="Arial" w:cs="Arial" w:eastAsia="Arial" w:hAnsi="Arial"/>
            <w:sz w:val="22"/>
            <w:szCs w:val="22"/>
            <w:u w:val="single" w:color="auto"/>
            <w:color w:val="0000EE"/>
          </w:rPr>
          <w:t>ITEM 5 OTHER INFORMATION</w:t>
        </w:r>
      </w:hyperlink>
    </w:p>
    <w:p>
      <w:pPr>
        <w:ind w:left="320"/>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EXHIBIT 31.1</w:t>
      </w:r>
    </w:p>
    <w:p>
      <w:pPr>
        <w:spacing w:after="0" w:line="231" w:lineRule="auto"/>
        <w:rPr>
          <w:sz w:val="20"/>
          <w:szCs w:val="20"/>
          <w:color w:val="auto"/>
        </w:rPr>
      </w:pPr>
      <w:r>
        <w:rPr>
          <w:rFonts w:ascii="Arial" w:cs="Arial" w:eastAsia="Arial" w:hAnsi="Arial"/>
          <w:sz w:val="22"/>
          <w:szCs w:val="22"/>
          <w:u w:val="single" w:color="auto"/>
          <w:color w:val="0000EE"/>
        </w:rPr>
        <w:t>EXHIBIT 31.2</w:t>
      </w:r>
    </w:p>
    <w:p>
      <w:pPr>
        <w:spacing w:after="0" w:line="231" w:lineRule="auto"/>
        <w:rPr>
          <w:sz w:val="20"/>
          <w:szCs w:val="20"/>
          <w:color w:val="auto"/>
        </w:rPr>
      </w:pPr>
      <w:r>
        <w:rPr>
          <w:rFonts w:ascii="Arial" w:cs="Arial" w:eastAsia="Arial" w:hAnsi="Arial"/>
          <w:sz w:val="22"/>
          <w:szCs w:val="22"/>
          <w:u w:val="single" w:color="auto"/>
          <w:color w:val="0000EE"/>
        </w:rPr>
        <w:t>EXHIBIT 32.1</w:t>
      </w:r>
    </w:p>
    <w:p>
      <w:pPr>
        <w:spacing w:after="0"/>
        <w:rPr>
          <w:sz w:val="20"/>
          <w:szCs w:val="20"/>
          <w:color w:val="auto"/>
        </w:rPr>
      </w:pPr>
      <w:r>
        <w:rPr>
          <w:rFonts w:ascii="Arial" w:cs="Arial" w:eastAsia="Arial" w:hAnsi="Arial"/>
          <w:sz w:val="22"/>
          <w:szCs w:val="22"/>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820" w:top="111" w:right="9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960" w:type="dxa"/>
            <w:vAlign w:val="bottom"/>
            <w:gridSpan w:val="2"/>
          </w:tcPr>
          <w:p>
            <w:pPr>
              <w:ind w:left="1180"/>
              <w:spacing w:after="0"/>
              <w:rPr>
                <w:sz w:val="20"/>
                <w:szCs w:val="20"/>
                <w:color w:val="auto"/>
              </w:rPr>
            </w:pPr>
            <w:r>
              <w:rPr>
                <w:rFonts w:ascii="Arial" w:cs="Arial" w:eastAsia="Arial" w:hAnsi="Arial"/>
                <w:sz w:val="14"/>
                <w:szCs w:val="14"/>
                <w:b w:val="1"/>
                <w:bCs w:val="1"/>
                <w:color w:val="auto"/>
                <w:w w:val="84"/>
              </w:rPr>
              <w:t>Page Number</w:t>
            </w:r>
          </w:p>
        </w:tc>
      </w:tr>
      <w:tr>
        <w:trPr>
          <w:trHeight w:val="216"/>
        </w:trPr>
        <w:tc>
          <w:tcPr>
            <w:tcW w:w="9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PART I. FINANCIAL INFORMATION</w:t>
            </w:r>
          </w:p>
        </w:tc>
        <w:tc>
          <w:tcPr>
            <w:tcW w:w="19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Item 1. Financial Statements (Unaudited)</w:t>
            </w:r>
          </w:p>
        </w:tc>
        <w:tc>
          <w:tcPr>
            <w:tcW w:w="1940" w:type="dxa"/>
            <w:vAlign w:val="bottom"/>
          </w:tcPr>
          <w:p>
            <w:pPr>
              <w:jc w:val="right"/>
              <w:ind w:right="173"/>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520" w:type="dxa"/>
            <w:vAlign w:val="bottom"/>
            <w:shd w:val="clear" w:color="auto" w:fill="EEEEEE"/>
          </w:tcPr>
          <w:p>
            <w:pPr>
              <w:spacing w:after="0"/>
              <w:rPr>
                <w:sz w:val="18"/>
                <w:szCs w:val="18"/>
                <w:color w:val="auto"/>
              </w:rPr>
            </w:pPr>
          </w:p>
        </w:tc>
        <w:tc>
          <w:tcPr>
            <w:tcW w:w="8960" w:type="dxa"/>
            <w:vAlign w:val="bottom"/>
            <w:shd w:val="clear" w:color="auto" w:fill="EEEEEE"/>
          </w:tcPr>
          <w:p>
            <w:pPr>
              <w:ind w:left="20"/>
              <w:spacing w:after="0"/>
              <w:rPr>
                <w:sz w:val="20"/>
                <w:szCs w:val="20"/>
                <w:color w:val="auto"/>
              </w:rPr>
            </w:pPr>
            <w:r>
              <w:rPr>
                <w:rFonts w:ascii="Arial" w:cs="Arial" w:eastAsia="Arial" w:hAnsi="Arial"/>
                <w:sz w:val="18"/>
                <w:szCs w:val="18"/>
                <w:color w:val="auto"/>
              </w:rPr>
              <w:t>Condensed Consolidated Balance Sheets September 30, 2003 and December 31, 2002</w:t>
            </w:r>
          </w:p>
        </w:tc>
        <w:tc>
          <w:tcPr>
            <w:tcW w:w="19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Arial" w:cs="Arial" w:eastAsia="Arial" w:hAnsi="Arial"/>
                <w:sz w:val="18"/>
                <w:szCs w:val="18"/>
                <w:color w:val="auto"/>
                <w:w w:val="99"/>
              </w:rPr>
              <w:t>Condensed Consolidated Statements of Operations three and nine months ended September 30, 2003 and 2002</w:t>
            </w:r>
          </w:p>
        </w:tc>
        <w:tc>
          <w:tcPr>
            <w:tcW w:w="1940" w:type="dxa"/>
            <w:vAlign w:val="bottom"/>
          </w:tcPr>
          <w:p>
            <w:pPr>
              <w:jc w:val="right"/>
              <w:ind w:right="173"/>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520" w:type="dxa"/>
            <w:vAlign w:val="bottom"/>
            <w:shd w:val="clear" w:color="auto" w:fill="EEEEEE"/>
          </w:tcPr>
          <w:p>
            <w:pPr>
              <w:spacing w:after="0"/>
              <w:rPr>
                <w:sz w:val="18"/>
                <w:szCs w:val="18"/>
                <w:color w:val="auto"/>
              </w:rPr>
            </w:pPr>
          </w:p>
        </w:tc>
        <w:tc>
          <w:tcPr>
            <w:tcW w:w="8960" w:type="dxa"/>
            <w:vAlign w:val="bottom"/>
            <w:shd w:val="clear" w:color="auto" w:fill="EEEEEE"/>
          </w:tcPr>
          <w:p>
            <w:pPr>
              <w:ind w:left="20"/>
              <w:spacing w:after="0"/>
              <w:rPr>
                <w:sz w:val="20"/>
                <w:szCs w:val="20"/>
                <w:color w:val="auto"/>
              </w:rPr>
            </w:pPr>
            <w:r>
              <w:rPr>
                <w:rFonts w:ascii="Arial" w:cs="Arial" w:eastAsia="Arial" w:hAnsi="Arial"/>
                <w:sz w:val="18"/>
                <w:szCs w:val="18"/>
                <w:color w:val="auto"/>
              </w:rPr>
              <w:t>Condensed Consolidated Statements of Cash Flows nine months ended September 30, 2003 and 2002</w:t>
            </w:r>
          </w:p>
        </w:tc>
        <w:tc>
          <w:tcPr>
            <w:tcW w:w="19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960" w:type="dxa"/>
            <w:vAlign w:val="bottom"/>
          </w:tcPr>
          <w:p>
            <w:pPr>
              <w:ind w:left="20"/>
              <w:spacing w:after="0"/>
              <w:rPr>
                <w:sz w:val="20"/>
                <w:szCs w:val="20"/>
                <w:color w:val="auto"/>
              </w:rPr>
            </w:pPr>
            <w:r>
              <w:rPr>
                <w:rFonts w:ascii="Arial" w:cs="Arial" w:eastAsia="Arial" w:hAnsi="Arial"/>
                <w:sz w:val="18"/>
                <w:szCs w:val="18"/>
                <w:color w:val="auto"/>
              </w:rPr>
              <w:t>Notes to Condensed Consolidated Financial Statements</w:t>
            </w:r>
          </w:p>
        </w:tc>
        <w:tc>
          <w:tcPr>
            <w:tcW w:w="1940" w:type="dxa"/>
            <w:vAlign w:val="bottom"/>
          </w:tcPr>
          <w:p>
            <w:pPr>
              <w:jc w:val="right"/>
              <w:ind w:right="173"/>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9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9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940" w:type="dxa"/>
            <w:vAlign w:val="bottom"/>
          </w:tcPr>
          <w:p>
            <w:pPr>
              <w:jc w:val="right"/>
              <w:ind w:right="173"/>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9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Item 4. Controls and Procedures</w:t>
            </w:r>
          </w:p>
        </w:tc>
        <w:tc>
          <w:tcPr>
            <w:tcW w:w="19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PART II. OTHER INFORMATION</w:t>
            </w:r>
          </w:p>
        </w:tc>
        <w:tc>
          <w:tcPr>
            <w:tcW w:w="1940" w:type="dxa"/>
            <w:vAlign w:val="bottom"/>
          </w:tcPr>
          <w:p>
            <w:pPr>
              <w:jc w:val="right"/>
              <w:ind w:right="173"/>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9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Item 1. Legal Proceedings</w:t>
            </w:r>
          </w:p>
        </w:tc>
        <w:tc>
          <w:tcPr>
            <w:tcW w:w="19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Item 2.</w:t>
            </w:r>
          </w:p>
        </w:tc>
        <w:tc>
          <w:tcPr>
            <w:tcW w:w="8960" w:type="dxa"/>
            <w:vAlign w:val="bottom"/>
          </w:tcPr>
          <w:p>
            <w:pPr>
              <w:ind w:left="20"/>
              <w:spacing w:after="0"/>
              <w:rPr>
                <w:sz w:val="20"/>
                <w:szCs w:val="20"/>
                <w:color w:val="auto"/>
              </w:rPr>
            </w:pPr>
            <w:r>
              <w:rPr>
                <w:rFonts w:ascii="Arial" w:cs="Arial" w:eastAsia="Arial" w:hAnsi="Arial"/>
                <w:sz w:val="18"/>
                <w:szCs w:val="18"/>
                <w:color w:val="auto"/>
              </w:rPr>
              <w:t>Changes in Securities and use of Proceeds</w:t>
            </w:r>
          </w:p>
        </w:tc>
        <w:tc>
          <w:tcPr>
            <w:tcW w:w="1940" w:type="dxa"/>
            <w:vAlign w:val="bottom"/>
          </w:tcPr>
          <w:p>
            <w:pPr>
              <w:jc w:val="right"/>
              <w:ind w:right="173"/>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520" w:type="dxa"/>
            <w:vAlign w:val="bottom"/>
            <w:shd w:val="clear" w:color="auto" w:fill="EEEEEE"/>
          </w:tcPr>
          <w:p>
            <w:pPr>
              <w:spacing w:after="0"/>
              <w:rPr>
                <w:sz w:val="20"/>
                <w:szCs w:val="20"/>
                <w:color w:val="auto"/>
              </w:rPr>
            </w:pPr>
            <w:r>
              <w:rPr>
                <w:rFonts w:ascii="Arial" w:cs="Arial" w:eastAsia="Arial" w:hAnsi="Arial"/>
                <w:sz w:val="18"/>
                <w:szCs w:val="18"/>
                <w:color w:val="auto"/>
                <w:w w:val="90"/>
              </w:rPr>
              <w:t>Item 4.</w:t>
            </w:r>
          </w:p>
        </w:tc>
        <w:tc>
          <w:tcPr>
            <w:tcW w:w="8960" w:type="dxa"/>
            <w:vAlign w:val="bottom"/>
            <w:shd w:val="clear" w:color="auto" w:fill="EEEEEE"/>
          </w:tcPr>
          <w:p>
            <w:pPr>
              <w:ind w:left="20"/>
              <w:spacing w:after="0"/>
              <w:rPr>
                <w:sz w:val="20"/>
                <w:szCs w:val="20"/>
                <w:color w:val="auto"/>
              </w:rPr>
            </w:pPr>
            <w:r>
              <w:rPr>
                <w:rFonts w:ascii="Arial" w:cs="Arial" w:eastAsia="Arial" w:hAnsi="Arial"/>
                <w:sz w:val="18"/>
                <w:szCs w:val="18"/>
                <w:color w:val="auto"/>
              </w:rPr>
              <w:t>Submission of Matters to a Vote of Security-Holders</w:t>
            </w:r>
          </w:p>
        </w:tc>
        <w:tc>
          <w:tcPr>
            <w:tcW w:w="19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Item 5.</w:t>
            </w:r>
          </w:p>
        </w:tc>
        <w:tc>
          <w:tcPr>
            <w:tcW w:w="896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1940" w:type="dxa"/>
            <w:vAlign w:val="bottom"/>
          </w:tcPr>
          <w:p>
            <w:pPr>
              <w:jc w:val="right"/>
              <w:ind w:right="173"/>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520" w:type="dxa"/>
            <w:vAlign w:val="bottom"/>
            <w:shd w:val="clear" w:color="auto" w:fill="EEEEEE"/>
          </w:tcPr>
          <w:p>
            <w:pPr>
              <w:spacing w:after="0"/>
              <w:rPr>
                <w:sz w:val="20"/>
                <w:szCs w:val="20"/>
                <w:color w:val="auto"/>
              </w:rPr>
            </w:pPr>
            <w:r>
              <w:rPr>
                <w:rFonts w:ascii="Arial" w:cs="Arial" w:eastAsia="Arial" w:hAnsi="Arial"/>
                <w:sz w:val="18"/>
                <w:szCs w:val="18"/>
                <w:color w:val="auto"/>
                <w:w w:val="90"/>
              </w:rPr>
              <w:t>Item 6.</w:t>
            </w:r>
          </w:p>
        </w:tc>
        <w:tc>
          <w:tcPr>
            <w:tcW w:w="8960" w:type="dxa"/>
            <w:vAlign w:val="bottom"/>
            <w:shd w:val="clear" w:color="auto" w:fill="EEEEEE"/>
          </w:tcPr>
          <w:p>
            <w:pPr>
              <w:ind w:left="20"/>
              <w:spacing w:after="0"/>
              <w:rPr>
                <w:sz w:val="20"/>
                <w:szCs w:val="20"/>
                <w:color w:val="auto"/>
              </w:rPr>
            </w:pPr>
            <w:r>
              <w:rPr>
                <w:rFonts w:ascii="Arial" w:cs="Arial" w:eastAsia="Arial" w:hAnsi="Arial"/>
                <w:sz w:val="18"/>
                <w:szCs w:val="18"/>
                <w:color w:val="auto"/>
              </w:rPr>
              <w:t>Exhibits and Reports on Form 8-K</w:t>
            </w:r>
          </w:p>
        </w:tc>
        <w:tc>
          <w:tcPr>
            <w:tcW w:w="19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1940" w:type="dxa"/>
            <w:vAlign w:val="bottom"/>
          </w:tcPr>
          <w:p>
            <w:pPr>
              <w:jc w:val="right"/>
              <w:ind w:right="173"/>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424"/>
        </w:trPr>
        <w:tc>
          <w:tcPr>
            <w:tcW w:w="520" w:type="dxa"/>
            <w:vAlign w:val="bottom"/>
          </w:tcPr>
          <w:p>
            <w:pPr>
              <w:spacing w:after="0"/>
              <w:rPr>
                <w:sz w:val="24"/>
                <w:szCs w:val="24"/>
                <w:color w:val="auto"/>
              </w:rPr>
            </w:pPr>
          </w:p>
        </w:tc>
        <w:tc>
          <w:tcPr>
            <w:tcW w:w="8960" w:type="dxa"/>
            <w:vAlign w:val="bottom"/>
          </w:tcPr>
          <w:p>
            <w:pPr>
              <w:ind w:left="5160"/>
              <w:spacing w:after="0"/>
              <w:rPr>
                <w:sz w:val="20"/>
                <w:szCs w:val="20"/>
                <w:color w:val="auto"/>
              </w:rPr>
            </w:pPr>
            <w:r>
              <w:rPr>
                <w:rFonts w:ascii="Arial" w:cs="Arial" w:eastAsia="Arial" w:hAnsi="Arial"/>
                <w:sz w:val="18"/>
                <w:szCs w:val="18"/>
                <w:color w:val="auto"/>
              </w:rPr>
              <w:t>2</w:t>
            </w: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896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September 30, 2003</w:t>
            </w:r>
          </w:p>
        </w:tc>
        <w:tc>
          <w:tcPr>
            <w:tcW w:w="240" w:type="dxa"/>
            <w:vAlign w:val="bottom"/>
          </w:tcPr>
          <w:p>
            <w:pPr>
              <w:spacing w:after="0"/>
              <w:rPr>
                <w:sz w:val="15"/>
                <w:szCs w:val="15"/>
                <w:color w:val="auto"/>
              </w:rPr>
            </w:pPr>
          </w:p>
        </w:tc>
        <w:tc>
          <w:tcPr>
            <w:tcW w:w="20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December 31, 2002</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(a)</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shd w:val="clear" w:color="auto" w:fill="EEEEEE"/>
          </w:tcPr>
          <w:p>
            <w:pPr>
              <w:ind w:left="420"/>
              <w:spacing w:after="0"/>
              <w:rPr>
                <w:sz w:val="20"/>
                <w:szCs w:val="20"/>
                <w:color w:val="auto"/>
              </w:rPr>
            </w:pPr>
            <w:r>
              <w:rPr>
                <w:rFonts w:ascii="Arial" w:cs="Arial" w:eastAsia="Arial" w:hAnsi="Arial"/>
                <w:sz w:val="18"/>
                <w:szCs w:val="18"/>
                <w:color w:val="auto"/>
              </w:rPr>
              <w:t>Cash and cash equivalents</w:t>
            </w:r>
          </w:p>
        </w:tc>
        <w:tc>
          <w:tcPr>
            <w:tcW w:w="9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4,169,851</w:t>
            </w:r>
          </w:p>
        </w:tc>
        <w:tc>
          <w:tcPr>
            <w:tcW w:w="7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4,236,367</w:t>
            </w: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110,803</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64,892</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shd w:val="clear" w:color="auto" w:fill="EEEEEE"/>
          </w:tcPr>
          <w:p>
            <w:pPr>
              <w:ind w:left="42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215,606</w:t>
            </w: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209,389</w:t>
            </w: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60" w:type="dxa"/>
            <w:vAlign w:val="bottom"/>
            <w:gridSpan w:val="2"/>
          </w:tcPr>
          <w:p>
            <w:pPr>
              <w:ind w:left="8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4,496,260</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4,510,648</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780" w:type="dxa"/>
            <w:vAlign w:val="bottom"/>
            <w:shd w:val="clear" w:color="auto" w:fill="EEEEEE"/>
          </w:tcPr>
          <w:p>
            <w:pPr>
              <w:ind w:left="4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3,832,756</w:t>
            </w: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4,337,711</w:t>
            </w: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Other assets, net</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2,792,071</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2,480,463</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9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11,121,087</w:t>
            </w:r>
          </w:p>
        </w:tc>
        <w:tc>
          <w:tcPr>
            <w:tcW w:w="7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11,328,822</w:t>
            </w: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60" w:type="dxa"/>
            <w:vAlign w:val="bottom"/>
            <w:gridSpan w:val="2"/>
            <w:vMerge w:val="restart"/>
          </w:tcPr>
          <w:p>
            <w:pPr>
              <w:ind w:left="860"/>
              <w:spacing w:after="0"/>
              <w:rPr>
                <w:sz w:val="20"/>
                <w:szCs w:val="20"/>
                <w:color w:val="auto"/>
              </w:rPr>
            </w:pPr>
            <w:r>
              <w:rPr>
                <w:rFonts w:ascii="Arial" w:cs="Arial" w:eastAsia="Arial" w:hAnsi="Arial"/>
                <w:sz w:val="18"/>
                <w:szCs w:val="18"/>
                <w:color w:val="auto"/>
              </w:rPr>
              <w:t>Liabilities, redeemable convertible preferred stock, and</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6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382,364</w:t>
            </w:r>
          </w:p>
        </w:tc>
        <w:tc>
          <w:tcPr>
            <w:tcW w:w="7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341,995</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shd w:val="clear" w:color="auto" w:fill="EEEEEE"/>
          </w:tcPr>
          <w:p>
            <w:pPr>
              <w:ind w:left="42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635,937</w:t>
            </w: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427,916</w:t>
            </w: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Current maturities of capital lease obligations</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235,833</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229,166</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1,254,134</w:t>
            </w: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999,077</w:t>
            </w: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Capital lease obligations, less current maturities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1,909,583</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2,086,667</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Deposits &amp; other long-term liabilities</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314,896</w:t>
            </w: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393,240</w:t>
            </w: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Deferred rent</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1,384,175</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1,402,581</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4,862,788</w:t>
            </w: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4,881,565</w:t>
            </w: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7"/>
              </w:rPr>
              <w:t>Redeemable convertible preferred stock, $0.01 par value; 1,000,000</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shares authorized issuable in series:</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780" w:type="dxa"/>
            <w:vAlign w:val="bottom"/>
            <w:shd w:val="clear" w:color="auto" w:fill="EEEEEE"/>
          </w:tcPr>
          <w:p>
            <w:pPr>
              <w:ind w:left="420"/>
              <w:spacing w:after="0"/>
              <w:rPr>
                <w:sz w:val="20"/>
                <w:szCs w:val="20"/>
                <w:color w:val="auto"/>
              </w:rPr>
            </w:pPr>
            <w:r>
              <w:rPr>
                <w:rFonts w:ascii="Arial" w:cs="Arial" w:eastAsia="Arial" w:hAnsi="Arial"/>
                <w:sz w:val="18"/>
                <w:szCs w:val="18"/>
                <w:color w:val="auto"/>
                <w:w w:val="95"/>
              </w:rPr>
              <w:t>3% Cumulative convertible preferred stock, 5,000 shares</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issued and 2,000 and 4,000 shares outstanding at</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shd w:val="clear" w:color="auto" w:fill="EEEEEE"/>
          </w:tcPr>
          <w:p>
            <w:pPr>
              <w:ind w:left="560"/>
              <w:spacing w:after="0"/>
              <w:rPr>
                <w:sz w:val="20"/>
                <w:szCs w:val="20"/>
                <w:color w:val="auto"/>
              </w:rPr>
            </w:pPr>
            <w:r>
              <w:rPr>
                <w:rFonts w:ascii="Arial" w:cs="Arial" w:eastAsia="Arial" w:hAnsi="Arial"/>
                <w:sz w:val="18"/>
                <w:szCs w:val="18"/>
                <w:color w:val="auto"/>
                <w:w w:val="91"/>
              </w:rPr>
              <w:t>September 30, 2003 and December 31, 2002 respectively</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(aggregate liquidation preference of $2,000,000 and</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shd w:val="clear" w:color="auto" w:fill="EEEEEE"/>
          </w:tcPr>
          <w:p>
            <w:pPr>
              <w:ind w:left="560"/>
              <w:spacing w:after="0"/>
              <w:rPr>
                <w:sz w:val="20"/>
                <w:szCs w:val="20"/>
                <w:color w:val="auto"/>
              </w:rPr>
            </w:pPr>
            <w:r>
              <w:rPr>
                <w:rFonts w:ascii="Arial" w:cs="Arial" w:eastAsia="Arial" w:hAnsi="Arial"/>
                <w:sz w:val="18"/>
                <w:szCs w:val="18"/>
                <w:color w:val="auto"/>
                <w:w w:val="88"/>
              </w:rPr>
              <w:t>$4,000,000 at September 30, 2003 and December 31, 2002</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47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EEEEEE"/>
          </w:tcPr>
          <w:p>
            <w:pPr>
              <w:spacing w:after="0"/>
              <w:rPr>
                <w:sz w:val="19"/>
                <w:szCs w:val="19"/>
                <w:color w:val="auto"/>
              </w:rPr>
            </w:pPr>
          </w:p>
        </w:tc>
        <w:tc>
          <w:tcPr>
            <w:tcW w:w="640" w:type="dxa"/>
            <w:vAlign w:val="bottom"/>
            <w:tcBorders>
              <w:right w:val="single" w:sz="8" w:color="EEEEEE"/>
            </w:tcBorders>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1,829,780</w:t>
            </w:r>
          </w:p>
        </w:tc>
        <w:tc>
          <w:tcPr>
            <w:tcW w:w="7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2,659,686</w:t>
            </w:r>
          </w:p>
        </w:tc>
        <w:tc>
          <w:tcPr>
            <w:tcW w:w="600" w:type="dxa"/>
            <w:vAlign w:val="bottom"/>
            <w:shd w:val="clear" w:color="auto" w:fill="EEEEEE"/>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4780" w:type="dxa"/>
            <w:vAlign w:val="bottom"/>
            <w:shd w:val="clear" w:color="auto" w:fill="EEEEEE"/>
          </w:tcPr>
          <w:p>
            <w:pPr>
              <w:ind w:left="420"/>
              <w:spacing w:after="0"/>
              <w:rPr>
                <w:sz w:val="20"/>
                <w:szCs w:val="20"/>
                <w:color w:val="auto"/>
              </w:rPr>
            </w:pPr>
            <w:r>
              <w:rPr>
                <w:rFonts w:ascii="Arial" w:cs="Arial" w:eastAsia="Arial" w:hAnsi="Arial"/>
                <w:sz w:val="18"/>
                <w:szCs w:val="18"/>
                <w:color w:val="auto"/>
                <w:w w:val="87"/>
              </w:rPr>
              <w:t>Common stock, $.01 par value; 75,000,000 shares authorized;</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shd w:val="clear" w:color="auto" w:fill="EEEEEE"/>
          </w:tcPr>
          <w:p>
            <w:pPr>
              <w:ind w:left="560"/>
              <w:spacing w:after="0"/>
              <w:rPr>
                <w:sz w:val="20"/>
                <w:szCs w:val="20"/>
                <w:color w:val="auto"/>
              </w:rPr>
            </w:pPr>
            <w:r>
              <w:rPr>
                <w:rFonts w:ascii="Arial" w:cs="Arial" w:eastAsia="Arial" w:hAnsi="Arial"/>
                <w:sz w:val="18"/>
                <w:szCs w:val="18"/>
                <w:color w:val="auto"/>
                <w:w w:val="85"/>
              </w:rPr>
              <w:t>33,855,209 and 26,860,078 shares issued and outstanding at</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4780" w:type="dxa"/>
            <w:vAlign w:val="bottom"/>
            <w:shd w:val="clear" w:color="auto" w:fill="EEEEEE"/>
          </w:tcPr>
          <w:p>
            <w:pPr>
              <w:ind w:left="560"/>
              <w:spacing w:after="0"/>
              <w:rPr>
                <w:sz w:val="20"/>
                <w:szCs w:val="20"/>
                <w:color w:val="auto"/>
              </w:rPr>
            </w:pPr>
            <w:r>
              <w:rPr>
                <w:rFonts w:ascii="Arial" w:cs="Arial" w:eastAsia="Arial" w:hAnsi="Arial"/>
                <w:sz w:val="18"/>
                <w:szCs w:val="18"/>
                <w:color w:val="auto"/>
                <w:w w:val="90"/>
              </w:rPr>
              <w:t>September 30, 2003 and December 31, 2002, respectively</w:t>
            </w:r>
          </w:p>
        </w:tc>
        <w:tc>
          <w:tcPr>
            <w:tcW w:w="280" w:type="dxa"/>
            <w:vAlign w:val="bottom"/>
            <w:shd w:val="clear" w:color="auto" w:fill="EEEEEE"/>
          </w:tcPr>
          <w:p>
            <w:pPr>
              <w:spacing w:after="0"/>
              <w:rPr>
                <w:sz w:val="19"/>
                <w:szCs w:val="19"/>
                <w:color w:val="auto"/>
              </w:rPr>
            </w:pPr>
          </w:p>
        </w:tc>
        <w:tc>
          <w:tcPr>
            <w:tcW w:w="640" w:type="dxa"/>
            <w:vAlign w:val="bottom"/>
            <w:tcBorders>
              <w:right w:val="single" w:sz="8" w:color="EEEEEE"/>
            </w:tcBorders>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338,551</w:t>
            </w:r>
          </w:p>
        </w:tc>
        <w:tc>
          <w:tcPr>
            <w:tcW w:w="7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268,601</w:t>
            </w:r>
          </w:p>
        </w:tc>
        <w:tc>
          <w:tcPr>
            <w:tcW w:w="600" w:type="dxa"/>
            <w:vAlign w:val="bottom"/>
            <w:shd w:val="clear" w:color="auto" w:fill="EEEEEE"/>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Additional paid in capital</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157,353,599</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149,238,207</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shd w:val="clear" w:color="auto" w:fill="EEEEEE"/>
          </w:tcPr>
          <w:p>
            <w:pPr>
              <w:ind w:left="42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166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w w:val="85"/>
              </w:rPr>
              <w:t>(152,259,732)</w:t>
            </w: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87"/>
              </w:rPr>
              <w:t>(144,661,464)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Deferred compensation</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(1,003,899)</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(1,057,773)</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80" w:type="dxa"/>
            <w:vAlign w:val="bottom"/>
            <w:shd w:val="clear" w:color="auto" w:fill="EEEEEE"/>
          </w:tcPr>
          <w:p>
            <w:pPr>
              <w:ind w:left="92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4,428,519</w:t>
            </w: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3,787,571</w:t>
            </w: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liabilities, redeemable convertible preferred stock, and</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6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stockholders’ equity</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11,121,087</w:t>
            </w:r>
          </w:p>
        </w:tc>
        <w:tc>
          <w:tcPr>
            <w:tcW w:w="7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11,328,822</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w w:val="79"/>
              </w:rPr>
              <w:t>3</w:t>
            </w: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47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119" w:firstLine="8"/>
        <w:spacing w:after="0" w:line="563" w:lineRule="auto"/>
        <w:tabs>
          <w:tab w:leader="none" w:pos="239" w:val="left"/>
        </w:tabs>
        <w:numPr>
          <w:ilvl w:val="0"/>
          <w:numId w:val="1"/>
        </w:numPr>
        <w:rPr>
          <w:rFonts w:ascii="Arial" w:cs="Arial" w:eastAsia="Arial" w:hAnsi="Arial"/>
          <w:sz w:val="16"/>
          <w:szCs w:val="16"/>
          <w:color w:val="auto"/>
        </w:rPr>
      </w:pPr>
      <w:r>
        <w:rPr>
          <w:rFonts w:ascii="Arial" w:cs="Arial" w:eastAsia="Arial" w:hAnsi="Arial"/>
          <w:sz w:val="16"/>
          <w:szCs w:val="16"/>
          <w:color w:val="auto"/>
        </w:rPr>
        <w:t>Derived from the Company’s audited financial statements as of December 31, 2002 See accompanying notes to condensed consolidated financial statements.</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2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7"/>
              </w:rPr>
              <w:t>September 30,</w:t>
            </w:r>
          </w:p>
        </w:tc>
        <w:tc>
          <w:tcPr>
            <w:tcW w:w="8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2003</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September 30,</w:t>
            </w: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Revenue from grants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29,389</w:t>
            </w: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88,250</w:t>
            </w:r>
          </w:p>
        </w:tc>
        <w:tc>
          <w:tcPr>
            <w:tcW w:w="3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141,889</w:t>
            </w:r>
          </w:p>
        </w:tc>
        <w:tc>
          <w:tcPr>
            <w:tcW w:w="3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287,799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Revenue from licensing agreements</w:t>
            </w: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3,401</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1,432</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10,151</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38,511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32,790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89,682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152,040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326,310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1,444,219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1,873,316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4,524,115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5,524,826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1,007,029</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891,601</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3,078,662</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3,282,513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2,451,248</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2,764,917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7,602,777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8,807,339</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w w:val="89"/>
              </w:rPr>
              <w:t>(2,418,458)</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(2,675,235)</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w w:val="89"/>
              </w:rPr>
              <w:t>(7,450,737)</w:t>
            </w: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9"/>
              </w:rPr>
              <w:t>(8,481,029)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12,745</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30,396</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23,955</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90,367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1140" w:type="dxa"/>
            <w:vAlign w:val="bottom"/>
            <w:gridSpan w:val="2"/>
          </w:tcPr>
          <w:p>
            <w:pPr>
              <w:jc w:val="right"/>
              <w:ind w:right="232"/>
              <w:spacing w:after="0"/>
              <w:rPr>
                <w:sz w:val="20"/>
                <w:szCs w:val="20"/>
                <w:color w:val="auto"/>
              </w:rPr>
            </w:pPr>
            <w:r>
              <w:rPr>
                <w:rFonts w:ascii="Arial" w:cs="Arial" w:eastAsia="Arial" w:hAnsi="Arial"/>
                <w:sz w:val="18"/>
                <w:szCs w:val="18"/>
                <w:color w:val="auto"/>
              </w:rPr>
              <w:t>(50,198)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(55,304)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32"/>
              <w:spacing w:after="0"/>
              <w:rPr>
                <w:sz w:val="20"/>
                <w:szCs w:val="20"/>
                <w:color w:val="auto"/>
              </w:rPr>
            </w:pPr>
            <w:r>
              <w:rPr>
                <w:rFonts w:ascii="Arial" w:cs="Arial" w:eastAsia="Arial" w:hAnsi="Arial"/>
                <w:sz w:val="18"/>
                <w:szCs w:val="18"/>
                <w:color w:val="auto"/>
              </w:rPr>
              <w:t>(157,501)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26,628</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(25,266)</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32,848</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(29,218)</w:t>
            </w:r>
          </w:p>
        </w:tc>
        <w:tc>
          <w:tcPr>
            <w:tcW w:w="0" w:type="dxa"/>
            <w:vAlign w:val="bottom"/>
          </w:tcPr>
          <w:p>
            <w:pPr>
              <w:spacing w:after="0"/>
              <w:rPr>
                <w:sz w:val="1"/>
                <w:szCs w:val="1"/>
                <w:color w:val="auto"/>
              </w:rPr>
            </w:pPr>
          </w:p>
        </w:tc>
      </w:tr>
      <w:tr>
        <w:trPr>
          <w:trHeight w:val="108"/>
        </w:trPr>
        <w:tc>
          <w:tcPr>
            <w:tcW w:w="34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8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380" w:type="dxa"/>
            <w:vAlign w:val="bottom"/>
          </w:tcPr>
          <w:p>
            <w:pPr>
              <w:spacing w:after="0"/>
              <w:rPr>
                <w:sz w:val="24"/>
                <w:szCs w:val="24"/>
                <w:color w:val="auto"/>
              </w:rPr>
            </w:pPr>
          </w:p>
        </w:tc>
        <w:tc>
          <w:tcPr>
            <w:tcW w:w="1140" w:type="dxa"/>
            <w:vAlign w:val="bottom"/>
            <w:gridSpan w:val="2"/>
          </w:tcPr>
          <w:p>
            <w:pPr>
              <w:jc w:val="right"/>
              <w:ind w:right="232"/>
              <w:spacing w:after="0"/>
              <w:rPr>
                <w:sz w:val="20"/>
                <w:szCs w:val="20"/>
                <w:color w:val="auto"/>
              </w:rPr>
            </w:pPr>
            <w:r>
              <w:rPr>
                <w:rFonts w:ascii="Arial" w:cs="Arial" w:eastAsia="Arial" w:hAnsi="Arial"/>
                <w:sz w:val="18"/>
                <w:szCs w:val="18"/>
                <w:color w:val="auto"/>
              </w:rPr>
              <w:t>(10,825)</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(50,174)</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2"/>
          </w:tcPr>
          <w:p>
            <w:pPr>
              <w:jc w:val="right"/>
              <w:ind w:right="232"/>
              <w:spacing w:after="0"/>
              <w:rPr>
                <w:sz w:val="20"/>
                <w:szCs w:val="20"/>
                <w:color w:val="auto"/>
              </w:rPr>
            </w:pPr>
            <w:r>
              <w:rPr>
                <w:rFonts w:ascii="Arial" w:cs="Arial" w:eastAsia="Arial" w:hAnsi="Arial"/>
                <w:sz w:val="18"/>
                <w:szCs w:val="18"/>
                <w:color w:val="auto"/>
              </w:rPr>
              <w:t>(100,698)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(112,434)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w w:val="89"/>
              </w:rPr>
              <w:t>(2,429,283)</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(2,725,409)</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w w:val="89"/>
              </w:rPr>
              <w:t>(7,551,435)</w:t>
            </w: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9"/>
              </w:rPr>
              <w:t>(8,593,463)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Dividend to preferred stockholders</w:t>
            </w:r>
          </w:p>
        </w:tc>
        <w:tc>
          <w:tcPr>
            <w:tcW w:w="380" w:type="dxa"/>
            <w:vAlign w:val="bottom"/>
          </w:tcPr>
          <w:p>
            <w:pPr>
              <w:spacing w:after="0"/>
              <w:rPr>
                <w:sz w:val="18"/>
                <w:szCs w:val="18"/>
                <w:color w:val="auto"/>
              </w:rPr>
            </w:pPr>
          </w:p>
        </w:tc>
        <w:tc>
          <w:tcPr>
            <w:tcW w:w="114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46,833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164,825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Deemed dividend</w:t>
            </w: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169,968</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320,001</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1,658,270</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960,003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80" w:type="dxa"/>
            <w:vAlign w:val="bottom"/>
            <w:gridSpan w:val="2"/>
          </w:tcPr>
          <w:p>
            <w:pPr>
              <w:spacing w:after="0"/>
              <w:rPr>
                <w:sz w:val="20"/>
                <w:szCs w:val="20"/>
                <w:color w:val="auto"/>
              </w:rPr>
            </w:pPr>
            <w:r>
              <w:rPr>
                <w:rFonts w:ascii="Arial" w:cs="Arial" w:eastAsia="Arial" w:hAnsi="Arial"/>
                <w:sz w:val="18"/>
                <w:szCs w:val="18"/>
                <w:color w:val="auto"/>
                <w:w w:val="98"/>
              </w:rPr>
              <w:t>Net loss applicable to common stockholders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32"/>
              <w:spacing w:after="0"/>
              <w:rPr>
                <w:sz w:val="20"/>
                <w:szCs w:val="20"/>
                <w:color w:val="auto"/>
              </w:rPr>
            </w:pPr>
            <w:r>
              <w:rPr>
                <w:rFonts w:ascii="Arial" w:cs="Arial" w:eastAsia="Arial" w:hAnsi="Arial"/>
                <w:sz w:val="18"/>
                <w:szCs w:val="18"/>
                <w:color w:val="auto"/>
                <w:w w:val="95"/>
              </w:rPr>
              <w:t>2,599,251)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3,045,410)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32"/>
              <w:spacing w:after="0"/>
              <w:rPr>
                <w:sz w:val="20"/>
                <w:szCs w:val="20"/>
                <w:color w:val="auto"/>
              </w:rPr>
            </w:pPr>
            <w:r>
              <w:rPr>
                <w:rFonts w:ascii="Arial" w:cs="Arial" w:eastAsia="Arial" w:hAnsi="Arial"/>
                <w:sz w:val="18"/>
                <w:szCs w:val="18"/>
                <w:color w:val="auto"/>
                <w:w w:val="95"/>
              </w:rPr>
              <w:t>9,256,538)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9,718,291)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applicable to common</w:t>
            </w: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stockholders; basic and diluted</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0.08)</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0.12)</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0.30)</w:t>
            </w: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2"/>
              </w:rPr>
              <w:t>Weighted average shares used to compute net</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20"/>
              <w:spacing w:after="0"/>
              <w:rPr>
                <w:sz w:val="20"/>
                <w:szCs w:val="20"/>
                <w:color w:val="auto"/>
              </w:rPr>
            </w:pPr>
            <w:r>
              <w:rPr>
                <w:rFonts w:ascii="Arial" w:cs="Arial" w:eastAsia="Arial" w:hAnsi="Arial"/>
                <w:sz w:val="18"/>
                <w:szCs w:val="18"/>
                <w:color w:val="auto"/>
              </w:rPr>
              <w:t>loss per share applicable to common</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120"/>
              <w:spacing w:after="0"/>
              <w:rPr>
                <w:sz w:val="20"/>
                <w:szCs w:val="20"/>
                <w:color w:val="auto"/>
              </w:rPr>
            </w:pPr>
            <w:r>
              <w:rPr>
                <w:rFonts w:ascii="Arial" w:cs="Arial" w:eastAsia="Arial" w:hAnsi="Arial"/>
                <w:sz w:val="18"/>
                <w:szCs w:val="18"/>
                <w:color w:val="auto"/>
              </w:rPr>
              <w:t>stockholders; basic and diluted</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33,824,249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25,120,608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30,666,932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24,568,766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Nine Months Ended</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2"/>
              </w:rPr>
              <w:t>7,551,435)</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8,593,463)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758,271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298,611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Amortization (recovery) of deferred compensation</w:t>
            </w:r>
          </w:p>
        </w:tc>
        <w:tc>
          <w:tcPr>
            <w:tcW w:w="5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225,787</w:t>
            </w: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2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(565,661)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Stock based compensation expense</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296,206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162,014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Net changes in operating assets and liabilities</w:t>
            </w: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(284,913)</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1,060,406</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6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6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5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6"/>
              </w:rPr>
              <w:t>(6,556,084)</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(7,638,093)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Purchase of property, plant and equipment</w:t>
            </w:r>
          </w:p>
        </w:tc>
        <w:tc>
          <w:tcPr>
            <w:tcW w:w="5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(180,498)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(218,169)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(180,498)</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2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(218,169)</w:t>
            </w:r>
          </w:p>
        </w:tc>
        <w:tc>
          <w:tcPr>
            <w:tcW w:w="0" w:type="dxa"/>
            <w:vAlign w:val="bottom"/>
          </w:tcPr>
          <w:p>
            <w:pPr>
              <w:spacing w:after="0"/>
              <w:rPr>
                <w:sz w:val="1"/>
                <w:szCs w:val="1"/>
                <w:color w:val="auto"/>
              </w:rPr>
            </w:pPr>
          </w:p>
        </w:tc>
      </w:tr>
      <w:tr>
        <w:trPr>
          <w:trHeight w:val="108"/>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8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5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30,087</w:t>
            </w: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5,398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net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6,810,396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1,057,445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Principal payments under capitalized lease obligations</w:t>
            </w: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(170,417)</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2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(232,917)</w:t>
            </w:r>
          </w:p>
        </w:tc>
        <w:tc>
          <w:tcPr>
            <w:tcW w:w="0" w:type="dxa"/>
            <w:vAlign w:val="bottom"/>
          </w:tcPr>
          <w:p>
            <w:pPr>
              <w:spacing w:after="0"/>
              <w:rPr>
                <w:sz w:val="1"/>
                <w:szCs w:val="1"/>
                <w:color w:val="auto"/>
              </w:rPr>
            </w:pPr>
          </w:p>
        </w:tc>
      </w:tr>
      <w:tr>
        <w:trPr>
          <w:trHeight w:val="108"/>
        </w:trPr>
        <w:tc>
          <w:tcPr>
            <w:tcW w:w="586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6,670,066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829,926</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Decrease in cash and cash equivalents</w:t>
            </w: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(66,516)</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2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9"/>
              </w:rPr>
              <w:t>(7,026,336)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4,236,367</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13,697,195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end of period</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4,169,851</w:t>
            </w:r>
          </w:p>
        </w:tc>
        <w:tc>
          <w:tcPr>
            <w:tcW w:w="6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6,670,859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Interest paid</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157,501</w:t>
            </w:r>
          </w:p>
        </w:tc>
        <w:tc>
          <w:tcPr>
            <w:tcW w:w="6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173,583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2003 and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216"/>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and nine months ended September 30, 2003 are not necessarily indicative of the results that may be expected for the entire fiscal year ending December 31, 2003.</w:t>
      </w:r>
    </w:p>
    <w:p>
      <w:pPr>
        <w:spacing w:after="0" w:line="174" w:lineRule="exact"/>
        <w:rPr>
          <w:sz w:val="20"/>
          <w:szCs w:val="20"/>
          <w:color w:val="auto"/>
        </w:rPr>
      </w:pPr>
    </w:p>
    <w:p>
      <w:pPr>
        <w:ind w:right="100" w:firstLine="216"/>
        <w:spacing w:after="0" w:line="306" w:lineRule="auto"/>
        <w:rPr>
          <w:sz w:val="20"/>
          <w:szCs w:val="20"/>
          <w:color w:val="auto"/>
        </w:rPr>
      </w:pPr>
      <w:r>
        <w:rPr>
          <w:rFonts w:ascii="Arial" w:cs="Arial" w:eastAsia="Arial" w:hAnsi="Arial"/>
          <w:sz w:val="16"/>
          <w:szCs w:val="16"/>
          <w:color w:val="auto"/>
        </w:rPr>
        <w:t>The balance sheet at December 31, 2002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2002, included on Form 10-K.</w:t>
      </w:r>
    </w:p>
    <w:p>
      <w:pPr>
        <w:spacing w:after="0" w:line="161" w:lineRule="exact"/>
        <w:rPr>
          <w:sz w:val="20"/>
          <w:szCs w:val="20"/>
          <w:color w:val="auto"/>
        </w:rPr>
      </w:pPr>
    </w:p>
    <w:p>
      <w:pPr>
        <w:ind w:firstLine="216"/>
        <w:spacing w:after="0" w:line="287" w:lineRule="auto"/>
        <w:rPr>
          <w:sz w:val="20"/>
          <w:szCs w:val="20"/>
          <w:color w:val="auto"/>
        </w:rPr>
      </w:pPr>
      <w:r>
        <w:rPr>
          <w:rFonts w:ascii="Arial" w:cs="Arial" w:eastAsia="Arial" w:hAnsi="Arial"/>
          <w:sz w:val="16"/>
          <w:szCs w:val="16"/>
          <w:color w:val="auto"/>
        </w:rPr>
        <w:t>The Company has incurred significant operating losses and negative cash flows since inception. It has not achieved profitability and may not be able to realize sufficient revenues to achieve or sustain profitability in the future. The Company has very limited liquidity and capital resources and must quickly obtain significant additional capital resources in order to sustain its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The Company relies on cash balances and proceeds from equity and debt offerings, proceeds from the transfer or sale of intellectual property rights, equipment, facilities or investments, and government grants and funding from collaborative arrangements, if obtainable, to fund its operations. Unless the Company obtains additional capital to sustain its operations on a longer-term basis, these conditions may raise doubt about its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amounts reported in previous periods have been reclassified to conform to the 2003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requires management to make estimates and assumptions that affect the amounts reported in the consolidated financial statements. Actual results could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31" w:lineRule="exact"/>
        <w:rPr>
          <w:sz w:val="20"/>
          <w:szCs w:val="20"/>
          <w:color w:val="auto"/>
        </w:rPr>
      </w:pPr>
    </w:p>
    <w:p>
      <w:pPr>
        <w:ind w:right="160" w:firstLine="216"/>
        <w:spacing w:after="0" w:line="259" w:lineRule="auto"/>
        <w:rPr>
          <w:sz w:val="20"/>
          <w:szCs w:val="20"/>
          <w:color w:val="auto"/>
        </w:rPr>
      </w:pPr>
      <w:r>
        <w:rPr>
          <w:rFonts w:ascii="Arial" w:cs="Arial" w:eastAsia="Arial" w:hAnsi="Arial"/>
          <w:sz w:val="18"/>
          <w:szCs w:val="18"/>
          <w:color w:val="auto"/>
        </w:rPr>
        <w:t>The Company has computed net loss per common share according to the Financial Accounting Standards Board Statement (“SFAS”) No. 128, “Earnings Per Share,” which requires disclosure of basic and diluted earnings per share. Basic earnings per share excludes any dilutive effects of options, warrants and convertible securities,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color w:val="auto"/>
        </w:rPr>
        <w:t>is computed using the weighted average number of common shares outstanding during the period. Diluted earnings 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3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4"/>
          </w:tcPr>
          <w:p>
            <w:pPr>
              <w:jc w:val="right"/>
              <w:ind w:right="75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4"/>
          </w:tcPr>
          <w:p>
            <w:pPr>
              <w:jc w:val="right"/>
              <w:ind w:right="697"/>
              <w:spacing w:after="0"/>
              <w:rPr>
                <w:sz w:val="20"/>
                <w:szCs w:val="20"/>
                <w:color w:val="auto"/>
              </w:rPr>
            </w:pPr>
            <w:r>
              <w:rPr>
                <w:rFonts w:ascii="Arial" w:cs="Arial" w:eastAsia="Arial" w:hAnsi="Arial"/>
                <w:sz w:val="14"/>
                <w:szCs w:val="14"/>
                <w:b w:val="1"/>
                <w:bCs w:val="1"/>
                <w:color w:val="auto"/>
              </w:rPr>
              <w:t>Nine months ended</w:t>
            </w:r>
          </w:p>
        </w:tc>
      </w:tr>
      <w:tr>
        <w:trPr>
          <w:trHeight w:val="174"/>
        </w:trPr>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4"/>
          </w:tcPr>
          <w:p>
            <w:pPr>
              <w:jc w:val="right"/>
              <w:ind w:right="937"/>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5"/>
                <w:szCs w:val="15"/>
                <w:color w:val="auto"/>
              </w:rPr>
            </w:pPr>
          </w:p>
        </w:tc>
      </w:tr>
      <w:tr>
        <w:trPr>
          <w:trHeight w:val="95"/>
        </w:trPr>
        <w:tc>
          <w:tcPr>
            <w:tcW w:w="28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263"/>
        </w:trPr>
        <w:tc>
          <w:tcPr>
            <w:tcW w:w="2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57"/>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357"/>
              <w:spacing w:after="0"/>
              <w:rPr>
                <w:sz w:val="20"/>
                <w:szCs w:val="20"/>
                <w:color w:val="auto"/>
              </w:rPr>
            </w:pPr>
            <w:r>
              <w:rPr>
                <w:rFonts w:ascii="Arial" w:cs="Arial" w:eastAsia="Arial" w:hAnsi="Arial"/>
                <w:sz w:val="14"/>
                <w:szCs w:val="14"/>
                <w:b w:val="1"/>
                <w:bCs w:val="1"/>
                <w:color w:val="auto"/>
              </w:rPr>
              <w:t>2002</w:t>
            </w:r>
          </w:p>
        </w:tc>
      </w:tr>
      <w:tr>
        <w:trPr>
          <w:trHeight w:val="95"/>
        </w:trPr>
        <w:tc>
          <w:tcPr>
            <w:tcW w:w="28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102"/>
        </w:trPr>
        <w:tc>
          <w:tcPr>
            <w:tcW w:w="2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08"/>
        </w:trPr>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w:t>
            </w: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r>
      <w:tr>
        <w:trPr>
          <w:trHeight w:val="224"/>
        </w:trPr>
        <w:tc>
          <w:tcPr>
            <w:tcW w:w="28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stockholders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142"/>
              <w:spacing w:after="0"/>
              <w:rPr>
                <w:sz w:val="20"/>
                <w:szCs w:val="20"/>
                <w:color w:val="auto"/>
              </w:rPr>
            </w:pPr>
            <w:r>
              <w:rPr>
                <w:rFonts w:ascii="Arial" w:cs="Arial" w:eastAsia="Arial" w:hAnsi="Arial"/>
                <w:sz w:val="18"/>
                <w:szCs w:val="18"/>
                <w:color w:val="auto"/>
                <w:w w:val="89"/>
              </w:rPr>
              <w:t>(2,599,251)</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w w:val="91"/>
              </w:rPr>
              <w:t>(3,045,410)</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122"/>
              <w:spacing w:after="0"/>
              <w:rPr>
                <w:sz w:val="20"/>
                <w:szCs w:val="20"/>
                <w:color w:val="auto"/>
              </w:rPr>
            </w:pPr>
            <w:r>
              <w:rPr>
                <w:rFonts w:ascii="Arial" w:cs="Arial" w:eastAsia="Arial" w:hAnsi="Arial"/>
                <w:sz w:val="18"/>
                <w:szCs w:val="18"/>
                <w:color w:val="auto"/>
                <w:w w:val="91"/>
              </w:rPr>
              <w:t>(9,256,538)</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(9,718,291)</w:t>
            </w:r>
          </w:p>
        </w:tc>
      </w:tr>
      <w:tr>
        <w:trPr>
          <w:trHeight w:val="208"/>
        </w:trPr>
        <w:tc>
          <w:tcPr>
            <w:tcW w:w="2860" w:type="dxa"/>
            <w:vAlign w:val="bottom"/>
          </w:tcPr>
          <w:p>
            <w:pPr>
              <w:spacing w:after="0"/>
              <w:rPr>
                <w:sz w:val="20"/>
                <w:szCs w:val="20"/>
                <w:color w:val="auto"/>
              </w:rPr>
            </w:pPr>
            <w:r>
              <w:rPr>
                <w:rFonts w:ascii="Arial" w:cs="Arial" w:eastAsia="Arial" w:hAnsi="Arial"/>
                <w:sz w:val="18"/>
                <w:szCs w:val="18"/>
                <w:color w:val="auto"/>
              </w:rPr>
              <w:t>Weighted average shares used in</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8"/>
                <w:szCs w:val="18"/>
                <w:color w:val="auto"/>
              </w:rPr>
              <w:t>computing net loss per share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8"/>
                <w:szCs w:val="18"/>
                <w:color w:val="auto"/>
                <w:w w:val="94"/>
              </w:rPr>
              <w:t>applicable to common stockholders,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286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19"/>
                <w:szCs w:val="19"/>
                <w:color w:val="auto"/>
              </w:rPr>
            </w:pPr>
          </w:p>
        </w:tc>
        <w:tc>
          <w:tcPr>
            <w:tcW w:w="1060" w:type="dxa"/>
            <w:vAlign w:val="bottom"/>
          </w:tcPr>
          <w:p>
            <w:pPr>
              <w:jc w:val="right"/>
              <w:ind w:right="202"/>
              <w:spacing w:after="0"/>
              <w:rPr>
                <w:sz w:val="20"/>
                <w:szCs w:val="20"/>
                <w:color w:val="auto"/>
              </w:rPr>
            </w:pPr>
            <w:r>
              <w:rPr>
                <w:rFonts w:ascii="Arial" w:cs="Arial" w:eastAsia="Arial" w:hAnsi="Arial"/>
                <w:sz w:val="18"/>
                <w:szCs w:val="18"/>
                <w:color w:val="auto"/>
                <w:w w:val="84"/>
              </w:rPr>
              <w:t>33,824,249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97"/>
              <w:spacing w:after="0"/>
              <w:rPr>
                <w:sz w:val="20"/>
                <w:szCs w:val="20"/>
                <w:color w:val="auto"/>
              </w:rPr>
            </w:pPr>
            <w:r>
              <w:rPr>
                <w:rFonts w:ascii="Arial" w:cs="Arial" w:eastAsia="Arial" w:hAnsi="Arial"/>
                <w:sz w:val="18"/>
                <w:szCs w:val="18"/>
                <w:color w:val="auto"/>
                <w:w w:val="86"/>
              </w:rPr>
              <w:t>25,120,608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82"/>
              <w:spacing w:after="0"/>
              <w:rPr>
                <w:sz w:val="20"/>
                <w:szCs w:val="20"/>
                <w:color w:val="auto"/>
              </w:rPr>
            </w:pPr>
            <w:r>
              <w:rPr>
                <w:rFonts w:ascii="Arial" w:cs="Arial" w:eastAsia="Arial" w:hAnsi="Arial"/>
                <w:sz w:val="18"/>
                <w:szCs w:val="18"/>
                <w:color w:val="auto"/>
                <w:w w:val="86"/>
              </w:rPr>
              <w:t>30,666,932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4"/>
              </w:rPr>
              <w:t>24,568,766</w:t>
            </w:r>
          </w:p>
        </w:tc>
      </w:tr>
      <w:tr>
        <w:trPr>
          <w:trHeight w:val="209"/>
        </w:trPr>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applicable to</w:t>
            </w: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r>
      <w:tr>
        <w:trPr>
          <w:trHeight w:val="216"/>
        </w:trPr>
        <w:tc>
          <w:tcPr>
            <w:tcW w:w="28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common stockholders, basic and</w:t>
            </w: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r>
      <w:tr>
        <w:trPr>
          <w:trHeight w:val="224"/>
        </w:trPr>
        <w:tc>
          <w:tcPr>
            <w:tcW w:w="28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142"/>
              <w:spacing w:after="0"/>
              <w:rPr>
                <w:sz w:val="20"/>
                <w:szCs w:val="20"/>
                <w:color w:val="auto"/>
              </w:rPr>
            </w:pPr>
            <w:r>
              <w:rPr>
                <w:rFonts w:ascii="Arial" w:cs="Arial" w:eastAsia="Arial" w:hAnsi="Arial"/>
                <w:sz w:val="18"/>
                <w:szCs w:val="18"/>
                <w:color w:val="auto"/>
              </w:rPr>
              <w:t>(0.08)</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rPr>
              <w:t>(0.12)</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122"/>
              <w:spacing w:after="0"/>
              <w:rPr>
                <w:sz w:val="20"/>
                <w:szCs w:val="20"/>
                <w:color w:val="auto"/>
              </w:rPr>
            </w:pPr>
            <w:r>
              <w:rPr>
                <w:rFonts w:ascii="Arial" w:cs="Arial" w:eastAsia="Arial" w:hAnsi="Arial"/>
                <w:sz w:val="18"/>
                <w:szCs w:val="18"/>
                <w:color w:val="auto"/>
              </w:rPr>
              <w:t>(0.30)</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(0.40)</w:t>
            </w:r>
          </w:p>
        </w:tc>
      </w:tr>
    </w:tbl>
    <w:p>
      <w:pPr>
        <w:spacing w:after="0" w:line="20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Company has excluded outstanding stock options, warrants and convertible securities from the calculation of diluted loss per common share because all such securities are anti-dilutive for all applicable periods presented. These outstanding securities consist of the following potential common shares:</w:t>
      </w:r>
    </w:p>
    <w:p>
      <w:pPr>
        <w:spacing w:after="0" w:line="365"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4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340" w:type="dxa"/>
            <w:vAlign w:val="bottom"/>
            <w:gridSpan w:val="3"/>
          </w:tcPr>
          <w:p>
            <w:pPr>
              <w:jc w:val="right"/>
              <w:ind w:right="1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1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2003</w:t>
            </w:r>
          </w:p>
        </w:tc>
        <w:tc>
          <w:tcPr>
            <w:tcW w:w="23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Convertible preferred stock</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1,000,000</w:t>
            </w:r>
          </w:p>
        </w:tc>
        <w:tc>
          <w:tcPr>
            <w:tcW w:w="234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2,812,802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Outstanding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4,537,436</w:t>
            </w:r>
          </w:p>
        </w:tc>
        <w:tc>
          <w:tcPr>
            <w:tcW w:w="2340" w:type="dxa"/>
            <w:vAlign w:val="bottom"/>
            <w:gridSpan w:val="3"/>
          </w:tcPr>
          <w:p>
            <w:pPr>
              <w:jc w:val="right"/>
              <w:ind w:right="480"/>
              <w:spacing w:after="0"/>
              <w:rPr>
                <w:sz w:val="20"/>
                <w:szCs w:val="20"/>
                <w:color w:val="auto"/>
              </w:rPr>
            </w:pPr>
            <w:r>
              <w:rPr>
                <w:rFonts w:ascii="Arial" w:cs="Arial" w:eastAsia="Arial" w:hAnsi="Arial"/>
                <w:sz w:val="18"/>
                <w:szCs w:val="18"/>
                <w:color w:val="auto"/>
              </w:rPr>
              <w:t>3,784,066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Outstanding warrants</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3,180,238</w:t>
            </w:r>
          </w:p>
        </w:tc>
        <w:tc>
          <w:tcPr>
            <w:tcW w:w="234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1,066,350</w:t>
            </w:r>
          </w:p>
        </w:tc>
        <w:tc>
          <w:tcPr>
            <w:tcW w:w="0" w:type="dxa"/>
            <w:vAlign w:val="bottom"/>
          </w:tcPr>
          <w:p>
            <w:pPr>
              <w:spacing w:after="0"/>
              <w:rPr>
                <w:sz w:val="1"/>
                <w:szCs w:val="1"/>
                <w:color w:val="auto"/>
              </w:rPr>
            </w:pPr>
          </w:p>
        </w:tc>
      </w:tr>
      <w:tr>
        <w:trPr>
          <w:trHeight w:val="108"/>
        </w:trPr>
        <w:tc>
          <w:tcPr>
            <w:tcW w:w="3900" w:type="dxa"/>
            <w:vAlign w:val="bottom"/>
            <w:gridSpan w:val="2"/>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jc w:val="right"/>
              <w:spacing w:after="0"/>
              <w:rPr>
                <w:sz w:val="20"/>
                <w:szCs w:val="20"/>
                <w:color w:val="auto"/>
              </w:rPr>
            </w:pPr>
            <w:r>
              <w:rPr>
                <w:rFonts w:ascii="Arial" w:cs="Arial" w:eastAsia="Arial" w:hAnsi="Arial"/>
                <w:sz w:val="18"/>
                <w:szCs w:val="18"/>
                <w:color w:val="auto"/>
              </w:rPr>
              <w:t>8,717,674</w:t>
            </w:r>
          </w:p>
        </w:tc>
        <w:tc>
          <w:tcPr>
            <w:tcW w:w="2340" w:type="dxa"/>
            <w:vAlign w:val="bottom"/>
            <w:gridSpan w:val="3"/>
          </w:tcPr>
          <w:p>
            <w:pPr>
              <w:jc w:val="right"/>
              <w:ind w:right="480"/>
              <w:spacing w:after="0"/>
              <w:rPr>
                <w:sz w:val="20"/>
                <w:szCs w:val="20"/>
                <w:color w:val="auto"/>
              </w:rPr>
            </w:pPr>
            <w:r>
              <w:rPr>
                <w:rFonts w:ascii="Arial" w:cs="Arial" w:eastAsia="Arial" w:hAnsi="Arial"/>
                <w:sz w:val="18"/>
                <w:szCs w:val="18"/>
                <w:color w:val="auto"/>
              </w:rPr>
              <w:t>7,663,218</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31" w:lineRule="exact"/>
        <w:rPr>
          <w:sz w:val="20"/>
          <w:szCs w:val="20"/>
          <w:color w:val="auto"/>
        </w:rPr>
      </w:pPr>
    </w:p>
    <w:p>
      <w:pPr>
        <w:ind w:firstLine="216"/>
        <w:spacing w:after="0" w:line="254" w:lineRule="auto"/>
        <w:rPr>
          <w:sz w:val="20"/>
          <w:szCs w:val="20"/>
          <w:color w:val="auto"/>
        </w:rPr>
      </w:pPr>
      <w:r>
        <w:rPr>
          <w:rFonts w:ascii="Arial" w:cs="Arial" w:eastAsia="Arial" w:hAnsi="Arial"/>
          <w:sz w:val="18"/>
          <w:szCs w:val="18"/>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198" w:lineRule="exact"/>
        <w:rPr>
          <w:sz w:val="20"/>
          <w:szCs w:val="20"/>
          <w:color w:val="auto"/>
        </w:rPr>
      </w:pPr>
    </w:p>
    <w:p>
      <w:pPr>
        <w:jc w:val="both"/>
        <w:ind w:right="20" w:firstLine="220"/>
        <w:spacing w:after="0" w:line="298" w:lineRule="auto"/>
        <w:rPr>
          <w:sz w:val="20"/>
          <w:szCs w:val="20"/>
          <w:color w:val="auto"/>
        </w:rPr>
      </w:pPr>
      <w:r>
        <w:rPr>
          <w:rFonts w:ascii="Arial" w:cs="Arial" w:eastAsia="Arial" w:hAnsi="Arial"/>
          <w:sz w:val="16"/>
          <w:szCs w:val="16"/>
          <w:color w:val="auto"/>
        </w:rPr>
        <w:t>For purposes of disclosures pursuant to Statement of Financial Accounting Standards No. 123, “Accounting for Stock-Based Compensation,” (SFAS 123) as amended by Statement of Financial Accounting Standards No. 148, “Accounting for Stock-Based Compensation — Transition and Disclosure,” (SFAS 148), the estimated fair value of options is amortized to expense over the options’ vesting period. The following table illustrates the effect on net loss and net loss per share if we had applied the fair value recognition provisions of FAS 123 to stock-based employee compensation (in thousands, except per share amounts):</w:t>
      </w:r>
    </w:p>
    <w:p>
      <w:pPr>
        <w:spacing w:after="0" w:line="39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96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7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96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270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1440" w:type="dxa"/>
            <w:vAlign w:val="bottom"/>
          </w:tcPr>
          <w:p>
            <w:pPr>
              <w:jc w:val="right"/>
              <w:ind w:right="502"/>
              <w:spacing w:after="0"/>
              <w:rPr>
                <w:sz w:val="20"/>
                <w:szCs w:val="20"/>
                <w:color w:val="auto"/>
              </w:rPr>
            </w:pPr>
            <w:r>
              <w:rPr>
                <w:rFonts w:ascii="Arial" w:cs="Arial" w:eastAsia="Arial" w:hAnsi="Arial"/>
                <w:sz w:val="14"/>
                <w:szCs w:val="14"/>
                <w:b w:val="1"/>
                <w:bCs w:val="1"/>
                <w:color w:val="auto"/>
              </w:rPr>
              <w:t>2003</w:t>
            </w:r>
          </w:p>
        </w:tc>
        <w:tc>
          <w:tcPr>
            <w:tcW w:w="15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2002</w:t>
            </w:r>
          </w:p>
        </w:tc>
        <w:tc>
          <w:tcPr>
            <w:tcW w:w="150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rPr>
              <w:t>2003</w:t>
            </w: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 stockholders – as</w:t>
            </w:r>
          </w:p>
        </w:tc>
        <w:tc>
          <w:tcPr>
            <w:tcW w:w="14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reported</w:t>
            </w:r>
          </w:p>
        </w:tc>
        <w:tc>
          <w:tcPr>
            <w:tcW w:w="1440" w:type="dxa"/>
            <w:vAlign w:val="bottom"/>
            <w:shd w:val="clear" w:color="auto" w:fill="EEEEEE"/>
          </w:tcPr>
          <w:p>
            <w:pPr>
              <w:jc w:val="right"/>
              <w:ind w:right="202"/>
              <w:spacing w:after="0"/>
              <w:rPr>
                <w:sz w:val="20"/>
                <w:szCs w:val="20"/>
                <w:color w:val="auto"/>
              </w:rPr>
            </w:pPr>
            <w:r>
              <w:rPr>
                <w:rFonts w:ascii="Arial" w:cs="Arial" w:eastAsia="Arial" w:hAnsi="Arial"/>
                <w:sz w:val="18"/>
                <w:szCs w:val="18"/>
                <w:color w:val="auto"/>
              </w:rPr>
              <w:t>$(2,599,251)</w:t>
            </w:r>
          </w:p>
        </w:tc>
        <w:tc>
          <w:tcPr>
            <w:tcW w:w="15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$(3,045,410)</w:t>
            </w:r>
          </w:p>
        </w:tc>
        <w:tc>
          <w:tcPr>
            <w:tcW w:w="15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$(9,256,538)</w:t>
            </w:r>
          </w:p>
        </w:tc>
        <w:tc>
          <w:tcPr>
            <w:tcW w:w="1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$(9,718,291)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6"/>
              </w:rPr>
              <w:t>Add: Stock-based employee/director compensation</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expense included in reported net loss</w:t>
            </w:r>
          </w:p>
        </w:tc>
        <w:tc>
          <w:tcPr>
            <w:tcW w:w="1440" w:type="dxa"/>
            <w:vAlign w:val="bottom"/>
          </w:tcPr>
          <w:p>
            <w:pPr>
              <w:jc w:val="right"/>
              <w:ind w:right="242"/>
              <w:spacing w:after="0"/>
              <w:rPr>
                <w:sz w:val="20"/>
                <w:szCs w:val="20"/>
                <w:color w:val="auto"/>
              </w:rPr>
            </w:pPr>
            <w:r>
              <w:rPr>
                <w:rFonts w:ascii="Arial" w:cs="Arial" w:eastAsia="Arial" w:hAnsi="Arial"/>
                <w:sz w:val="18"/>
                <w:szCs w:val="18"/>
                <w:color w:val="auto"/>
              </w:rPr>
              <w:t>55,961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38,265</w:t>
            </w:r>
          </w:p>
        </w:tc>
        <w:tc>
          <w:tcPr>
            <w:tcW w:w="1500" w:type="dxa"/>
            <w:vAlign w:val="bottom"/>
            <w:gridSpan w:val="2"/>
          </w:tcPr>
          <w:p>
            <w:pPr>
              <w:jc w:val="right"/>
              <w:ind w:right="252"/>
              <w:spacing w:after="0"/>
              <w:rPr>
                <w:sz w:val="20"/>
                <w:szCs w:val="20"/>
                <w:color w:val="auto"/>
              </w:rPr>
            </w:pPr>
            <w:r>
              <w:rPr>
                <w:rFonts w:ascii="Arial" w:cs="Arial" w:eastAsia="Arial" w:hAnsi="Arial"/>
                <w:sz w:val="18"/>
                <w:szCs w:val="18"/>
                <w:color w:val="auto"/>
              </w:rPr>
              <w:t>176,968</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88,952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Deduct: Total stock-based employee/director</w:t>
            </w:r>
          </w:p>
        </w:tc>
        <w:tc>
          <w:tcPr>
            <w:tcW w:w="14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5"/>
              </w:rPr>
              <w:t>compensation expense under the fair value based</w:t>
            </w:r>
          </w:p>
        </w:tc>
        <w:tc>
          <w:tcPr>
            <w:tcW w:w="14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method for all awards</w:t>
            </w:r>
          </w:p>
        </w:tc>
        <w:tc>
          <w:tcPr>
            <w:tcW w:w="1440" w:type="dxa"/>
            <w:vAlign w:val="bottom"/>
            <w:shd w:val="clear" w:color="auto" w:fill="EEEEEE"/>
          </w:tcPr>
          <w:p>
            <w:pPr>
              <w:jc w:val="right"/>
              <w:ind w:right="202"/>
              <w:spacing w:after="0"/>
              <w:rPr>
                <w:sz w:val="20"/>
                <w:szCs w:val="20"/>
                <w:color w:val="auto"/>
              </w:rPr>
            </w:pPr>
            <w:r>
              <w:rPr>
                <w:rFonts w:ascii="Arial" w:cs="Arial" w:eastAsia="Arial" w:hAnsi="Arial"/>
                <w:sz w:val="18"/>
                <w:szCs w:val="18"/>
                <w:color w:val="auto"/>
              </w:rPr>
              <w:t>(200,643)</w:t>
            </w:r>
          </w:p>
        </w:tc>
        <w:tc>
          <w:tcPr>
            <w:tcW w:w="15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(158,727)</w:t>
            </w:r>
          </w:p>
        </w:tc>
        <w:tc>
          <w:tcPr>
            <w:tcW w:w="15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(657,961)</w:t>
            </w:r>
          </w:p>
        </w:tc>
        <w:tc>
          <w:tcPr>
            <w:tcW w:w="1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(1,118,777)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419" w:right="279" w:bottom="1440" w:gutter="0" w:footer="0" w:header="0"/>
        </w:sectPr>
      </w:pP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60" w:type="dxa"/>
            <w:vAlign w:val="bottom"/>
            <w:gridSpan w:val="5"/>
          </w:tcPr>
          <w:p>
            <w:pPr>
              <w:jc w:val="right"/>
              <w:ind w:right="113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60" w:type="dxa"/>
            <w:vAlign w:val="bottom"/>
            <w:gridSpan w:val="5"/>
          </w:tcPr>
          <w:p>
            <w:pPr>
              <w:jc w:val="right"/>
              <w:ind w:right="121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7"/>
              </w:rPr>
              <w:t>September 30,</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1"/>
              </w:rPr>
              <w:t>September 30,</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ind w:right="279"/>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636"/>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319"/>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60" w:type="dxa"/>
            <w:vAlign w:val="bottom"/>
          </w:tcPr>
          <w:p>
            <w:pPr>
              <w:jc w:val="right"/>
              <w:ind w:right="696"/>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18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w:t>
            </w:r>
          </w:p>
        </w:tc>
        <w:tc>
          <w:tcPr>
            <w:tcW w:w="4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1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common stockholders –</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proforma</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(2,743,933)</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6"/>
              <w:spacing w:after="0"/>
              <w:rPr>
                <w:sz w:val="20"/>
                <w:szCs w:val="20"/>
                <w:color w:val="auto"/>
              </w:rPr>
            </w:pPr>
            <w:r>
              <w:rPr>
                <w:rFonts w:ascii="Arial" w:cs="Arial" w:eastAsia="Arial" w:hAnsi="Arial"/>
                <w:sz w:val="18"/>
                <w:szCs w:val="18"/>
                <w:color w:val="auto"/>
                <w:w w:val="89"/>
              </w:rPr>
              <w:t>(3,165,872)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(9,737,531)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6"/>
              <w:spacing w:after="0"/>
              <w:rPr>
                <w:sz w:val="20"/>
                <w:szCs w:val="20"/>
                <w:color w:val="auto"/>
              </w:rPr>
            </w:pPr>
            <w:r>
              <w:rPr>
                <w:rFonts w:ascii="Arial" w:cs="Arial" w:eastAsia="Arial" w:hAnsi="Arial"/>
                <w:sz w:val="18"/>
                <w:szCs w:val="18"/>
                <w:color w:val="auto"/>
                <w:w w:val="86"/>
              </w:rPr>
              <w:t>(10,748,116)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20"/>
                <w:szCs w:val="20"/>
                <w:color w:val="auto"/>
              </w:rPr>
            </w:pPr>
            <w:r>
              <w:rPr>
                <w:rFonts w:ascii="Arial" w:cs="Arial" w:eastAsia="Arial" w:hAnsi="Arial"/>
                <w:sz w:val="18"/>
                <w:szCs w:val="18"/>
                <w:color w:val="auto"/>
              </w:rPr>
              <w:t>Basic and diluted net loss</w:t>
            </w:r>
          </w:p>
        </w:tc>
        <w:tc>
          <w:tcPr>
            <w:tcW w:w="4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per share applicable to</w:t>
            </w:r>
          </w:p>
        </w:tc>
        <w:tc>
          <w:tcPr>
            <w:tcW w:w="4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common stockholders –</w:t>
            </w:r>
          </w:p>
        </w:tc>
        <w:tc>
          <w:tcPr>
            <w:tcW w:w="4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 reported</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(0.08)</w:t>
            </w:r>
          </w:p>
        </w:tc>
        <w:tc>
          <w:tcPr>
            <w:tcW w:w="10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316"/>
              <w:spacing w:after="0"/>
              <w:rPr>
                <w:sz w:val="20"/>
                <w:szCs w:val="20"/>
                <w:color w:val="auto"/>
              </w:rPr>
            </w:pPr>
            <w:r>
              <w:rPr>
                <w:rFonts w:ascii="Arial" w:cs="Arial" w:eastAsia="Arial" w:hAnsi="Arial"/>
                <w:sz w:val="18"/>
                <w:szCs w:val="18"/>
                <w:color w:val="auto"/>
              </w:rPr>
              <w:t>(0.12)</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(0.30)</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376"/>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Basic and diluted net loss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per share applicable to</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common stockholders –</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pro forma</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6"/>
              <w:spacing w:after="0"/>
              <w:rPr>
                <w:sz w:val="20"/>
                <w:szCs w:val="20"/>
                <w:color w:val="auto"/>
              </w:rPr>
            </w:pPr>
            <w:r>
              <w:rPr>
                <w:rFonts w:ascii="Arial" w:cs="Arial" w:eastAsia="Arial" w:hAnsi="Arial"/>
                <w:sz w:val="18"/>
                <w:szCs w:val="18"/>
                <w:color w:val="auto"/>
              </w:rPr>
              <w:t>(0.13)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(0.32)</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6"/>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20"/>
                <w:szCs w:val="20"/>
                <w:color w:val="auto"/>
              </w:rPr>
            </w:pPr>
            <w:r>
              <w:rPr>
                <w:rFonts w:ascii="Arial" w:cs="Arial" w:eastAsia="Arial" w:hAnsi="Arial"/>
                <w:sz w:val="18"/>
                <w:szCs w:val="18"/>
                <w:color w:val="auto"/>
              </w:rPr>
              <w:t>Shares used in basic and</w:t>
            </w:r>
          </w:p>
        </w:tc>
        <w:tc>
          <w:tcPr>
            <w:tcW w:w="4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 loss per share</w:t>
            </w:r>
          </w:p>
        </w:tc>
        <w:tc>
          <w:tcPr>
            <w:tcW w:w="4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applicable to common</w:t>
            </w:r>
          </w:p>
        </w:tc>
        <w:tc>
          <w:tcPr>
            <w:tcW w:w="4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 amounts</w:t>
            </w:r>
          </w:p>
        </w:tc>
        <w:tc>
          <w:tcPr>
            <w:tcW w:w="440" w:type="dxa"/>
            <w:vAlign w:val="bottom"/>
            <w:shd w:val="clear" w:color="auto" w:fill="EEEEEE"/>
          </w:tcPr>
          <w:p>
            <w:pPr>
              <w:spacing w:after="0"/>
              <w:rPr>
                <w:sz w:val="19"/>
                <w:szCs w:val="19"/>
                <w:color w:val="auto"/>
              </w:rPr>
            </w:pPr>
          </w:p>
        </w:tc>
        <w:tc>
          <w:tcPr>
            <w:tcW w:w="900" w:type="dxa"/>
            <w:vAlign w:val="bottom"/>
            <w:shd w:val="clear" w:color="auto" w:fill="EEEEEE"/>
          </w:tcPr>
          <w:p>
            <w:pPr>
              <w:jc w:val="right"/>
              <w:ind w:right="19"/>
              <w:spacing w:after="0"/>
              <w:rPr>
                <w:sz w:val="20"/>
                <w:szCs w:val="20"/>
                <w:color w:val="auto"/>
              </w:rPr>
            </w:pPr>
            <w:r>
              <w:rPr>
                <w:rFonts w:ascii="Arial" w:cs="Arial" w:eastAsia="Arial" w:hAnsi="Arial"/>
                <w:sz w:val="18"/>
                <w:szCs w:val="18"/>
                <w:color w:val="auto"/>
                <w:w w:val="86"/>
              </w:rPr>
              <w:t>33,824,249</w:t>
            </w:r>
          </w:p>
        </w:tc>
        <w:tc>
          <w:tcPr>
            <w:tcW w:w="3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240" w:type="dxa"/>
            <w:vAlign w:val="bottom"/>
            <w:shd w:val="clear" w:color="auto" w:fill="EEEEEE"/>
          </w:tcPr>
          <w:p>
            <w:pPr>
              <w:jc w:val="right"/>
              <w:ind w:right="376"/>
              <w:spacing w:after="0"/>
              <w:rPr>
                <w:sz w:val="20"/>
                <w:szCs w:val="20"/>
                <w:color w:val="auto"/>
              </w:rPr>
            </w:pPr>
            <w:r>
              <w:rPr>
                <w:rFonts w:ascii="Arial" w:cs="Arial" w:eastAsia="Arial" w:hAnsi="Arial"/>
                <w:sz w:val="18"/>
                <w:szCs w:val="18"/>
                <w:color w:val="auto"/>
                <w:w w:val="84"/>
              </w:rPr>
              <w:t>25,120,608</w:t>
            </w:r>
          </w:p>
        </w:tc>
        <w:tc>
          <w:tcPr>
            <w:tcW w:w="2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920" w:type="dxa"/>
            <w:vAlign w:val="bottom"/>
            <w:shd w:val="clear" w:color="auto" w:fill="EEEEEE"/>
          </w:tcPr>
          <w:p>
            <w:pPr>
              <w:jc w:val="right"/>
              <w:ind w:right="39"/>
              <w:spacing w:after="0"/>
              <w:rPr>
                <w:sz w:val="20"/>
                <w:szCs w:val="20"/>
                <w:color w:val="auto"/>
              </w:rPr>
            </w:pPr>
            <w:r>
              <w:rPr>
                <w:rFonts w:ascii="Arial" w:cs="Arial" w:eastAsia="Arial" w:hAnsi="Arial"/>
                <w:sz w:val="18"/>
                <w:szCs w:val="18"/>
                <w:color w:val="auto"/>
                <w:w w:val="86"/>
              </w:rPr>
              <w:t>30,666,932</w:t>
            </w:r>
          </w:p>
        </w:tc>
        <w:tc>
          <w:tcPr>
            <w:tcW w:w="3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360" w:type="dxa"/>
            <w:vAlign w:val="bottom"/>
            <w:shd w:val="clear" w:color="auto" w:fill="EEEEEE"/>
          </w:tcPr>
          <w:p>
            <w:pPr>
              <w:jc w:val="right"/>
              <w:ind w:right="436"/>
              <w:spacing w:after="0"/>
              <w:rPr>
                <w:sz w:val="20"/>
                <w:szCs w:val="20"/>
                <w:color w:val="auto"/>
              </w:rPr>
            </w:pPr>
            <w:r>
              <w:rPr>
                <w:rFonts w:ascii="Arial" w:cs="Arial" w:eastAsia="Arial" w:hAnsi="Arial"/>
                <w:sz w:val="18"/>
                <w:szCs w:val="18"/>
                <w:color w:val="auto"/>
                <w:w w:val="90"/>
              </w:rPr>
              <w:t>24,568,766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216"/>
        <w:spacing w:after="0" w:line="259" w:lineRule="auto"/>
        <w:rPr>
          <w:sz w:val="20"/>
          <w:szCs w:val="20"/>
          <w:color w:val="auto"/>
        </w:rPr>
      </w:pPr>
      <w:r>
        <w:rPr>
          <w:rFonts w:ascii="Arial" w:cs="Arial" w:eastAsia="Arial" w:hAnsi="Arial"/>
          <w:sz w:val="18"/>
          <w:szCs w:val="18"/>
          <w:color w:val="auto"/>
        </w:rPr>
        <w:t>The effects on pro forma net loss and net loss per share of expensing the estimated fair value of stock options are not necessarily representative of the effects on reporting the results of operations for future years. As required by SFAS 123, the Company has used the Black-Scholes model for option valuation, which method may not accurately value the options described.</w:t>
      </w:r>
    </w:p>
    <w:p>
      <w:pPr>
        <w:spacing w:after="0" w:line="194" w:lineRule="exact"/>
        <w:rPr>
          <w:sz w:val="20"/>
          <w:szCs w:val="20"/>
          <w:color w:val="auto"/>
        </w:rPr>
      </w:pPr>
    </w:p>
    <w:p>
      <w:pPr>
        <w:ind w:right="60" w:firstLine="216"/>
        <w:spacing w:after="0" w:line="298" w:lineRule="auto"/>
        <w:rPr>
          <w:sz w:val="20"/>
          <w:szCs w:val="20"/>
          <w:color w:val="auto"/>
        </w:rPr>
      </w:pPr>
      <w:r>
        <w:rPr>
          <w:rFonts w:ascii="Arial" w:cs="Arial" w:eastAsia="Arial" w:hAnsi="Arial"/>
          <w:sz w:val="16"/>
          <w:szCs w:val="16"/>
          <w:color w:val="auto"/>
        </w:rPr>
        <w:t>The Company accounts for stock options granted to non-employees in accordance with SFAS 123 and Emerging Issues Task Force (EITF) 96-18 — “Accounting For Equity Instruments That Are Issued To Other Than Employees For Acquiring, Or In Conjunction With Selling, Goods Or Services”, and 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160" w:firstLine="220"/>
        <w:spacing w:after="0" w:line="255" w:lineRule="auto"/>
        <w:rPr>
          <w:sz w:val="20"/>
          <w:szCs w:val="20"/>
          <w:color w:val="auto"/>
        </w:rPr>
      </w:pPr>
      <w:r>
        <w:rPr>
          <w:rFonts w:ascii="Arial" w:cs="Arial" w:eastAsia="Arial" w:hAnsi="Arial"/>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Fees associated with substantive at risk, performance based milestones are recognized as revenue upon their completion, as defined in the respective agreements. Incidental assignment of technology rights is recognized as revenue at the time of transfer.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Variable Interest Entities</w:t>
      </w:r>
    </w:p>
    <w:p>
      <w:pPr>
        <w:spacing w:after="0" w:line="225" w:lineRule="exact"/>
        <w:rPr>
          <w:sz w:val="20"/>
          <w:szCs w:val="20"/>
          <w:color w:val="auto"/>
        </w:rPr>
      </w:pPr>
    </w:p>
    <w:p>
      <w:pPr>
        <w:ind w:firstLine="220"/>
        <w:spacing w:after="0" w:line="306" w:lineRule="auto"/>
        <w:rPr>
          <w:sz w:val="20"/>
          <w:szCs w:val="20"/>
          <w:color w:val="auto"/>
        </w:rPr>
      </w:pPr>
      <w:r>
        <w:rPr>
          <w:rFonts w:ascii="Arial" w:cs="Arial" w:eastAsia="Arial" w:hAnsi="Arial"/>
          <w:sz w:val="16"/>
          <w:szCs w:val="16"/>
          <w:color w:val="auto"/>
        </w:rPr>
        <w:t xml:space="preserve">In January 2003, the FASB issued FASB Interpretation No. 46 (FIN 46),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an Interpretation of ARB No. 51. FIN 46 requires certain variable interest entities to be consolidated by the primary beneficiary of the entity if the equity investors in the entity do not have the characteristics of a controlling financial interest or do not have sufficient equity at risk for the entity to finance its activities without additional</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subordinated financial support from other parties. FIN 46 is effective immediately for all new variable interest entities created or acquired after January 31, 2003. The Company did not create or acquire any new variable interest entities after January 31, 2003. For variable interest entities created or acquired prior to February 1, 2003, the provisions of FIN 46 must be applied by December 31, 2003. The Company does not believe that the adoption of this standard will have a material effect on its consolidated financial position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Certain Financial Instruments with Characteristics of Both Liabilities and Equity</w:t>
      </w:r>
    </w:p>
    <w:p>
      <w:pPr>
        <w:spacing w:after="0" w:line="225" w:lineRule="exact"/>
        <w:rPr>
          <w:sz w:val="20"/>
          <w:szCs w:val="20"/>
          <w:color w:val="auto"/>
        </w:rPr>
      </w:pPr>
    </w:p>
    <w:p>
      <w:pPr>
        <w:ind w:right="140" w:firstLine="220"/>
        <w:spacing w:after="0" w:line="256" w:lineRule="auto"/>
        <w:rPr>
          <w:sz w:val="20"/>
          <w:szCs w:val="20"/>
          <w:color w:val="auto"/>
        </w:rPr>
      </w:pPr>
      <w:r>
        <w:rPr>
          <w:rFonts w:ascii="Arial" w:cs="Arial" w:eastAsia="Arial" w:hAnsi="Arial"/>
          <w:sz w:val="18"/>
          <w:szCs w:val="18"/>
          <w:color w:val="auto"/>
        </w:rPr>
        <w:t xml:space="preserve">In May 2003, the FASB issued SFAS No. 150, </w:t>
      </w:r>
      <w:r>
        <w:rPr>
          <w:rFonts w:ascii="Arial" w:cs="Arial" w:eastAsia="Arial" w:hAnsi="Arial"/>
          <w:sz w:val="18"/>
          <w:szCs w:val="18"/>
          <w:i w:val="1"/>
          <w:iCs w:val="1"/>
          <w:color w:val="auto"/>
        </w:rPr>
        <w:t>Accounting for Certain Financial Instruments with Characteristics of Both Liabilities and Equity,</w:t>
      </w:r>
      <w:r>
        <w:rPr>
          <w:rFonts w:ascii="Arial" w:cs="Arial" w:eastAsia="Arial" w:hAnsi="Arial"/>
          <w:sz w:val="18"/>
          <w:szCs w:val="18"/>
          <w:color w:val="auto"/>
        </w:rPr>
        <w:t xml:space="preserve"> (“SFAS 150”). SFAS 150 establishes standards for classifying and measuring as liabilities certain financial instruments that embody obligations of the issuer and have characteristics of both liabilities and equity. SFAS 150 must be applied immediately to instruments entered into or modified after May 31, 2003. The adoption of SFAS 150 did not have a material effect on our results of operations or financial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LEASES</w:t>
      </w:r>
    </w:p>
    <w:p>
      <w:pPr>
        <w:spacing w:after="0" w:line="231" w:lineRule="exact"/>
        <w:rPr>
          <w:sz w:val="20"/>
          <w:szCs w:val="20"/>
          <w:color w:val="auto"/>
        </w:rPr>
      </w:pPr>
    </w:p>
    <w:p>
      <w:pPr>
        <w:ind w:right="20" w:firstLine="216"/>
        <w:spacing w:after="0" w:line="294" w:lineRule="auto"/>
        <w:rPr>
          <w:sz w:val="20"/>
          <w:szCs w:val="20"/>
          <w:color w:val="auto"/>
        </w:rPr>
      </w:pPr>
      <w:r>
        <w:rPr>
          <w:rFonts w:ascii="Arial" w:cs="Arial" w:eastAsia="Arial" w:hAnsi="Arial"/>
          <w:sz w:val="16"/>
          <w:szCs w:val="16"/>
          <w:color w:val="auto"/>
        </w:rPr>
        <w:t>The Company had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Interest rates vary with the respective bonds’ maturities, ranging from 5.1% to 9.5%. The outstanding principal at September 30, 2003 was approximately $2,145,000. The bonds contain certain restrictive covenants, which limit among other things, the payment of cash dividends and the sale of the related assets.</w:t>
      </w:r>
    </w:p>
    <w:p>
      <w:pPr>
        <w:spacing w:after="0" w:line="170" w:lineRule="exact"/>
        <w:rPr>
          <w:sz w:val="20"/>
          <w:szCs w:val="20"/>
          <w:color w:val="auto"/>
        </w:rPr>
      </w:pPr>
    </w:p>
    <w:p>
      <w:pPr>
        <w:ind w:firstLine="216"/>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connection with a sale and leaseback arrangement in 1997. The lease has escalating rent payments and accordingly, the Company is recognizing rent expense on a straight-line basis. At September 30, 2003, the Company had recorded deferred rent of $1,184,998 for this facility.</w:t>
      </w:r>
    </w:p>
    <w:p>
      <w:pPr>
        <w:spacing w:after="0" w:line="194" w:lineRule="exact"/>
        <w:rPr>
          <w:sz w:val="20"/>
          <w:szCs w:val="20"/>
          <w:color w:val="auto"/>
        </w:rPr>
      </w:pPr>
    </w:p>
    <w:p>
      <w:pPr>
        <w:ind w:right="20" w:firstLine="210"/>
        <w:spacing w:after="0" w:line="287" w:lineRule="auto"/>
        <w:rPr>
          <w:sz w:val="20"/>
          <w:szCs w:val="20"/>
          <w:color w:val="auto"/>
        </w:rPr>
      </w:pPr>
      <w:r>
        <w:rPr>
          <w:rFonts w:ascii="Arial" w:cs="Arial" w:eastAsia="Arial" w:hAnsi="Arial"/>
          <w:sz w:val="16"/>
          <w:szCs w:val="16"/>
          <w:color w:val="auto"/>
        </w:rPr>
        <w:t>Although the Company previously discontinued activities relating to encapsulated cell technology, the Company remains obligated under the leases for the pilot manufacturing facility and the laboratory facility. The Company has succeeded in subleasing portions (but not all) of the pilot manufacturing facility and the laboratory facility. In the case of each lease, the current sublease rental income received by the Company is significantly less than the Company’s obligations under the lease, and the Company’s continued receipt of rental income is dependent on the financial ability of the occupants (all of whom are early stage biomedical companies) to comply with their obligations under the subleases. As part of a subleasing agreement for the laboratory facility, the Company was required to provide the landlord with two letters of credit: one for $106,560, which expired on March 31, 2003, and the other for $159,000 which will automatically decrease to $106,053 on March 15, 2005 and $52,947 on March 15, 2006, with a final expiration date of March 31, 2007.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177" w:lineRule="exact"/>
        <w:rPr>
          <w:sz w:val="20"/>
          <w:szCs w:val="20"/>
          <w:color w:val="auto"/>
        </w:rPr>
      </w:pPr>
    </w:p>
    <w:p>
      <w:pPr>
        <w:ind w:right="40" w:firstLine="210"/>
        <w:spacing w:after="0" w:line="290" w:lineRule="auto"/>
        <w:rPr>
          <w:sz w:val="20"/>
          <w:szCs w:val="20"/>
          <w:color w:val="auto"/>
        </w:rPr>
      </w:pPr>
      <w:r>
        <w:rPr>
          <w:rFonts w:ascii="Arial" w:cs="Arial" w:eastAsia="Arial" w:hAnsi="Arial"/>
          <w:sz w:val="16"/>
          <w:szCs w:val="16"/>
          <w:color w:val="auto"/>
        </w:rPr>
        <w:t>As of February 1, 2001, the Company entered into a 5-year lease for a 40,000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rent per year over the term of the lease from approximately $3.15 million to $2.1 million. As part of the amendment the Company issued a letter of credit on January 2, 2003 for $503,079, which was an addition to the letter of credit in the amount of $275,000 issued at commencement of the lease, to serve as a deposit for the duration of the lease. As the lease involved an upfront payment as well as escalating rent payments, the Company is recognizing rent expense on a straight-line basis. In 2001 and 2002, the Company entered into space-sharing agreements currently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covering in total approximately 15,000 square feet of the 40,000 square foot facility. The Company expects to receive the amount of base rent plus the proportionate share of the operating expenses that it pays for such space over the term of these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GRANTS</w:t>
      </w:r>
    </w:p>
    <w:p>
      <w:pPr>
        <w:spacing w:after="0" w:line="231" w:lineRule="exact"/>
        <w:rPr>
          <w:sz w:val="20"/>
          <w:szCs w:val="20"/>
          <w:color w:val="auto"/>
        </w:rPr>
      </w:pPr>
    </w:p>
    <w:p>
      <w:pPr>
        <w:ind w:right="220" w:firstLine="220"/>
        <w:spacing w:after="0" w:line="290" w:lineRule="auto"/>
        <w:rPr>
          <w:sz w:val="20"/>
          <w:szCs w:val="20"/>
          <w:color w:val="auto"/>
        </w:rPr>
      </w:pPr>
      <w:r>
        <w:rPr>
          <w:rFonts w:ascii="Arial" w:cs="Arial" w:eastAsia="Arial" w:hAnsi="Arial"/>
          <w:sz w:val="16"/>
          <w:szCs w:val="16"/>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For this award, the Company has recognized $56,250 in 2001, $225,000 for 2002 and $112,500 for the nine-month period ended September 30, 2003. The Company does not intend to draw further funds from this grant since it will no longer pursue the particular research it covered. In September 2003 the Company was awarded a one year, $342,000 Small Business Innovation Research grant from the National Institute of Neurological Disease and Stroke (NINDS), to further its work in the treatment of spinal cord injuries. For this award, the Company has recognized $29,389 for the quarter ended September 30,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Securities</w:t>
      </w:r>
    </w:p>
    <w:p>
      <w:pPr>
        <w:spacing w:after="0" w:line="231"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On May 10, 2001, the Company entered into a common stock purchase agreement with Sativum Investments Limited for the potential future issuance and sale of up to $30,000,000 of the Company’s common stock, subject to restrictions and other obligations. The Company, at its sole discretion, may draw down on this facility, from time to time, and Sativum is obligated to purchase shares of the Company’s common stock at a 6% discount to a volume weighted average market price over the 20 trading days following the draw-down notice. There is neither a requirement that the Company draw on the facility nor a penalty for not doing so. The equity line agreement expires in December 2003. The Company’s volume weighted average market price is calculated by adding the total dollars traded in every transaction in a given trading day and dividing that number by the total number of shares traded during that trading day. The Company is limited with respect to how often it can exercise a draw down and the amount of each draw down. The Company drew down $4,000,000 in July of 2001, $118,000 in December of 2002, $66,000 in January of 2003, and $375,000 in May of 2003, before applicable fees.</w:t>
      </w:r>
    </w:p>
    <w:p>
      <w:pPr>
        <w:spacing w:after="0" w:line="172"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On May 7, 2003, the Company entered into a stock purchase agreement with The Riverview Group, LLC, (Riverview), a wholly owned subsidiary of Millennium Partners, under which it agreed to purchase 4 million shares of the Company’s common stock for $6.5 million, or $1.625 per share. On the date of the agreement, the price was above the trading price of the Company’s common stock, which closed at $1.43 per share on that date. The Company also agreed to issue a 2-year warrant to Riverview to purchase 1,898,000 shares of common stock at $1.50 per share. The exercise price is subject to adjustment for stock splits, dividends, distributions, reclassifications and similar events. On May 15, 2003 the Company issued the purchased shares and the warrant, and registered the resale of the purchased shares and the shares underlying the warrant. The exercise price may be below the trading market price at the time of the exercise. In the event that certain conditions are met, including the closing sale price of the Common Stock remaining at or above $2.50 per share for 10 consecutive trading days, the Company may require Riverview to exercise or relinquish any remaining warrant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Cumulative Convertible Preferred Stock</w:t>
      </w:r>
    </w:p>
    <w:p>
      <w:pPr>
        <w:spacing w:after="0" w:line="231" w:lineRule="exact"/>
        <w:rPr>
          <w:sz w:val="20"/>
          <w:szCs w:val="20"/>
          <w:color w:val="auto"/>
        </w:rPr>
      </w:pPr>
    </w:p>
    <w:p>
      <w:pPr>
        <w:ind w:right="40" w:firstLine="220"/>
        <w:spacing w:after="0" w:line="255" w:lineRule="auto"/>
        <w:rPr>
          <w:sz w:val="20"/>
          <w:szCs w:val="20"/>
          <w:color w:val="auto"/>
        </w:rPr>
      </w:pPr>
      <w:r>
        <w:rPr>
          <w:rFonts w:ascii="Arial" w:cs="Arial" w:eastAsia="Arial" w:hAnsi="Arial"/>
          <w:sz w:val="18"/>
          <w:szCs w:val="18"/>
          <w:color w:val="auto"/>
        </w:rPr>
        <w:t>On December 4, 2001, the Company issued 5,000 shares of 3% cumulative convertible preferred stock to Riverview plus a 5-year warrant to purchase 350,877 shares of common stock at $3.42 per share. The Company received net proceeds of $4,727,515. This preferred stock is convertible into shares of the Company’s common stock at an initial conversion price of $2.00 per share at the option of Riverview. A mandatory redemption feature requires the Company to redeem unconverted preferred stock on December 4, 2003; 2,000 shares of the preferred stock, with a redemption value of $2,000,000, remain outstanding as of September 30, 2003.</w:t>
      </w:r>
    </w:p>
    <w:p>
      <w:pPr>
        <w:spacing w:after="0" w:line="197" w:lineRule="exact"/>
        <w:rPr>
          <w:sz w:val="20"/>
          <w:szCs w:val="20"/>
          <w:color w:val="auto"/>
        </w:rPr>
      </w:pPr>
    </w:p>
    <w:p>
      <w:pPr>
        <w:ind w:right="60" w:firstLine="216"/>
        <w:spacing w:after="0" w:line="268" w:lineRule="auto"/>
        <w:rPr>
          <w:sz w:val="20"/>
          <w:szCs w:val="20"/>
          <w:color w:val="auto"/>
        </w:rPr>
      </w:pPr>
      <w:r>
        <w:rPr>
          <w:rFonts w:ascii="Arial" w:cs="Arial" w:eastAsia="Arial" w:hAnsi="Arial"/>
          <w:sz w:val="18"/>
          <w:szCs w:val="18"/>
          <w:color w:val="auto"/>
        </w:rPr>
        <w:t>The conversion price is subject to adjustment for stock splits, dividends, distributions, reclassifications and similar events. The conversion price may be below the trading market price at the time of the conversion. The final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closing price of the Company’s common stock on the NASDAQ National Market on December 4, 2001 was $2.90 per share. The Company has valued the warrants and the beneficial conversion feature reflecting the December 4, 2001 commitment date and the most beneficial per share discount available to the preferred shareholders. That value, including issuance costs of $272,485, is $3,185,000. Because the value is less than the stated redemption, it is recorded as a discount to the preferred shares. The preferred shares will be accreted to their mandatory redemption amount and the accretion will result in a deemed dividend. The deemed dividend has been reflected as an adjustment to net loss applicable to common stockholders. On December 7, 2001, Riverview converted 1,000 shares of its 3% cumulative convertible preferred stock into 500,125 shares of the Company’s common stock. On April 9, 2003, the Company agreed with Riverview to reduce the conversion price to $0.80 per share for a period of 20 trading days. Riverview agreed that it would immediately convert half of its remaining holding, 2,000 shares with a face value of $2 million, at the reduced price. Riverview received 2,521,042 shares of common stock upon conversion, including accrued and unpaid dividends. This transaction relieves the Company of the obligation to redeem the converted shares for cash at their face value on December 4, 2003. The other 2,000 shares remain outstanding. As a result of the change in the conversion price, the Company recorded a deemed dividend to preferred shareholders related to the beneficial conversion feature of approximately $1,000,000 in the second quarter of 2003. For the nine-month period ended September 30, 2003 the Company has recorded deemed dividends to preferred shareholders of approximately $1,658,000.</w:t>
      </w:r>
    </w:p>
    <w:p>
      <w:pPr>
        <w:spacing w:after="0" w:line="17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The holders of the preferred stock have liquidation rights equal to their original investment plus accrued but unpaid dividends. Dividends due on the shares of the preferred stock outstanding on a Dividend Payment Date (June 30 and December 31) may be paid in the Company’s common stock if the Company so elects by such date. The Company elected to pay the June 30, 2002, the December 31, 2002 and the June 30, 2003 dividends in stock valued at approximately $60,000, $69,000 and $30,000 respectively. Accordingly, 38,313, 59,656 and 17,935 shares of common stock respectively were issued on July 3, 2002, December 23, 2002 and June 30, 2003.</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ind w:right="120" w:firstLine="216"/>
        <w:spacing w:after="0" w:line="332" w:lineRule="auto"/>
        <w:rPr>
          <w:sz w:val="20"/>
          <w:szCs w:val="20"/>
          <w:color w:val="auto"/>
        </w:rPr>
      </w:pPr>
      <w:r>
        <w:rPr>
          <w:rFonts w:ascii="Arial" w:cs="Arial" w:eastAsia="Arial" w:hAnsi="Arial"/>
          <w:sz w:val="16"/>
          <w:szCs w:val="16"/>
          <w:color w:val="auto"/>
        </w:rPr>
        <w:t>The following discussion of our financial condition and the results of our operations for the three and nine-month period ended September 30, 2003 and 2002 should be read in conjunction with the accompanying unaudited condensed consolidated financial statements and the related footnotes thereto.</w:t>
      </w:r>
    </w:p>
    <w:p>
      <w:pPr>
        <w:spacing w:after="0" w:line="139" w:lineRule="exact"/>
        <w:rPr>
          <w:sz w:val="20"/>
          <w:szCs w:val="20"/>
          <w:color w:val="auto"/>
        </w:rPr>
      </w:pPr>
    </w:p>
    <w:p>
      <w:pPr>
        <w:ind w:firstLine="216"/>
        <w:spacing w:after="0" w:line="305" w:lineRule="auto"/>
        <w:rPr>
          <w:sz w:val="20"/>
          <w:szCs w:val="20"/>
          <w:color w:val="auto"/>
        </w:rPr>
      </w:pPr>
      <w:r>
        <w:rPr>
          <w:rFonts w:ascii="Arial" w:cs="Arial" w:eastAsia="Arial" w:hAnsi="Arial"/>
          <w:sz w:val="15"/>
          <w:szCs w:val="15"/>
          <w:color w:val="auto"/>
        </w:rPr>
        <w:t>This report includes forward-looking statements. You can identify these statements by forward-looking words such as “may,” “could,” “will,” “possibly,” “expect,” “anticipate,” “project,” “promising,” “believe,” “estimate,” “continue” or similar words. You should read statements that contain these words carefully because they discuss our future expectations, contain projections of our future results of operations or of our financial condition, or state other “forward-looking” information. These forward-looking statements include, for example,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failure to obtain a corporate partner or partners to support the development of our stem cell programs, inability to sell, assign or sublease our interest in our facilities related to our encapsulated cell technology program, risks of delays in, or adverse results from, our research, development and clinical testing programs, obsolescence of our technology, lack of available funding, contaminations at our facilities, changes in the pharmaceutical or biotechnology industries, competition from third parties, intellectual property rights of third parties, failure of our collaborators to perform, regulatory constraints, litigation, changes in government regulations or general economic or market conditions and other risks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 report as of December 31, 2002 could harm our business, operating results and financial condition. All forward-looking statements attributable to us or to persons acting on our behalf are expressly qualified in their entirety by the cautionary statements and risk factors contained or referred to herein.</w:t>
      </w:r>
    </w:p>
    <w:p>
      <w:pPr>
        <w:spacing w:after="0" w:line="3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320" w:firstLine="220"/>
        <w:spacing w:after="0" w:line="332" w:lineRule="auto"/>
        <w:rPr>
          <w:sz w:val="20"/>
          <w:szCs w:val="20"/>
          <w:color w:val="auto"/>
        </w:rPr>
      </w:pPr>
      <w:r>
        <w:rPr>
          <w:rFonts w:ascii="Arial" w:cs="Arial" w:eastAsia="Arial" w:hAnsi="Arial"/>
          <w:sz w:val="16"/>
          <w:szCs w:val="16"/>
          <w:color w:val="auto"/>
        </w:rPr>
        <w:t>Since our inception in 1988, we have been primarily engaged in research and development of human therapeutic products. As a result of the acquisition of StemCells California Inc. in 1997 and restructuring in the second half of 1999, our sole focus is now on our stem cell technology.</w:t>
      </w:r>
    </w:p>
    <w:p>
      <w:pPr>
        <w:spacing w:after="0" w:line="139" w:lineRule="exact"/>
        <w:rPr>
          <w:sz w:val="20"/>
          <w:szCs w:val="20"/>
          <w:color w:val="auto"/>
        </w:rPr>
      </w:pPr>
    </w:p>
    <w:p>
      <w:pPr>
        <w:ind w:right="120" w:firstLine="216"/>
        <w:spacing w:after="0" w:line="291" w:lineRule="auto"/>
        <w:rPr>
          <w:sz w:val="20"/>
          <w:szCs w:val="20"/>
          <w:color w:val="auto"/>
        </w:rPr>
      </w:pPr>
      <w:r>
        <w:rPr>
          <w:rFonts w:ascii="Arial" w:cs="Arial" w:eastAsia="Arial" w:hAnsi="Arial"/>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74" w:lineRule="exact"/>
        <w:rPr>
          <w:sz w:val="20"/>
          <w:szCs w:val="20"/>
          <w:color w:val="auto"/>
        </w:rPr>
      </w:pPr>
    </w:p>
    <w:p>
      <w:pPr>
        <w:ind w:right="200" w:firstLine="220"/>
        <w:spacing w:after="0" w:line="255" w:lineRule="auto"/>
        <w:rPr>
          <w:sz w:val="20"/>
          <w:szCs w:val="20"/>
          <w:color w:val="auto"/>
        </w:rPr>
      </w:pPr>
      <w:r>
        <w:rPr>
          <w:rFonts w:ascii="Arial" w:cs="Arial" w:eastAsia="Arial" w:hAnsi="Arial"/>
          <w:sz w:val="18"/>
          <w:szCs w:val="18"/>
          <w:color w:val="auto"/>
        </w:rPr>
        <w:t>In 2001, we entered into two significant financing agreements: In May, 2001 we entered into an equity line enabling us to draw up to $30,000,000 subject to various restrictions, and we did draw down $4,000,000 in July of 2001, $118,000 in December of 2002, $66,000 in January of 2003, and $375,000 in May of 2003, before applicable fees. The terms of the equity line, which expires in December 2003, restrict the amount of any draw down by a formula that depends in part on the trading volume of our stock over a certain period of time. In December of 2001, we issued 5,000 shares of 3% convertible preferred stock for $5,000,000 to The Riverview Group, LLC, (Riverview).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Riverview converted 1,000 shares in December 2001, and, in April 2003, at a reduced price agreed to between us and Riverview, converted half of its remaining holding, 2,000 shares with a face value of $2 million. These transactions will relieve us of the obligation to redeem the converted shares for cash at their face value on December 4, 2003. The other 2,000 shares remain outstanding. Pursuant to a Stock Purchase Agreement dated May 7, 2003, on May 15, 2003, Riverview purchased 4,000,000 shares of our common stock at $1.625 per share, for a total of $6.5 million, including a warrant to purchase 1,898,000 shares of common stock at $1.50 per share (See “Liquidity and Capital Resources” below for further detail on each of these transactions.)</w:t>
      </w:r>
    </w:p>
    <w:p>
      <w:pPr>
        <w:spacing w:after="0" w:line="170" w:lineRule="exact"/>
        <w:rPr>
          <w:sz w:val="20"/>
          <w:szCs w:val="20"/>
          <w:color w:val="auto"/>
        </w:rPr>
      </w:pPr>
    </w:p>
    <w:p>
      <w:pPr>
        <w:ind w:right="280" w:firstLine="220"/>
        <w:spacing w:after="0" w:line="256" w:lineRule="auto"/>
        <w:rPr>
          <w:sz w:val="20"/>
          <w:szCs w:val="20"/>
          <w:color w:val="auto"/>
        </w:rPr>
      </w:pPr>
      <w:r>
        <w:rPr>
          <w:rFonts w:ascii="Arial" w:cs="Arial" w:eastAsia="Arial" w:hAnsi="Arial"/>
          <w:sz w:val="18"/>
          <w:szCs w:val="18"/>
          <w:color w:val="auto"/>
        </w:rPr>
        <w:t>In September 2002, after reviewing our operating cost structure, we initiated a cost reduction program that curtails expenditures on our discovery research activities in favor of channeling resources into accelerating preclinical development of our proprietary cells for the treatment of neural and liver disease. The program was implemented in the last quarter of 2002. Components of the program included the negotiation of a substantial reduction in operating lease rent as well as a reduction of staff and expenses.</w:t>
      </w:r>
    </w:p>
    <w:p>
      <w:pPr>
        <w:spacing w:after="0" w:line="197" w:lineRule="exact"/>
        <w:rPr>
          <w:sz w:val="20"/>
          <w:szCs w:val="20"/>
          <w:color w:val="auto"/>
        </w:rPr>
      </w:pPr>
    </w:p>
    <w:p>
      <w:pPr>
        <w:ind w:right="140" w:firstLine="220"/>
        <w:spacing w:after="0" w:line="290" w:lineRule="auto"/>
        <w:rPr>
          <w:sz w:val="20"/>
          <w:szCs w:val="20"/>
          <w:color w:val="auto"/>
        </w:rPr>
      </w:pPr>
      <w:r>
        <w:rPr>
          <w:rFonts w:ascii="Arial" w:cs="Arial" w:eastAsia="Arial" w:hAnsi="Arial"/>
          <w:sz w:val="16"/>
          <w:szCs w:val="16"/>
          <w:color w:val="auto"/>
        </w:rPr>
        <w:t>In May 2003, we reported on promising results of a pre-clinical study conducted by Drs. Aileen J. Anderson and Brian J. Cummings at the Reeve-Irvine Center at the University of California, Irvine, examining the Company’s human neural stem cell (hCNS-SC) technology as a potential means of regenerating damaged nerve and nerve fibers in patients with spinal cord injuries. In September 2003, we were awarded a one year, $342,000 Small Business Innovation Research grant from the National Institute of Neurological Disease and Stroke (NINDS), to further that work in the a continuing collaborative endeavor with the Reeve-Irvine Center faculty. In the same month, we also entered a long-term license agreement with StemCell Technologies, Inc. (“STI”), a Canadian corporation, authorizing STI to manufacture, use and sell certain proprietary mouse and rat neural stem cells, as well as culture media for all mammalian neural stem cells, for educational and research purposes worldwide.</w:t>
      </w:r>
    </w:p>
    <w:p>
      <w:pPr>
        <w:spacing w:after="0" w:line="172" w:lineRule="exact"/>
        <w:rPr>
          <w:sz w:val="20"/>
          <w:szCs w:val="20"/>
          <w:color w:val="auto"/>
        </w:rPr>
      </w:pPr>
    </w:p>
    <w:p>
      <w:pPr>
        <w:ind w:firstLine="220"/>
        <w:spacing w:after="0" w:line="294" w:lineRule="auto"/>
        <w:rPr>
          <w:sz w:val="20"/>
          <w:szCs w:val="20"/>
          <w:color w:val="auto"/>
        </w:rPr>
      </w:pPr>
      <w:r>
        <w:rPr>
          <w:rFonts w:ascii="Arial" w:cs="Arial" w:eastAsia="Arial" w:hAnsi="Arial"/>
          <w:sz w:val="16"/>
          <w:szCs w:val="16"/>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licensing payments, the initiation or termination of research collaborations, the changes in the sublease income and rental and other expenses to lease and maintain our facilities in Rhode Island and changes in the costs associated with our move to a larger facility in California. To expand and provide high quality systems and support to our research and development programs, we would need to hire more personnel, which would lead to higher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SCIENTIFIC UPDATE</w:t>
      </w:r>
    </w:p>
    <w:p>
      <w:pPr>
        <w:spacing w:after="0" w:line="225" w:lineRule="exact"/>
        <w:rPr>
          <w:sz w:val="20"/>
          <w:szCs w:val="20"/>
          <w:color w:val="auto"/>
        </w:rPr>
      </w:pPr>
    </w:p>
    <w:p>
      <w:pPr>
        <w:ind w:right="80" w:firstLine="210"/>
        <w:spacing w:after="0" w:line="306" w:lineRule="auto"/>
        <w:rPr>
          <w:sz w:val="20"/>
          <w:szCs w:val="20"/>
          <w:color w:val="auto"/>
        </w:rPr>
      </w:pPr>
      <w:r>
        <w:rPr>
          <w:rFonts w:ascii="Arial" w:cs="Arial" w:eastAsia="Arial" w:hAnsi="Arial"/>
          <w:sz w:val="15"/>
          <w:szCs w:val="15"/>
          <w:color w:val="auto"/>
        </w:rPr>
        <w:t>As previously reported, the results of preclinical studies using our human central nervous system stem cells (hCNS-SCs) in animal models of Batten Disease and Spinal Cord Injury were presented at scientific meetings during the second quarter of 2003. In each case, the results established proof of principle as to the potential use of the hCNS-SCs. The spinal cord injury study was conducted by Dr. Aileen J. Anderson and Dr. Brian J. Cummings, of the Reeve-Irvine Center at the University of California, Irvine. Injured mice transplanted with hCNS-SC showed improved motor function in quantitative tests designed to measure functional recovery from complete hind limb paralysis to normal walking, in comparison with controls. A direct link has also been made between the amount of functional recovery and the level of human cell engraftment. Additionally, the hCNS-SC does not contribute to scarring due to glial cell proliferation, which normally inhibits neuronal cell growth and recovery. Batten disease, a set of several closely related genetic lysosomal storage disorders, is caused by a deficiency of specific enzymes required for normal cell metabolism. The deficiency results in storage of toxic waste materials and the death of certain neurons. Batten Disease primarily affects infants and young children, and is fatal. In studies done at the Stanford University laboratory of Dr. William Mobley and at our own laboratories, transplantation of the hCNS-SCs into mice designed to model Batten Disease resulted in widespread engraftment, persistent production of the enzyme that is deficient in the disease, reduction in the toxic waste material and preliminary indications of improved neuronal survival. More work is certainly needed, but although these small studies in mouse models cannot be taken to assure the success of our cells in humans, we are very pleased with both of them. The results encourage us in our hope that our cells will realize their potential to treat, and even cure, these and other disorders of the central nervous system.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216"/>
        <w:spacing w:after="0" w:line="268" w:lineRule="auto"/>
        <w:rPr>
          <w:sz w:val="20"/>
          <w:szCs w:val="20"/>
          <w:color w:val="auto"/>
        </w:rPr>
      </w:pPr>
      <w:r>
        <w:rPr>
          <w:rFonts w:ascii="Arial" w:cs="Arial" w:eastAsia="Arial" w:hAnsi="Arial"/>
          <w:sz w:val="18"/>
          <w:szCs w:val="18"/>
          <w:color w:val="auto"/>
        </w:rPr>
        <w:t>We believe the following critical accounting policies affect the more significant judgments and estimates used in the preparation of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firstLine="210"/>
        <w:spacing w:after="0" w:line="286" w:lineRule="auto"/>
        <w:rPr>
          <w:sz w:val="20"/>
          <w:szCs w:val="20"/>
          <w:color w:val="auto"/>
        </w:rPr>
      </w:pPr>
      <w:r>
        <w:rPr>
          <w:rFonts w:ascii="Arial" w:cs="Arial" w:eastAsia="Arial" w:hAnsi="Arial"/>
          <w:sz w:val="16"/>
          <w:szCs w:val="16"/>
          <w:color w:val="auto"/>
        </w:rPr>
        <w:t>As permitted by the provisions of Statement of Financial Accounting Standards (“FAS”) No. 148, “Accounting for Stock-Based Compensation — Transition and Disclosure,” and Statement of Financial Accounting Standards No. 123, “Accounting for Stock-Based Compensation,” 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 Note 11 of the Notes to the Consolidated Financial Statements, included in our Annual Report on Form 10K, describes our equity compensation plans, and Note 1 of the Notes to the Condensed Consolidated Financial Statements elsewhere in this report, contains a summary of the pro forma effects to reported net loss and loss per share for the three and nine months ended September 30, 2003 and 2002 as if we had elected to recognize compensation cost based on the fair value of the options granted at grant date, as prescribed by FAS No. 123.</w:t>
      </w:r>
    </w:p>
    <w:p>
      <w:pPr>
        <w:spacing w:after="0" w:line="181" w:lineRule="exact"/>
        <w:rPr>
          <w:sz w:val="20"/>
          <w:szCs w:val="20"/>
          <w:color w:val="auto"/>
        </w:rPr>
      </w:pPr>
    </w:p>
    <w:p>
      <w:pPr>
        <w:ind w:right="100" w:firstLine="220"/>
        <w:spacing w:after="0" w:line="255" w:lineRule="auto"/>
        <w:rPr>
          <w:sz w:val="20"/>
          <w:szCs w:val="20"/>
          <w:color w:val="auto"/>
        </w:rPr>
      </w:pPr>
      <w:r>
        <w:rPr>
          <w:rFonts w:ascii="Arial" w:cs="Arial" w:eastAsia="Arial" w:hAnsi="Arial"/>
          <w:sz w:val="18"/>
          <w:szCs w:val="18"/>
          <w:color w:val="auto"/>
        </w:rPr>
        <w:t>For certain stock options granted to non-employees, the Company accounts for these grants in accordance with FAS No. 123 and Emerging Issues Task Force (“EITF”) 96-18 — accounting for equity instruments that are issued to other than employees for acquiring, or in conjunction with selling, goods or services, and accordingly, recognizes as expense the estimated fair value of such options as calculated using the Black-Scholes valuation model, and is remeasured during the service period. Fair value is determined using methodologies allowable by FAS No. 123. The cost is amortized over the vesting period of each option or the recipient’s contractual arrangement, if shorter.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140" w:firstLine="216"/>
        <w:spacing w:after="0" w:line="256" w:lineRule="auto"/>
        <w:rPr>
          <w:sz w:val="20"/>
          <w:szCs w:val="20"/>
          <w:color w:val="auto"/>
        </w:rPr>
      </w:pPr>
      <w:r>
        <w:rPr>
          <w:rFonts w:ascii="Arial" w:cs="Arial" w:eastAsia="Arial" w:hAnsi="Arial"/>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2003 and 2002</w:t>
      </w:r>
    </w:p>
    <w:p>
      <w:pPr>
        <w:spacing w:after="0" w:line="231"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color w:val="auto"/>
        </w:rPr>
        <w:t>For the three months ended September 30, 2003, revenue from grants and licensing agreements totaled approximately $33,000, which includes $30,000 that is part of the $342,000 Small Business Innovation Research grant from the National Institute of Neurological Disease and Stroke, and $3,000 in licensing revenue. For the three months ended September 30, 2002, revenue from grants and licensing agreements totaled approximately $89,000, which includes $32,000 that was part of the grant awarded by the National Institutes of Health’s Small Business Innovation Research (SBIR) office, now concluded, $56,000 that is a part of the grant awarded by the National Institute of Diabetes &amp; Digestive &amp; Kidney Disorders of the National Institutes of Health, and $1,000 in licensing revenue. The Company does not intend to draw further funds from the National Institute of Diabetes &amp; Digestive &amp; Kidney Disorders grant since it will no longer pursue the particular research it covered.</w:t>
      </w:r>
    </w:p>
    <w:p>
      <w:pPr>
        <w:spacing w:after="0" w:line="172" w:lineRule="exact"/>
        <w:rPr>
          <w:sz w:val="20"/>
          <w:szCs w:val="20"/>
          <w:color w:val="auto"/>
        </w:rPr>
      </w:pPr>
    </w:p>
    <w:p>
      <w:pPr>
        <w:ind w:right="320" w:firstLine="220"/>
        <w:spacing w:after="0" w:line="259" w:lineRule="auto"/>
        <w:rPr>
          <w:sz w:val="20"/>
          <w:szCs w:val="20"/>
          <w:color w:val="auto"/>
        </w:rPr>
      </w:pPr>
      <w:r>
        <w:rPr>
          <w:rFonts w:ascii="Arial" w:cs="Arial" w:eastAsia="Arial" w:hAnsi="Arial"/>
          <w:sz w:val="18"/>
          <w:szCs w:val="18"/>
          <w:color w:val="auto"/>
        </w:rPr>
        <w:t>Research and development expenses totaled $1,444,000 for the three months ended September 30, 2003, compared with $1,873,000 for the same period in 2002. The decrease of $429,000 or approximately 23% from 2002 to 2003 was primarily attributable to the effect of a reduction in rent expense allocated to research and development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a result of an amendment to the lease on our current facilities in California. On December 19, 2002 the Company negotiated an amendment to the lease, which resulted in reducing the average rent per year over the term of the lease from approximately $3.15 million to $2.1 million. The decrease was also partly attributable to the effect of a cost reduction program initiated in September 2002, which resulted in a reduction of our workforce and other operating expenses. At September 30, 2003, we had twenty full-time employees working in research and development and laboratory support services as compared to twenty-eight at September 30, 2002.The decrease in expenses was partially offset by the effect of a higher valuation of non-qualified stock options on compensation cost for the three months ended September 30, 2003 as compared to the same period in 2002.</w:t>
      </w:r>
    </w:p>
    <w:p>
      <w:pPr>
        <w:spacing w:after="0" w:line="174"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General and administrative expenses were $1,007,000 for the three months ended September 30, 2003, compared with $892,000 for the same period in 2002. The increase of $115,000 or 13%, from 2002 to 2003 was primarily attributable to the effect of an increase in depreciation expense on assets related to our Rhode Island facilities. The costs of maintaining these facilities are included in our general and administrative expenses. In 2002 these assets were classified as held for sale and no depreciation expense was recorded for that year. At December 31,2002, the criteria under FAS No. 144 for classifying our long-lived assets as held for sale were not met and accordingly, such assets were reclassified and depreciation of these assets resumed in 2003. Even though it is our intent to dispose of these facilities at the earliest possible time, we cannot determine with certainty a fixed date by which such disposal will occur. The increase in depreciation expense was partially offset by the cost reduction program initiated in September 2002, and a reduction in rent expense as a result of an amendment to the lease on our current facilities in California</w:t>
      </w:r>
    </w:p>
    <w:p>
      <w:pPr>
        <w:spacing w:after="0" w:line="172" w:lineRule="exact"/>
        <w:rPr>
          <w:sz w:val="20"/>
          <w:szCs w:val="20"/>
          <w:color w:val="auto"/>
        </w:rPr>
      </w:pPr>
    </w:p>
    <w:p>
      <w:pPr>
        <w:ind w:right="100" w:firstLine="220"/>
        <w:spacing w:after="0" w:line="306" w:lineRule="auto"/>
        <w:rPr>
          <w:sz w:val="20"/>
          <w:szCs w:val="20"/>
          <w:color w:val="auto"/>
        </w:rPr>
      </w:pPr>
      <w:r>
        <w:rPr>
          <w:rFonts w:ascii="Arial" w:cs="Arial" w:eastAsia="Arial" w:hAnsi="Arial"/>
          <w:sz w:val="16"/>
          <w:szCs w:val="16"/>
          <w:color w:val="auto"/>
        </w:rPr>
        <w:t>Interest income for the three months ended September 30, 2003 and 2002 was $13,000 and $30,000 respectively. The decrease in interest income in 2003 was attributable to lower average investment balance. Interest expense for the three months ended September 30, 2003 and 2002 was $50,000 and $55,000 respectively. The decrease in interest expense in 2003 was attributable to lower outstanding debt and capital lease balances in 2003 compared to 2002.</w:t>
      </w:r>
    </w:p>
    <w:p>
      <w:pPr>
        <w:spacing w:after="0" w:line="161" w:lineRule="exact"/>
        <w:rPr>
          <w:sz w:val="20"/>
          <w:szCs w:val="20"/>
          <w:color w:val="auto"/>
        </w:rPr>
      </w:pPr>
    </w:p>
    <w:p>
      <w:pPr>
        <w:ind w:right="160" w:firstLine="220"/>
        <w:spacing w:after="0" w:line="259" w:lineRule="auto"/>
        <w:rPr>
          <w:sz w:val="20"/>
          <w:szCs w:val="20"/>
          <w:color w:val="auto"/>
        </w:rPr>
      </w:pPr>
      <w:r>
        <w:rPr>
          <w:rFonts w:ascii="Arial" w:cs="Arial" w:eastAsia="Arial" w:hAnsi="Arial"/>
          <w:sz w:val="18"/>
          <w:szCs w:val="18"/>
          <w:color w:val="auto"/>
        </w:rPr>
        <w:t>For the three months ended September 30, 2003 and 2002, we recorded deemed dividends of $170,000 and $320,000 respectively. The deemed dividends are related to the 3% Cumulative Convertible Preferred Stock which includes the accretion of common stock warrants, the beneficial conversion feature and the related issuance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2003 and 2002</w:t>
      </w:r>
    </w:p>
    <w:p>
      <w:pPr>
        <w:spacing w:after="0" w:line="231" w:lineRule="exact"/>
        <w:rPr>
          <w:sz w:val="20"/>
          <w:szCs w:val="20"/>
          <w:color w:val="auto"/>
        </w:rPr>
      </w:pPr>
    </w:p>
    <w:p>
      <w:pPr>
        <w:ind w:right="60" w:firstLine="220"/>
        <w:spacing w:after="0" w:line="289" w:lineRule="auto"/>
        <w:rPr>
          <w:sz w:val="20"/>
          <w:szCs w:val="20"/>
          <w:color w:val="auto"/>
        </w:rPr>
      </w:pPr>
      <w:r>
        <w:rPr>
          <w:rFonts w:ascii="Arial" w:cs="Arial" w:eastAsia="Arial" w:hAnsi="Arial"/>
          <w:sz w:val="16"/>
          <w:szCs w:val="16"/>
          <w:color w:val="auto"/>
        </w:rPr>
        <w:t>For the nine months ended September 30, 2003, revenue from grants and licensing agreements totaled approximately $152,000, which includes $112,000 that was a part of the grant awarded by the National Institute of Diabetes &amp; Digestive &amp; Kidney Disorders of the National Institutes of Health, $30,000 that is part of the $342,000 Small Business Innovation Research grant from the National Institute of Neurological Disease and Stroke and $10,000 in licensing revenue. For the nine months ended September 30, 2002, revenue from grants and licensing agreements totaled approximately $326,000, which includes $119,000 that was a part of the grant awarded by the National Institutes of Health’s Small Business Innovation Research (SBIR) office, now concluded, $169,000 that was a part of the grant awarded by the National Institute of Diabetes &amp; Digestive &amp; Kidney Disorders of the National Institutes of Health and $38,000 in licensing revenue. The Company does not intend to draw further funds from the National Institute of Diabetes &amp; Digestive &amp; Kidney Disorders grant since it will no longer pursue the particular research it covered.</w:t>
      </w:r>
    </w:p>
    <w:p>
      <w:pPr>
        <w:spacing w:after="0" w:line="172" w:lineRule="exact"/>
        <w:rPr>
          <w:sz w:val="20"/>
          <w:szCs w:val="20"/>
          <w:color w:val="auto"/>
        </w:rPr>
      </w:pPr>
    </w:p>
    <w:p>
      <w:pPr>
        <w:ind w:right="140" w:firstLine="220"/>
        <w:spacing w:after="0" w:line="291" w:lineRule="auto"/>
        <w:rPr>
          <w:sz w:val="20"/>
          <w:szCs w:val="20"/>
          <w:color w:val="auto"/>
        </w:rPr>
      </w:pPr>
      <w:r>
        <w:rPr>
          <w:rFonts w:ascii="Arial" w:cs="Arial" w:eastAsia="Arial" w:hAnsi="Arial"/>
          <w:sz w:val="16"/>
          <w:szCs w:val="16"/>
          <w:color w:val="auto"/>
        </w:rPr>
        <w:t>Research and development expenses totaled $4,524,000 for the nine months ended September 30, 2003, compared with $5,525,000 for the same period in 2002. The decrease of $1,001,000 or approximately 18% from 2002 to 2003 was primarily attributable to the effect of a reduction in rent expense allocated to research and development in 2002 as a result of an amendment to the lease on our current facilities in California. The decrease was also partly attributable to the effect of a cost reduction program initiated in September 2002. The decrease in expenses was partially offset by the effect of a higher valuation of non-qualified stock options on compensation cost for the nine months ended September 30, 2003 as compared to the same period in 2002 and by the forgiveness of a housing loan in accordance with its terms, that had been made to a non-officer employee.</w:t>
      </w:r>
    </w:p>
    <w:p>
      <w:pPr>
        <w:spacing w:after="0" w:line="174" w:lineRule="exact"/>
        <w:rPr>
          <w:sz w:val="20"/>
          <w:szCs w:val="20"/>
          <w:color w:val="auto"/>
        </w:rPr>
      </w:pPr>
    </w:p>
    <w:p>
      <w:pPr>
        <w:ind w:right="60" w:firstLine="220"/>
        <w:spacing w:after="0" w:line="268" w:lineRule="auto"/>
        <w:rPr>
          <w:sz w:val="20"/>
          <w:szCs w:val="20"/>
          <w:color w:val="auto"/>
        </w:rPr>
      </w:pPr>
      <w:r>
        <w:rPr>
          <w:rFonts w:ascii="Arial" w:cs="Arial" w:eastAsia="Arial" w:hAnsi="Arial"/>
          <w:sz w:val="18"/>
          <w:szCs w:val="18"/>
          <w:color w:val="auto"/>
        </w:rPr>
        <w:t>General and administrative expenses were $3,079,000 for the nine months ended September 30, 2003, compared with $3,283,000 for the same period in 2002. The decrease of $204,000 or 6%, from 2002 to 2003 was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primarily attributable to the effect of the cost reduction program initiated in September 2002 and a reduction in rent expense allocated to general and administrative as a result of an amendment to the lease on our current facilities in California. The decrease was partially offset by an increase in depreciation expense on assets related to our Rhode Island facilities. The costs of maintaining these facilities are included in our general and administrative expenses. In 2002 these assets were classified as held for sale and no depreciation expense was recorded for that year. At December 31,2002, the criteria under FAS No. 144 for classifying our long-lived assets as held for sale were not met and accordingly, such assets were reclassified and depreciation of these assets resumed in 2003.</w:t>
      </w:r>
    </w:p>
    <w:p>
      <w:pPr>
        <w:spacing w:after="0" w:line="154" w:lineRule="exact"/>
        <w:rPr>
          <w:sz w:val="20"/>
          <w:szCs w:val="20"/>
          <w:color w:val="auto"/>
        </w:rPr>
      </w:pPr>
    </w:p>
    <w:p>
      <w:pPr>
        <w:ind w:right="160" w:firstLine="220"/>
        <w:spacing w:after="0" w:line="306" w:lineRule="auto"/>
        <w:rPr>
          <w:sz w:val="20"/>
          <w:szCs w:val="20"/>
          <w:color w:val="auto"/>
        </w:rPr>
      </w:pPr>
      <w:r>
        <w:rPr>
          <w:rFonts w:ascii="Arial" w:cs="Arial" w:eastAsia="Arial" w:hAnsi="Arial"/>
          <w:sz w:val="16"/>
          <w:szCs w:val="16"/>
          <w:color w:val="auto"/>
        </w:rPr>
        <w:t>Interest income for the nine months ended September 30, 2003 and 2002 was $24,000 and $90,000 respectively. The decrease in interest income in 2003 was attributable to lower average investment balance. Interest expense for the nine months ended September 30, 2003 and 2002 was $158,000 and $174,000 respectively. The decrease in interest expense in 2003 was attributable to lower outstanding debt and capital lease balances in 2003 compared to 2002.</w:t>
      </w:r>
    </w:p>
    <w:p>
      <w:pPr>
        <w:spacing w:after="0" w:line="161" w:lineRule="exact"/>
        <w:rPr>
          <w:sz w:val="20"/>
          <w:szCs w:val="20"/>
          <w:color w:val="auto"/>
        </w:rPr>
      </w:pPr>
    </w:p>
    <w:p>
      <w:pPr>
        <w:ind w:right="80" w:firstLine="220"/>
        <w:spacing w:after="0" w:line="254" w:lineRule="auto"/>
        <w:rPr>
          <w:sz w:val="20"/>
          <w:szCs w:val="20"/>
          <w:color w:val="auto"/>
        </w:rPr>
      </w:pPr>
      <w:r>
        <w:rPr>
          <w:rFonts w:ascii="Arial" w:cs="Arial" w:eastAsia="Arial" w:hAnsi="Arial"/>
          <w:sz w:val="18"/>
          <w:szCs w:val="18"/>
          <w:color w:val="auto"/>
        </w:rPr>
        <w:t>For the nine months ended September 30, 2003 and 2002, we recorded a deemed dividend of $1,659,000 and $960,000 respectively, related to the 3% Cumulative Convertible Preferred Stock which includes the accretion of common stock warrants, the beneficial conversion feature and the related issuance costs. On April 9, 2003, we agreed with Riverview to reduce the conversion price to $0.80 per share for its 3% Cumulative Convertible Preferred Stock for a period of 20 trading days. Riverview agreed that it would immediately convert half of its remaining holding, 2,000 shares with a face value of $2 million, at the reduced price. As a result of the change in the conversion price, we recorded a deemed dividend to preferred shareholders of approximately $1,000,000 in the second quarter of 2003.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340" w:firstLine="220"/>
        <w:spacing w:after="0" w:line="268"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86" w:lineRule="exact"/>
        <w:rPr>
          <w:sz w:val="20"/>
          <w:szCs w:val="20"/>
          <w:color w:val="auto"/>
        </w:rPr>
      </w:pPr>
    </w:p>
    <w:p>
      <w:pPr>
        <w:ind w:right="440" w:firstLine="216"/>
        <w:spacing w:after="0" w:line="335" w:lineRule="auto"/>
        <w:rPr>
          <w:sz w:val="20"/>
          <w:szCs w:val="20"/>
          <w:color w:val="auto"/>
        </w:rPr>
      </w:pPr>
      <w:r>
        <w:rPr>
          <w:rFonts w:ascii="Arial" w:cs="Arial" w:eastAsia="Arial" w:hAnsi="Arial"/>
          <w:sz w:val="15"/>
          <w:szCs w:val="15"/>
          <w:color w:val="auto"/>
        </w:rPr>
        <w:t>We had cash and cash equivalents totaling $4,170,000 at September 30, 2003. Cash equivalents are invested in US Treasuries with maturities of less than 90 days. We used $6,556,000 and $7,638,000 of cash for the nine months ended September 30, 2003 and 2002 respectively, in our operating activities. The decrease in cash used in 2003 in comparison to the same period in 2002 was a result of the effect of a cost reduction program initiated in September 2002.</w:t>
      </w:r>
    </w:p>
    <w:p>
      <w:pPr>
        <w:spacing w:after="0" w:line="142"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On May 10, 2001, we entered into a common stock purchase agreement with Sativum Investments Limited for the potential future issuance and sale of up to $30,000,000 of our common stock, subject to restrictions and other obligations.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We are limited with respect to how often we can exercise a draw down and the amount of each draw down. The restrictions include functions of the trading volume and average price of the shares during periods prior to the draw down. As a result of these and other restrictions, this facility cannot be used to provide significant funding for the Company unless and until the underlying market conditions for our stock improve. We drew down $4,000,000, $118,000 and $441,000 before applicable fees in 2001, 2002 and the nine-month period ended September 30, 2003 respectively. The equity line terminates in December 2003.</w:t>
      </w:r>
    </w:p>
    <w:p>
      <w:pPr>
        <w:spacing w:after="0" w:line="172"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color w:val="auto"/>
        </w:rPr>
        <w:t>On December 4, 2001, we issued 5,000 shares of 3% Cumulative Convertible Preferred Stock to The Riverview Group, LLC, (“Riverview”), a wholly owned subsidiary of Millennium Partners. We received total proceeds of $4,727,515 net of applicable fees and other associated costs. This preferred stock is convertible into shares of our common stock at a current conversion price of $2.00 per share of common stock. There is a mandatory redemption provision in the preferred stock under which any preferred stock remaining on December 4, 2003, is redeemed on that date. The conversion price may be below the trading market price of the stock at the time of conversion. On April 9, 2003, we agreed with Riverview to reduce the conversion price to $0.80 per share for 20 Trading Days. Riverview agreed that it would immediately convert half of its holding, 2,000 shares, with a face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value of $2 million, at the reduced price. Riverview received 2,521,042 shares of common stock upon conversion, including accrued and unpaid dividends. This transaction relieves us of the obligation to redeem the converted shares for cash at their face value on December 4, 2003. As of September 30, 2003, 2,000 shares of the 3% Cumulative Convertible Preferred Stock issued to Riverview are still outstanding.</w:t>
      </w:r>
    </w:p>
    <w:p>
      <w:pPr>
        <w:spacing w:after="0" w:line="194" w:lineRule="exact"/>
        <w:rPr>
          <w:sz w:val="20"/>
          <w:szCs w:val="20"/>
          <w:color w:val="auto"/>
        </w:rPr>
      </w:pPr>
    </w:p>
    <w:p>
      <w:pPr>
        <w:ind w:right="20" w:firstLine="220"/>
        <w:spacing w:after="0" w:line="289" w:lineRule="auto"/>
        <w:rPr>
          <w:sz w:val="20"/>
          <w:szCs w:val="20"/>
          <w:color w:val="auto"/>
        </w:rPr>
      </w:pPr>
      <w:r>
        <w:rPr>
          <w:rFonts w:ascii="Arial" w:cs="Arial" w:eastAsia="Arial" w:hAnsi="Arial"/>
          <w:sz w:val="16"/>
          <w:szCs w:val="16"/>
          <w:color w:val="auto"/>
        </w:rPr>
        <w:t>Pursuant to a Stock Purchase Agreement dated May 7, 2003, on May 15, 2003, we issued 4 million shares of our common stock to Riverview for $6.5 million, or $1.625 per share. On the date of the agreement, the price was above the trading price of our common stock, which closed at $1.43 per share on that date. We also agreed to issue a 2-year warrant to Riverview to purchase 1,898,000 shares of common stock at $1.50 per share. The exercise price is subject to adjustment for stock splits, dividends, distributions, reclassifications and similar events. The exercise price may be below the trading market price at the time of the exercise. In the event that certain conditions are met, including the closing sale price of the Common Stock remaining at or above $2.50 per share for 10 consecutive trading days, we may require Riverview to exercise the warrant with respect to any remaining warrant shares or relinquish the right to do so. We agreed to register the resale of the purchased shares and the shares to be issued on exercise of the warrants. As a result of this transaction, we expect our capital resources to be sufficient to fund our operations into 2004.</w:t>
      </w:r>
    </w:p>
    <w:p>
      <w:pPr>
        <w:spacing w:after="0" w:line="172" w:lineRule="exact"/>
        <w:rPr>
          <w:sz w:val="20"/>
          <w:szCs w:val="20"/>
          <w:color w:val="auto"/>
        </w:rPr>
      </w:pPr>
    </w:p>
    <w:p>
      <w:pPr>
        <w:ind w:right="80" w:firstLine="216"/>
        <w:spacing w:after="0" w:line="256"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including lease payments and operating costs of approximately $1,000,000 for 2003, net of subtenant income of $788,000.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future contractual cash obligations (excluding interest and sub-lease income):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2008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7"/>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beyond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EEEEEE"/>
          </w:tcPr>
          <w:p>
            <w:pPr>
              <w:spacing w:after="0"/>
              <w:rPr>
                <w:sz w:val="20"/>
                <w:szCs w:val="20"/>
                <w:color w:val="auto"/>
              </w:rPr>
            </w:pPr>
            <w:r>
              <w:rPr>
                <w:rFonts w:ascii="Arial" w:cs="Arial" w:eastAsia="Arial" w:hAnsi="Arial"/>
                <w:sz w:val="18"/>
                <w:szCs w:val="18"/>
                <w:color w:val="auto"/>
                <w:w w:val="96"/>
              </w:rPr>
              <w:t>Capital lease payments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3,258,922</w:t>
            </w:r>
          </w:p>
        </w:tc>
        <w:tc>
          <w:tcPr>
            <w:tcW w:w="2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109,046</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425,713</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412,587</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401,289</w:t>
            </w:r>
          </w:p>
        </w:tc>
        <w:tc>
          <w:tcPr>
            <w:tcW w:w="2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330,643</w:t>
            </w:r>
          </w:p>
        </w:tc>
        <w:tc>
          <w:tcPr>
            <w:tcW w:w="260" w:type="dxa"/>
            <w:vAlign w:val="bottom"/>
            <w:shd w:val="clear" w:color="auto" w:fill="EEEEEE"/>
          </w:tcPr>
          <w:p>
            <w:pPr>
              <w:spacing w:after="0"/>
              <w:rPr>
                <w:sz w:val="18"/>
                <w:szCs w:val="18"/>
                <w:color w:val="auto"/>
              </w:rPr>
            </w:pPr>
          </w:p>
        </w:tc>
        <w:tc>
          <w:tcPr>
            <w:tcW w:w="13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$1,579,644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Operating lease</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15,321,647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722,199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2,947,335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3,007,630</w:t>
            </w:r>
          </w:p>
        </w:tc>
        <w:tc>
          <w:tcPr>
            <w:tcW w:w="1380" w:type="dxa"/>
            <w:vAlign w:val="bottom"/>
            <w:gridSpan w:val="4"/>
          </w:tcPr>
          <w:p>
            <w:pPr>
              <w:jc w:val="right"/>
              <w:ind w:right="260"/>
              <w:spacing w:after="0"/>
              <w:rPr>
                <w:sz w:val="20"/>
                <w:szCs w:val="20"/>
                <w:color w:val="auto"/>
              </w:rPr>
            </w:pPr>
            <w:r>
              <w:rPr>
                <w:rFonts w:ascii="Arial" w:cs="Arial" w:eastAsia="Arial" w:hAnsi="Arial"/>
                <w:sz w:val="18"/>
                <w:szCs w:val="18"/>
                <w:color w:val="auto"/>
              </w:rPr>
              <w:t>1,115,186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937,500</w:t>
            </w:r>
          </w:p>
        </w:tc>
        <w:tc>
          <w:tcPr>
            <w:tcW w:w="260" w:type="dxa"/>
            <w:vAlign w:val="bottom"/>
          </w:tcPr>
          <w:p>
            <w:pPr>
              <w:spacing w:after="0"/>
              <w:rPr>
                <w:sz w:val="19"/>
                <w:szCs w:val="19"/>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8"/>
                <w:szCs w:val="18"/>
                <w:color w:val="auto"/>
              </w:rPr>
              <w:t>6,591,797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shd w:val="clear" w:color="auto" w:fill="EEEEEE"/>
          </w:tcPr>
          <w:p>
            <w:pPr>
              <w:spacing w:after="0"/>
              <w:rPr>
                <w:sz w:val="20"/>
                <w:szCs w:val="20"/>
                <w:color w:val="auto"/>
              </w:rPr>
            </w:pPr>
            <w:r>
              <w:rPr>
                <w:rFonts w:ascii="Arial" w:cs="Arial" w:eastAsia="Arial" w:hAnsi="Arial"/>
                <w:sz w:val="18"/>
                <w:szCs w:val="18"/>
                <w:color w:val="auto"/>
              </w:rPr>
              <w:t>Mandatorily</w:t>
            </w: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redeemable, 3%</w:t>
            </w: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cumulative</w:t>
            </w: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convertible preferred</w:t>
            </w: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w:t>
            </w:r>
          </w:p>
        </w:tc>
        <w:tc>
          <w:tcPr>
            <w:tcW w:w="280" w:type="dxa"/>
            <w:vAlign w:val="bottom"/>
            <w:shd w:val="clear" w:color="auto" w:fill="EEEEEE"/>
          </w:tcPr>
          <w:p>
            <w:pPr>
              <w:spacing w:after="0"/>
              <w:rPr>
                <w:sz w:val="19"/>
                <w:szCs w:val="19"/>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2,000,000</w:t>
            </w:r>
          </w:p>
        </w:tc>
        <w:tc>
          <w:tcPr>
            <w:tcW w:w="2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2,000,000</w:t>
            </w: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840" w:type="dxa"/>
            <w:vAlign w:val="bottom"/>
            <w:gridSpan w:val="2"/>
            <w:vMerge w:val="restart"/>
          </w:tcPr>
          <w:p>
            <w:pPr>
              <w:spacing w:after="0"/>
              <w:rPr>
                <w:sz w:val="20"/>
                <w:szCs w:val="20"/>
                <w:color w:val="auto"/>
              </w:rPr>
            </w:pPr>
            <w:r>
              <w:rPr>
                <w:rFonts w:ascii="Arial" w:cs="Arial" w:eastAsia="Arial" w:hAnsi="Arial"/>
                <w:sz w:val="18"/>
                <w:szCs w:val="18"/>
                <w:color w:val="auto"/>
              </w:rPr>
              <w:t>Total contractual cash</w:t>
            </w: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20,580,569</w:t>
            </w:r>
          </w:p>
        </w:tc>
        <w:tc>
          <w:tcPr>
            <w:tcW w:w="2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2,831,245</w:t>
            </w:r>
          </w:p>
        </w:tc>
        <w:tc>
          <w:tcPr>
            <w:tcW w:w="2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3,373,048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3,420,217</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$1,516,475</w:t>
            </w:r>
          </w:p>
        </w:tc>
        <w:tc>
          <w:tcPr>
            <w:tcW w:w="2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1,268,143</w:t>
            </w:r>
          </w:p>
        </w:tc>
        <w:tc>
          <w:tcPr>
            <w:tcW w:w="260" w:type="dxa"/>
            <w:vAlign w:val="bottom"/>
          </w:tcPr>
          <w:p>
            <w:pPr>
              <w:spacing w:after="0"/>
              <w:rPr>
                <w:sz w:val="19"/>
                <w:szCs w:val="19"/>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8"/>
                <w:szCs w:val="18"/>
                <w:color w:val="auto"/>
              </w:rPr>
              <w:t>$8,171,441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could be in the form of equity at the option of the preferred stockholder</w:t>
      </w:r>
    </w:p>
    <w:p>
      <w:pPr>
        <w:spacing w:after="0" w:line="185" w:lineRule="exact"/>
        <w:rPr>
          <w:sz w:val="20"/>
          <w:szCs w:val="20"/>
          <w:color w:val="auto"/>
        </w:rPr>
      </w:pPr>
    </w:p>
    <w:p>
      <w:pPr>
        <w:ind w:firstLine="216"/>
        <w:spacing w:after="0" w:line="286" w:lineRule="auto"/>
        <w:rPr>
          <w:sz w:val="20"/>
          <w:szCs w:val="20"/>
          <w:color w:val="auto"/>
        </w:rPr>
      </w:pPr>
      <w:r>
        <w:rPr>
          <w:rFonts w:ascii="Arial" w:cs="Arial" w:eastAsia="Arial" w:hAnsi="Arial"/>
          <w:sz w:val="16"/>
          <w:szCs w:val="16"/>
          <w:color w:val="auto"/>
        </w:rPr>
        <w:t>We have incurred significant operating losses and negative cash flows since inception. We have not achieved profitability and may not be able to realize sufficient revenues to achieve or sustain profitability in the future. Although we have taken actions to reduce our expense rates over the last several quarters, we do not expect to be profitable in the next several years, but rather expect to incur additional operating losses. We have very limited liquidity and capital resources and must quickly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 Unless we obtain additional capital to sustain us on a longer-term basis, these conditions may raise doubt about our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firstLine="216"/>
        <w:spacing w:after="0" w:line="254" w:lineRule="auto"/>
        <w:rPr>
          <w:sz w:val="20"/>
          <w:szCs w:val="20"/>
          <w:color w:val="auto"/>
        </w:rPr>
      </w:pPr>
      <w:r>
        <w:rPr>
          <w:rFonts w:ascii="Arial" w:cs="Arial" w:eastAsia="Arial" w:hAnsi="Arial"/>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We currently expect our capital resources to be sufficient to fund our operations into 2004. Lack of necessary funds may require us to delay, scale back or eliminate some or all of our research and product development programs and/or our capital expenditures or to license our potential products or technologies to third parties.</w:t>
      </w:r>
    </w:p>
    <w:p>
      <w:pPr>
        <w:spacing w:after="0" w:line="158" w:lineRule="exact"/>
        <w:rPr>
          <w:sz w:val="20"/>
          <w:szCs w:val="20"/>
          <w:color w:val="auto"/>
        </w:rPr>
      </w:pPr>
    </w:p>
    <w:p>
      <w:pPr>
        <w:ind w:right="20" w:firstLine="216"/>
        <w:spacing w:after="0" w:line="332" w:lineRule="auto"/>
        <w:rPr>
          <w:sz w:val="20"/>
          <w:szCs w:val="20"/>
          <w:color w:val="auto"/>
        </w:rPr>
      </w:pPr>
      <w:r>
        <w:rPr>
          <w:rFonts w:ascii="Arial" w:cs="Arial" w:eastAsia="Arial" w:hAnsi="Arial"/>
          <w:sz w:val="16"/>
          <w:szCs w:val="16"/>
          <w:color w:val="auto"/>
        </w:rPr>
        <w:t>With the exception of operating leases for facilities,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 Issues</w:t>
      </w:r>
    </w:p>
    <w:p>
      <w:pPr>
        <w:spacing w:after="0" w:line="191" w:lineRule="exact"/>
        <w:rPr>
          <w:sz w:val="20"/>
          <w:szCs w:val="20"/>
          <w:color w:val="auto"/>
        </w:rPr>
      </w:pPr>
    </w:p>
    <w:p>
      <w:pPr>
        <w:ind w:right="100" w:firstLine="216"/>
        <w:spacing w:after="0" w:line="291" w:lineRule="auto"/>
        <w:rPr>
          <w:sz w:val="20"/>
          <w:szCs w:val="20"/>
          <w:color w:val="auto"/>
        </w:rPr>
      </w:pPr>
      <w:r>
        <w:rPr>
          <w:rFonts w:ascii="Arial" w:cs="Arial" w:eastAsia="Arial" w:hAnsi="Arial"/>
          <w:sz w:val="16"/>
          <w:szCs w:val="16"/>
          <w:color w:val="auto"/>
        </w:rPr>
        <w:t>The Nasdaq Stock Market, Inc. (Nasdaq) may delist our common stock from The Nasdaq SmallCap Market (the SmallCap Market) if we fail to meet their continued listing requirements. The delisting of our common stock from the SmallCap Market (should we fail to meet its continued listing requirements) could adversely affect the market price and market liquidity of our common stock. If we were delisted from the SmallCap Market, trading, if any, of our common stock would thereafter have to be conducted in the over-the-counter market on the “pink sheets” or, if available, the NASD’s “Electronic Bulletin Board.” In such an event, an investor could find it more difficult to dispose of, or to obtain accurate quotations as to the market value of, our common stock, which could further severely limit the market liquidity of our common stock and the ability of investors to trade our common stock.</w:t>
      </w:r>
    </w:p>
    <w:p>
      <w:pPr>
        <w:spacing w:after="0" w:line="134" w:lineRule="exact"/>
        <w:rPr>
          <w:sz w:val="20"/>
          <w:szCs w:val="20"/>
          <w:color w:val="auto"/>
        </w:rPr>
      </w:pPr>
    </w:p>
    <w:p>
      <w:pPr>
        <w:ind w:right="120" w:firstLine="220"/>
        <w:spacing w:after="0" w:line="306" w:lineRule="auto"/>
        <w:rPr>
          <w:sz w:val="20"/>
          <w:szCs w:val="20"/>
          <w:color w:val="auto"/>
        </w:rPr>
      </w:pPr>
      <w:r>
        <w:rPr>
          <w:rFonts w:ascii="Arial" w:cs="Arial" w:eastAsia="Arial" w:hAnsi="Arial"/>
          <w:sz w:val="16"/>
          <w:szCs w:val="16"/>
          <w:color w:val="auto"/>
        </w:rPr>
        <w:t>If we are delisted from, or trading in our stock is suspended on, the SmallCap Market or other exchange or principal market for our Common Stock, under certain circumstances we would then be in breach of certain registration rights agreements that we entered into with certain investors and may be required to pay liquidated or other damages to those investors. Under these circumstances, we also would not be able to draw down on our equity line of credit.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 significant changes in our quantitative and qualitative disclosures from the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ind w:firstLine="220"/>
        <w:spacing w:after="0" w:line="310" w:lineRule="auto"/>
        <w:rPr>
          <w:sz w:val="20"/>
          <w:szCs w:val="20"/>
          <w:color w:val="auto"/>
        </w:rPr>
      </w:pPr>
      <w:r>
        <w:rPr>
          <w:rFonts w:ascii="Arial" w:cs="Arial" w:eastAsia="Arial" w:hAnsi="Arial"/>
          <w:sz w:val="15"/>
          <w:szCs w:val="15"/>
          <w:color w:val="auto"/>
        </w:rPr>
        <w:t>In response to the requirement of the Sarbanes-Oxley Act of 2002, as of the end of the period covered by this report, our chief executive officer and (acting)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acting chief financial officer have concluded that the Company’s disclosure controls and procedures are effective. During the most recent quarter, there were no changes in internal controls over financial reporting that occurred during the period covered by this report that have materially affected, or are reasonably likely to materially affect, these controls of the Company, and no corrective actions were required or undertaken.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PART II –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CHANGES IN SECURITIES AND USE OF PROCEEDS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DEFAULTS UPON SENIOR SECURITIES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SUBMISSION OF MATTERS TO A VOTE OF SECURITY HOLDERS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2" w:right="27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EXHIBITS AND REPORTS ON FORM 8-K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79" w:lineRule="exact"/>
        <w:rPr>
          <w:sz w:val="20"/>
          <w:szCs w:val="20"/>
          <w:color w:val="auto"/>
        </w:rPr>
      </w:pPr>
    </w:p>
    <w:p>
      <w:pPr>
        <w:ind w:right="3860"/>
        <w:spacing w:after="0" w:line="510"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George Koshy under Section 302 of the Sarbanes-Oxley Act of 2002</w:t>
      </w:r>
    </w:p>
    <w:p>
      <w:pPr>
        <w:spacing w:after="0" w:line="1" w:lineRule="exact"/>
        <w:rPr>
          <w:sz w:val="20"/>
          <w:szCs w:val="20"/>
          <w:color w:val="auto"/>
        </w:rPr>
      </w:pPr>
    </w:p>
    <w:p>
      <w:pPr>
        <w:spacing w:after="0" w:line="456"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 2002</w:t>
      </w:r>
      <w:r>
        <w:rPr>
          <w:rFonts w:ascii="Arial" w:cs="Arial" w:eastAsia="Arial" w:hAnsi="Arial"/>
          <w:sz w:val="18"/>
          <w:szCs w:val="18"/>
          <w:b w:val="1"/>
          <w:bCs w:val="1"/>
          <w:color w:val="auto"/>
        </w:rPr>
        <w:t xml:space="preserve"> Exhibit 32.2 - </w:t>
      </w:r>
      <w:r>
        <w:rPr>
          <w:rFonts w:ascii="Arial" w:cs="Arial" w:eastAsia="Arial" w:hAnsi="Arial"/>
          <w:sz w:val="18"/>
          <w:szCs w:val="18"/>
          <w:color w:val="auto"/>
        </w:rPr>
        <w:t>Certification of George Koshy Pursuant to 18 U.S.C. Section 1350, As Adopted Pursuant to Section 906 of the Sarbanes-Oxley Act of 2002</w:t>
      </w:r>
      <w:r>
        <w:rPr>
          <w:rFonts w:ascii="Arial" w:cs="Arial" w:eastAsia="Arial" w:hAnsi="Arial"/>
          <w:sz w:val="18"/>
          <w:szCs w:val="18"/>
          <w:b w:val="1"/>
          <w:bCs w:val="1"/>
          <w:color w:val="auto"/>
        </w:rPr>
        <w:t xml:space="preserve"> (</w:t>
      </w:r>
      <w:r>
        <w:rPr>
          <w:rFonts w:ascii="Arial" w:cs="Arial" w:eastAsia="Arial" w:hAnsi="Arial"/>
          <w:sz w:val="18"/>
          <w:szCs w:val="18"/>
          <w:color w:val="auto"/>
        </w:rPr>
        <w:t>b) REPORTS ON FORM 8-K</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372" w:right="59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SIGNATURE</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71120</wp:posOffset>
            </wp:positionV>
            <wp:extent cx="1903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(name of Registrant)</w:t>
      </w:r>
    </w:p>
    <w:p>
      <w:pPr>
        <w:spacing w:after="0" w:line="225"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October 24, 2003</w:t>
      </w:r>
      <w:r>
        <w:rPr>
          <w:sz w:val="20"/>
          <w:szCs w:val="20"/>
          <w:color w:val="auto"/>
        </w:rPr>
        <w:tab/>
      </w:r>
      <w:r>
        <w:rPr>
          <w:rFonts w:ascii="Arial" w:cs="Arial" w:eastAsia="Arial" w:hAnsi="Arial"/>
          <w:sz w:val="16"/>
          <w:szCs w:val="16"/>
          <w:color w:val="auto"/>
        </w:rPr>
        <w:t>/s/ George Koshy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71120</wp:posOffset>
            </wp:positionV>
            <wp:extent cx="1903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Controller and Acting Chief Financial</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Officer (Duly authorized officer and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principal accounting officer)</w:t>
      </w:r>
    </w:p>
    <w:p>
      <w:pPr>
        <w:spacing w:after="0" w:line="17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372" w:right="61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INDEX</w:t>
      </w:r>
    </w:p>
    <w:p>
      <w:pPr>
        <w:spacing w:after="0" w:line="179" w:lineRule="exact"/>
        <w:rPr>
          <w:sz w:val="20"/>
          <w:szCs w:val="20"/>
          <w:color w:val="auto"/>
        </w:rPr>
      </w:pPr>
    </w:p>
    <w:p>
      <w:pPr>
        <w:ind w:right="3860"/>
        <w:spacing w:after="0" w:line="510"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George Koshy under Section 302 of the Sarbanes-Oxley Act of 2002</w:t>
      </w:r>
    </w:p>
    <w:p>
      <w:pPr>
        <w:spacing w:after="0" w:line="1" w:lineRule="exact"/>
        <w:rPr>
          <w:sz w:val="20"/>
          <w:szCs w:val="20"/>
          <w:color w:val="auto"/>
        </w:rPr>
      </w:pPr>
    </w:p>
    <w:p>
      <w:pPr>
        <w:spacing w:after="0" w:line="568" w:lineRule="auto"/>
        <w:rPr>
          <w:sz w:val="20"/>
          <w:szCs w:val="20"/>
          <w:color w:val="auto"/>
        </w:rPr>
      </w:pPr>
      <w:r>
        <w:rPr>
          <w:rFonts w:ascii="Arial" w:cs="Arial" w:eastAsia="Arial" w:hAnsi="Arial"/>
          <w:sz w:val="16"/>
          <w:szCs w:val="16"/>
          <w:b w:val="1"/>
          <w:bCs w:val="1"/>
          <w:color w:val="auto"/>
        </w:rPr>
        <w:t xml:space="preserve">Exhibit 32.1 - </w:t>
      </w:r>
      <w:r>
        <w:rPr>
          <w:rFonts w:ascii="Arial" w:cs="Arial" w:eastAsia="Arial" w:hAnsi="Arial"/>
          <w:sz w:val="16"/>
          <w:szCs w:val="16"/>
          <w:color w:val="auto"/>
        </w:rPr>
        <w:t>Certification of Martin McGlynn Pursuant to 18 U.S.C. Section 1350, As Adopted Pursuant to Section 906 of the Sarbanes-Oxley Act of 2002</w:t>
      </w:r>
      <w:r>
        <w:rPr>
          <w:rFonts w:ascii="Arial" w:cs="Arial" w:eastAsia="Arial" w:hAnsi="Arial"/>
          <w:sz w:val="16"/>
          <w:szCs w:val="16"/>
          <w:b w:val="1"/>
          <w:bCs w:val="1"/>
          <w:color w:val="auto"/>
        </w:rPr>
        <w:t xml:space="preserve"> Exhibit 32.2 - </w:t>
      </w:r>
      <w:r>
        <w:rPr>
          <w:rFonts w:ascii="Arial" w:cs="Arial" w:eastAsia="Arial" w:hAnsi="Arial"/>
          <w:sz w:val="16"/>
          <w:szCs w:val="16"/>
          <w:color w:val="auto"/>
        </w:rPr>
        <w:t>Certification of George Koshy Pursuant to 18 U.S.C. Section 1350, As Adopted Pursuant to Section 906 of the Sarbanes-Oxley Act of 2002</w:t>
      </w:r>
    </w:p>
    <w:p>
      <w:pPr>
        <w:sectPr>
          <w:pgSz w:w="11900" w:h="16838" w:orient="portrait"/>
          <w:cols w:equalWidth="0" w:num="1">
            <w:col w:w="11060"/>
          </w:cols>
          <w:pgMar w:left="240" w:top="372" w:right="599" w:bottom="1440" w:gutter="0" w:footer="0" w:header="0"/>
        </w:sectPr>
      </w:pPr>
    </w:p>
    <w:bookmarkStart w:id="25" w:name="page26"/>
    <w:bookmarkEnd w:id="25"/>
    <w:p>
      <w:pPr>
        <w:ind w:left="5520"/>
        <w:spacing w:after="0"/>
        <w:rPr>
          <w:sz w:val="20"/>
          <w:szCs w:val="20"/>
          <w:color w:val="auto"/>
        </w:rPr>
      </w:pPr>
      <w:r>
        <w:rPr>
          <w:rFonts w:ascii="Courier New" w:cs="Courier New" w:eastAsia="Courier New" w:hAnsi="Courier New"/>
          <w:sz w:val="12"/>
          <w:szCs w:val="12"/>
          <w:color w:val="auto"/>
        </w:rPr>
        <w:t>Exhibit 31.1</w:t>
      </w:r>
    </w:p>
    <w:p>
      <w:pPr>
        <w:spacing w:after="0" w:line="15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Certification under Section 302 of the Sarbanes-Oxley Act</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Martin McGlynn, certify that:</w:t>
      </w:r>
    </w:p>
    <w:p>
      <w:pPr>
        <w:spacing w:after="0" w:line="145" w:lineRule="exact"/>
        <w:rPr>
          <w:sz w:val="20"/>
          <w:szCs w:val="20"/>
          <w:color w:val="auto"/>
        </w:rPr>
      </w:pPr>
    </w:p>
    <w:p>
      <w:pPr>
        <w:ind w:left="1460" w:right="4459" w:hanging="723"/>
        <w:spacing w:after="0" w:line="227" w:lineRule="auto"/>
        <w:tabs>
          <w:tab w:leader="none" w:pos="14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StemCells, Inc.;</w:t>
      </w:r>
    </w:p>
    <w:p>
      <w:pPr>
        <w:spacing w:after="0" w:line="145" w:lineRule="exact"/>
        <w:rPr>
          <w:rFonts w:ascii="Courier New" w:cs="Courier New" w:eastAsia="Courier New" w:hAnsi="Courier New"/>
          <w:sz w:val="14"/>
          <w:szCs w:val="14"/>
          <w:color w:val="auto"/>
        </w:rPr>
      </w:pPr>
    </w:p>
    <w:p>
      <w:pPr>
        <w:ind w:left="1460" w:right="3719" w:hanging="723"/>
        <w:spacing w:after="0" w:line="269" w:lineRule="auto"/>
        <w:tabs>
          <w:tab w:leader="none" w:pos="146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Courier New" w:cs="Courier New" w:eastAsia="Courier New" w:hAnsi="Courier New"/>
          <w:sz w:val="12"/>
          <w:szCs w:val="12"/>
          <w:color w:val="auto"/>
        </w:rPr>
      </w:pPr>
    </w:p>
    <w:p>
      <w:pPr>
        <w:ind w:left="1460" w:right="3819" w:hanging="723"/>
        <w:spacing w:after="0" w:line="269" w:lineRule="auto"/>
        <w:tabs>
          <w:tab w:leader="none" w:pos="146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29" w:lineRule="exact"/>
        <w:rPr>
          <w:rFonts w:ascii="Courier New" w:cs="Courier New" w:eastAsia="Courier New" w:hAnsi="Courier New"/>
          <w:sz w:val="12"/>
          <w:szCs w:val="12"/>
          <w:color w:val="auto"/>
        </w:rPr>
      </w:pPr>
    </w:p>
    <w:p>
      <w:pPr>
        <w:ind w:left="1460" w:right="4139" w:hanging="723"/>
        <w:spacing w:after="0" w:line="262" w:lineRule="auto"/>
        <w:tabs>
          <w:tab w:leader="none" w:pos="146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are responsible for establishing and maintaining disclosure controls and procedures (as defined in Exchange Act Rules</w:t>
      </w:r>
    </w:p>
    <w:p>
      <w:pPr>
        <w:ind w:left="1460"/>
        <w:spacing w:after="0" w:line="230"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13a-15(e) and 15d-15(e)) for the registrant and have:</w:t>
      </w:r>
    </w:p>
    <w:p>
      <w:pPr>
        <w:spacing w:after="0" w:line="145" w:lineRule="exact"/>
        <w:rPr>
          <w:rFonts w:ascii="Courier New" w:cs="Courier New" w:eastAsia="Courier New" w:hAnsi="Courier New"/>
          <w:sz w:val="12"/>
          <w:szCs w:val="12"/>
          <w:color w:val="auto"/>
        </w:rPr>
      </w:pPr>
    </w:p>
    <w:p>
      <w:pPr>
        <w:ind w:left="1960" w:right="3719" w:hanging="7"/>
        <w:spacing w:after="0" w:line="267" w:lineRule="auto"/>
        <w:tabs>
          <w:tab w:leader="none" w:pos="2284"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Courier New" w:cs="Courier New" w:eastAsia="Courier New" w:hAnsi="Courier New"/>
          <w:sz w:val="12"/>
          <w:szCs w:val="12"/>
          <w:color w:val="auto"/>
        </w:rPr>
      </w:pPr>
    </w:p>
    <w:p>
      <w:pPr>
        <w:ind w:left="1960" w:right="3719" w:hanging="7"/>
        <w:spacing w:after="0" w:line="225" w:lineRule="auto"/>
        <w:tabs>
          <w:tab w:leader="none" w:pos="2284"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Courier New" w:cs="Courier New" w:eastAsia="Courier New" w:hAnsi="Courier New"/>
          <w:sz w:val="14"/>
          <w:szCs w:val="14"/>
          <w:color w:val="auto"/>
        </w:rPr>
      </w:pPr>
    </w:p>
    <w:p>
      <w:pPr>
        <w:ind w:left="1960" w:right="3719" w:hanging="7"/>
        <w:spacing w:after="0" w:line="225" w:lineRule="auto"/>
        <w:tabs>
          <w:tab w:leader="none" w:pos="2284"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Courier New" w:cs="Courier New" w:eastAsia="Courier New" w:hAnsi="Courier New"/>
          <w:sz w:val="14"/>
          <w:szCs w:val="14"/>
          <w:color w:val="auto"/>
        </w:rPr>
      </w:pPr>
    </w:p>
    <w:p>
      <w:pPr>
        <w:ind w:left="1460" w:right="3719" w:hanging="723"/>
        <w:spacing w:after="0" w:line="269" w:lineRule="auto"/>
        <w:tabs>
          <w:tab w:leader="none" w:pos="146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Courier New" w:cs="Courier New" w:eastAsia="Courier New" w:hAnsi="Courier New"/>
          <w:sz w:val="12"/>
          <w:szCs w:val="12"/>
          <w:color w:val="auto"/>
        </w:rPr>
      </w:pPr>
    </w:p>
    <w:p>
      <w:pPr>
        <w:ind w:left="1960" w:right="3719" w:hanging="7"/>
        <w:spacing w:after="0" w:line="269" w:lineRule="auto"/>
        <w:tabs>
          <w:tab w:leader="none" w:pos="2284"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Courier New" w:cs="Courier New" w:eastAsia="Courier New" w:hAnsi="Courier New"/>
          <w:sz w:val="12"/>
          <w:szCs w:val="12"/>
          <w:color w:val="auto"/>
        </w:rPr>
      </w:pPr>
    </w:p>
    <w:p>
      <w:pPr>
        <w:ind w:left="1960" w:right="3719" w:hanging="7"/>
        <w:spacing w:after="0" w:line="226" w:lineRule="auto"/>
        <w:tabs>
          <w:tab w:leader="none" w:pos="2284"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October 24, 2003</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Martin McGlynn</w:t>
      </w:r>
    </w:p>
    <w:p>
      <w:pPr>
        <w:ind w:left="180" w:hanging="172"/>
        <w:spacing w:after="0" w:line="224" w:lineRule="auto"/>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Martin McGlynn</w:t>
      </w:r>
    </w:p>
    <w:p>
      <w:pPr>
        <w:spacing w:after="0" w:line="23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1">
            <w:col w:w="10219"/>
          </w:cols>
          <w:pgMar w:left="240" w:top="432" w:right="1440" w:bottom="1440" w:gutter="0" w:footer="0" w:header="0"/>
        </w:sectPr>
      </w:pPr>
    </w:p>
    <w:bookmarkStart w:id="26" w:name="page27"/>
    <w:bookmarkEnd w:id="26"/>
    <w:p>
      <w:pPr>
        <w:ind w:left="5520"/>
        <w:spacing w:after="0"/>
        <w:rPr>
          <w:sz w:val="20"/>
          <w:szCs w:val="20"/>
          <w:color w:val="auto"/>
        </w:rPr>
      </w:pPr>
      <w:r>
        <w:rPr>
          <w:rFonts w:ascii="Courier New" w:cs="Courier New" w:eastAsia="Courier New" w:hAnsi="Courier New"/>
          <w:sz w:val="12"/>
          <w:szCs w:val="12"/>
          <w:color w:val="auto"/>
        </w:rPr>
        <w:t>Exhibit 31.2</w:t>
      </w:r>
    </w:p>
    <w:p>
      <w:pPr>
        <w:spacing w:after="0" w:line="15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Certification under Section 302 of the Sarbanes-Oxley Act</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George Koshy, certify that:</w:t>
      </w:r>
    </w:p>
    <w:p>
      <w:pPr>
        <w:spacing w:after="0" w:line="145" w:lineRule="exact"/>
        <w:rPr>
          <w:sz w:val="20"/>
          <w:szCs w:val="20"/>
          <w:color w:val="auto"/>
        </w:rPr>
      </w:pPr>
    </w:p>
    <w:p>
      <w:pPr>
        <w:ind w:left="1460" w:right="4459" w:hanging="723"/>
        <w:spacing w:after="0" w:line="227" w:lineRule="auto"/>
        <w:tabs>
          <w:tab w:leader="none" w:pos="14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StemCells, Inc.;</w:t>
      </w:r>
    </w:p>
    <w:p>
      <w:pPr>
        <w:spacing w:after="0" w:line="145" w:lineRule="exact"/>
        <w:rPr>
          <w:rFonts w:ascii="Courier New" w:cs="Courier New" w:eastAsia="Courier New" w:hAnsi="Courier New"/>
          <w:sz w:val="14"/>
          <w:szCs w:val="14"/>
          <w:color w:val="auto"/>
        </w:rPr>
      </w:pPr>
    </w:p>
    <w:p>
      <w:pPr>
        <w:ind w:left="1460" w:right="3719" w:hanging="723"/>
        <w:spacing w:after="0" w:line="269" w:lineRule="auto"/>
        <w:tabs>
          <w:tab w:leader="none" w:pos="146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Courier New" w:cs="Courier New" w:eastAsia="Courier New" w:hAnsi="Courier New"/>
          <w:sz w:val="12"/>
          <w:szCs w:val="12"/>
          <w:color w:val="auto"/>
        </w:rPr>
      </w:pPr>
    </w:p>
    <w:p>
      <w:pPr>
        <w:ind w:left="1460" w:right="3819" w:hanging="723"/>
        <w:spacing w:after="0" w:line="269" w:lineRule="auto"/>
        <w:tabs>
          <w:tab w:leader="none" w:pos="146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29" w:lineRule="exact"/>
        <w:rPr>
          <w:rFonts w:ascii="Courier New" w:cs="Courier New" w:eastAsia="Courier New" w:hAnsi="Courier New"/>
          <w:sz w:val="12"/>
          <w:szCs w:val="12"/>
          <w:color w:val="auto"/>
        </w:rPr>
      </w:pPr>
    </w:p>
    <w:p>
      <w:pPr>
        <w:ind w:left="1460" w:right="4139" w:hanging="723"/>
        <w:spacing w:after="0" w:line="262" w:lineRule="auto"/>
        <w:tabs>
          <w:tab w:leader="none" w:pos="146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are responsible for establishing and maintaining disclosure controls and procedures (as defined in Exchange Act Rules</w:t>
      </w:r>
    </w:p>
    <w:p>
      <w:pPr>
        <w:ind w:left="1460"/>
        <w:spacing w:after="0" w:line="230" w:lineRule="auto"/>
        <w:rPr>
          <w:rFonts w:ascii="Courier New" w:cs="Courier New" w:eastAsia="Courier New" w:hAnsi="Courier New"/>
          <w:sz w:val="12"/>
          <w:szCs w:val="12"/>
          <w:color w:val="auto"/>
        </w:rPr>
      </w:pPr>
      <w:r>
        <w:rPr>
          <w:rFonts w:ascii="Courier New" w:cs="Courier New" w:eastAsia="Courier New" w:hAnsi="Courier New"/>
          <w:sz w:val="14"/>
          <w:szCs w:val="14"/>
          <w:color w:val="auto"/>
        </w:rPr>
        <w:t>13a-15(e) and 15d-15(e)) for the registrant and have:</w:t>
      </w:r>
    </w:p>
    <w:p>
      <w:pPr>
        <w:spacing w:after="0" w:line="145" w:lineRule="exact"/>
        <w:rPr>
          <w:rFonts w:ascii="Courier New" w:cs="Courier New" w:eastAsia="Courier New" w:hAnsi="Courier New"/>
          <w:sz w:val="12"/>
          <w:szCs w:val="12"/>
          <w:color w:val="auto"/>
        </w:rPr>
      </w:pPr>
    </w:p>
    <w:p>
      <w:pPr>
        <w:ind w:left="1960" w:right="3719" w:hanging="7"/>
        <w:spacing w:after="0" w:line="267" w:lineRule="auto"/>
        <w:tabs>
          <w:tab w:leader="none" w:pos="2284" w:val="left"/>
        </w:tabs>
        <w:numPr>
          <w:ilvl w:val="1"/>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Courier New" w:cs="Courier New" w:eastAsia="Courier New" w:hAnsi="Courier New"/>
          <w:sz w:val="12"/>
          <w:szCs w:val="12"/>
          <w:color w:val="auto"/>
        </w:rPr>
      </w:pPr>
    </w:p>
    <w:p>
      <w:pPr>
        <w:ind w:left="1960" w:right="3719" w:hanging="7"/>
        <w:spacing w:after="0" w:line="225" w:lineRule="auto"/>
        <w:tabs>
          <w:tab w:leader="none" w:pos="2284"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Courier New" w:cs="Courier New" w:eastAsia="Courier New" w:hAnsi="Courier New"/>
          <w:sz w:val="14"/>
          <w:szCs w:val="14"/>
          <w:color w:val="auto"/>
        </w:rPr>
      </w:pPr>
    </w:p>
    <w:p>
      <w:pPr>
        <w:ind w:left="1960" w:right="3719" w:hanging="7"/>
        <w:spacing w:after="0" w:line="225" w:lineRule="auto"/>
        <w:tabs>
          <w:tab w:leader="none" w:pos="2284"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Courier New" w:cs="Courier New" w:eastAsia="Courier New" w:hAnsi="Courier New"/>
          <w:sz w:val="14"/>
          <w:szCs w:val="14"/>
          <w:color w:val="auto"/>
        </w:rPr>
      </w:pPr>
    </w:p>
    <w:p>
      <w:pPr>
        <w:ind w:left="1460" w:right="3719" w:hanging="723"/>
        <w:spacing w:after="0" w:line="269" w:lineRule="auto"/>
        <w:tabs>
          <w:tab w:leader="none" w:pos="146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Courier New" w:cs="Courier New" w:eastAsia="Courier New" w:hAnsi="Courier New"/>
          <w:sz w:val="12"/>
          <w:szCs w:val="12"/>
          <w:color w:val="auto"/>
        </w:rPr>
      </w:pPr>
    </w:p>
    <w:p>
      <w:pPr>
        <w:ind w:left="1960" w:right="3719" w:hanging="7"/>
        <w:spacing w:after="0" w:line="269" w:lineRule="auto"/>
        <w:tabs>
          <w:tab w:leader="none" w:pos="2284" w:val="left"/>
        </w:tabs>
        <w:numPr>
          <w:ilvl w:val="1"/>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Courier New" w:cs="Courier New" w:eastAsia="Courier New" w:hAnsi="Courier New"/>
          <w:sz w:val="12"/>
          <w:szCs w:val="12"/>
          <w:color w:val="auto"/>
        </w:rPr>
      </w:pPr>
    </w:p>
    <w:p>
      <w:pPr>
        <w:ind w:left="1960" w:right="3719" w:hanging="7"/>
        <w:spacing w:after="0" w:line="226" w:lineRule="auto"/>
        <w:tabs>
          <w:tab w:leader="none" w:pos="2284"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October 24, 2003</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George Koshy</w:t>
      </w:r>
    </w:p>
    <w:p>
      <w:pPr>
        <w:ind w:left="180" w:hanging="172"/>
        <w:spacing w:after="0" w:line="224" w:lineRule="auto"/>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George Koshy</w:t>
      </w:r>
    </w:p>
    <w:p>
      <w:pPr>
        <w:spacing w:after="0" w:line="23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Controller and Acting Chief Financial Officer</w:t>
      </w:r>
    </w:p>
    <w:p>
      <w:pPr>
        <w:sectPr>
          <w:pgSz w:w="11900" w:h="16838" w:orient="portrait"/>
          <w:cols w:equalWidth="0" w:num="1">
            <w:col w:w="10219"/>
          </w:cols>
          <w:pgMar w:left="240" w:top="581" w:right="1440" w:bottom="1440" w:gutter="0" w:footer="0" w:header="0"/>
        </w:sectPr>
      </w:pPr>
    </w:p>
    <w:bookmarkStart w:id="27" w:name="page28"/>
    <w:bookmarkEnd w:id="27"/>
    <w:p>
      <w:pPr>
        <w:ind w:left="5520"/>
        <w:spacing w:after="0"/>
        <w:rPr>
          <w:sz w:val="20"/>
          <w:szCs w:val="20"/>
          <w:color w:val="auto"/>
        </w:rPr>
      </w:pPr>
      <w:r>
        <w:rPr>
          <w:rFonts w:ascii="Courier New" w:cs="Courier New" w:eastAsia="Courier New" w:hAnsi="Courier New"/>
          <w:sz w:val="12"/>
          <w:szCs w:val="12"/>
          <w:color w:val="auto"/>
        </w:rPr>
        <w:t>Exhibit 32.1</w:t>
      </w:r>
    </w:p>
    <w:p>
      <w:pPr>
        <w:spacing w:after="0" w:line="151"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Certification Pursuant to 18 U.S.C. Section 1350, As Adopted Pursuant to</w:t>
      </w:r>
    </w:p>
    <w:p>
      <w:pPr>
        <w:jc w:val="center"/>
        <w:ind w:right="3639"/>
        <w:spacing w:after="0" w:line="230" w:lineRule="auto"/>
        <w:rPr>
          <w:sz w:val="20"/>
          <w:szCs w:val="20"/>
          <w:color w:val="auto"/>
        </w:rPr>
      </w:pPr>
      <w:r>
        <w:rPr>
          <w:rFonts w:ascii="Courier New" w:cs="Courier New" w:eastAsia="Courier New" w:hAnsi="Courier New"/>
          <w:sz w:val="14"/>
          <w:szCs w:val="14"/>
          <w:color w:val="auto"/>
        </w:rPr>
        <w:t>Section 906 of the Sarbanes-Oxley Act of 2002</w:t>
      </w:r>
    </w:p>
    <w:p>
      <w:pPr>
        <w:spacing w:after="0" w:line="145" w:lineRule="exact"/>
        <w:rPr>
          <w:sz w:val="20"/>
          <w:szCs w:val="20"/>
          <w:color w:val="auto"/>
        </w:rPr>
      </w:pPr>
    </w:p>
    <w:p>
      <w:pPr>
        <w:ind w:right="3979"/>
        <w:spacing w:after="0" w:line="225" w:lineRule="auto"/>
        <w:rPr>
          <w:sz w:val="20"/>
          <w:szCs w:val="20"/>
          <w:color w:val="auto"/>
        </w:rPr>
      </w:pPr>
      <w:r>
        <w:rPr>
          <w:rFonts w:ascii="Courier New" w:cs="Courier New" w:eastAsia="Courier New" w:hAnsi="Courier New"/>
          <w:sz w:val="14"/>
          <w:szCs w:val="14"/>
          <w:color w:val="auto"/>
        </w:rPr>
        <w:t>In connection with the StemCells, Inc. (the "Company") Quarterly on Form 10-Q for the period ending September 30, 2003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148" w:lineRule="exact"/>
        <w:rPr>
          <w:sz w:val="20"/>
          <w:szCs w:val="20"/>
          <w:color w:val="auto"/>
        </w:rPr>
      </w:pPr>
    </w:p>
    <w:p>
      <w:pPr>
        <w:jc w:val="both"/>
        <w:ind w:left="1460" w:right="4059" w:hanging="728"/>
        <w:spacing w:after="0" w:line="226" w:lineRule="auto"/>
        <w:tabs>
          <w:tab w:leader="none" w:pos="144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The Report fully complies with the requirements of Section 13(a) or 15(d) of the Securities Exchange Act of 1934, as amended; and</w:t>
      </w:r>
    </w:p>
    <w:p>
      <w:pPr>
        <w:spacing w:after="0" w:line="146" w:lineRule="exact"/>
        <w:rPr>
          <w:sz w:val="20"/>
          <w:szCs w:val="20"/>
          <w:color w:val="auto"/>
        </w:rPr>
      </w:pPr>
    </w:p>
    <w:p>
      <w:pPr>
        <w:ind w:left="1460" w:right="3819" w:hanging="728"/>
        <w:spacing w:after="0" w:line="226" w:lineRule="auto"/>
        <w:tabs>
          <w:tab w:leader="none" w:pos="144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p>
      <w:pPr>
        <w:ind w:right="3899"/>
        <w:spacing w:after="0" w:line="276" w:lineRule="auto"/>
        <w:rPr>
          <w:sz w:val="20"/>
          <w:szCs w:val="20"/>
          <w:color w:val="auto"/>
        </w:rPr>
      </w:pPr>
      <w:r>
        <w:rPr>
          <w:rFonts w:ascii="Courier New" w:cs="Courier New" w:eastAsia="Courier New" w:hAnsi="Courier New"/>
          <w:sz w:val="12"/>
          <w:szCs w:val="12"/>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October 24, 2003</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Martin McGlynn</w:t>
      </w:r>
    </w:p>
    <w:p>
      <w:pPr>
        <w:ind w:left="180" w:hanging="172"/>
        <w:spacing w:after="0" w:line="224" w:lineRule="auto"/>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Martin McGlynn</w:t>
      </w:r>
    </w:p>
    <w:p>
      <w:pPr>
        <w:spacing w:after="0" w:line="23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1">
            <w:col w:w="10219"/>
          </w:cols>
          <w:pgMar w:left="240" w:top="432" w:right="1440" w:bottom="1440" w:gutter="0" w:footer="0" w:header="0"/>
        </w:sectPr>
      </w:pPr>
    </w:p>
    <w:bookmarkStart w:id="28" w:name="page29"/>
    <w:bookmarkEnd w:id="28"/>
    <w:p>
      <w:pPr>
        <w:ind w:left="5520"/>
        <w:spacing w:after="0"/>
        <w:rPr>
          <w:sz w:val="20"/>
          <w:szCs w:val="20"/>
          <w:color w:val="auto"/>
        </w:rPr>
      </w:pPr>
      <w:r>
        <w:rPr>
          <w:rFonts w:ascii="Courier New" w:cs="Courier New" w:eastAsia="Courier New" w:hAnsi="Courier New"/>
          <w:sz w:val="12"/>
          <w:szCs w:val="12"/>
          <w:color w:val="auto"/>
        </w:rPr>
        <w:t>Exhibit 32.2</w:t>
      </w:r>
    </w:p>
    <w:p>
      <w:pPr>
        <w:spacing w:after="0" w:line="151"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Certification Pursuant to 18 U.S.C. Section 1350, As Adopted Pursuant to</w:t>
      </w:r>
    </w:p>
    <w:p>
      <w:pPr>
        <w:jc w:val="center"/>
        <w:ind w:right="3639"/>
        <w:spacing w:after="0" w:line="230" w:lineRule="auto"/>
        <w:rPr>
          <w:sz w:val="20"/>
          <w:szCs w:val="20"/>
          <w:color w:val="auto"/>
        </w:rPr>
      </w:pPr>
      <w:r>
        <w:rPr>
          <w:rFonts w:ascii="Courier New" w:cs="Courier New" w:eastAsia="Courier New" w:hAnsi="Courier New"/>
          <w:sz w:val="14"/>
          <w:szCs w:val="14"/>
          <w:color w:val="auto"/>
        </w:rPr>
        <w:t>Section 906 of the Sarbanes-Oxley Act of 2002</w:t>
      </w:r>
    </w:p>
    <w:p>
      <w:pPr>
        <w:spacing w:after="0" w:line="145" w:lineRule="exact"/>
        <w:rPr>
          <w:sz w:val="20"/>
          <w:szCs w:val="20"/>
          <w:color w:val="auto"/>
        </w:rPr>
      </w:pPr>
    </w:p>
    <w:p>
      <w:pPr>
        <w:ind w:right="3899"/>
        <w:spacing w:after="0" w:line="225" w:lineRule="auto"/>
        <w:rPr>
          <w:sz w:val="20"/>
          <w:szCs w:val="20"/>
          <w:color w:val="auto"/>
        </w:rPr>
      </w:pPr>
      <w:r>
        <w:rPr>
          <w:rFonts w:ascii="Courier New" w:cs="Courier New" w:eastAsia="Courier New" w:hAnsi="Courier New"/>
          <w:sz w:val="14"/>
          <w:szCs w:val="14"/>
          <w:color w:val="auto"/>
        </w:rPr>
        <w:t>In connection with the StemCells, Inc. (the "Company") Quarterly on Form 10-Q for the period ending September 30, 2003 as filed with the Securities and Exchange Commission on the date hereof (the "Report"), I, George Koshy, Controller and Acting Chief Financial Officer of the Company, certify pursuant to 18 U.S.C. Section 1350, as adopted pursuant to Section 906 of the Sarbanes-Oxley Act of 2002, that, to the best of my knowledge:</w:t>
      </w:r>
    </w:p>
    <w:p>
      <w:pPr>
        <w:spacing w:after="0" w:line="148" w:lineRule="exact"/>
        <w:rPr>
          <w:sz w:val="20"/>
          <w:szCs w:val="20"/>
          <w:color w:val="auto"/>
        </w:rPr>
      </w:pPr>
    </w:p>
    <w:p>
      <w:pPr>
        <w:jc w:val="both"/>
        <w:ind w:left="1460" w:right="4059" w:hanging="728"/>
        <w:spacing w:after="0" w:line="226" w:lineRule="auto"/>
        <w:tabs>
          <w:tab w:leader="none" w:pos="144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The Report fully complies with the requirements of Section 13(a) or 15(d) of the Securities Exchange Act of 1934, as amended; and</w:t>
      </w:r>
    </w:p>
    <w:p>
      <w:pPr>
        <w:spacing w:after="0" w:line="146" w:lineRule="exact"/>
        <w:rPr>
          <w:sz w:val="20"/>
          <w:szCs w:val="20"/>
          <w:color w:val="auto"/>
        </w:rPr>
      </w:pPr>
    </w:p>
    <w:p>
      <w:pPr>
        <w:ind w:left="1460" w:right="3819" w:hanging="728"/>
        <w:spacing w:after="0" w:line="226" w:lineRule="auto"/>
        <w:tabs>
          <w:tab w:leader="none" w:pos="144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p>
      <w:pPr>
        <w:ind w:right="3899"/>
        <w:spacing w:after="0" w:line="276" w:lineRule="auto"/>
        <w:rPr>
          <w:sz w:val="20"/>
          <w:szCs w:val="20"/>
          <w:color w:val="auto"/>
        </w:rPr>
      </w:pPr>
      <w:r>
        <w:rPr>
          <w:rFonts w:ascii="Courier New" w:cs="Courier New" w:eastAsia="Courier New" w:hAnsi="Courier New"/>
          <w:sz w:val="12"/>
          <w:szCs w:val="12"/>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19"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2"/>
          <w:szCs w:val="12"/>
          <w:color w:val="auto"/>
        </w:rPr>
        <w:t>October 24, 2003</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George Koshy</w:t>
      </w:r>
    </w:p>
    <w:p>
      <w:pPr>
        <w:ind w:left="180" w:hanging="172"/>
        <w:spacing w:after="0" w:line="224" w:lineRule="auto"/>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George Koshy</w:t>
      </w:r>
    </w:p>
    <w:p>
      <w:pPr>
        <w:spacing w:after="0" w:line="23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Controller and Acting Chief Financial Officer</w:t>
      </w:r>
    </w:p>
    <w:p>
      <w:pPr>
        <w:sectPr>
          <w:pgSz w:w="11900" w:h="16838" w:orient="portrait"/>
          <w:cols w:equalWidth="0" w:num="1">
            <w:col w:w="10219"/>
          </w:cols>
          <w:pgMar w:left="240" w:top="432" w:right="1440"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2019-12-13T21:58:22Z</dcterms:created>
  <dcterms:modified xsi:type="dcterms:W3CDTF">2019-12-13T21:58:22Z</dcterms:modified>
</cp:coreProperties>
</file>