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 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18, 2023, but effective as of May 15, 2023, Microbot Medical Inc. (the “Company”) entered into a series of agreements with certain of its executive officers, all in relation to the Company’s previously announced cost restructuring plan pursuant to which, among other things, certain executive officers agreed to a reduction of 30-40% of base salary, as follows (collectively, the “Employment Agreement Addendums”):</w:t>
      </w:r>
    </w:p>
    <w:p>
      <w:pPr>
        <w:spacing w:after="0" w:line="184" w:lineRule="exact"/>
        <w:rPr>
          <w:sz w:val="20"/>
          <w:szCs w:val="20"/>
          <w:color w:val="auto"/>
        </w:rPr>
      </w:pPr>
    </w:p>
    <w:p>
      <w:pPr>
        <w:jc w:val="both"/>
        <w:ind w:left="660" w:hanging="328"/>
        <w:spacing w:after="0" w:line="27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Rachel Vaknin, CFO</w:t>
      </w:r>
      <w:r>
        <w:rPr>
          <w:rFonts w:ascii="Arial" w:cs="Arial" w:eastAsia="Arial" w:hAnsi="Arial"/>
          <w:sz w:val="17"/>
          <w:szCs w:val="17"/>
          <w:color w:val="auto"/>
        </w:rPr>
        <w:t>. Pursuant to an Addendum to Employment Agreement, Ms. Vaknin’s gross monthly salary shall be decreased to a gross</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NIS 35,000. Social and fringe benefits due to Ms. Vaknin shall be calculated based upon the updated salary, excluding sick days and vacation days which will continue to be accumulated per her existing Agreement. Notwithstanding the foregoing, in the event of termination of Ms. Vaknin’s employment, either by the Company or by Ms. Vaknin, the redemption of accrued vacation days and the payment of prior notice period shall be calculated based on Ms. Vaknin’s salary prior to May 15, 2023.</w:t>
      </w:r>
    </w:p>
    <w:p>
      <w:pPr>
        <w:spacing w:after="0" w:line="176" w:lineRule="exact"/>
        <w:rPr>
          <w:rFonts w:ascii="Arial" w:cs="Arial" w:eastAsia="Arial" w:hAnsi="Arial"/>
          <w:sz w:val="17"/>
          <w:szCs w:val="17"/>
          <w:color w:val="auto"/>
        </w:rPr>
      </w:pPr>
    </w:p>
    <w:p>
      <w:pPr>
        <w:jc w:val="both"/>
        <w:ind w:left="660" w:hanging="328"/>
        <w:spacing w:after="0" w:line="29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Simon Sharon, CTO and General Manager</w:t>
      </w:r>
      <w:r>
        <w:rPr>
          <w:rFonts w:ascii="Arial" w:cs="Arial" w:eastAsia="Arial" w:hAnsi="Arial"/>
          <w:sz w:val="16"/>
          <w:szCs w:val="16"/>
          <w:color w:val="auto"/>
        </w:rPr>
        <w:t>. Pursuant to an Addendum to Employment Agreement, Mr. Sharon’s gross monthly salary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the Company or by Mr. Sharon, the redemption of accrued vacation days and the payment of prior notice period shall be calculated based on Mr. Sharon’s salary prior to May 15, 2023.</w:t>
      </w:r>
    </w:p>
    <w:p>
      <w:pPr>
        <w:spacing w:after="0" w:line="161"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Eyal Morag, CMO</w:t>
      </w:r>
      <w:r>
        <w:rPr>
          <w:rFonts w:ascii="Arial" w:cs="Arial" w:eastAsia="Arial" w:hAnsi="Arial"/>
          <w:sz w:val="16"/>
          <w:szCs w:val="16"/>
          <w:color w:val="auto"/>
        </w:rPr>
        <w:t>. Pursuant to an Addendum to Employment Agreement, Dr. Morag’s gross monthly salary shall be decreased to a gross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the Company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shall be shortened to ninety days.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Employment Agreement Addendums do not purport to be complete and are subject to, and qualified in their entirety by, such documents attached as Exhibits 10.1, 10.2, 10.3 and 10.4, respectively, to this Current Report on Form 8-K, which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May 22, 2023, the Company issued a press release announcing that a team of six leading European interventional radiologists used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Surgical Robotic System and achieved a 100% success rate in an extensive pre-clinical animal study, held at a leading European-based research lab. The team of radiologists utilized the system and performed a total of 48 catheterizations to pre-determined vascular targets including distal branches of hepatic, gastric, splenic, mesenteric, renal, and hypogastric arteries.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80" w:type="dxa"/>
            <w:vAlign w:val="bottom"/>
            <w:shd w:val="clear" w:color="auto" w:fill="000000"/>
          </w:tcPr>
          <w:p>
            <w:pPr>
              <w:spacing w:after="0"/>
              <w:rPr>
                <w:sz w:val="2"/>
                <w:szCs w:val="2"/>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0000EE"/>
              </w:rPr>
              <w:t>Addendum to Employment Agreement with Rachel Vaknin</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Addendum to Employment Agreement with Simon Sharon</w:t>
            </w:r>
          </w:p>
        </w:tc>
        <w:tc>
          <w:tcPr>
            <w:tcW w:w="20" w:type="dxa"/>
            <w:vAlign w:val="bottom"/>
            <w:tcBorders>
              <w:top w:val="single" w:sz="8" w:color="0000EE"/>
            </w:tcBorders>
          </w:tcPr>
          <w:p>
            <w:pPr>
              <w:spacing w:after="0"/>
              <w:rPr>
                <w:sz w:val="17"/>
                <w:szCs w:val="17"/>
                <w:color w:val="auto"/>
              </w:rPr>
            </w:pPr>
          </w:p>
        </w:tc>
        <w:tc>
          <w:tcPr>
            <w:tcW w:w="58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Arial" w:cs="Arial" w:eastAsia="Arial" w:hAnsi="Arial"/>
                <w:sz w:val="18"/>
                <w:szCs w:val="18"/>
                <w:color w:val="0000EE"/>
              </w:rPr>
              <w:t>Addendum to Employment Agreement with Eyal Morag</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Arial" w:cs="Arial" w:eastAsia="Arial" w:hAnsi="Arial"/>
                <w:sz w:val="18"/>
                <w:szCs w:val="18"/>
                <w:color w:val="0000EE"/>
              </w:rPr>
              <w:t>Addendum to Employment Agreement with Eyal Morag</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Press Release dated May 22, 2023</w:t>
            </w:r>
          </w:p>
        </w:tc>
        <w:tc>
          <w:tcPr>
            <w:tcW w:w="1580" w:type="dxa"/>
            <w:vAlign w:val="bottom"/>
            <w:tcBorders>
              <w:top w:val="single" w:sz="8" w:color="0000EE"/>
            </w:tcBorders>
          </w:tcPr>
          <w:p>
            <w:pPr>
              <w:spacing w:after="0"/>
              <w:rPr>
                <w:sz w:val="17"/>
                <w:szCs w:val="17"/>
                <w:color w:val="auto"/>
              </w:rPr>
            </w:pPr>
          </w:p>
        </w:tc>
        <w:tc>
          <w:tcPr>
            <w:tcW w:w="6080" w:type="dxa"/>
            <w:vAlign w:val="bottom"/>
            <w:gridSpan w:val="3"/>
          </w:tcPr>
          <w:p>
            <w:pPr>
              <w:spacing w:after="0"/>
              <w:rPr>
                <w:sz w:val="17"/>
                <w:szCs w:val="17"/>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168910</wp:posOffset>
            </wp:positionV>
            <wp:extent cx="1499870" cy="57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ADDENDUM TO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and entered into as of May 15,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514519412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6 Hayozma Street, Yokneam Illit,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5"/>
        </w:trPr>
        <w:tc>
          <w:tcPr>
            <w:tcW w:w="996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12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of the first part</w:t>
            </w:r>
          </w:p>
        </w:tc>
        <w:tc>
          <w:tcPr>
            <w:tcW w:w="0" w:type="dxa"/>
            <w:vAlign w:val="bottom"/>
          </w:tcPr>
          <w:p>
            <w:pPr>
              <w:spacing w:after="0"/>
              <w:rPr>
                <w:sz w:val="1"/>
                <w:szCs w:val="1"/>
                <w:color w:val="auto"/>
              </w:rPr>
            </w:pPr>
          </w:p>
        </w:tc>
      </w:tr>
      <w:tr>
        <w:trPr>
          <w:trHeight w:val="237"/>
        </w:trPr>
        <w:tc>
          <w:tcPr>
            <w:tcW w:w="9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960" w:type="dxa"/>
            <w:vAlign w:val="bottom"/>
          </w:tcPr>
          <w:p>
            <w:pPr>
              <w:spacing w:after="0"/>
              <w:rPr>
                <w:sz w:val="20"/>
                <w:szCs w:val="20"/>
                <w:color w:val="auto"/>
              </w:rPr>
            </w:pPr>
            <w:r>
              <w:rPr>
                <w:rFonts w:ascii="Arial" w:cs="Arial" w:eastAsia="Arial" w:hAnsi="Arial"/>
                <w:sz w:val="18"/>
                <w:szCs w:val="18"/>
                <w:b w:val="1"/>
                <w:bCs w:val="1"/>
                <w:color w:val="auto"/>
              </w:rPr>
              <w:t>Rachel Vaknin</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Israeli I.D no. 35883685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60" w:type="dxa"/>
            <w:vAlign w:val="bottom"/>
          </w:tcPr>
          <w:p>
            <w:pPr>
              <w:spacing w:after="0"/>
              <w:rPr>
                <w:sz w:val="20"/>
                <w:szCs w:val="20"/>
                <w:color w:val="auto"/>
              </w:rPr>
            </w:pPr>
            <w:r>
              <w:rPr>
                <w:rFonts w:ascii="Arial" w:cs="Arial" w:eastAsia="Arial" w:hAnsi="Arial"/>
                <w:sz w:val="18"/>
                <w:szCs w:val="18"/>
                <w:color w:val="auto"/>
              </w:rPr>
              <w:t>of Israel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960" w:type="dxa"/>
            <w:vAlign w:val="bottom"/>
          </w:tcPr>
          <w:p>
            <w:pPr>
              <w:spacing w:after="0" w:line="194"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8"/>
                <w:szCs w:val="18"/>
                <w:color w:val="auto"/>
                <w:w w:val="87"/>
              </w:rPr>
              <w:t>of the second part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980" w:hanging="97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,the Employee is employed by the Company in accordance with that certain employment agreement dated on November 22, 2021,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addendum thereto (the </w:t>
      </w:r>
      <w:r>
        <w:rPr>
          <w:rFonts w:ascii="Arial" w:cs="Arial" w:eastAsia="Arial" w:hAnsi="Arial"/>
          <w:sz w:val="18"/>
          <w:szCs w:val="18"/>
          <w:b w:val="1"/>
          <w:bCs w:val="1"/>
          <w:color w:val="auto"/>
        </w:rPr>
        <w:t>“Employment Agreement”);</w:t>
      </w:r>
    </w:p>
    <w:p>
      <w:pPr>
        <w:spacing w:after="0" w:line="162" w:lineRule="exact"/>
        <w:rPr>
          <w:sz w:val="20"/>
          <w:szCs w:val="20"/>
          <w:color w:val="auto"/>
        </w:rPr>
      </w:pPr>
    </w:p>
    <w:p>
      <w:pPr>
        <w:jc w:val="both"/>
        <w:ind w:left="980" w:hanging="97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due to the Company’s financial situation and reductions as a result thereof, the Company and the Employee have agreed to amend certain term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Employee’s Employment Agreement effective as of May 15, 2023 (the </w:t>
      </w:r>
      <w:r>
        <w:rPr>
          <w:rFonts w:ascii="Arial" w:cs="Arial" w:eastAsia="Arial" w:hAnsi="Arial"/>
          <w:sz w:val="18"/>
          <w:szCs w:val="18"/>
          <w:b w:val="1"/>
          <w:bCs w:val="1"/>
          <w:color w:val="auto"/>
        </w:rPr>
        <w:t>“Amendment Date”),</w:t>
      </w:r>
      <w:r>
        <w:rPr>
          <w:rFonts w:ascii="Arial" w:cs="Arial" w:eastAsia="Arial" w:hAnsi="Arial"/>
          <w:sz w:val="18"/>
          <w:szCs w:val="18"/>
          <w:color w:val="auto"/>
        </w:rPr>
        <w:t xml:space="preserve"> and wish to set forth in writing said understanding;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Salary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  As of the Amendment Date, the Employee’s gross monthly Salary shall be decreased to a gross amount of NIS 35,000, to be divided as follows: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Base Salary in the amount of MS 28,000 (gross) per month; and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 Global Compensation in the amount of NIS 7,000 (gross) per month.</w:t>
      </w:r>
    </w:p>
    <w:p>
      <w:pPr>
        <w:spacing w:after="0" w:line="225" w:lineRule="exact"/>
        <w:rPr>
          <w:sz w:val="20"/>
          <w:szCs w:val="20"/>
          <w:color w:val="auto"/>
        </w:rPr>
      </w:pPr>
    </w:p>
    <w:p>
      <w:pPr>
        <w:jc w:val="both"/>
        <w:ind w:left="780" w:hanging="399"/>
        <w:spacing w:after="0" w:line="263" w:lineRule="auto"/>
        <w:rPr>
          <w:sz w:val="20"/>
          <w:szCs w:val="20"/>
          <w:color w:val="auto"/>
        </w:rPr>
      </w:pPr>
      <w:r>
        <w:rPr>
          <w:rFonts w:ascii="Arial" w:cs="Arial" w:eastAsia="Arial" w:hAnsi="Arial"/>
          <w:sz w:val="18"/>
          <w:szCs w:val="18"/>
          <w:color w:val="auto"/>
        </w:rPr>
        <w:t>1.2. Social and fringe benefits due to the Employee according to the Employment Agreement shall be calculated based upon the updated Salary, excluding sick days and vacation days which will continue to be accumulated per to Employee’s Employment Agreement dated November 22, 2021.</w:t>
      </w:r>
    </w:p>
    <w:p>
      <w:pPr>
        <w:spacing w:after="0" w:line="184" w:lineRule="exact"/>
        <w:rPr>
          <w:sz w:val="20"/>
          <w:szCs w:val="20"/>
          <w:color w:val="auto"/>
        </w:rPr>
      </w:pPr>
    </w:p>
    <w:p>
      <w:pPr>
        <w:jc w:val="both"/>
        <w:ind w:left="780" w:hanging="399"/>
        <w:spacing w:after="0" w:line="263" w:lineRule="auto"/>
        <w:rPr>
          <w:sz w:val="20"/>
          <w:szCs w:val="20"/>
          <w:color w:val="auto"/>
        </w:rPr>
      </w:pPr>
      <w:r>
        <w:rPr>
          <w:rFonts w:ascii="Arial" w:cs="Arial" w:eastAsia="Arial" w:hAnsi="Arial"/>
          <w:sz w:val="18"/>
          <w:szCs w:val="18"/>
          <w:color w:val="auto"/>
        </w:rPr>
        <w:t>1.3. Notwithstanding the foregoing, in the event of termination of the Employee’s employment, either by the company or by the employee, the redemption of accrued vacation days and the payment of prior notice period shall be calculated based on the Employee’s salary prior to the Amendment Date.</w:t>
      </w:r>
    </w:p>
    <w:p>
      <w:pPr>
        <w:spacing w:after="0" w:line="18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780" w:hanging="399"/>
        <w:spacing w:after="0" w:line="311" w:lineRule="auto"/>
        <w:rPr>
          <w:sz w:val="20"/>
          <w:szCs w:val="20"/>
          <w:color w:val="auto"/>
        </w:rPr>
      </w:pPr>
      <w:r>
        <w:rPr>
          <w:rFonts w:ascii="Arial" w:cs="Arial" w:eastAsia="Arial" w:hAnsi="Arial"/>
          <w:sz w:val="16"/>
          <w:szCs w:val="16"/>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45"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 xml:space="preserve">Microbot Medical Ltd., 6 Hayozma St, Yokneam Illit, 2069024. P.O.B 242, Israel Office: +972-4-8200710 Fax: +972-4-8200712 </w:t>
      </w:r>
      <w:r>
        <w:rPr>
          <w:rFonts w:ascii="Arial" w:cs="Arial" w:eastAsia="Arial" w:hAnsi="Arial"/>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448945</wp:posOffset>
            </wp:positionV>
            <wp:extent cx="1499870" cy="574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jc w:val="both"/>
        <w:ind w:left="780" w:hanging="399"/>
        <w:spacing w:after="0" w:line="273" w:lineRule="auto"/>
        <w:rPr>
          <w:sz w:val="20"/>
          <w:szCs w:val="20"/>
          <w:color w:val="auto"/>
        </w:rPr>
      </w:pPr>
      <w:r>
        <w:rPr>
          <w:rFonts w:ascii="Arial" w:cs="Arial" w:eastAsia="Arial" w:hAnsi="Arial"/>
          <w:sz w:val="17"/>
          <w:szCs w:val="17"/>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78" w:lineRule="exact"/>
        <w:rPr>
          <w:sz w:val="20"/>
          <w:szCs w:val="20"/>
          <w:color w:val="auto"/>
        </w:rPr>
      </w:pPr>
    </w:p>
    <w:p>
      <w:pPr>
        <w:jc w:val="both"/>
        <w:ind w:left="780" w:hanging="399"/>
        <w:spacing w:after="0" w:line="277" w:lineRule="auto"/>
        <w:rPr>
          <w:sz w:val="20"/>
          <w:szCs w:val="20"/>
          <w:color w:val="auto"/>
        </w:rPr>
      </w:pPr>
      <w:r>
        <w:rPr>
          <w:rFonts w:ascii="Arial" w:cs="Arial" w:eastAsia="Arial" w:hAnsi="Arial"/>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execute hereunder: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Naama Moav</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Rachel Vaknin</w:t>
            </w: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5"/>
              </w:rPr>
              <w:t>Microbot Medical Ltd.</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Rachel Vaknin</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 xml:space="preserve">Microbot Medical Ltd., 6 Hayozma St, Yokneam Illit, 2069024. P.O.B 242, Israel Office: +972-4-8200710 Fax: +972-4-8200712 </w:t>
      </w:r>
      <w:r>
        <w:rPr>
          <w:rFonts w:ascii="Arial" w:cs="Arial" w:eastAsia="Arial" w:hAnsi="Arial"/>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168910</wp:posOffset>
            </wp:positionV>
            <wp:extent cx="1499870"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ADDENDUM TO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and entered into as of May 15,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514519412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6 Hayozma Street, Yokneam Illit,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5"/>
        </w:trPr>
        <w:tc>
          <w:tcPr>
            <w:tcW w:w="996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12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of the first part</w:t>
            </w:r>
          </w:p>
        </w:tc>
        <w:tc>
          <w:tcPr>
            <w:tcW w:w="0" w:type="dxa"/>
            <w:vAlign w:val="bottom"/>
          </w:tcPr>
          <w:p>
            <w:pPr>
              <w:spacing w:after="0"/>
              <w:rPr>
                <w:sz w:val="1"/>
                <w:szCs w:val="1"/>
                <w:color w:val="auto"/>
              </w:rPr>
            </w:pPr>
          </w:p>
        </w:tc>
      </w:tr>
      <w:tr>
        <w:trPr>
          <w:trHeight w:val="237"/>
        </w:trPr>
        <w:tc>
          <w:tcPr>
            <w:tcW w:w="9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960" w:type="dxa"/>
            <w:vAlign w:val="bottom"/>
          </w:tcPr>
          <w:p>
            <w:pPr>
              <w:spacing w:after="0"/>
              <w:rPr>
                <w:sz w:val="20"/>
                <w:szCs w:val="20"/>
                <w:color w:val="auto"/>
              </w:rPr>
            </w:pPr>
            <w:r>
              <w:rPr>
                <w:rFonts w:ascii="Arial" w:cs="Arial" w:eastAsia="Arial" w:hAnsi="Arial"/>
                <w:sz w:val="18"/>
                <w:szCs w:val="18"/>
                <w:color w:val="auto"/>
              </w:rPr>
              <w:t>Simon Sharon</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60" w:type="dxa"/>
            <w:vAlign w:val="bottom"/>
          </w:tcPr>
          <w:p>
            <w:pPr>
              <w:ind w:left="360"/>
              <w:spacing w:after="0"/>
              <w:rPr>
                <w:sz w:val="20"/>
                <w:szCs w:val="20"/>
                <w:color w:val="auto"/>
              </w:rPr>
            </w:pPr>
            <w:r>
              <w:rPr>
                <w:rFonts w:ascii="Arial" w:cs="Arial" w:eastAsia="Arial" w:hAnsi="Arial"/>
                <w:sz w:val="18"/>
                <w:szCs w:val="18"/>
                <w:color w:val="auto"/>
              </w:rPr>
              <w:t>Israeli I.D no. 27037753</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60" w:type="dxa"/>
            <w:vAlign w:val="bottom"/>
          </w:tcPr>
          <w:p>
            <w:pPr>
              <w:spacing w:after="0"/>
              <w:rPr>
                <w:sz w:val="20"/>
                <w:szCs w:val="20"/>
                <w:color w:val="auto"/>
              </w:rPr>
            </w:pPr>
            <w:r>
              <w:rPr>
                <w:rFonts w:ascii="Arial" w:cs="Arial" w:eastAsia="Arial" w:hAnsi="Arial"/>
                <w:sz w:val="18"/>
                <w:szCs w:val="18"/>
                <w:color w:val="auto"/>
              </w:rPr>
              <w:t>of Israel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960" w:type="dxa"/>
            <w:vAlign w:val="bottom"/>
          </w:tcPr>
          <w:p>
            <w:pPr>
              <w:spacing w:after="0" w:line="194"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8"/>
                <w:szCs w:val="18"/>
                <w:color w:val="auto"/>
                <w:w w:val="87"/>
              </w:rPr>
              <w:t>of the second part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980" w:hanging="97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,the Employee is employed by the Company in accordance with that certain employment agreement dated on March 31, 2018,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addendum thereto (the </w:t>
      </w:r>
      <w:r>
        <w:rPr>
          <w:rFonts w:ascii="Arial" w:cs="Arial" w:eastAsia="Arial" w:hAnsi="Arial"/>
          <w:sz w:val="18"/>
          <w:szCs w:val="18"/>
          <w:b w:val="1"/>
          <w:bCs w:val="1"/>
          <w:color w:val="auto"/>
        </w:rPr>
        <w:t>“Employment Agreement”);</w:t>
      </w:r>
    </w:p>
    <w:p>
      <w:pPr>
        <w:spacing w:after="0" w:line="162" w:lineRule="exact"/>
        <w:rPr>
          <w:sz w:val="20"/>
          <w:szCs w:val="20"/>
          <w:color w:val="auto"/>
        </w:rPr>
      </w:pPr>
    </w:p>
    <w:p>
      <w:pPr>
        <w:jc w:val="both"/>
        <w:ind w:left="980" w:hanging="97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due to the Company’s financial situation and reductions as a result thereof, the Company and the Employee have agreed to amend certain term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Employee’s Employment Agreement effective as of May 15, 2023 (the </w:t>
      </w:r>
      <w:r>
        <w:rPr>
          <w:rFonts w:ascii="Arial" w:cs="Arial" w:eastAsia="Arial" w:hAnsi="Arial"/>
          <w:sz w:val="18"/>
          <w:szCs w:val="18"/>
          <w:b w:val="1"/>
          <w:bCs w:val="1"/>
          <w:color w:val="auto"/>
        </w:rPr>
        <w:t>“Amendment Date”),</w:t>
      </w:r>
      <w:r>
        <w:rPr>
          <w:rFonts w:ascii="Arial" w:cs="Arial" w:eastAsia="Arial" w:hAnsi="Arial"/>
          <w:sz w:val="18"/>
          <w:szCs w:val="18"/>
          <w:color w:val="auto"/>
        </w:rPr>
        <w:t xml:space="preserve"> and wish to set forth in writing said understanding;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Salary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  As of the Amendment Date, the Employee’s gross monthly Salary shall be decreased to a gross amount of NIS 44,496, to be divided as follows: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Base Salary in the amount of NIS 35,596.8 (gross) per month; and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 Global Compensation in the amount of NIS 8,899.2 (gross) per month.</w:t>
      </w:r>
    </w:p>
    <w:p>
      <w:pPr>
        <w:spacing w:after="0" w:line="225" w:lineRule="exact"/>
        <w:rPr>
          <w:sz w:val="20"/>
          <w:szCs w:val="20"/>
          <w:color w:val="auto"/>
        </w:rPr>
      </w:pPr>
    </w:p>
    <w:p>
      <w:pPr>
        <w:jc w:val="both"/>
        <w:ind w:left="780" w:hanging="399"/>
        <w:spacing w:after="0" w:line="263" w:lineRule="auto"/>
        <w:rPr>
          <w:sz w:val="20"/>
          <w:szCs w:val="20"/>
          <w:color w:val="auto"/>
        </w:rPr>
      </w:pPr>
      <w:r>
        <w:rPr>
          <w:rFonts w:ascii="Arial" w:cs="Arial" w:eastAsia="Arial" w:hAnsi="Arial"/>
          <w:sz w:val="18"/>
          <w:szCs w:val="18"/>
          <w:color w:val="auto"/>
        </w:rPr>
        <w:t>1.2. Social and fringe benefits due to the Employee according to the Employment Agreement shall be calculated based upon the updated Salary, excluding sick days and vacation days which will continue to be accumulated per to Employee’s Employment Agreement dated February 18, 2020.</w:t>
      </w:r>
    </w:p>
    <w:p>
      <w:pPr>
        <w:spacing w:after="0" w:line="184" w:lineRule="exact"/>
        <w:rPr>
          <w:sz w:val="20"/>
          <w:szCs w:val="20"/>
          <w:color w:val="auto"/>
        </w:rPr>
      </w:pPr>
    </w:p>
    <w:p>
      <w:pPr>
        <w:jc w:val="both"/>
        <w:ind w:left="780" w:hanging="399"/>
        <w:spacing w:after="0" w:line="263" w:lineRule="auto"/>
        <w:rPr>
          <w:sz w:val="20"/>
          <w:szCs w:val="20"/>
          <w:color w:val="auto"/>
        </w:rPr>
      </w:pPr>
      <w:r>
        <w:rPr>
          <w:rFonts w:ascii="Arial" w:cs="Arial" w:eastAsia="Arial" w:hAnsi="Arial"/>
          <w:sz w:val="18"/>
          <w:szCs w:val="18"/>
          <w:color w:val="auto"/>
        </w:rPr>
        <w:t>1.3. Notwithstanding the foregoing, in the event of termination of the Employee’s employment, either by the company or by the employee, the redemption of accrued vacation days and the payment of prior notice period shall be calculated based on the Employee’s salary prior to the Amendment Date.</w:t>
      </w:r>
    </w:p>
    <w:p>
      <w:pPr>
        <w:spacing w:after="0" w:line="18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780" w:hanging="399"/>
        <w:spacing w:after="0" w:line="311" w:lineRule="auto"/>
        <w:rPr>
          <w:sz w:val="20"/>
          <w:szCs w:val="20"/>
          <w:color w:val="auto"/>
        </w:rPr>
      </w:pPr>
      <w:r>
        <w:rPr>
          <w:rFonts w:ascii="Arial" w:cs="Arial" w:eastAsia="Arial" w:hAnsi="Arial"/>
          <w:sz w:val="16"/>
          <w:szCs w:val="16"/>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45"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 xml:space="preserve">Microbot Medical Ltd., 6 Hayozma St, Yokneam Illit, 2069024. P.O.B 242, Israel Office: +972-4-8200710 Fax: +972-4-8200712 </w:t>
      </w:r>
      <w:r>
        <w:rPr>
          <w:rFonts w:ascii="Arial" w:cs="Arial" w:eastAsia="Arial" w:hAnsi="Arial"/>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448945</wp:posOffset>
            </wp:positionV>
            <wp:extent cx="149987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jc w:val="both"/>
        <w:ind w:left="780" w:hanging="399"/>
        <w:spacing w:after="0" w:line="273" w:lineRule="auto"/>
        <w:rPr>
          <w:sz w:val="20"/>
          <w:szCs w:val="20"/>
          <w:color w:val="auto"/>
        </w:rPr>
      </w:pPr>
      <w:r>
        <w:rPr>
          <w:rFonts w:ascii="Arial" w:cs="Arial" w:eastAsia="Arial" w:hAnsi="Arial"/>
          <w:sz w:val="17"/>
          <w:szCs w:val="17"/>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78" w:lineRule="exact"/>
        <w:rPr>
          <w:sz w:val="20"/>
          <w:szCs w:val="20"/>
          <w:color w:val="auto"/>
        </w:rPr>
      </w:pPr>
    </w:p>
    <w:p>
      <w:pPr>
        <w:jc w:val="both"/>
        <w:ind w:left="780" w:hanging="399"/>
        <w:spacing w:after="0" w:line="277" w:lineRule="auto"/>
        <w:rPr>
          <w:sz w:val="20"/>
          <w:szCs w:val="20"/>
          <w:color w:val="auto"/>
        </w:rPr>
      </w:pPr>
      <w:r>
        <w:rPr>
          <w:rFonts w:ascii="Arial" w:cs="Arial" w:eastAsia="Arial" w:hAnsi="Arial"/>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execute hereunder: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Naama Moav</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Simon Sharon</w:t>
            </w: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5"/>
              </w:rPr>
              <w:t>Microbot Medical Ltd.</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Simon Sharon</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 xml:space="preserve">Microbot Medical Ltd., 6 Hayozma St, Yokneam Illit, 2069024. P.O.B 242, Israel Office: +972-4-8200710 Fax: +972-4-8200712 </w:t>
      </w:r>
      <w:r>
        <w:rPr>
          <w:rFonts w:ascii="Arial" w:cs="Arial" w:eastAsia="Arial" w:hAnsi="Arial"/>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10320"/>
        <w:spacing w:after="0"/>
        <w:rPr>
          <w:sz w:val="20"/>
          <w:szCs w:val="20"/>
          <w:color w:val="auto"/>
        </w:rPr>
      </w:pPr>
      <w:r>
        <w:rPr>
          <w:rFonts w:ascii="Arial" w:cs="Arial" w:eastAsia="Arial" w:hAnsi="Arial"/>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168910</wp:posOffset>
            </wp:positionV>
            <wp:extent cx="1499870" cy="57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ADDENDUM TO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and entered into as of May 15,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514519412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6 Hayozma Street, Yokneam Illit,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5"/>
        </w:trPr>
        <w:tc>
          <w:tcPr>
            <w:tcW w:w="996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12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of the first part</w:t>
            </w:r>
          </w:p>
        </w:tc>
        <w:tc>
          <w:tcPr>
            <w:tcW w:w="0" w:type="dxa"/>
            <w:vAlign w:val="bottom"/>
          </w:tcPr>
          <w:p>
            <w:pPr>
              <w:spacing w:after="0"/>
              <w:rPr>
                <w:sz w:val="1"/>
                <w:szCs w:val="1"/>
                <w:color w:val="auto"/>
              </w:rPr>
            </w:pPr>
          </w:p>
        </w:tc>
      </w:tr>
      <w:tr>
        <w:trPr>
          <w:trHeight w:val="237"/>
        </w:trPr>
        <w:tc>
          <w:tcPr>
            <w:tcW w:w="9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9960" w:type="dxa"/>
            <w:vAlign w:val="bottom"/>
          </w:tcPr>
          <w:p>
            <w:pPr>
              <w:spacing w:after="0"/>
              <w:rPr>
                <w:sz w:val="20"/>
                <w:szCs w:val="20"/>
                <w:color w:val="auto"/>
              </w:rPr>
            </w:pPr>
            <w:r>
              <w:rPr>
                <w:rFonts w:ascii="Arial" w:cs="Arial" w:eastAsia="Arial" w:hAnsi="Arial"/>
                <w:sz w:val="18"/>
                <w:szCs w:val="18"/>
                <w:b w:val="1"/>
                <w:bCs w:val="1"/>
                <w:color w:val="auto"/>
              </w:rPr>
              <w:t>Eyal Morag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Israeli I.D no. 58830084</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60" w:type="dxa"/>
            <w:vAlign w:val="bottom"/>
          </w:tcPr>
          <w:p>
            <w:pPr>
              <w:spacing w:after="0"/>
              <w:rPr>
                <w:sz w:val="20"/>
                <w:szCs w:val="20"/>
                <w:color w:val="auto"/>
              </w:rPr>
            </w:pPr>
            <w:r>
              <w:rPr>
                <w:rFonts w:ascii="Arial" w:cs="Arial" w:eastAsia="Arial" w:hAnsi="Arial"/>
                <w:sz w:val="18"/>
                <w:szCs w:val="18"/>
                <w:color w:val="auto"/>
              </w:rPr>
              <w:t>of Israel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960" w:type="dxa"/>
            <w:vAlign w:val="bottom"/>
          </w:tcPr>
          <w:p>
            <w:pPr>
              <w:spacing w:after="0" w:line="194"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8"/>
                <w:szCs w:val="18"/>
                <w:color w:val="auto"/>
                <w:w w:val="87"/>
              </w:rPr>
              <w:t>of the second part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980" w:hanging="97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,the Employee is employed by the Company in accordance with that certain employment agreement dated on February 18, 2020,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addendum thereto (the </w:t>
      </w:r>
      <w:r>
        <w:rPr>
          <w:rFonts w:ascii="Arial" w:cs="Arial" w:eastAsia="Arial" w:hAnsi="Arial"/>
          <w:sz w:val="18"/>
          <w:szCs w:val="18"/>
          <w:b w:val="1"/>
          <w:bCs w:val="1"/>
          <w:color w:val="auto"/>
        </w:rPr>
        <w:t>“Employment Agreement”);</w:t>
      </w:r>
    </w:p>
    <w:p>
      <w:pPr>
        <w:spacing w:after="0" w:line="162" w:lineRule="exact"/>
        <w:rPr>
          <w:sz w:val="20"/>
          <w:szCs w:val="20"/>
          <w:color w:val="auto"/>
        </w:rPr>
      </w:pPr>
    </w:p>
    <w:p>
      <w:pPr>
        <w:jc w:val="both"/>
        <w:ind w:left="980" w:hanging="97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due to the Company’s financial situation and reductions as a result thereof, the Company and the Employee have agreed to amend certain term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Employee’s Employment Agreement effective as of May 15, 2023 (the </w:t>
      </w:r>
      <w:r>
        <w:rPr>
          <w:rFonts w:ascii="Arial" w:cs="Arial" w:eastAsia="Arial" w:hAnsi="Arial"/>
          <w:sz w:val="18"/>
          <w:szCs w:val="18"/>
          <w:b w:val="1"/>
          <w:bCs w:val="1"/>
          <w:color w:val="auto"/>
        </w:rPr>
        <w:t>“Amendment Date”),</w:t>
      </w:r>
      <w:r>
        <w:rPr>
          <w:rFonts w:ascii="Arial" w:cs="Arial" w:eastAsia="Arial" w:hAnsi="Arial"/>
          <w:sz w:val="18"/>
          <w:szCs w:val="18"/>
          <w:color w:val="auto"/>
        </w:rPr>
        <w:t xml:space="preserve"> and wish to set forth in writing said understanding;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Salary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  As of the Amendment Date, the Employee’s gross monthly Salary shall be decreased to a gross amount of NIS 49,440, to be divided as follows: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Base Salary in the amount of NIS 39,552 (gross) per month; and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 Global Compensation in the amount of NIS 9,888 (gross) per month.</w:t>
      </w:r>
    </w:p>
    <w:p>
      <w:pPr>
        <w:spacing w:after="0" w:line="225" w:lineRule="exact"/>
        <w:rPr>
          <w:sz w:val="20"/>
          <w:szCs w:val="20"/>
          <w:color w:val="auto"/>
        </w:rPr>
      </w:pPr>
    </w:p>
    <w:p>
      <w:pPr>
        <w:jc w:val="both"/>
        <w:ind w:left="780" w:hanging="399"/>
        <w:spacing w:after="0" w:line="263" w:lineRule="auto"/>
        <w:rPr>
          <w:sz w:val="20"/>
          <w:szCs w:val="20"/>
          <w:color w:val="auto"/>
        </w:rPr>
      </w:pPr>
      <w:r>
        <w:rPr>
          <w:rFonts w:ascii="Arial" w:cs="Arial" w:eastAsia="Arial" w:hAnsi="Arial"/>
          <w:sz w:val="18"/>
          <w:szCs w:val="18"/>
          <w:color w:val="auto"/>
        </w:rPr>
        <w:t>1.2. Social and fringe benefits due to the Employee according to the Employment Agreement shall be calculated based upon the updated Salary, excluding sick days and vacation days which will continue to be accumulated per to Employee’s Employment Agreement dated February 18, 2020.</w:t>
      </w:r>
    </w:p>
    <w:p>
      <w:pPr>
        <w:spacing w:after="0" w:line="184" w:lineRule="exact"/>
        <w:rPr>
          <w:sz w:val="20"/>
          <w:szCs w:val="20"/>
          <w:color w:val="auto"/>
        </w:rPr>
      </w:pPr>
    </w:p>
    <w:p>
      <w:pPr>
        <w:jc w:val="both"/>
        <w:ind w:left="780" w:hanging="399"/>
        <w:spacing w:after="0" w:line="263" w:lineRule="auto"/>
        <w:rPr>
          <w:sz w:val="20"/>
          <w:szCs w:val="20"/>
          <w:color w:val="auto"/>
        </w:rPr>
      </w:pPr>
      <w:r>
        <w:rPr>
          <w:rFonts w:ascii="Arial" w:cs="Arial" w:eastAsia="Arial" w:hAnsi="Arial"/>
          <w:sz w:val="18"/>
          <w:szCs w:val="18"/>
          <w:color w:val="auto"/>
        </w:rPr>
        <w:t>1.3. Notwithstanding the foregoing, in the event of termination of the Employee’s employment, either by the company or by the employee, the redemption of accrued vacation days and the payment of prior notice period shall be calculated based on the Employee’s salary prior to the Amendment Date.</w:t>
      </w:r>
    </w:p>
    <w:p>
      <w:pPr>
        <w:spacing w:after="0" w:line="18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780" w:hanging="399"/>
        <w:spacing w:after="0" w:line="311" w:lineRule="auto"/>
        <w:rPr>
          <w:sz w:val="20"/>
          <w:szCs w:val="20"/>
          <w:color w:val="auto"/>
        </w:rPr>
      </w:pPr>
      <w:r>
        <w:rPr>
          <w:rFonts w:ascii="Arial" w:cs="Arial" w:eastAsia="Arial" w:hAnsi="Arial"/>
          <w:sz w:val="16"/>
          <w:szCs w:val="16"/>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45"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 xml:space="preserve">Microbot Medical Ltd., 6 Hayozma St, Yokneam Illit, 2069024. P.O.B 242, Israel Office: +972-4-8200710 Fax: +972-4-8200712 </w:t>
      </w:r>
      <w:r>
        <w:rPr>
          <w:rFonts w:ascii="Arial" w:cs="Arial" w:eastAsia="Arial" w:hAnsi="Arial"/>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448945</wp:posOffset>
            </wp:positionV>
            <wp:extent cx="1499870" cy="574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jc w:val="both"/>
        <w:ind w:left="780" w:hanging="399"/>
        <w:spacing w:after="0" w:line="273" w:lineRule="auto"/>
        <w:rPr>
          <w:sz w:val="20"/>
          <w:szCs w:val="20"/>
          <w:color w:val="auto"/>
        </w:rPr>
      </w:pPr>
      <w:r>
        <w:rPr>
          <w:rFonts w:ascii="Arial" w:cs="Arial" w:eastAsia="Arial" w:hAnsi="Arial"/>
          <w:sz w:val="17"/>
          <w:szCs w:val="17"/>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78" w:lineRule="exact"/>
        <w:rPr>
          <w:sz w:val="20"/>
          <w:szCs w:val="20"/>
          <w:color w:val="auto"/>
        </w:rPr>
      </w:pPr>
    </w:p>
    <w:p>
      <w:pPr>
        <w:jc w:val="both"/>
        <w:ind w:left="780" w:hanging="399"/>
        <w:spacing w:after="0" w:line="277" w:lineRule="auto"/>
        <w:rPr>
          <w:sz w:val="20"/>
          <w:szCs w:val="20"/>
          <w:color w:val="auto"/>
        </w:rPr>
      </w:pPr>
      <w:r>
        <w:rPr>
          <w:rFonts w:ascii="Arial" w:cs="Arial" w:eastAsia="Arial" w:hAnsi="Arial"/>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3"/>
          </w:tcPr>
          <w:p>
            <w:pPr>
              <w:ind w:left="3480"/>
              <w:spacing w:after="0"/>
              <w:rPr>
                <w:sz w:val="20"/>
                <w:szCs w:val="20"/>
                <w:color w:val="auto"/>
              </w:rPr>
            </w:pPr>
            <w:r>
              <w:rPr>
                <w:rFonts w:ascii="Arial" w:cs="Arial" w:eastAsia="Arial" w:hAnsi="Arial"/>
                <w:sz w:val="18"/>
                <w:szCs w:val="18"/>
                <w:b w:val="1"/>
                <w:bCs w:val="1"/>
                <w:color w:val="auto"/>
                <w:w w:val="95"/>
              </w:rPr>
              <w:t>IN WITNESS WHEREOF</w:t>
            </w:r>
            <w:r>
              <w:rPr>
                <w:rFonts w:ascii="Arial" w:cs="Arial" w:eastAsia="Arial" w:hAnsi="Arial"/>
                <w:sz w:val="18"/>
                <w:szCs w:val="18"/>
                <w:color w:val="auto"/>
                <w:w w:val="95"/>
              </w:rPr>
              <w:t>, the parties execute hereunder:</w:t>
            </w:r>
          </w:p>
        </w:tc>
        <w:tc>
          <w:tcPr>
            <w:tcW w:w="3380" w:type="dxa"/>
            <w:vAlign w:val="bottom"/>
          </w:tcPr>
          <w:p>
            <w:pPr>
              <w:spacing w:after="0"/>
              <w:rPr>
                <w:sz w:val="20"/>
                <w:szCs w:val="20"/>
                <w:color w:val="auto"/>
              </w:rPr>
            </w:pPr>
          </w:p>
        </w:tc>
      </w:tr>
      <w:tr>
        <w:trPr>
          <w:trHeight w:val="452"/>
        </w:trPr>
        <w:tc>
          <w:tcPr>
            <w:tcW w:w="7860" w:type="dxa"/>
            <w:vAlign w:val="bottom"/>
            <w:gridSpan w:val="3"/>
          </w:tcPr>
          <w:p>
            <w:pPr>
              <w:jc w:val="center"/>
              <w:ind w:right="2340"/>
              <w:spacing w:after="0"/>
              <w:rPr>
                <w:sz w:val="20"/>
                <w:szCs w:val="20"/>
                <w:color w:val="auto"/>
              </w:rPr>
            </w:pPr>
            <w:r>
              <w:rPr>
                <w:rFonts w:ascii="Arial" w:cs="Arial" w:eastAsia="Arial" w:hAnsi="Arial"/>
                <w:sz w:val="18"/>
                <w:szCs w:val="18"/>
                <w:i w:val="1"/>
                <w:iCs w:val="1"/>
                <w:color w:val="auto"/>
                <w:w w:val="91"/>
              </w:rPr>
              <w:t>/s/ Naama Moav</w:t>
            </w:r>
          </w:p>
        </w:tc>
        <w:tc>
          <w:tcPr>
            <w:tcW w:w="3380" w:type="dxa"/>
            <w:vAlign w:val="bottom"/>
          </w:tcPr>
          <w:p>
            <w:pPr>
              <w:jc w:val="center"/>
              <w:ind w:right="2050"/>
              <w:spacing w:after="0"/>
              <w:rPr>
                <w:sz w:val="20"/>
                <w:szCs w:val="20"/>
                <w:color w:val="auto"/>
              </w:rPr>
            </w:pPr>
            <w:r>
              <w:rPr>
                <w:rFonts w:ascii="Arial" w:cs="Arial" w:eastAsia="Arial" w:hAnsi="Arial"/>
                <w:sz w:val="18"/>
                <w:szCs w:val="18"/>
                <w:i w:val="1"/>
                <w:iCs w:val="1"/>
                <w:color w:val="auto"/>
                <w:w w:val="93"/>
              </w:rPr>
              <w:t>/s/ Eyal Morag</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Microbot Medical Ltd.</w:t>
            </w:r>
          </w:p>
        </w:tc>
        <w:tc>
          <w:tcPr>
            <w:tcW w:w="22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center"/>
              <w:ind w:right="2030"/>
              <w:spacing w:after="0"/>
              <w:rPr>
                <w:sz w:val="20"/>
                <w:szCs w:val="20"/>
                <w:color w:val="auto"/>
              </w:rPr>
            </w:pPr>
            <w:r>
              <w:rPr>
                <w:rFonts w:ascii="Arial" w:cs="Arial" w:eastAsia="Arial" w:hAnsi="Arial"/>
                <w:sz w:val="18"/>
                <w:szCs w:val="18"/>
                <w:color w:val="auto"/>
                <w:w w:val="94"/>
              </w:rPr>
              <w:t>Eyal Morag</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jc w:val="center"/>
        <w:ind w:left="340" w:right="2540"/>
        <w:spacing w:after="0" w:line="266" w:lineRule="auto"/>
        <w:rPr>
          <w:sz w:val="20"/>
          <w:szCs w:val="20"/>
          <w:color w:val="auto"/>
        </w:rPr>
      </w:pPr>
      <w:r>
        <w:rPr>
          <w:rFonts w:ascii="Arial" w:cs="Arial" w:eastAsia="Arial" w:hAnsi="Arial"/>
          <w:sz w:val="18"/>
          <w:szCs w:val="18"/>
          <w:b w:val="1"/>
          <w:bCs w:val="1"/>
          <w:color w:val="auto"/>
        </w:rPr>
        <w:t xml:space="preserve">Microbot Medical Ltd., 6 Hayozma St, Yokneam Illit, 2069024. P.O.B 242, Israel Office: +972-4-8200710 Fax: +972-4-8200712 </w:t>
      </w:r>
      <w:r>
        <w:rPr>
          <w:rFonts w:ascii="Arial" w:cs="Arial" w:eastAsia="Arial" w:hAnsi="Arial"/>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10320"/>
        <w:spacing w:after="0"/>
        <w:rPr>
          <w:sz w:val="20"/>
          <w:szCs w:val="20"/>
          <w:color w:val="auto"/>
        </w:rPr>
      </w:pPr>
      <w:r>
        <w:rPr>
          <w:rFonts w:ascii="Arial" w:cs="Arial" w:eastAsia="Arial" w:hAnsi="Arial"/>
          <w:sz w:val="16"/>
          <w:szCs w:val="16"/>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168910</wp:posOffset>
            </wp:positionV>
            <wp:extent cx="1499870" cy="574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ADDENDUM TO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and entered into as of May 15,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514519412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34 (B2) Ramhal St., Acco,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5"/>
        </w:trPr>
        <w:tc>
          <w:tcPr>
            <w:tcW w:w="996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12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of the first part</w:t>
            </w:r>
          </w:p>
        </w:tc>
        <w:tc>
          <w:tcPr>
            <w:tcW w:w="0" w:type="dxa"/>
            <w:vAlign w:val="bottom"/>
          </w:tcPr>
          <w:p>
            <w:pPr>
              <w:spacing w:after="0"/>
              <w:rPr>
                <w:sz w:val="1"/>
                <w:szCs w:val="1"/>
                <w:color w:val="auto"/>
              </w:rPr>
            </w:pPr>
          </w:p>
        </w:tc>
      </w:tr>
      <w:tr>
        <w:trPr>
          <w:trHeight w:val="237"/>
        </w:trPr>
        <w:tc>
          <w:tcPr>
            <w:tcW w:w="9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960" w:type="dxa"/>
            <w:vAlign w:val="bottom"/>
          </w:tcPr>
          <w:p>
            <w:pPr>
              <w:spacing w:after="0"/>
              <w:rPr>
                <w:sz w:val="20"/>
                <w:szCs w:val="20"/>
                <w:color w:val="auto"/>
              </w:rPr>
            </w:pPr>
            <w:r>
              <w:rPr>
                <w:rFonts w:ascii="Arial" w:cs="Arial" w:eastAsia="Arial" w:hAnsi="Arial"/>
                <w:sz w:val="18"/>
                <w:szCs w:val="18"/>
                <w:color w:val="auto"/>
              </w:rPr>
              <w:t>Dr. Eyal Morag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Israeli I.D no. 058830084</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960" w:type="dxa"/>
            <w:vAlign w:val="bottom"/>
          </w:tcPr>
          <w:p>
            <w:pPr>
              <w:spacing w:after="0"/>
              <w:rPr>
                <w:sz w:val="20"/>
                <w:szCs w:val="20"/>
                <w:color w:val="auto"/>
              </w:rPr>
            </w:pPr>
            <w:r>
              <w:rPr>
                <w:rFonts w:ascii="Arial" w:cs="Arial" w:eastAsia="Arial" w:hAnsi="Arial"/>
                <w:sz w:val="18"/>
                <w:szCs w:val="18"/>
                <w:color w:val="auto"/>
              </w:rPr>
              <w:t>of Israel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960" w:type="dxa"/>
            <w:vAlign w:val="bottom"/>
          </w:tcPr>
          <w:p>
            <w:pPr>
              <w:spacing w:after="0" w:line="194"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8"/>
                <w:szCs w:val="18"/>
                <w:color w:val="auto"/>
                <w:w w:val="87"/>
              </w:rPr>
              <w:t>of the second part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980" w:hanging="97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,the Employee is employed by the Company in accordance with that certain employment agreement dated February 18, 2020,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addendum thereto (the </w:t>
      </w:r>
      <w:r>
        <w:rPr>
          <w:rFonts w:ascii="Arial" w:cs="Arial" w:eastAsia="Arial" w:hAnsi="Arial"/>
          <w:sz w:val="18"/>
          <w:szCs w:val="18"/>
          <w:b w:val="1"/>
          <w:bCs w:val="1"/>
          <w:color w:val="auto"/>
        </w:rPr>
        <w:t>“Employment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the Company and the Employee have agreed to amend certain terms of the Employee’s employment, effective as of May 15, 2023 (the</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“Interim Period”), as set forth in writing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Prior Notice of Termination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  During the Interim Period, the Advance Notice Period, in case either one of the parties decides to terminate the Employment Agreement (i.e.</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either dismissal or resignation) shall be shortened to ninety (90) days.</w:t>
      </w:r>
    </w:p>
    <w:p>
      <w:pPr>
        <w:spacing w:after="0" w:line="21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780" w:hanging="399"/>
        <w:spacing w:after="0" w:line="311" w:lineRule="auto"/>
        <w:rPr>
          <w:sz w:val="20"/>
          <w:szCs w:val="20"/>
          <w:color w:val="auto"/>
        </w:rPr>
      </w:pPr>
      <w:r>
        <w:rPr>
          <w:rFonts w:ascii="Arial" w:cs="Arial" w:eastAsia="Arial" w:hAnsi="Arial"/>
          <w:sz w:val="16"/>
          <w:szCs w:val="16"/>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49" w:lineRule="exact"/>
        <w:rPr>
          <w:sz w:val="20"/>
          <w:szCs w:val="20"/>
          <w:color w:val="auto"/>
        </w:rPr>
      </w:pPr>
    </w:p>
    <w:p>
      <w:pPr>
        <w:jc w:val="both"/>
        <w:ind w:left="780" w:hanging="399"/>
        <w:spacing w:after="0" w:line="273" w:lineRule="auto"/>
        <w:rPr>
          <w:sz w:val="20"/>
          <w:szCs w:val="20"/>
          <w:color w:val="auto"/>
        </w:rPr>
      </w:pPr>
      <w:r>
        <w:rPr>
          <w:rFonts w:ascii="Arial" w:cs="Arial" w:eastAsia="Arial" w:hAnsi="Arial"/>
          <w:sz w:val="17"/>
          <w:szCs w:val="17"/>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2069204. Israel, P.B 242,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Tel: 972-4-8200710, Fax: 972-4-8200712 </w:t>
      </w:r>
      <w:r>
        <w:rPr>
          <w:rFonts w:ascii="Arial" w:cs="Arial" w:eastAsia="Arial" w:hAnsi="Arial"/>
          <w:sz w:val="18"/>
          <w:szCs w:val="18"/>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448945</wp:posOffset>
            </wp:positionV>
            <wp:extent cx="1499870" cy="574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99870" cy="574040"/>
                    </a:xfrm>
                    <a:prstGeom prst="rect">
                      <a:avLst/>
                    </a:prstGeom>
                    <a:noFill/>
                  </pic:spPr>
                </pic:pic>
              </a:graphicData>
            </a:graphic>
          </wp:anchor>
        </w:drawing>
      </w:r>
    </w:p>
    <w:p>
      <w:pPr>
        <w:ind w:left="780" w:hanging="399"/>
        <w:spacing w:after="0" w:line="277" w:lineRule="auto"/>
        <w:rPr>
          <w:sz w:val="20"/>
          <w:szCs w:val="20"/>
          <w:color w:val="auto"/>
        </w:rPr>
      </w:pPr>
      <w:r>
        <w:rPr>
          <w:rFonts w:ascii="Arial" w:cs="Arial" w:eastAsia="Arial" w:hAnsi="Arial"/>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3"/>
          </w:tcPr>
          <w:p>
            <w:pPr>
              <w:ind w:left="3480"/>
              <w:spacing w:after="0"/>
              <w:rPr>
                <w:sz w:val="20"/>
                <w:szCs w:val="20"/>
                <w:color w:val="auto"/>
              </w:rPr>
            </w:pPr>
            <w:r>
              <w:rPr>
                <w:rFonts w:ascii="Arial" w:cs="Arial" w:eastAsia="Arial" w:hAnsi="Arial"/>
                <w:sz w:val="18"/>
                <w:szCs w:val="18"/>
                <w:b w:val="1"/>
                <w:bCs w:val="1"/>
                <w:color w:val="auto"/>
                <w:w w:val="95"/>
              </w:rPr>
              <w:t>IN WITNESS WHEREOF</w:t>
            </w:r>
            <w:r>
              <w:rPr>
                <w:rFonts w:ascii="Arial" w:cs="Arial" w:eastAsia="Arial" w:hAnsi="Arial"/>
                <w:sz w:val="18"/>
                <w:szCs w:val="18"/>
                <w:color w:val="auto"/>
                <w:w w:val="95"/>
              </w:rPr>
              <w:t>, the parties execute hereunder:</w:t>
            </w:r>
          </w:p>
        </w:tc>
        <w:tc>
          <w:tcPr>
            <w:tcW w:w="3380" w:type="dxa"/>
            <w:vAlign w:val="bottom"/>
          </w:tcPr>
          <w:p>
            <w:pPr>
              <w:spacing w:after="0"/>
              <w:rPr>
                <w:sz w:val="20"/>
                <w:szCs w:val="20"/>
                <w:color w:val="auto"/>
              </w:rPr>
            </w:pPr>
          </w:p>
        </w:tc>
      </w:tr>
      <w:tr>
        <w:trPr>
          <w:trHeight w:val="453"/>
        </w:trPr>
        <w:tc>
          <w:tcPr>
            <w:tcW w:w="7860" w:type="dxa"/>
            <w:vAlign w:val="bottom"/>
            <w:gridSpan w:val="3"/>
          </w:tcPr>
          <w:p>
            <w:pPr>
              <w:jc w:val="center"/>
              <w:ind w:right="2340"/>
              <w:spacing w:after="0"/>
              <w:rPr>
                <w:sz w:val="20"/>
                <w:szCs w:val="20"/>
                <w:color w:val="auto"/>
              </w:rPr>
            </w:pPr>
            <w:r>
              <w:rPr>
                <w:rFonts w:ascii="Arial" w:cs="Arial" w:eastAsia="Arial" w:hAnsi="Arial"/>
                <w:sz w:val="18"/>
                <w:szCs w:val="18"/>
                <w:i w:val="1"/>
                <w:iCs w:val="1"/>
                <w:color w:val="auto"/>
                <w:w w:val="91"/>
              </w:rPr>
              <w:t>/s/ Naama Moav</w:t>
            </w:r>
          </w:p>
        </w:tc>
        <w:tc>
          <w:tcPr>
            <w:tcW w:w="3380" w:type="dxa"/>
            <w:vAlign w:val="bottom"/>
          </w:tcPr>
          <w:p>
            <w:pPr>
              <w:jc w:val="center"/>
              <w:ind w:right="2050"/>
              <w:spacing w:after="0"/>
              <w:rPr>
                <w:sz w:val="20"/>
                <w:szCs w:val="20"/>
                <w:color w:val="auto"/>
              </w:rPr>
            </w:pPr>
            <w:r>
              <w:rPr>
                <w:rFonts w:ascii="Arial" w:cs="Arial" w:eastAsia="Arial" w:hAnsi="Arial"/>
                <w:sz w:val="18"/>
                <w:szCs w:val="18"/>
                <w:i w:val="1"/>
                <w:iCs w:val="1"/>
                <w:color w:val="auto"/>
                <w:w w:val="93"/>
              </w:rPr>
              <w:t>/s/ Eyal Morag</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Microbot Medical Ltd.</w:t>
            </w:r>
          </w:p>
        </w:tc>
        <w:tc>
          <w:tcPr>
            <w:tcW w:w="22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center"/>
              <w:ind w:right="2030"/>
              <w:spacing w:after="0"/>
              <w:rPr>
                <w:sz w:val="20"/>
                <w:szCs w:val="20"/>
                <w:color w:val="auto"/>
              </w:rPr>
            </w:pPr>
            <w:r>
              <w:rPr>
                <w:rFonts w:ascii="Arial" w:cs="Arial" w:eastAsia="Arial" w:hAnsi="Arial"/>
                <w:sz w:val="18"/>
                <w:szCs w:val="18"/>
                <w:b w:val="1"/>
                <w:bCs w:val="1"/>
                <w:color w:val="auto"/>
                <w:w w:val="93"/>
              </w:rPr>
              <w:t>Eyal Morag</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6 HaYozma St, Yokneam, 2069204. Israel, P.B 242,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Tel: 972-4-8200710, Fax: 972-4-8200712 </w:t>
      </w:r>
      <w:r>
        <w:rPr>
          <w:rFonts w:ascii="Arial" w:cs="Arial" w:eastAsia="Arial" w:hAnsi="Arial"/>
          <w:sz w:val="18"/>
          <w:szCs w:val="18"/>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168910</wp:posOffset>
            </wp:positionV>
            <wp:extent cx="2143125" cy="822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Microbot Medical Achieved 100% Success Rate for LIBERTY in Extensive Pre-Clinical Animal Study Performed by Leading European Physicians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 team of six leading European interventional radiologists used the LIBERTY</w:t>
      </w:r>
      <w:r>
        <w:rPr>
          <w:rFonts w:ascii="Arial" w:cs="Arial" w:eastAsia="Arial" w:hAnsi="Arial"/>
          <w:sz w:val="33"/>
          <w:szCs w:val="33"/>
          <w:i w:val="1"/>
          <w:iCs w:val="1"/>
          <w:color w:val="auto"/>
          <w:vertAlign w:val="superscript"/>
        </w:rPr>
        <w:t>®</w:t>
      </w:r>
      <w:r>
        <w:rPr>
          <w:rFonts w:ascii="Arial" w:cs="Arial" w:eastAsia="Arial" w:hAnsi="Arial"/>
          <w:sz w:val="17"/>
          <w:szCs w:val="17"/>
          <w:i w:val="1"/>
          <w:iCs w:val="1"/>
          <w:color w:val="auto"/>
        </w:rPr>
        <w:t xml:space="preserve"> Surgical Robotic System and performed a total of 48 catheterizations</w:t>
      </w:r>
    </w:p>
    <w:p>
      <w:pPr>
        <w:spacing w:after="0" w:line="12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HINGHAM, Mass., May 22, 2023 </w:t>
      </w:r>
      <w:r>
        <w:rPr>
          <w:rFonts w:ascii="Arial" w:cs="Arial" w:eastAsia="Arial" w:hAnsi="Arial"/>
          <w:sz w:val="18"/>
          <w:szCs w:val="18"/>
          <w:color w:val="auto"/>
        </w:rPr>
        <w:t>– Microbot Medical Inc. (Nasdaq: MBOT), the developer of the LIBERTY</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Surgical Robotic System, the first single-use endovascular robotic system, today announced a highly successful extended joint pre-clinical animal study held at a leading European-based research lab.</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team of six leading European interventional radiologists utilized the system and performed a total of 48 catheterizations to pre-determined vascular targets including distal branches of hepatic, gastric, splenic, mesenteric, renal, and hypogastric arteries, with a 100% success rate of reaching the intended target.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real-time user feedback, the interventional radiologists found the system intuitive, easy to set up and use, and were impressed with the ability to control procedures remotely via the LIBERTY Robotic System’s remote controller.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the multi-day study continue to validate LIBERTY and is further evidence that the on-going adjustments we have made will ensure the safety and efficacy of the system as we plan to enter the human clinical phase during the second half of the year,” commented Dr. Eyal Morag, Chief Medical Officer.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this, along with other expected opportunities for peer-reviewed publications, will lay the foundation of showing the significant benefits LIBERTY is expected to bring when commercialized and helping to accelerate early adoption.” added Dr. Eyal Morag.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plans on performing pre-clinical studies in the U.S. and other target markets, as well as first-in-human case in markets outside the U.S. in preparation for the continued progression toward commercialization of the LIBERTY Surgical Robotic System.</w:t>
      </w:r>
    </w:p>
    <w:p>
      <w:pPr>
        <w:spacing w:after="0" w:line="170"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auto"/>
        </w:rPr>
        <w:t>The 48 successful catheterizations are part of the Company’s recent announcement regarding surpassing 100</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catheterization during multiple pre-clinical studies, with a 95% success rate of reaching pre-determined vascular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448945</wp:posOffset>
            </wp:positionV>
            <wp:extent cx="2143125" cy="822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8229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2023-05-22T07:34:04Z</dcterms:created>
  <dcterms:modified xsi:type="dcterms:W3CDTF">2023-05-22T07:34:04Z</dcterms:modified>
</cp:coreProperties>
</file>