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No. 333-276487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047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1,769,966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sale or other disposition from time to time of up to 1,769,966 shares of our common stock, $0.01 par value per share, representing shares issuable upon the exercise of outstanding preferred investment options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66.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ticker symbol “MBOT.” On January 24, 2024, the last reported closing price of our common stock on the Nasdaq Capital Market was $1.28.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January 25, 2024.</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70" w:type="dxa"/>
            <w:tcBorders/>
            <w:shd w:fill="CCEEFF" w:val="clear"/>
            <w:vAlign w:val="center"/>
          </w:tcPr>
          <w:p>
            <w:pPr>
              <w:pStyle w:val="TableContents"/>
              <w:bidi w:val="0"/>
              <w:spacing w:before="0" w:after="283"/>
              <w:jc w:val="left"/>
              <w:rPr/>
            </w:pPr>
            <w:hyperlink w:anchor="p_012">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left"/>
              <w:rPr/>
            </w:pPr>
            <w:hyperlink w:anchor="p_013">
              <w:r>
                <w:rPr>
                  <w:rStyle w:val="InternetLink"/>
                  <w:rFonts w:ascii="Times New Roman;Times;Serif" w:hAnsi="Times New Roman;Times;Serif"/>
                  <w:b w:val="false"/>
                  <w:i w:val="false"/>
                  <w:caps w:val="false"/>
                  <w:smallCaps w:val="false"/>
                  <w:sz w:val="20"/>
                </w:rPr>
                <w:t>RISK FACTOR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470" w:type="dxa"/>
            <w:tcBorders/>
            <w:shd w:fill="CCEEFF" w:val="clear"/>
            <w:vAlign w:val="center"/>
          </w:tcPr>
          <w:p>
            <w:pPr>
              <w:pStyle w:val="TableContents"/>
              <w:bidi w:val="0"/>
              <w:spacing w:before="0" w:after="283"/>
              <w:jc w:val="left"/>
              <w:rPr/>
            </w:pPr>
            <w:hyperlink w:anchor="p_014">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470" w:type="dxa"/>
            <w:tcBorders/>
            <w:shd w:fill="FFFFFF" w:val="clear"/>
            <w:vAlign w:val="center"/>
          </w:tcPr>
          <w:p>
            <w:pPr>
              <w:pStyle w:val="TableContents"/>
              <w:bidi w:val="0"/>
              <w:spacing w:before="0" w:after="283"/>
              <w:jc w:val="left"/>
              <w:rPr/>
            </w:pPr>
            <w:hyperlink w:anchor="p_015">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70" w:type="dxa"/>
            <w:tcBorders/>
            <w:shd w:fill="CCEEFF" w:val="clear"/>
            <w:vAlign w:val="center"/>
          </w:tcPr>
          <w:p>
            <w:pPr>
              <w:pStyle w:val="TableContents"/>
              <w:bidi w:val="0"/>
              <w:spacing w:before="0" w:after="283"/>
              <w:jc w:val="left"/>
              <w:rPr/>
            </w:pPr>
            <w:hyperlink w:anchor="p_016">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470" w:type="dxa"/>
            <w:tcBorders/>
            <w:shd w:fill="FFFFFF" w:val="clear"/>
            <w:vAlign w:val="center"/>
          </w:tcPr>
          <w:p>
            <w:pPr>
              <w:pStyle w:val="TableContents"/>
              <w:bidi w:val="0"/>
              <w:spacing w:before="0" w:after="283"/>
              <w:jc w:val="left"/>
              <w:rPr/>
            </w:pPr>
            <w:hyperlink w:anchor="p_017">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70" w:type="dxa"/>
            <w:tcBorders/>
            <w:shd w:fill="CCEEFF" w:val="clear"/>
            <w:vAlign w:val="center"/>
          </w:tcPr>
          <w:p>
            <w:pPr>
              <w:pStyle w:val="TableContents"/>
              <w:bidi w:val="0"/>
              <w:spacing w:before="0" w:after="283"/>
              <w:jc w:val="left"/>
              <w:rPr/>
            </w:pPr>
            <w:hyperlink w:anchor="p_018">
              <w:r>
                <w:rPr>
                  <w:rStyle w:val="InternetLink"/>
                  <w:rFonts w:ascii="Times New Roman;Times;Serif" w:hAnsi="Times New Roman;Times;Serif"/>
                  <w:b w:val="false"/>
                  <w:i w:val="false"/>
                  <w:caps w:val="false"/>
                  <w:smallCaps w:val="false"/>
                  <w:sz w:val="20"/>
                </w:rPr>
                <w:t>MARKET FOR COMMON STOCK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470" w:type="dxa"/>
            <w:tcBorders/>
            <w:shd w:fill="FFFFFF" w:val="clear"/>
            <w:vAlign w:val="center"/>
          </w:tcPr>
          <w:p>
            <w:pPr>
              <w:pStyle w:val="TableContents"/>
              <w:bidi w:val="0"/>
              <w:spacing w:before="0" w:after="283"/>
              <w:jc w:val="left"/>
              <w:rPr/>
            </w:pPr>
            <w:hyperlink w:anchor="p_020">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470" w:type="dxa"/>
            <w:tcBorders/>
            <w:shd w:fill="CCEEFF" w:val="clear"/>
            <w:vAlign w:val="center"/>
          </w:tcPr>
          <w:p>
            <w:pPr>
              <w:pStyle w:val="TableContents"/>
              <w:bidi w:val="0"/>
              <w:spacing w:before="0" w:after="283"/>
              <w:jc w:val="left"/>
              <w:rPr/>
            </w:pPr>
            <w:hyperlink w:anchor="p_02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470" w:type="dxa"/>
            <w:tcBorders/>
            <w:shd w:fill="FFFFFF" w:val="clear"/>
            <w:vAlign w:val="center"/>
          </w:tcPr>
          <w:p>
            <w:pPr>
              <w:pStyle w:val="TableContents"/>
              <w:bidi w:val="0"/>
              <w:spacing w:before="0" w:after="283"/>
              <w:jc w:val="left"/>
              <w:rPr/>
            </w:pPr>
            <w:hyperlink w:anchor="bs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70" w:type="dxa"/>
            <w:tcBorders/>
            <w:shd w:fill="CCEEFF" w:val="clear"/>
            <w:vAlign w:val="center"/>
          </w:tcPr>
          <w:p>
            <w:pPr>
              <w:pStyle w:val="TableContents"/>
              <w:bidi w:val="0"/>
              <w:spacing w:before="0" w:after="283"/>
              <w:jc w:val="left"/>
              <w:rPr/>
            </w:pPr>
            <w:hyperlink w:anchor="p_022">
              <w:r>
                <w:rPr>
                  <w:rStyle w:val="InternetLink"/>
                  <w:rFonts w:ascii="Times New Roman;Times;Serif" w:hAnsi="Times New Roman;Times;Serif"/>
                  <w:b w:val="false"/>
                  <w:i w:val="false"/>
                  <w:caps w:val="false"/>
                  <w:smallCaps w:val="false"/>
                  <w:sz w:val="20"/>
                </w:rPr>
                <w:t>BUSINESS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470" w:type="dxa"/>
            <w:tcBorders/>
            <w:shd w:fill="FFFF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BOARD OF DIRECTORS AND MANAGEMENT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470"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EXECUTIVE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470" w:type="dxa"/>
            <w:tcBorders/>
            <w:shd w:fill="FFFFFF" w:val="clear"/>
            <w:vAlign w:val="center"/>
          </w:tcPr>
          <w:p>
            <w:pPr>
              <w:pStyle w:val="TableContents"/>
              <w:bidi w:val="0"/>
              <w:spacing w:before="0" w:after="283"/>
              <w:jc w:val="left"/>
              <w:rPr/>
            </w:pPr>
            <w:hyperlink w:anchor="d_012">
              <w:r>
                <w:rPr>
                  <w:rStyle w:val="InternetLink"/>
                  <w:rFonts w:ascii="Times New Roman;Times;Serif" w:hAnsi="Times New Roman;Times;Serif"/>
                  <w:b w:val="false"/>
                  <w:i w:val="false"/>
                  <w:caps w:val="false"/>
                  <w:smallCaps w:val="false"/>
                  <w:sz w:val="20"/>
                </w:rPr>
                <w:t>CERTAIN RELATIONSHIPS AND RELATED TRANSACTIONS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470" w:type="dxa"/>
            <w:tcBorders/>
            <w:shd w:fill="CCEEFF" w:val="clear"/>
            <w:vAlign w:val="center"/>
          </w:tcPr>
          <w:p>
            <w:pPr>
              <w:pStyle w:val="TableContents"/>
              <w:bidi w:val="0"/>
              <w:spacing w:before="0" w:after="283"/>
              <w:jc w:val="left"/>
              <w:rPr/>
            </w:pPr>
            <w:hyperlink w:anchor="d_011">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470" w:type="dxa"/>
            <w:tcBorders/>
            <w:shd w:fill="FFFFFF" w:val="clear"/>
            <w:vAlign w:val="center"/>
          </w:tcPr>
          <w:p>
            <w:pPr>
              <w:pStyle w:val="TableContents"/>
              <w:bidi w:val="0"/>
              <w:spacing w:before="0" w:after="283"/>
              <w:jc w:val="left"/>
              <w:rPr/>
            </w:pPr>
            <w:hyperlink w:anchor="d_010">
              <w:r>
                <w:rPr>
                  <w:rStyle w:val="InternetLink"/>
                  <w:rFonts w:ascii="Times New Roman;Times;Serif" w:hAnsi="Times New Roman;Times;Serif"/>
                  <w:b w:val="false"/>
                  <w:i w:val="false"/>
                  <w:caps w:val="false"/>
                  <w:smallCaps w:val="false"/>
                  <w:sz w:val="20"/>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470" w:type="dxa"/>
            <w:tcBorders/>
            <w:shd w:fill="CCEEFF" w:val="clear"/>
            <w:vAlign w:val="center"/>
          </w:tcPr>
          <w:p>
            <w:pPr>
              <w:pStyle w:val="TableContents"/>
              <w:bidi w:val="0"/>
              <w:spacing w:before="0" w:after="283"/>
              <w:jc w:val="left"/>
              <w:rPr/>
            </w:pPr>
            <w:hyperlink w:anchor="d_009">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470" w:type="dxa"/>
            <w:tcBorders/>
            <w:shd w:fill="FFFFFF" w:val="clear"/>
            <w:vAlign w:val="center"/>
          </w:tcPr>
          <w:p>
            <w:pPr>
              <w:pStyle w:val="TableContents"/>
              <w:bidi w:val="0"/>
              <w:spacing w:before="0" w:after="283"/>
              <w:jc w:val="left"/>
              <w:rPr/>
            </w:pPr>
            <w:hyperlink w:anchor="d_008">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470" w:type="dxa"/>
            <w:tcBorders/>
            <w:shd w:fill="CCEEFF" w:val="clear"/>
            <w:vAlign w:val="center"/>
          </w:tcPr>
          <w:p>
            <w:pPr>
              <w:pStyle w:val="TableContents"/>
              <w:bidi w:val="0"/>
              <w:spacing w:before="0" w:after="283"/>
              <w:jc w:val="left"/>
              <w:rPr/>
            </w:pPr>
            <w:hyperlink w:anchor="d_007">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470" w:type="dxa"/>
            <w:tcBorders/>
            <w:shd w:fill="FFFF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FFFF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left"/>
              <w:rPr/>
            </w:pPr>
            <w:hyperlink w:anchor="ap_006">
              <w:r>
                <w:rPr>
                  <w:rStyle w:val="InternetLink"/>
                  <w:rFonts w:ascii="Times New Roman;Times;Serif" w:hAnsi="Times New Roman;Times;Serif"/>
                  <w:b w:val="false"/>
                  <w:i w:val="false"/>
                  <w:caps w:val="false"/>
                  <w:smallCaps w:val="false"/>
                  <w:sz w:val="20"/>
                </w:rPr>
                <w:t>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_012"/>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carefully read this prospectus and any prospectus supplement, together with the information as described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U.S. federal trademark registrations and applications, and unregistered trademarks and servicemarks, including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p_013"/>
      <w:bookmarkEnd w:id="3"/>
      <w:r>
        <w:rPr>
          <w:rFonts w:ascii="Times New Roman;Times;Serif" w:hAnsi="Times New Roman;Times;Serif"/>
          <w:b/>
          <w:i w:val="false"/>
          <w:caps w:val="false"/>
          <w:smallCaps w:val="false"/>
          <w:sz w:val="20"/>
        </w:rPr>
        <w:t>RISK FACTOR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risks that could adversely affect our business, operations, and financial results. A more thorough discussion of these and other risks are listed under the section entitled “Risk Factors” commencing on 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regarding on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litigation, which may divert management’s attention and, in the event of an adverse judgment or settlement for some or all of the $6,750,000 being litigated, will have a material adverse effect on our financial condition and our ability to continue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limited operating history outside of being a research and development-stage company, which may make it difficult to evaluate the prospects for the Company’s future viability.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will need additional funding. If Microbot is unable to raise capital when needed, it could be forced to delay, reduce or eliminate its product development programs or commercialization efforts.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Development and Commercialization of Microbot’s Product Candidates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Unsuccessful animal studies, clinical trials or procedures relating to product candidates under development could have a material adverse effect on Microbot’s prospects.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depends heavily on the success of its sole lead product candidate,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If Microbot is unable to commercialize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experiences significant delays in doing so, Microbot’s business will be materially harmed.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Microbot’s research and development efforts are uncertain and there can be no assurance of the commercial success of Microbot’s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expand its technology platforms for other uses may be limited.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Microbot does not know the extent of the clinical trial that the FDA will require it to submit in support of its future marketing applications for its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product candidate, which creates uncertainty for Microbot as well as the possibility of increased product development costs and time to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technology acquired from CardioSert and part of its One &amp; Done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feature is subject to a buy-back clause which, if triggered, could cause us to lose rights to the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commercial opportunity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any other commercial products that may be developed by Microbot is smaller than Microbot anticipates, Microbot’s future revenue from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such other products will be adversely affected and Microbot’s business will suffer.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will be unlikely to buy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candidates unless Microbot can demonstrate that they can be produced for sale to consumers at attractive prices.</w:t>
            </w:r>
          </w:p>
        </w:tc>
      </w:tr>
    </w:tbl>
    <w:p>
      <w:pPr>
        <w:pStyle w:val="TextBody"/>
        <w:bidi w:val="0"/>
        <w:spacing w:before="0" w:after="0"/>
        <w:ind w:left="720" w:right="0" w:hanging="36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relied on, and intends to continue to rely on, third-party manufacturers to produce its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Microbot’s product candidates are not considered to be a safe and effective alternative to existing technologies, Microbot will not be commercially successful.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may be subject to penalties and may be precluded from marketing its product candidates if Microbot fails to comply with extensive governmental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outcome studies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may not provide sufficient data to make Microbot’s product candidates the standard of care.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products may in the future be subject to mandatory product recalls that could harm its reputation, business and financial results.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Microbot’s future commercialized products cause or contribute to a death or a serious injury, Microbot will be subject to Medical Device Reporting regulations, which can result in voluntary corrective actions or agency enforcement actions.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could be exposed to significant liability claims if Microbot is unable to obtain insurance at acceptable costs and adequate levels or otherwise protect itself against potential product liability claims.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fails to retain certain of its key personnel and attract and retain additional qualified personnel, Microbot might not be able to pursue its growth strategy effectively.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International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fails to obtain regulatory clearances in other countries for its product candidates under development, Microbot will not be able to commercialize these product candidates in those countries.</w:t>
            </w:r>
          </w:p>
        </w:tc>
      </w:tr>
    </w:tbl>
    <w:p>
      <w:pPr>
        <w:pStyle w:val="TextBody"/>
        <w:bidi w:val="0"/>
        <w:spacing w:before="0" w:after="0"/>
        <w:ind w:left="720" w:right="0" w:hanging="36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operations in international markets involve inherent risks that Microbot may not be able to control.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Intellectual Property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may not meet its product candidates’ development and commercialization objectives in a timely manner or at all.</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litigation and infringement claims could cause Microbot to incur significant expenses or prevent Microbot from selling certain of its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and historical risks relating to our operations in Israel are being exacerbated by the current military actions and operations, and related activities, that commenced with the surprise attack on the State of Israel on October 7,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facilities located in Israel, and therefore, political conditions in Israel may affect Microbot’s operations and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relations could limit Microbot’s ability to sell or buy internationally.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Israel’s economy may become unstable.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between the U.S. dollar and the NIS currencies may negatively affect Microbot’s operating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and other benefits provided by Israeli government programs may be terminated or reduced in the future and the terms of such funding may have a significant impact on future corporate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Microbot’s employees are obligated to perform military reserve duty in Israel.</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Risks </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exercise of outstanding warrants and options could cause immediate and substantial dilution to existing stockholders.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p_014"/>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we are developing the first ever fully disposable robot for various endovascular interventional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26, 2024 (the “Effective Date”), we entered into a Settlement Agreement and Release with Empery Asset Master Ltd., Empery Tax Efficient, LP, Empery Tax Efficient III, LP and Hudson Bay Master Fund Ltd. (collectively, “Plaintiffs”), which resolved and settled the lawsuit captioned </w:t>
      </w:r>
      <w:r>
        <w:rPr>
          <w:rFonts w:ascii="Times New Roman;Times;Serif" w:hAnsi="Times New Roman;Times;Serif"/>
          <w:b w:val="false"/>
          <w:i/>
          <w:caps w:val="false"/>
          <w:smallCaps w:val="false"/>
          <w:sz w:val="20"/>
        </w:rPr>
        <w:t>Empery Asset Master Ltd., Empery Tax Efficient, LP, Empery Tax Efficient II, LP, Hudson Bay Master Fund Ltd., Plaintiffs, against Microbot Medical Inc., Defendant</w:t>
      </w:r>
      <w:r>
        <w:rPr>
          <w:rFonts w:ascii="Times New Roman;Times;Serif" w:hAnsi="Times New Roman;Times;Serif"/>
          <w:b w:val="false"/>
          <w:i w:val="false"/>
          <w:caps w:val="false"/>
          <w:smallCaps w:val="false"/>
          <w:sz w:val="20"/>
        </w:rPr>
        <w:t>, in the Supreme Court of the State of New York, County of New York (Index No. 651182/2020), pursuant to which the Plaintiffs alleged, among other things, that we breached multiple representations and warranties contained in the Securities Purchase Agreement related to our June 8, 2017 equity financing, and fraudulently induced the Plaintiffs into signing the Securities Purchase Agreement. The complaint sought rescission of the Securities Purchase Agreement and return of the Plaintiffs’ $6.75 million purchase price with respect to the 2017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we agreed to pay the Plaintiffs $2,154,000 (the “Total Settlement Amount”), consisting of a cash payment covered by our insurance carrier of $1,100,000 and 1,005,965 shares of restricted common stock which represent the whole number of restricted shares of our common stock calculated pursuant to the following formula: $1,054,000/[closing price of common stock on the Effective Date * 0.825]. Additionally, the Plaintiffs and the Company each agreed to fully release the other from all claims arising out of the 2017 financing, the Securities Purchase Agreement and/or the allegations and claims asserted in the lawsuit, subject to customary carve-outs.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agreed, pursuant to a Registration Rights Agreement, to file a registration statement on Form S-1 or Form S-3 covering the resale of the 1,005,965 shares, within 30 calendar days following the Effective Date, and to use reasonable best efforts to have such registration statement declared effective by the Securities and Exchange Commission within 60 days (or, in the event of a “full review” by the Securities and Exchange Commission, within 90 days) following the Effective Date. We shall be required to make cash payments to the Plaintiffs in the event we fail to register the shares and keep the registration statement effective pursuant to the terms of the Registration Rights Agreement, and if we fail to remove the restrictions on the shares pursuant to the terms of the Settlement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three business days of the Plaintiffs’ receipt of the Total Settlement Amount, the Plaintiffs will file a stipulation discontinuing the Lawsuit with prejudice.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Investment Option Inducement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at the closing on January 3, 2024 the Stockholders exercised for cash their Existing Investment Options to purchase an aggregate of 1,685,682 shares of the Company’s Common Stock, at a reduced exercised price of $1.62 per share, in consideration for the Company’s issuance of new preferred investment option (the “Inducement Investment Option”) to purchase up to an aggregate of 1,685,682 shares of the Company’s Common Stock at an exercise price of $1.50 per share. The Inducement Investment Options are immediately exercisable from the date of issuance until 5.5 years following the date of issuance. No other changes to the Existing Investment Options were made. We received gross proceeds from the transaction of approximately $2.73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H.C. Wainwright &amp; Co., LLC (“Wainwright”) to act as its exclusive placement agent in connection with the transactions contemplated by the Inducement Letter pursuant to an engagement letter, dated October 24, 2023 (the “Engagement Letter”) and paid Wainwright a cash fee equal to 7.0% of the gross proceeds received from the exercise of the Existing Investment Options as well as a management fee equal to 1.0% of the gross proceeds from the exercise of the Existing Investment Options. The Company also paid Wainwright $60,000 for non-accountable expenses, and $15,950 for clearing fees. The Company also agreed to issue to Wainwright or its designees preferred investment options (the “Placement Agent Investment Options,” and such shares of common stock issuable thereunder, the “Placement Agent Investment Option Shares”)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ending January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Inducement Letter, the Company agreed not to effect or agree to effect any variable rate transaction (as defined in the Inducement Letter) until the six month anniversary of January 3, 2024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Inducement Investment Option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Inducement Investment Option has an exercise price equal to $1.50 per share. The Inducement Investment Options are immediately exercisable from the date of issuance until five and one-half years following the date of issuance. The exercise price and number of shares of common stock issuable upon exercise is subject to appropriate adjustment in the event of stock dividends, stock splits, subsequent rights offerings, pro rate distributions, reorganizations, a Fundamental Transaction (as defined in the Inducement Investment Options) or similar events affecting our common stock and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Inducement Investment Options are exercisable, at the option of each holder, in whole or in part, by delivering to the Company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Inducement Investment Options to the extent that the holder would own more than 4.99% (or, 9.99% at the election of the holder prior to issuance) of the outstanding common stock immediately after exercise, except that upon at least 61 days’ prior notice from the holder to the Company, the holder may increase the amount of ownership of outstanding stock after exercising the holder’s Inducement Investment Options up to 9.99% of the number of shares of the Company’s common stock outstanding immediately after giving effect to the exercise, as such percentage ownership is determined in accordance with the terms of the Inducement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Inducement Investment Options, a registration statement registering the resale of the Inducement Investment Option Shares by the holder under the Securities Act of 1933, as amended,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Inducement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Inducement Investment Options or by virtue of the holder’s ownership of shares of our common stock, such holder of Inducement Investment Options does not have the rights or privileges of a holder of our common stock, including any voting rights, until such holder exercises such holder’s Inducement Investment Options. The Inducement Investment Options provide that the holders of the Inducement Investment Options have the right to participate in distributions or dividends paid on the Company’s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Inducement Investment Options are outstanding, the Company, either directly or indirectly, in one or more related transactions effects a Fundamental Transaction (as defined in the Inducement Investment Options), a holder of Inducement Investment Options will be entitled to receive, upon exercise of the Inducement Investment Options, the kind and amount of securities, cash or other property that such holder would have received had they exercised the Inducement Investment Options immediately prior to the Fundamental Transaction. As an alternative, and at the Holder’s option in the event of a Fundamental Transaction, exercisable at any time concurrently with, or within 30 days after, the consummation of the Fundamental Transaction (or, if later, the date of the public announcement of the applicable fundamental transaction), the Company shall purchase the unexercised portion of the Inducement Investment Option from the holder by paying to the holder an amount of cash equal to the Black Scholes Value (as defined in the Inducement Investment Option) of the remaining unexercised portion of the Inducement Investment Option on the date of the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Dr. Juan Diaz-Cartelle as CMO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2023, Dr. Juan Diaz-Cartelle commenced as our new Chief Medical Officer. As CMO, Dr. Diaz-Cartelle will lead the development and execution of the clinical strategy of the Company, including its planned clinical trials for the LIBERTY Endovascular Robotic Surgical System in the U.S., our medical affairs activity, and will be an integral part of the team leading our regulatory process with the FDA and commercial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Core-Business Focus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the Board of Directors of the Company authorized, and the Company commenced, a core-business focus program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This core-business focus program includes the cessation of research and development activities not related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including terminating the Company’s agreement with CardioSert for that technology, and returning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Reduction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core-business focus program described above, the Board of Directors of the Company authorized, and the Company commenced, a cost reduction plan while the Company seeks to raise additional capital to continue development of the LIBERTY 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2023 and in January 2024, we raised sufficient capital that, together with the savings from the cost reduction plan, has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the V&amp;V study and first-in-human trials are not promising, the Company may be forced to take more drastic actions to conserve capital or shut down operations entirely.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First-In-Human Clinical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2024, we submitted an Investigational Device Exemption (IDE) application with the U.S. Food and Drug Administration, in order to commence its pivotal clinical trial in humans.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w:t>
      </w:r>
      <w:r>
        <w:rPr>
          <w:rFonts w:ascii="Times New Roman;Times;Serif" w:hAnsi="Times New Roman;Times;Serif"/>
          <w:b w:val="false"/>
          <w:i w:val="false"/>
          <w:caps w:val="false"/>
          <w:smallCaps w:val="false"/>
          <w:position w:val="8"/>
          <w:sz w:val="20"/>
          <w:sz w:val="25"/>
        </w:rPr>
        <w:t xml:space="preserve">® </w:t>
      </w:r>
      <w:r>
        <w:rPr>
          <w:rFonts w:ascii="Times New Roman;Times;Serif" w:hAnsi="Times New Roman;Times;Serif"/>
          <w:b w:val="false"/>
          <w:i w:val="false"/>
          <w:caps w:val="false"/>
          <w:smallCaps w:val="false"/>
          <w:sz w:val="20"/>
        </w:rPr>
        <w:t>Endovascular Robotic Surgical System, we decided not to pursue First-In-Human trials or cases outside of the United States at this time to avoid conflict with our FDA submission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addressable markets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are the Interventional Cardiology, Interventional Radiology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 compact, mobile, disposable and remotely controlled - open the opportunity of expanding telerobotic interventions to patients with limited access to life-saving procedures, such as mechanical thrombectomy in ischemic stroke.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bl>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and only fully disposable, robotic system for endovascular procedures.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 – Can be made compatible with Microbot’s NitiLoop’s NovaCross products or possibly other guidewire/microcatheter technologies, that combines guidewire and microcatheter into a single device.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“over the wire” device.</w:t>
            </w:r>
          </w:p>
        </w:tc>
      </w:tr>
    </w:tbl>
    <w:p>
      <w:pPr>
        <w:pStyle w:val="TextBody"/>
        <w:bidi w:val="0"/>
        <w:spacing w:before="0" w:after="0"/>
        <w:ind w:left="720" w:right="0" w:hanging="36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The intuitive remote controls aims to simplify advanced procedures while shortening the physician’s learning curve.</w:t>
            </w:r>
          </w:p>
        </w:tc>
      </w:tr>
    </w:tbl>
    <w:p>
      <w:pPr>
        <w:pStyle w:val="TextBody"/>
        <w:bidi w:val="0"/>
        <w:spacing w:before="0" w:after="0"/>
        <w:ind w:left="720" w:right="0" w:hanging="36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7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to address certain neurovascular procedures. The activities contemplated by the Agreement shall be specified in one or more development plans derived from the terms and conditions set forth in the Agreement. The parties conducted discussions in the past to define the development plan, but as of the date of this prospectus no specific action plan was developed and are considering next steps.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we achieved design freeze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2022, we filed our pre-submission package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with the FDA, addressing the regulatory pathway for the LIBERTY Endovascular Robotic Surgical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pivotal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 reach a total of 48 animal targets. A total of 6 LIBERTY Systems were used in the study. All 6 LIBERTY</w:t>
      </w:r>
      <w:r>
        <w:rPr>
          <w:rFonts w:ascii="Times New Roman;Times;Serif" w:hAnsi="Times New Roman;Times;Serif"/>
          <w:b w:val="false"/>
          <w:i w:val="false"/>
          <w:caps w:val="false"/>
          <w:smallCaps w:val="false"/>
          <w:position w:val="8"/>
          <w:sz w:val="20"/>
          <w:sz w:val="25"/>
        </w:rPr>
        <w:t xml:space="preserve">® </w:t>
      </w:r>
      <w:r>
        <w:rPr>
          <w:rFonts w:ascii="Times New Roman;Times;Serif" w:hAnsi="Times New Roman;Times;Serif"/>
          <w:b w:val="false"/>
          <w:i w:val="false"/>
          <w:caps w:val="false"/>
          <w:smallCaps w:val="false"/>
          <w:sz w:val="20"/>
        </w:rPr>
        <w:t>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In January 2024, we added a US-based Clinical Research Associate, as we continue to establish infrastructure for clinical trial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Technologies and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_015"/>
      <w:bookmarkEnd w:id="5"/>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of up to 1,769,966 shares of our common stock,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1,685,682 shares of our common stock issuable upon the exercise of outstanding series E preferred investment options expiring in July 2029, at an exercise price per share of $1.50;</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preferred investment options expiring in July 2029, at an exercise price per share of $2.025.</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5120"/>
        <w:gridCol w:w="60"/>
        <w:gridCol w:w="60"/>
        <w:gridCol w:w="1490"/>
        <w:gridCol w:w="75"/>
      </w:tblGrid>
      <w:tr>
        <w:trPr/>
        <w:tc>
          <w:tcPr>
            <w:tcW w:w="5120" w:type="dxa"/>
            <w:tcBorders/>
            <w:shd w:fill="CCEEFF" w:val="clear"/>
            <w:vAlign w:val="center"/>
          </w:tcPr>
          <w:p>
            <w:pPr>
              <w:pStyle w:val="TableContents"/>
              <w:bidi w:val="0"/>
              <w:spacing w:before="0" w:after="283"/>
              <w:jc w:val="left"/>
              <w:rPr>
                <w:color w:val="000000"/>
              </w:rPr>
            </w:pPr>
            <w:r>
              <w:rPr>
                <w:color w:val="000000"/>
              </w:rPr>
              <w:t xml:space="preserve">Common stock offered by the selling stockholders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9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1,769,966 shares</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5120" w:type="dxa"/>
            <w:tcBorders/>
            <w:shd w:fill="FFFFFF" w:val="clear"/>
            <w:vAlign w:val="center"/>
          </w:tcPr>
          <w:p>
            <w:pPr>
              <w:pStyle w:val="TableContents"/>
              <w:bidi w:val="0"/>
              <w:spacing w:before="0" w:after="283"/>
              <w:jc w:val="left"/>
              <w:rPr>
                <w:color w:val="000000"/>
              </w:rPr>
            </w:pPr>
            <w:r>
              <w:rPr>
                <w:color w:val="000000"/>
              </w:rPr>
              <w:t>Common stock outstanding before the offering (1)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9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13,392,999 shares</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5120" w:type="dxa"/>
            <w:tcBorders/>
            <w:shd w:fill="CCEEFF" w:val="clear"/>
            <w:vAlign w:val="center"/>
          </w:tcPr>
          <w:p>
            <w:pPr>
              <w:pStyle w:val="TableContents"/>
              <w:bidi w:val="0"/>
              <w:spacing w:before="0" w:after="283"/>
              <w:jc w:val="left"/>
              <w:rPr>
                <w:color w:val="000000"/>
              </w:rPr>
            </w:pPr>
            <w:r>
              <w:rPr>
                <w:color w:val="000000"/>
              </w:rPr>
              <w:t>Common stock to be outstanding after the offering (2)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9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15,162,965 shares</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5120" w:type="dxa"/>
            <w:tcBorders/>
            <w:shd w:fill="FFFFFF" w:val="clear"/>
            <w:vAlign w:val="center"/>
          </w:tcPr>
          <w:p>
            <w:pPr>
              <w:pStyle w:val="TableContents"/>
              <w:bidi w:val="0"/>
              <w:spacing w:before="0" w:after="283"/>
              <w:jc w:val="left"/>
              <w:rPr>
                <w:color w:val="000000"/>
              </w:rPr>
            </w:pPr>
            <w:r>
              <w:rPr>
                <w:color w:val="000000"/>
              </w:rPr>
              <w:t>Nasdaq Capital Market Symbol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9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MBOT</w:t>
            </w:r>
          </w:p>
        </w:tc>
        <w:tc>
          <w:tcPr>
            <w:tcW w:w="7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number of shares outstanding as of January 24, 2024.</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exercise of all of the 1,769,966 options held by the selling stockholders, the underlying shares of which are being registered pursuant to the registration statement of which this prospectus forms a part. Does not include the exercise of any other options or warrants that may be outstanding or issuable.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Proceeds </w:t>
      </w:r>
    </w:p>
    <w:p>
      <w:pPr>
        <w:pStyle w:val="TextBody"/>
        <w:bidi w:val="0"/>
        <w:spacing w:before="0" w:after="0"/>
        <w:ind w:left="138" w:right="138"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1,769,966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the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138"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$2.7 million in gross proceeds if all of the 1,769,966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138"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138" w:right="138" w:hanging="0"/>
        <w:jc w:val="left"/>
        <w:rPr>
          <w:caps w:val="false"/>
          <w:smallCaps w:val="false"/>
        </w:rPr>
      </w:pPr>
      <w:r>
        <w:rPr>
          <w:caps w:val="false"/>
          <w:smallCaps w:val="false"/>
        </w:rPr>
        <w:t> </w:t>
      </w:r>
    </w:p>
    <w:p>
      <w:pPr>
        <w:pStyle w:val="TextBody"/>
        <w:bidi w:val="0"/>
        <w:spacing w:before="0" w:after="0"/>
        <w:ind w:left="138" w:right="138"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138" w:right="138"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our capital stock and do not anticipate paying any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8" w:right="138"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138" w:right="138"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Please read the information contained under the heading “Risk Factors” beginning on page 11 of this prospectus.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_016"/>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elsewhere in this prospectus, we have not generated any revenues, have sustained losses and have accumulated a significant deficit since our inception. Also, we estimate that our cash resources are only sufficient to fund our operations for approximately five months from the date of this prospectus, or through approximately June 2024. As a result, our continued existence is dependent upon our ability to obtain additional debt or equity financing and to ultimately become a commercially viable organization. As of September 30, 2023, the Company had unrestricted cash, cash equivalents and marketable securities of approximately $8,153,000, excluding restricted cash. This does not include the approximately $2.43 million in net proceeds we received in our warrant reset transaction that closed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beyond such five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five months, which could adversely affect our ability to raise capital, expand our business and develop our planned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litigation, which may divert management’s attention and, in the event of an adverse judgment or settlement for some or all of the $6,750,000 being litigated, have a material adverse effect on our financial condition and our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development-stage medical device company and currently generates no revenue from product sales, and may never be able to commercialize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future product candidates. Microbot does not currently have the required approvals or clearances to market or test in humans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a limited operating history outside of being a research and development-stage company, which may make it difficult to evaluate the prospects for the Company’s future viability.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will need additional funding. If Microbot is unable to raise capital when needed, it could be forced to delay, reduce or eliminate its product development programs or commercialization efforts.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research and development expenses of the Company to continue to increase substantially in future periods as it conducts pre-clinical studies in large animals and potentially clinical trials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especially if it initiates additional research programs for future product candidates. This is the case even with the recent suspension and termination of the research and development programs relating to the SCS device, One &amp; Done and other programs.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prospectus.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 introduction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The Company’s future capital requirements, generally, will depend on many factors,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outcomes of the product candidates’ regulatory reviews, subsequent approvals or clearances, or other regulatory actions;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outcome of the Company’s existing lawsuit with Empery and Hudson Bay;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design, duration and any potential delays of the clinical trials that could be conducted at the FDA’s request using Microbot’s product candidates;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licensing or investing in new and existing businesses, product candidates and technologies;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maintain, expand and defend the scope of Microbot’s intellectual property portfolio;</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secure or establish sales, marketing and commercial manufacturing capabilities or arrangements with third parties regarding same;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and ability to hire additional management and scientific and medical personnel;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operate as a public company in the United States.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Development and Commercialization of Microbot’s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Unsuccessful animal studies, clinical trials or procedures relating to product candidates under development could have a material adverse effect on Microbot’s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complete the studies or trials in a timely and cost-effective manner could have a material adverse effect on Microbot’s prospects with respect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business depends heavily on the success of its sole lead product candidate,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If Microbot is unable to commercialize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or experiences significant delays in doing so, Microbot’s business will be materially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after all necessary clinical and performance data supporting the safety and effectiveness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of our other product candidates from time to time. The success of commercializing any of our product candidates, include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will depend on a number of factors,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capital;</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animal studies and, if necessary, human clinical trials and the collection of sufficient data to demonstrate that the device is safe and effective for its intended use;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or clearances from the FDA and other applicable regulatory authorities;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arrangements with one or more third parties;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Microbot’s rights in its intellectual property portfolio;</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sales, marketing and distribution capabilities;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generating commercial sales, if and when approved, whether alone or in collaboration with other entities;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product candidates, if and when commercially launched, by the medical community, patients and third-party payors;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competing with existing and competitive products on the market and any new competing products that may enter the market;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quality and an acceptable safety profile of our products following clearance or approval.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suspended our research and development programs for all of our product candidates and platforms other than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as a result of, among other things, some of the above factors, and our short and medium term success is no longer tied to multiple product candidates but rather just the LIBERTY device. If Microbot does not achieve one or more of these factors in a timely manner or at all, it could experience significant delays or an inability to successfully commercialize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which would materially harm its business.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Microbot’s research and development efforts are uncertain and there can be no assurance of the commercial success of Microbot’s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ability to expand its technology platforms for other uses may be limited.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 this time, Microbot does not know the extent of the clinical trial that the FDA will require it to submit in support of its future marketing applications for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which creates uncertainty for Microbot as well as the possibility of increased product development costs and time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identified a predicate device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requires clinical data to be submitted as part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the addition of one or more mandatory clinical trials to the development timeline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technology acquired from CardioSert and part of its One &amp; Done</w:t>
      </w:r>
      <w:r>
        <w:rPr>
          <w:rFonts w:ascii="Times New Roman;Times;Serif" w:hAnsi="Times New Roman;Times;Serif"/>
          <w:b/>
          <w:i/>
          <w:caps w:val="false"/>
          <w:smallCaps w:val="false"/>
          <w:position w:val="7"/>
          <w:sz w:val="16"/>
          <w:sz w:val="20"/>
        </w:rPr>
        <w:t xml:space="preserve">TM </w:t>
      </w:r>
      <w:r>
        <w:rPr>
          <w:rFonts w:ascii="Times New Roman;Times;Serif" w:hAnsi="Times New Roman;Times;Serif"/>
          <w:b/>
          <w:i/>
          <w:caps w:val="false"/>
          <w:smallCaps w:val="false"/>
          <w:sz w:val="20"/>
        </w:rPr>
        <w:t>feature is subject to a buy-back clause which, if triggered, could cause us to lose rights to the technology.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with CardioSert we entered into in January 2018 to acquire its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applicable commercialization deadline could therefore result in the sale back of the technology to CardioSert. In addition, as a result of our recently enacted core-business focus program and cost reduction plan, we terminated the January 2018 agreement with CardioSert effective as of August 17, 2023, which could result in the technology being re-acquired by Cardiosert Ltd. for nominal consideration. Although we have not yet been notified of any such election, and any such sale would materially adversely affect our ability to develop and commercialize, or materially delay the development and commercialization of, our One &amp; Done feature, as, if and when we restart that feature with our Nitiloop technology.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program is dependent on the availability of the component parts that we use to manufacture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commercial opportunity for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and any other commercial products that may be developed by Microbot is smaller than Microbot anticipates, Microbot’s future revenue from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and such other products will be adversely affected and Microbot’s business will suffer.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Customers will be unlikely to buy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or any other product candidates unless Microbot can demonstrate that they can be produced for sale to consumers at attractive prices.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focused primarily on research and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relied on, and intends to continue to rely on, third-party manufacturers to produce its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supply availability resulting from capacity, internal operational problems or scheduling constraints of third parties;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regulatory non-compliance or other violations by the third-party manufacturer that could result in quality assurance;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manufacturing agreements by third parties because of various factors beyond Microbot’s control;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manufacturing agreements by third parties for various reasons beyond Microbot’s control, at a time that is costly or inconvenient to Microbot.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product candidates are not considered to be a safe and effective alternative to existing technologies, Microbot will not be commercially successful.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our other product candidates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be subject to penalties and may be precluded from marketing its product candidates if Microbot fails to comply with extensive governmental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Microbot’s product offerings are used across diverse healthcare settings, they will be affected to varying degrees by the different payment systems.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outcome studies for the 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 may not provide sufficient data to make such product candidates the standard of care.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with respect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relies on the broad adoption by surgeons of the products for their respective planned applications.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materially impact Microbot’s business.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products may in the future be subject to mandatory product recalls that could harm its reputation, business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75"/>
        <w:gridCol w:w="170"/>
        <w:gridCol w:w="900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detention or seizure of Microbot products;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or delaying requests for 510(k) clearance or premarket approval of new products or modified products;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510(k) clearances or other types of regulatory authorizations -that have already been granted;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grant export approval for Microbot products; 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future commercialized products cause or contribute to a death or a serious injury, Microbot will be subject to Medical Device Reporting regulations, which can result in voluntary corrective actions or agency enforcement 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could be exposed to significant liability claims if Microbot is unable to obtain insurance at acceptable costs and adequate levels or otherwise protect itself against potential product liability claims.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retain certain of its key personnel and attract and retain additional qualified personnel, Microbot might not be able to pursue its growth strategy effectively.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cost reduction program, we reduced all executive officers’ salaries by between 30-50%. Although the salaries of all executives have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carry, and does not intend to carry, any key man life insurance policies on any of its existing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International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obtain regulatory clearances in other countries for its product candidates under development, Microbot will not be able to commercialize these product candidates in those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Microbot to market its product candidates in countries other than the United States, it must comply with the safety and quality regulations in such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engaged with a leading notified body to secure a CE Mark for sales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it is not yet certain as to when we will secure the CE Mark, and we cannot be certain that we will be successful in complying with the requirements of the CE Certificate of Conformity and receiving a CE Mark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other product candidates or in continuing to meet the requirements of the Medical Devices Directive in the European Economic Area (EEA).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operations in international markets involve inherent risks that Microbot may not be able to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affecting geographies where Microbot intends to do business;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international borders, including as a result of biohazards or pandemics;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or social unrest or economic instability in a specific country or region;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costs of doing business in certain foreign countries;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 claims on foreign patents, copyrights or trademark rights;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operations across disparate geographic areas;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associated with enforcing agreements and intellectual property rights through foreign legal systems;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and other regulatory requirements, which affect Microbot’s ability to import or export its product candidates from or to various countries;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tax consequences;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legal and regulatory requirements;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military conflict, terrorist activities, natural disasters and medical epidemics;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recruit and retain channel partners in foreign jurisdictions.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financial results may be affected by fluctuations in exchange rates and Microbot’s current currency hedging strategy may not be sufficient to counter such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not meet its product candidates’ development and commercialization objectives in a timely manner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and infringement claims could cause Microbot to incur significant expenses or prevent Microbot from selling certain of its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and historical risks relating to our operations in Israel are being exacerbated by the current military actions and operations, and related activities, that commenced with the surprise attack on the State of Israel on October 7, 2023.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facilities located in Israel, and therefore, political conditions in Israel may affect Microbot’s operations and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relations could limit Microbot’s ability to sell or buy internationally.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Israel’s economy may become unstable.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 fluctuations between the U.S. dollar and the NIS currencies may negatively affect Microbot’s operating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and other benefits provided by Israeli government programs may be terminated or reduced in the future and the terms of such funding may have a significant impact on future corporate decisions.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efforts from inception until now have been financed in part through such Israeli Innovation Authority royalty bearing grants in an aggregate amount of approximately $1,656,000 through September 30, 2023. This amount includes payment of approximately $156,000 which is a portion of additional grant approved from the Israeli Innovation Authority in the amount of approximately NIS 1.62 million, to further finance the development of the Company’s manufacturing process of the LIBERTY Endovascular Robotic Surgical System. Furthermore the Company received approval for a grant from the Ministry of Economy of the State of Israel in the amount of approximately NIS 300,000, to further finance the marketing activities of the LIBERTY Endovascular Robotic Surgical System in the US market. In addition, as a result of our 2018 agreement with CardioSert and our 2022 agreement with Nitiloop, we took over the liability to repay CardioSert’s and Nitiloop’s IIA grants in the aggregate amount of approximately $530,000 and $925,000, respectively.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Microbot’s employees and officers are obligated to perform military reserve duty in Israel.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non-Israeli judgment against Microbot or its officers and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Securities, Governance and Other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cash dividends on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retain our earnings, if any, for future growth and therefore do not anticipate paying cash dividends on our Common Stock in the future. Investors seeking cash dividends should not invest in our Common Stock for that purpose.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the Company’s charter and bylaws under Delaware law may prevent or frustrate attempts by stockholders to change the board of directors or current management and could make a third-party acquisition of the Company difficult.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the Company’s investors, restrict its operations or require it to relinquish rights to its technologies or product candidates.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other products that it is seeking to develop or commercialize with respect to its other product candidates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strategy in part relies on identifying, acquiring and developing complementary technologies and products, which entails risks which could negatively affect our business,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again in the future pursue other acquisitions of businesses and technologies. Acquisitions entail numerous risks,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333" w:type="dxa"/>
        <w:jc w:val="left"/>
        <w:tblInd w:w="0" w:type="dxa"/>
        <w:shd w:fill="FFFFFF" w:val="clear"/>
        <w:tblLayout w:type="fixed"/>
        <w:tblCellMar>
          <w:top w:w="0" w:type="dxa"/>
          <w:left w:w="0" w:type="dxa"/>
          <w:bottom w:w="0" w:type="dxa"/>
          <w:right w:w="0" w:type="dxa"/>
        </w:tblCellMar>
      </w:tblPr>
      <w:tblGrid>
        <w:gridCol w:w="38"/>
        <w:gridCol w:w="170"/>
        <w:gridCol w:w="612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1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the integration of acquired operations, services and products;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3303" w:type="dxa"/>
        <w:jc w:val="left"/>
        <w:tblInd w:w="0" w:type="dxa"/>
        <w:shd w:fill="FFFFFF" w:val="clear"/>
        <w:tblLayout w:type="fixed"/>
        <w:tblCellMar>
          <w:top w:w="0" w:type="dxa"/>
          <w:left w:w="0" w:type="dxa"/>
          <w:bottom w:w="0" w:type="dxa"/>
          <w:right w:w="0" w:type="dxa"/>
        </w:tblCellMar>
      </w:tblPr>
      <w:tblGrid>
        <w:gridCol w:w="38"/>
        <w:gridCol w:w="170"/>
        <w:gridCol w:w="30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0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achieve expected synergies;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658" w:type="dxa"/>
        <w:jc w:val="left"/>
        <w:tblInd w:w="0" w:type="dxa"/>
        <w:shd w:fill="FFFFFF" w:val="clear"/>
        <w:tblLayout w:type="fixed"/>
        <w:tblCellMar>
          <w:top w:w="0" w:type="dxa"/>
          <w:left w:w="0" w:type="dxa"/>
          <w:bottom w:w="0" w:type="dxa"/>
          <w:right w:w="0" w:type="dxa"/>
        </w:tblCellMar>
      </w:tblPr>
      <w:tblGrid>
        <w:gridCol w:w="38"/>
        <w:gridCol w:w="170"/>
        <w:gridCol w:w="54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4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658" w:type="dxa"/>
        <w:jc w:val="left"/>
        <w:tblInd w:w="0" w:type="dxa"/>
        <w:shd w:fill="FFFFFF" w:val="clear"/>
        <w:tblLayout w:type="fixed"/>
        <w:tblCellMar>
          <w:top w:w="0" w:type="dxa"/>
          <w:left w:w="0" w:type="dxa"/>
          <w:bottom w:w="0" w:type="dxa"/>
          <w:right w:w="0" w:type="dxa"/>
        </w:tblCellMar>
      </w:tblPr>
      <w:tblGrid>
        <w:gridCol w:w="38"/>
        <w:gridCol w:w="170"/>
        <w:gridCol w:w="54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4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 of unknown material liabilities of acquired companies;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7353" w:type="dxa"/>
        <w:jc w:val="left"/>
        <w:tblInd w:w="0" w:type="dxa"/>
        <w:shd w:fill="FFFFFF" w:val="clear"/>
        <w:tblLayout w:type="fixed"/>
        <w:tblCellMar>
          <w:top w:w="0" w:type="dxa"/>
          <w:left w:w="0" w:type="dxa"/>
          <w:bottom w:w="0" w:type="dxa"/>
          <w:right w:w="0" w:type="dxa"/>
        </w:tblCellMar>
      </w:tblPr>
      <w:tblGrid>
        <w:gridCol w:w="38"/>
        <w:gridCol w:w="170"/>
        <w:gridCol w:w="71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 which could reduce future reported earnings;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8268" w:type="dxa"/>
        <w:jc w:val="left"/>
        <w:tblInd w:w="0" w:type="dxa"/>
        <w:shd w:fill="FFFFFF" w:val="clear"/>
        <w:tblLayout w:type="fixed"/>
        <w:tblCellMar>
          <w:top w:w="0" w:type="dxa"/>
          <w:left w:w="0" w:type="dxa"/>
          <w:bottom w:w="0" w:type="dxa"/>
          <w:right w:w="0" w:type="dxa"/>
        </w:tblCellMar>
      </w:tblPr>
      <w:tblGrid>
        <w:gridCol w:w="38"/>
        <w:gridCol w:w="170"/>
        <w:gridCol w:w="80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0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funding to properly and adequately develop and commercialize the technologies acquired;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883" w:type="dxa"/>
        <w:jc w:val="left"/>
        <w:tblInd w:w="0" w:type="dxa"/>
        <w:shd w:fill="FFFFFF" w:val="clear"/>
        <w:tblLayout w:type="fixed"/>
        <w:tblCellMar>
          <w:top w:w="0" w:type="dxa"/>
          <w:left w:w="0" w:type="dxa"/>
          <w:bottom w:w="0" w:type="dxa"/>
          <w:right w:w="0" w:type="dxa"/>
        </w:tblCellMar>
      </w:tblPr>
      <w:tblGrid>
        <w:gridCol w:w="38"/>
        <w:gridCol w:w="170"/>
        <w:gridCol w:w="56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5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 of clients or key employees of acquired companies; and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943" w:type="dxa"/>
        <w:jc w:val="left"/>
        <w:tblInd w:w="0" w:type="dxa"/>
        <w:shd w:fill="FFFFFF" w:val="clear"/>
        <w:tblLayout w:type="fixed"/>
        <w:tblCellMar>
          <w:top w:w="0" w:type="dxa"/>
          <w:left w:w="0" w:type="dxa"/>
          <w:bottom w:w="0" w:type="dxa"/>
          <w:right w:w="0" w:type="dxa"/>
        </w:tblCellMar>
      </w:tblPr>
      <w:tblGrid>
        <w:gridCol w:w="38"/>
        <w:gridCol w:w="170"/>
        <w:gridCol w:w="273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7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to existing stockholders.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Common Stock may be volatile.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may be volatile and subject to wide fluctuations in response to factors including the following:</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6498" w:type="dxa"/>
        <w:jc w:val="left"/>
        <w:tblInd w:w="0" w:type="dxa"/>
        <w:shd w:fill="FFFFFF" w:val="clear"/>
        <w:tblLayout w:type="fixed"/>
        <w:tblCellMar>
          <w:top w:w="0" w:type="dxa"/>
          <w:left w:w="0" w:type="dxa"/>
          <w:bottom w:w="0" w:type="dxa"/>
          <w:right w:w="0" w:type="dxa"/>
        </w:tblCellMar>
      </w:tblPr>
      <w:tblGrid>
        <w:gridCol w:w="38"/>
        <w:gridCol w:w="170"/>
        <w:gridCol w:w="629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or annual operating results;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88" w:type="dxa"/>
        <w:jc w:val="left"/>
        <w:tblInd w:w="0" w:type="dxa"/>
        <w:shd w:fill="FFFFFF" w:val="clear"/>
        <w:tblLayout w:type="fixed"/>
        <w:tblCellMar>
          <w:top w:w="0" w:type="dxa"/>
          <w:left w:w="0" w:type="dxa"/>
          <w:bottom w:w="0" w:type="dxa"/>
          <w:right w:w="0" w:type="dxa"/>
        </w:tblCellMar>
      </w:tblPr>
      <w:tblGrid>
        <w:gridCol w:w="38"/>
        <w:gridCol w:w="170"/>
        <w:gridCol w:w="488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48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or operational estimates or projections;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868" w:type="dxa"/>
        <w:jc w:val="left"/>
        <w:tblInd w:w="0" w:type="dxa"/>
        <w:shd w:fill="FFFFFF" w:val="clear"/>
        <w:tblLayout w:type="fixed"/>
        <w:tblCellMar>
          <w:top w:w="0" w:type="dxa"/>
          <w:left w:w="0" w:type="dxa"/>
          <w:bottom w:w="0" w:type="dxa"/>
          <w:right w:w="0" w:type="dxa"/>
        </w:tblCellMar>
      </w:tblPr>
      <w:tblGrid>
        <w:gridCol w:w="38"/>
        <w:gridCol w:w="170"/>
        <w:gridCol w:w="26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6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markets generally;</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7398" w:type="dxa"/>
        <w:jc w:val="left"/>
        <w:tblInd w:w="0" w:type="dxa"/>
        <w:shd w:fill="FFFFFF" w:val="clear"/>
        <w:tblLayout w:type="fixed"/>
        <w:tblCellMar>
          <w:top w:w="0" w:type="dxa"/>
          <w:left w:w="0" w:type="dxa"/>
          <w:bottom w:w="0" w:type="dxa"/>
          <w:right w:w="0" w:type="dxa"/>
        </w:tblCellMar>
      </w:tblPr>
      <w:tblGrid>
        <w:gridCol w:w="38"/>
        <w:gridCol w:w="170"/>
        <w:gridCol w:w="719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companies similar to ours;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acquisitions, strategic partnerships, joint ventures or capital commitments;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3348" w:type="dxa"/>
        <w:jc w:val="left"/>
        <w:tblInd w:w="0" w:type="dxa"/>
        <w:shd w:fill="FFFFFF" w:val="clear"/>
        <w:tblLayout w:type="fixed"/>
        <w:tblCellMar>
          <w:top w:w="0" w:type="dxa"/>
          <w:left w:w="0" w:type="dxa"/>
          <w:bottom w:w="0" w:type="dxa"/>
          <w:right w:w="0" w:type="dxa"/>
        </w:tblCellMar>
      </w:tblPr>
      <w:tblGrid>
        <w:gridCol w:w="38"/>
        <w:gridCol w:w="170"/>
        <w:gridCol w:w="31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1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and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6798" w:type="dxa"/>
        <w:jc w:val="left"/>
        <w:tblInd w:w="0" w:type="dxa"/>
        <w:shd w:fill="FFFFFF" w:val="clear"/>
        <w:tblLayout w:type="fixed"/>
        <w:tblCellMar>
          <w:top w:w="0" w:type="dxa"/>
          <w:left w:w="0" w:type="dxa"/>
          <w:bottom w:w="0" w:type="dxa"/>
          <w:right w:w="0" w:type="dxa"/>
        </w:tblCellMar>
      </w:tblPr>
      <w:tblGrid>
        <w:gridCol w:w="38"/>
        <w:gridCol w:w="170"/>
        <w:gridCol w:w="659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5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the United States, Israel or elsewhere.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upon exercise of outstanding warrants and options could cause immediate and substantial dilution to existing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exercise of warrants and options could result in substantial dilution to the interests of other stockholders since the holders of such securities may ultimately convert and sell the full amount issuable on conversion.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p_017"/>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8" w:right="1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1,769,966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138" w:hanging="0"/>
        <w:jc w:val="both"/>
        <w:rPr>
          <w:caps w:val="false"/>
          <w:smallCaps w:val="false"/>
        </w:rPr>
      </w:pPr>
      <w:r>
        <w:rPr>
          <w:caps w:val="false"/>
          <w:smallCaps w:val="false"/>
        </w:rPr>
        <w:t> </w:t>
      </w:r>
    </w:p>
    <w:p>
      <w:pPr>
        <w:pStyle w:val="TextBody"/>
        <w:bidi w:val="0"/>
        <w:spacing w:before="0" w:after="0"/>
        <w:ind w:left="138" w:right="1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138" w:hanging="0"/>
        <w:jc w:val="both"/>
        <w:rPr>
          <w:caps w:val="false"/>
          <w:smallCaps w:val="false"/>
        </w:rPr>
      </w:pPr>
      <w:r>
        <w:rPr>
          <w:caps w:val="false"/>
          <w:smallCaps w:val="false"/>
        </w:rPr>
        <w:t> </w:t>
      </w:r>
    </w:p>
    <w:p>
      <w:pPr>
        <w:pStyle w:val="TextBody"/>
        <w:bidi w:val="0"/>
        <w:spacing w:before="0" w:after="0"/>
        <w:ind w:left="138" w:right="1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138" w:right="138"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_018"/>
      <w:bookmarkEnd w:id="8"/>
      <w:r>
        <w:rPr>
          <w:rFonts w:ascii="Times New Roman;Times;Serif" w:hAnsi="Times New Roman;Times;Serif"/>
          <w:b/>
          <w:i w:val="false"/>
          <w:caps w:val="false"/>
          <w:smallCaps w:val="false"/>
          <w:sz w:val="20"/>
        </w:rPr>
        <w:t>MARKET FOR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since November 29, 2016. Prior to that, our common stock was traded under the symbol “STEM.”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24, 2024, there were approximately 97 holders of record of our common stock, and the closing price of our common stock as reported on the NASDAQ Capital Market was $1.28.</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_020"/>
      <w:bookmarkEnd w:id="9"/>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_021"/>
      <w:bookmarkEnd w:id="10"/>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audited and unaudited financial statements and related notes included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costs associated with management salaries and benefits, professional fees for accounting, auditing, consulting and legal services, and allocated overhead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cut its general and administrative expenses in May 2023 as a result of its core-business focus program and cost reduction program; however, Microbot expects that its general and administrative expenses may increase in the future as it incurs expenses relating to its operating activities, maintains and expands its patent portfolio and maintain compliance with exchange listing and public company requirements. Microbot expects these potential increases will likely include management costs, legal fees, accounting fees, directors’ and officers’ liability insurance premiums and expenses associated with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Accordingly, Management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and Nine Months Ended September 30, 2023 and 2022</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three and nine month periods ended September 30, 2023 and 2022 (in thousands):</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0"/>
        <w:gridCol w:w="60"/>
        <w:gridCol w:w="231"/>
        <w:gridCol w:w="1010"/>
        <w:gridCol w:w="148"/>
        <w:gridCol w:w="111"/>
        <w:gridCol w:w="231"/>
        <w:gridCol w:w="1010"/>
        <w:gridCol w:w="80"/>
        <w:gridCol w:w="60"/>
        <w:gridCol w:w="180"/>
        <w:gridCol w:w="485"/>
        <w:gridCol w:w="60"/>
        <w:gridCol w:w="60"/>
        <w:gridCol w:w="223"/>
        <w:gridCol w:w="974"/>
        <w:gridCol w:w="142"/>
        <w:gridCol w:w="107"/>
        <w:gridCol w:w="223"/>
        <w:gridCol w:w="974"/>
        <w:gridCol w:w="80"/>
        <w:gridCol w:w="60"/>
        <w:gridCol w:w="136"/>
        <w:gridCol w:w="529"/>
        <w:gridCol w:w="81"/>
      </w:tblGrid>
      <w:tr>
        <w:trPr/>
        <w:tc>
          <w:tcPr>
            <w:tcW w:w="2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1" w:type="dxa"/>
            <w:gridSpan w:val="6"/>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3" w:type="dxa"/>
            <w:gridSpan w:val="6"/>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2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(4,594</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(3,193</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The decrease in research and development expenses for both periods presented was primarily due to the Company’s cost reduction plan (the “Plan”), which commenced in the second quarter of 2023. The Plan involved cutting expenses by implementing employee terminations, reducing management salaries, and eliminating bonus accruals. Furthermore, the Company has also reduced costs by decreasing expenses related to subcontractors, advisory board members, and patents. Additionally, in comparison to the same period in 2022, the Company incurred expenses in 2022 due to the development of the SCS technology, whereas in 2023, low expenses were recorded for that project as it was suspended in October 2022 and thereafter terminated.</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The decrease in general and administrative expenses for the periods presented was primarily due to lower D&amp;O insurance premiums in 2023 and execution of the Plan, which among other things, involved cutting expenses by implementing employee terminations, reducing management salaries, eliminating bonus accruals and pausing independent directors’ payments. Additionally, during the three and nine months ended September 30, 2023, the Company recorded lower share -based compensation expenses compared to the comparable period in 2022, due to older options becoming fully vested.</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 net</w:t>
      </w:r>
      <w:r>
        <w:rPr>
          <w:rFonts w:ascii="Times New Roman;Times;Serif" w:hAnsi="Times New Roman;Times;Serif"/>
          <w:b w:val="false"/>
          <w:i w:val="false"/>
          <w:caps w:val="false"/>
          <w:smallCaps w:val="false"/>
          <w:sz w:val="20"/>
        </w:rPr>
        <w:t>. The increase in financing income net for the three and nine-month periods presented was primarily due to interest income, which has increased in 2023 due to overall rise in market interest rates earned on the Company’s marketable securities, as well as unrealized gains from marketable securities, also due to rising interest rates.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2022 and 2021</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years ended December 31, 2022 and 2021 (in thousands):</w:t>
      </w:r>
    </w:p>
    <w:p>
      <w:pPr>
        <w:pStyle w:val="TextBody"/>
        <w:shd w:fill="FFFFFF" w:val="clear"/>
        <w:bidi w:val="0"/>
        <w:jc w:val="both"/>
        <w:rPr>
          <w:caps w:val="false"/>
          <w:smallCaps w:val="false"/>
        </w:rPr>
      </w:pPr>
      <w:r>
        <w:rPr>
          <w:caps w:val="false"/>
          <w:smallCaps w:val="false"/>
        </w:rPr>
        <w:t> </w:t>
      </w:r>
    </w:p>
    <w:tbl>
      <w:tblPr>
        <w:tblW w:w="5772" w:type="dxa"/>
        <w:jc w:val="left"/>
        <w:tblInd w:w="0" w:type="dxa"/>
        <w:tblLayout w:type="fixed"/>
        <w:tblCellMar>
          <w:top w:w="0" w:type="dxa"/>
          <w:left w:w="0" w:type="dxa"/>
          <w:bottom w:w="0" w:type="dxa"/>
          <w:right w:w="0" w:type="dxa"/>
        </w:tblCellMar>
      </w:tblPr>
      <w:tblGrid>
        <w:gridCol w:w="3005"/>
        <w:gridCol w:w="60"/>
        <w:gridCol w:w="152"/>
        <w:gridCol w:w="664"/>
        <w:gridCol w:w="97"/>
        <w:gridCol w:w="73"/>
        <w:gridCol w:w="152"/>
        <w:gridCol w:w="664"/>
        <w:gridCol w:w="80"/>
        <w:gridCol w:w="60"/>
        <w:gridCol w:w="125"/>
        <w:gridCol w:w="545"/>
        <w:gridCol w:w="9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2" w:type="dxa"/>
            <w:gridSpan w:val="6"/>
            <w:tcBorders>
              <w:bottom w:val="single" w:sz="12" w:space="0" w:color="000000"/>
            </w:tcBorders>
            <w:tcMar>
              <w:bottom w:w="28" w:type="dxa"/>
            </w:tcMar>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Microbot’s research and development expenses were approximately $7,736,000 for the year ended December 31, 2022, compared to approximately $6,153,000 for the same period in 2021. The increase in research and development expenses of approximately $1,583,000 in 2022 as compared to 2021 was primarily due to increased salaries and recruitment of employees, professional services and material expenses relating to the LIBERTY project, minimally offset by savings resulting from the suspension of our SCS research program. Microbot expects its research and development expenses to continue to increase over time as Microbot advances its development programs and begins pre-clinical and preparations for clinical trials for the LIBERTY.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General and administrative expenses were approximately $5,545,000 for the year ended December 31, 2022, compared to approximately $5,204,000 for the same period in 2021. The increase in general and administrative expenses of approximately $341,000 in 2022 as compared to 2021 was primarily due to increased salaries, share-based compensation, and travel of $777,000, partially offset by a decrease of $436,000 in government fees and professional services. Microbot believes its general and administrative expenses may increase over time as it advances its programs, requiring additional investments in headcount, facilities and other general and administrative operating activities to support its growth, and as it continues to incur expenses associated with public-company compliance.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w:t>
      </w:r>
      <w:r>
        <w:rPr>
          <w:rFonts w:ascii="Times New Roman;Times;Serif" w:hAnsi="Times New Roman;Times;Serif"/>
          <w:b w:val="false"/>
          <w:i w:val="false"/>
          <w:caps w:val="false"/>
          <w:smallCaps w:val="false"/>
          <w:sz w:val="20"/>
        </w:rPr>
        <w:t>. Financing income was approximately $118,000 for the year ended December 31, 2022, consisting of, income from interest, net totaling $54,000 and an exchange rate gain of $64,000, compared to approximately $44,000 for the year ended December 31, 2021, which consisted mainly of the reversal of $131,000 of other liability stemming from our 2016 merger with StemCells, offset by exchange rate expenses of $87,000.</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loss was approximately $5,000 for the year ended December 31, 2022, relating to assets disposal related to SCS suspension, compared to $0 of capital loss for the year ended December 31, 2021.</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losses since inception and negative cash flows from operating activities for all periods presented. As of September 30, 2023, Microbot had a net working capital of approximately $6,916,000, consisting primarily of cash and cash equivalents and marketable securities. This compares to net working capital of approximately $6,745,000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September 30, 2023, Microbot has raised cash proceeds of approximately $66,560,000 and incurred a total cumulative loss of approximately $76,347,000. Microbot returned $3,375,000 (before interest) to an investor as a result of an adverse outcome in a litigation that concluded in the first quarter of 2020 and is now subject to an additional lawsuit seeking the return of an additional $6,750,000 of such proceeds. We have completed the discovery stages and court-ordered mediation and are awaiting a trial date, and though management has been defending its position that no return of capital is warranted, we cannot predict what the eventual outcome will be, whether as a result of a court’s judgment or a prior settlement. We believe that the uncertainty relating the outcome of this litigation could adversely affect our ability to raise capital.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September 30, 2023 in the total amount of approximately $1,656,000. This amount includes advance payment in the third quarter of 2023 of approximately $156,000, which is a portion of additional grants from the IIA in the amount of approximately NIS 1,620,000, which based on an exchange rate on September 30, 2023 of NIS 1.00 = $0.2614, would be approximately $423,000, to further finance the development of our manufacturing process of the LIBERTY robotic surgical system.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 which remains Microbot Israel’s responsibility for so long as it owns the CardioSert assets.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obligated to pay royalties amounting to 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2023, the Company announced that it received approval for a grant from the Ministry of Economy in the amount of approximately NIS 300,000, which based on an exchange rate on such date of NIS 1.00 = $0.27457, would be approximately $82,000, to further finance the marketing activities of the LIBERTY Robotic System in the US market. On November 1, 2023, we received NIS 109,474 (approximately US$27,000) of such amount.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Ministry of Economy grant, the Company is obligated to pay royalties amounting to between 3%-5% of future sales of the LIBERTY product up to the grant amount plus interest.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revenues from our operations. As of September 30, 2023, we had unrestricted cash, cash equivalents and marketable securities of approximately $8,153,000, excluding restricted cash. We also raised approximately $2.73 million in gross proceeds from our January 2024 Preferred Investment Option Inducement Transaction, which as a result of such transaction, management believes we have sufficient funds for our operations for approximately five months from the date of this prospectus, or through approximately June of 2024. However, in the event we are unsuccessful in our current litigation discussed above, pursuant to which certain investors are seeking the return of $6,750,000 in proceeds we received from them in a 2017 stock offering, we will not have funds to continue our operation. As a result of the foregoing and our current cash position, these conditions raise substantial doubt about Microbot’s ability to continue as a going concern beyond approximately the next five months (or earlier in the event of an adverse judgment or settlement in the litigation), which could adversely affect our ability to raise capital, expand our business and develop our planned products.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fiscal quarter of 2023, Microbot commenced a core-business focus program and a cost reduction plan while it seeks to raise sufficient additional capital to continue development of the LIBERTY robotic system. In May and June 2023, Microbot raised aggregate gross proceeds of approximately $7.56 million, before fees and expenses of approximately $1.1 million, from investors, to continue to fund its operations and research and development activities, and will need additional funds to continue the FDA approval process for the Liberty device. We also raised approximately $2.73 million in gross proceeds from our January 2024 Preferred Investment Option Inducement Transaction.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periods presented (in thousands):</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30"/>
        <w:gridCol w:w="60"/>
        <w:gridCol w:w="195"/>
        <w:gridCol w:w="1056"/>
        <w:gridCol w:w="132"/>
        <w:gridCol w:w="83"/>
        <w:gridCol w:w="195"/>
        <w:gridCol w:w="888"/>
        <w:gridCol w:w="95"/>
        <w:gridCol w:w="60"/>
        <w:gridCol w:w="253"/>
        <w:gridCol w:w="1154"/>
        <w:gridCol w:w="172"/>
        <w:gridCol w:w="108"/>
        <w:gridCol w:w="253"/>
        <w:gridCol w:w="1154"/>
        <w:gridCol w:w="117"/>
      </w:tblGrid>
      <w:tr>
        <w:trPr/>
        <w:tc>
          <w:tcPr>
            <w:tcW w:w="4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9" w:type="dxa"/>
            <w:gridSpan w:val="6"/>
            <w:tcBorders>
              <w:bottom w:val="single" w:sz="12" w:space="0" w:color="000000"/>
            </w:tcBorders>
            <w:tcMar>
              <w:bottom w:w="28" w:type="dxa"/>
            </w:tcMar>
            <w:vAlign w:val="center"/>
          </w:tcPr>
          <w:p>
            <w:pPr>
              <w:pStyle w:val="TableContents"/>
              <w:bidi w:val="0"/>
              <w:spacing w:before="0" w:after="283"/>
              <w:jc w:val="left"/>
              <w:rPr>
                <w:b/>
              </w:rPr>
            </w:pPr>
            <w:r>
              <w:rPr>
                <w:b/>
              </w:rPr>
              <w:t>Years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4" w:type="dxa"/>
            <w:gridSpan w:val="6"/>
            <w:tcBorders>
              <w:bottom w:val="single" w:sz="12" w:space="0" w:color="000000"/>
            </w:tcBorders>
            <w:tcMar>
              <w:bottom w:w="28" w:type="dxa"/>
            </w:tcMar>
            <w:vAlign w:val="center"/>
          </w:tcPr>
          <w:p>
            <w:pPr>
              <w:pStyle w:val="TableContents"/>
              <w:bidi w:val="0"/>
              <w:spacing w:before="0" w:after="283"/>
              <w:jc w:val="left"/>
              <w:rPr>
                <w:b/>
              </w:rPr>
            </w:pPr>
            <w:r>
              <w:rPr>
                <w:b/>
              </w:rPr>
              <w:t>Nine Months Ended September 30,</w:t>
            </w:r>
          </w:p>
        </w:tc>
        <w:tc>
          <w:tcPr>
            <w:tcW w:w="117" w:type="dxa"/>
            <w:tcBorders/>
            <w:vAlign w:val="center"/>
          </w:tcPr>
          <w:p>
            <w:pPr>
              <w:pStyle w:val="TableContents"/>
              <w:bidi w:val="0"/>
              <w:spacing w:before="0" w:after="283"/>
              <w:jc w:val="left"/>
              <w:rPr/>
            </w:pPr>
            <w:r>
              <w:rPr/>
              <w:t> </w:t>
            </w:r>
          </w:p>
        </w:tc>
      </w:tr>
      <w:tr>
        <w:trPr/>
        <w:tc>
          <w:tcPr>
            <w:tcW w:w="4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12" w:space="0" w:color="000000"/>
            </w:tcBorders>
            <w:tcMar>
              <w:bottom w:w="28" w:type="dxa"/>
            </w:tcMar>
            <w:vAlign w:val="center"/>
          </w:tcPr>
          <w:p>
            <w:pPr>
              <w:pStyle w:val="TableContents"/>
              <w:bidi w:val="0"/>
              <w:spacing w:before="0" w:after="283"/>
              <w:jc w:val="left"/>
              <w:rPr>
                <w:b/>
              </w:rPr>
            </w:pPr>
            <w:r>
              <w:rPr>
                <w:b/>
              </w:rPr>
              <w:t>2022</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83" w:type="dxa"/>
            <w:gridSpan w:val="2"/>
            <w:tcBorders>
              <w:bottom w:val="single" w:sz="12" w:space="0" w:color="000000"/>
            </w:tcBorders>
            <w:tcMar>
              <w:bottom w:w="28" w:type="dxa"/>
            </w:tcMar>
            <w:vAlign w:val="center"/>
          </w:tcPr>
          <w:p>
            <w:pPr>
              <w:pStyle w:val="TableContents"/>
              <w:bidi w:val="0"/>
              <w:spacing w:before="0" w:after="283"/>
              <w:jc w:val="left"/>
              <w:rPr>
                <w:b/>
              </w:rPr>
            </w:pPr>
            <w:r>
              <w:rPr>
                <w:b/>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12" w:space="0" w:color="000000"/>
            </w:tcBorders>
            <w:tcMar>
              <w:bottom w:w="28" w:type="dxa"/>
            </w:tcMar>
            <w:vAlign w:val="center"/>
          </w:tcPr>
          <w:p>
            <w:pPr>
              <w:pStyle w:val="TableContents"/>
              <w:bidi w:val="0"/>
              <w:spacing w:before="0" w:after="283"/>
              <w:jc w:val="left"/>
              <w:rPr>
                <w:b/>
              </w:rPr>
            </w:pPr>
            <w:r>
              <w:rPr>
                <w:b/>
              </w:rPr>
              <w:t>2023</w:t>
            </w:r>
          </w:p>
        </w:tc>
        <w:tc>
          <w:tcPr>
            <w:tcW w:w="17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07" w:type="dxa"/>
            <w:gridSpan w:val="2"/>
            <w:tcBorders>
              <w:bottom w:val="single" w:sz="12" w:space="0" w:color="000000"/>
            </w:tcBorders>
            <w:tcMar>
              <w:bottom w:w="28" w:type="dxa"/>
            </w:tcMar>
            <w:vAlign w:val="center"/>
          </w:tcPr>
          <w:p>
            <w:pPr>
              <w:pStyle w:val="TableContents"/>
              <w:bidi w:val="0"/>
              <w:spacing w:before="0" w:after="283"/>
              <w:jc w:val="left"/>
              <w:rPr>
                <w:b/>
              </w:rPr>
            </w:pPr>
            <w:r>
              <w:rPr>
                <w:b/>
              </w:rPr>
              <w:t>2022</w:t>
            </w:r>
          </w:p>
        </w:tc>
        <w:tc>
          <w:tcPr>
            <w:tcW w:w="117" w:type="dxa"/>
            <w:tcBorders/>
            <w:vAlign w:val="center"/>
          </w:tcPr>
          <w:p>
            <w:pPr>
              <w:pStyle w:val="TableContents"/>
              <w:bidi w:val="0"/>
              <w:spacing w:before="0" w:after="283"/>
              <w:jc w:val="left"/>
              <w:rPr/>
            </w:pPr>
            <w:r>
              <w:rPr/>
              <w:t> </w:t>
            </w:r>
          </w:p>
        </w:tc>
      </w:tr>
      <w:tr>
        <w:trPr/>
        <w:tc>
          <w:tcPr>
            <w:tcW w:w="4230"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(11,549</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(9,354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(6,712</w:t>
            </w:r>
          </w:p>
        </w:tc>
        <w:tc>
          <w:tcPr>
            <w:tcW w:w="172"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(9,086</w:t>
            </w:r>
          </w:p>
        </w:tc>
        <w:tc>
          <w:tcPr>
            <w:tcW w:w="117" w:type="dxa"/>
            <w:tcBorders/>
            <w:shd w:fill="CCEEFF" w:val="clear"/>
            <w:vAlign w:val="center"/>
          </w:tcPr>
          <w:p>
            <w:pPr>
              <w:pStyle w:val="TableContents"/>
              <w:bidi w:val="0"/>
              <w:spacing w:before="0" w:after="283"/>
              <w:jc w:val="left"/>
              <w:rPr/>
            </w:pPr>
            <w:r>
              <w:rPr/>
              <w:t>)</w:t>
            </w:r>
          </w:p>
        </w:tc>
      </w:tr>
      <w:tr>
        <w:trPr/>
        <w:tc>
          <w:tcPr>
            <w:tcW w:w="4230" w:type="dxa"/>
            <w:tcBorders/>
            <w:shd w:fill="FFFFFF" w:val="clear"/>
            <w:vAlign w:val="center"/>
          </w:tcPr>
          <w:p>
            <w:pPr>
              <w:pStyle w:val="TableContents"/>
              <w:bidi w:val="0"/>
              <w:spacing w:before="0" w:after="283"/>
              <w:jc w:val="left"/>
              <w:rPr/>
            </w:pPr>
            <w:r>
              <w:rPr/>
              <w:t>Net cash flows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(3,836</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3,200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(984</w:t>
            </w:r>
          </w:p>
        </w:tc>
        <w:tc>
          <w:tcPr>
            <w:tcW w:w="172"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(83</w:t>
            </w:r>
          </w:p>
        </w:tc>
        <w:tc>
          <w:tcPr>
            <w:tcW w:w="117" w:type="dxa"/>
            <w:tcBorders/>
            <w:shd w:fill="FFFFFF" w:val="clear"/>
            <w:vAlign w:val="center"/>
          </w:tcPr>
          <w:p>
            <w:pPr>
              <w:pStyle w:val="TableContents"/>
              <w:bidi w:val="0"/>
              <w:spacing w:before="0" w:after="283"/>
              <w:jc w:val="left"/>
              <w:rPr/>
            </w:pPr>
            <w:r>
              <w:rPr/>
              <w:t>)</w:t>
            </w:r>
          </w:p>
        </w:tc>
      </w:tr>
      <w:tr>
        <w:trPr/>
        <w:tc>
          <w:tcPr>
            <w:tcW w:w="4230" w:type="dxa"/>
            <w:tcBorders/>
            <w:shd w:fill="CCEEFF" w:val="clear"/>
            <w:vAlign w:val="center"/>
          </w:tcPr>
          <w:p>
            <w:pPr>
              <w:pStyle w:val="TableContents"/>
              <w:bidi w:val="0"/>
              <w:spacing w:before="0" w:after="283"/>
              <w:jc w:val="left"/>
              <w:rPr/>
            </w:pPr>
            <w:r>
              <w:rPr/>
              <w:t>Net cash flows provided by 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4,324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6,558</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r>
      <w:tr>
        <w:trPr/>
        <w:tc>
          <w:tcPr>
            <w:tcW w:w="4230" w:type="dxa"/>
            <w:tcBorders/>
            <w:shd w:fill="FFFFFF" w:val="clear"/>
            <w:vAlign w:val="center"/>
          </w:tcPr>
          <w:p>
            <w:pPr>
              <w:pStyle w:val="TableContents"/>
              <w:bidi w:val="0"/>
              <w:spacing w:before="0" w:after="283"/>
              <w:jc w:val="left"/>
              <w:rPr/>
            </w:pPr>
            <w:r>
              <w:rPr/>
              <w:t>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(11,061</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jc w:val="right"/>
              <w:rPr/>
            </w:pPr>
            <w:r>
              <w:rPr/>
              <w:t>(6,154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pPr>
            <w:r>
              <w:rPr/>
              <w:t>(1,138</w:t>
            </w:r>
          </w:p>
        </w:tc>
        <w:tc>
          <w:tcPr>
            <w:tcW w:w="172"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pPr>
            <w:r>
              <w:rPr/>
              <w:t>(9,169</w:t>
            </w:r>
          </w:p>
        </w:tc>
        <w:tc>
          <w:tcPr>
            <w:tcW w:w="117" w:type="dxa"/>
            <w:tcBorders/>
            <w:shd w:fill="FFFFFF" w:val="clear"/>
            <w:vAlign w:val="center"/>
          </w:tcPr>
          <w:p>
            <w:pPr>
              <w:pStyle w:val="TableContents"/>
              <w:bidi w:val="0"/>
              <w:spacing w:before="0" w:after="283"/>
              <w:jc w:val="left"/>
              <w:rPr/>
            </w:pPr>
            <w:r>
              <w:rPr/>
              <w:t>)</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 for the nine months ended September 30, 2023 were approximately $6,712,000, calculated by adjusting our net loss from operations by approximately $874,000 in the aggregate. Cash used in operating activities for the nine months ended September 30, 2022 was approximately $9,086,000, similarly adjusted by approximately $1,084,000. The decrease in net cash flows used in operating activities was mainly due to the reduction in operating expenses from implementation of the Plan and the closure of our SCS research and development program.</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year ended December 31, 2022 was approximately $11,549,000, compared to $9,354,000 in 2021. The increase was primarily from higher net losses in 2022, mostly related to increase in research and development relating to LIBERTY.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for the nine months ended September 30, 2023 were approximately $984,000, resulting mainly from purchase of property and equipment, proceeds from sales of a marketable securities and proceeds from maturities of marketable securities off set by purchases of marketable securities compared to net cash flows used in investing activities in the prior comparable period as a result of purchase of property and equipment in the amount of $83,000.</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investing activities increased in 2022 compared to 2021 primarily from the net purchases of marketable securities in 2022.</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financing activities for the nine months ended September 30, 2023 were approximately $6,558,000, resulting from net proceeds received due to the issuance of common stock, and other securities in a series of offerings in May and June 2023.</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financing activities increased in 2022 to approximately $4,324,000 due to the issuance of common stock and warrants to an institutional investor in October 2022. The Company did not raise capital in 2021.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bookmarkStart w:id="11" w:name="bs_001"/>
      <w:bookmarkEnd w:id="11"/>
      <w:r>
        <w:rPr>
          <w:rFonts w:ascii="Times New Roman;Times;Serif" w:hAnsi="Times New Roman;Times;Serif"/>
          <w:b/>
          <w:i w:val="false"/>
          <w:caps w:val="false"/>
          <w:smallCaps w:val="false"/>
          <w:sz w:val="20"/>
        </w:rPr>
        <w:t>QUANTITATIVE AND QUALITATIVE DISCLOSURES ABOUT MARKET RISK</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December 31, 2023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_022"/>
      <w:bookmarkEnd w:id="12"/>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we are developing the first ever fully disposable robot for various endovascular interventional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are the Interventional Cardiology, Interventional Radiology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being designed to have the following attributes:</w:t>
      </w:r>
    </w:p>
    <w:p>
      <w:pPr>
        <w:pStyle w:val="TextBody"/>
        <w:bidi w:val="0"/>
        <w:spacing w:before="0" w:after="0"/>
        <w:ind w:left="720" w:right="0" w:hanging="36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bl>
    <w:p>
      <w:pPr>
        <w:pStyle w:val="TextBody"/>
        <w:bidi w:val="0"/>
        <w:spacing w:before="0" w:after="0"/>
        <w:ind w:left="720" w:right="0" w:hanging="36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and only fully disposable, robotic system for endovascular procedures.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 – Can be made compatible with Microbot’s NitiLoop’s NovaCross products or possibly other guidewire/microcatheter technologies, that combines guidewire and microcatheter into a single device.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“over the wire” device.</w:t>
            </w:r>
          </w:p>
        </w:tc>
      </w:tr>
    </w:tbl>
    <w:p>
      <w:pPr>
        <w:pStyle w:val="TextBody"/>
        <w:bidi w:val="0"/>
        <w:spacing w:before="0" w:after="0"/>
        <w:ind w:left="720" w:right="0" w:hanging="36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bl>
    <w:p>
      <w:pPr>
        <w:pStyle w:val="TextBody"/>
        <w:bidi w:val="0"/>
        <w:spacing w:before="0" w:after="0"/>
        <w:ind w:left="720" w:right="0" w:hanging="36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7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Endovascular Robotic Surgical System to address certain neurovascular procedures. The activities contemplated by the Agreement shall be specified in one or more development plans derived from the terms and conditions set forth in the Agreement. The parties conducted discussions in the past to define the development plan, but as of the date of this prospectus no specific action plan was developed.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we achieved design freeze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2022, we filed our pre-submission package for the LIBERTY Endovascular Robotic Surgical System with the FDA, addressing the regulatory pathway for the LIBERTY Endovascular Robotic Surgical System. On July 22, 2022, the Company completed a pre-submission process with the FDA regarding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Formal feedback from the FDA included a recommendation to perform a clinical study and a human factors validation study, to support clearance through the 510(k) notification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 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 reach a total of 48 animal targets. A total of 6 LIBERTY</w:t>
      </w:r>
      <w:r>
        <w:rPr>
          <w:rFonts w:ascii="Times New Roman;Times;Serif" w:hAnsi="Times New Roman;Times;Serif"/>
          <w:b w:val="false"/>
          <w:i w:val="false"/>
          <w:caps w:val="false"/>
          <w:smallCaps w:val="false"/>
          <w:position w:val="8"/>
          <w:sz w:val="20"/>
          <w:sz w:val="25"/>
        </w:rPr>
        <w:t xml:space="preserve">® </w:t>
      </w:r>
      <w:r>
        <w:rPr>
          <w:rFonts w:ascii="Times New Roman;Times;Serif" w:hAnsi="Times New Roman;Times;Serif"/>
          <w:b w:val="false"/>
          <w:i w:val="false"/>
          <w:caps w:val="false"/>
          <w:smallCaps w:val="false"/>
          <w:sz w:val="20"/>
        </w:rPr>
        <w:t>Endovascular Robotic Surgical Systems were used in the study. All 6 LIBERTY</w:t>
      </w:r>
      <w:r>
        <w:rPr>
          <w:rFonts w:ascii="Times New Roman;Times;Serif" w:hAnsi="Times New Roman;Times;Serif"/>
          <w:b w:val="false"/>
          <w:i w:val="false"/>
          <w:caps w:val="false"/>
          <w:smallCaps w:val="false"/>
          <w:position w:val="8"/>
          <w:sz w:val="20"/>
          <w:sz w:val="25"/>
        </w:rPr>
        <w:t xml:space="preserve">® </w:t>
      </w:r>
      <w:r>
        <w:rPr>
          <w:rFonts w:ascii="Times New Roman;Times;Serif" w:hAnsi="Times New Roman;Times;Serif"/>
          <w:b w:val="false"/>
          <w:i w:val="false"/>
          <w:caps w:val="false"/>
          <w:smallCaps w:val="false"/>
          <w:sz w:val="20"/>
        </w:rPr>
        <w:t>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In January 2024, we added a US-based Clinical Research Associate, as we continue to establish infrastructure for clinical trial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Technologies and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Investment Option Inducement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 (the “Inducement Investment Option”) to purchase up to an aggregate of 1,685,682 shares of the Company’s Common Stock at an exercise price of $1.50 per share. The Inducement Investment Options will be immediately exercisable from the date of issuance until five and one-half (5.5) years following the date of issuance. No other changes to the Existing Investment Options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Core-Business Focus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the Board of Directors of the Company authorized, and the Company commenced, a core-business focus program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This core-business focus program includes the cessation of research and development activities not related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including terminating the Company’s agreement with CardioSert for that technology, and returning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Reduction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2023 and in January 2024, we raised sufficient capital that, together with the savings from the cost reduction plan, has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the V&amp;V study and first-in-human trials are not promising, the Company may be forced to take more drastic actions to conserve capital or shut down operations entirely.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First-In-Human Clinical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2024, we submitted an Investigational Device Exemption (IDE) application with the U.S. Food and Drug Administration, in order to commence its pivotal clinical trial in humans.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the LIBERTY</w:t>
      </w:r>
      <w:r>
        <w:rPr>
          <w:rFonts w:ascii="Times New Roman;Times;Serif" w:hAnsi="Times New Roman;Times;Serif"/>
          <w:b w:val="false"/>
          <w:i w:val="false"/>
          <w:caps w:val="false"/>
          <w:smallCaps w:val="false"/>
          <w:position w:val="8"/>
          <w:sz w:val="20"/>
          <w:sz w:val="25"/>
        </w:rPr>
        <w:t xml:space="preserve">® </w:t>
      </w:r>
      <w:r>
        <w:rPr>
          <w:rFonts w:ascii="Times New Roman;Times;Serif" w:hAnsi="Times New Roman;Times;Serif"/>
          <w:b w:val="false"/>
          <w:i w:val="false"/>
          <w:caps w:val="false"/>
          <w:smallCaps w:val="false"/>
          <w:sz w:val="20"/>
        </w:rPr>
        <w:t>Endovascular Robotic Surgical System, we decided not to pursue First-In-Human trials or cases outside of the United States at this time to avoid conflict with our FDA submission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Minimally Invasive Robot-Assisted Endovascular Interventions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with its portfolio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coupled with its own NovaCross products and other off-the-shelf products, it is well-positioned to deliver a value-added endovascular robotic system, with a focus on improving the ease and access and enhancing the safety of endovascular interventions.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goal is to generate sales of its products, once they have received regulatory approval, by establishing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Continue to refine existing product candidates and develop additional surgical robotic solutions</w:t>
            </w:r>
            <w:r>
              <w:rPr>
                <w:rFonts w:ascii="Times New Roman;Times;Serif" w:hAnsi="Times New Roman;Times;Serif"/>
                <w:b w:val="false"/>
                <w:i w:val="false"/>
                <w:caps w:val="false"/>
                <w:smallCaps w:val="false"/>
                <w:sz w:val="20"/>
              </w:rPr>
              <w:t>. As Microbot prepares to bring its initial 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 and leverage relationships with key institutions and leading clinicians</w:t>
            </w:r>
            <w:r>
              <w:rPr>
                <w:rFonts w:ascii="Times New Roman;Times;Serif" w:hAnsi="Times New Roman;Times;Serif"/>
                <w:b w:val="false"/>
                <w:i w:val="false"/>
                <w:caps w:val="false"/>
                <w:smallCaps w:val="false"/>
                <w:sz w:val="20"/>
              </w:rPr>
              <w:t>. Microbot’s objective will be to maintain clinical focus with leading hospitals and clinics so as to establish LIBERTY,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Continuously invest in research and development</w:t>
            </w:r>
            <w:r>
              <w:rPr>
                <w:rFonts w:ascii="Times New Roman;Times;Serif" w:hAnsi="Times New Roman;Times;Serif"/>
                <w:b w:val="false"/>
                <w:i w:val="false"/>
                <w:caps w:val="false"/>
                <w:smallCaps w:val="false"/>
                <w:sz w:val="20"/>
              </w:rPr>
              <w:t>. Microbot’s most significant expense has historically been research and development, and 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Explore partnerships for the introduction of Microbot’s products</w:t>
            </w:r>
            <w:r>
              <w:rPr>
                <w:rFonts w:ascii="Times New Roman;Times;Serif" w:hAnsi="Times New Roman;Times;Serif"/>
                <w:b w:val="false"/>
                <w:i w:val="false"/>
                <w:caps w:val="false"/>
                <w:smallCaps w:val="false"/>
                <w:sz w:val="20"/>
              </w:rPr>
              <w:t>. In parallel to its efforts to establish direct sales and marketing capabilities, 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Seek additional IP and technologies to complement and strengthen Microbot’s current IP portfolio</w:t>
            </w:r>
            <w:r>
              <w:rPr>
                <w:rFonts w:ascii="Times New Roman;Times;Serif" w:hAnsi="Times New Roman;Times;Serif"/>
                <w:b w:val="false"/>
                <w:i w:val="false"/>
                <w:caps w:val="false"/>
                <w:smallCaps w:val="false"/>
                <w:sz w:val="20"/>
              </w:rPr>
              <w:t>. Microbot intends to continue exploring new technologies, IP and know-how to add to its current portfolio through licensing, mergers and/or acquisitions and to allow Microbot to enter new spaces and strengthen its overall product portfolio.</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 Competitive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main competitor to the LIBERTY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LIBERTY platform core technology is co-owned by Microbot and The Technion Research and Development Foundation Ltd., or TRDF. The NovaCross</w:t>
      </w:r>
      <w:r>
        <w:rPr>
          <w:rFonts w:ascii="Times New Roman;Times;Serif" w:hAnsi="Times New Roman;Times;Serif"/>
          <w:b w:val="false"/>
          <w:i w:val="false"/>
          <w:caps w:val="false"/>
          <w:smallCaps w:val="false"/>
          <w:position w:val="8"/>
          <w:sz w:val="20"/>
          <w:sz w:val="25"/>
        </w:rPr>
        <w:t xml:space="preserve">® </w:t>
      </w:r>
      <w:r>
        <w:rPr>
          <w:rFonts w:ascii="Times New Roman;Times;Serif" w:hAnsi="Times New Roman;Times;Serif"/>
          <w:b w:val="false"/>
          <w:i w:val="false"/>
          <w:caps w:val="false"/>
          <w:smallCaps w:val="false"/>
          <w:sz w:val="20"/>
        </w:rPr>
        <w:t>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41 patent applications pending worldwide. Microbot also holds 10 design patents issued/allowed and 5 design patents pending worldwide. It also has registered trademarks in Israel, Europe, UK and the US relating to its LIBERTY platform,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newly acquired NovaCross trademark.</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 with the Technion</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LIBERTY platform, which was invented by employees of Microbot together with Professor Moshe Shoham of the Technion, in his capacity as a consultant to Microbot, is co-owned by Microbot and TRDF, and the parties established the LIBERTY platform as a “Joint Invention” in accordance with the terms of the License Agreement. Once the Joint Invention is established, Microbot will have to pay TRDF royalties of between 1.5% and 3.0% of net sales of products covered by this Joint Invention.</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Microbot’s research and development efforts are to continue to introduce incremental enhancements to the capabilities of its candidate products and to advance the development of proposed products.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Israeli Innovation Authority (“IIA”) for participation in research and development since 2013 through September 30, 2023 totaling approximately $1,656,000. This amount includes advance payment in the third quarter of 2023 of approximately $156,000 which is a portion of additional grant previously approved from the IIA in the amount of approximately NIS 1.62 million, which based on an exchange rate on September 30, 2023 of NIS 1.00 = $0.2614, would be approximately $423,000, to further finance the development of the Company’s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robotic surgical system.</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agreement with Nitiloop, on October 6, 2022, Microbot Israel took over the liability to repay Nitiloop’s IIA grants in the aggregate amount of approximately $925,000.</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IIA grants described above, the Company is obligated to pay royalties amounting to 3%-5% of its future sales of the products relating to such grants.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Libor per annum.</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2023, the Company announced that it received approval for a grant from the Ministry of Economy of the State of Israel in the amount of approximately NIS 300 thousand, which based on an exchange rate on such date of NIS 1.00 = $0.27457, would be approximately $82,000, to further finance the marketing activities of the LIBERTY Robotic System in the US 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2023, the Company received NIS 109,474 (approximately US$27,000) of such amount.</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Ministry of Economy grant, the Company is obligated to pay royalties amounting to between 3%-5% of future sales of the LIBERTY product up to the grant amount plus interest.</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to continue to access government funding in the future.</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2022 and 2021, respectively, Microbot incurred research and development expenses of approximately $7,736,000 and $6,153,000.</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collaboration agreement with Stryker</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 certain of Stryker’s instruments with the Company’s LIBERTY® Robotic System to address certain neurovascular procedures. The parties conducted discussions in the past to define the development plan, but as of the date of this prospectus no specific action plan was developed.</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Commercialization</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Microbot has not yet established a sales, marketing or product distribution infrastructure for the LIBERTY</w:t>
      </w:r>
      <w:r>
        <w:rPr>
          <w:rFonts w:ascii="Times New Roman;Times;Serif" w:hAnsi="Times New Roman;Times;Serif"/>
          <w:b w:val="false"/>
          <w:i w:val="false"/>
          <w:caps w:val="false"/>
          <w:smallCaps w:val="false"/>
          <w:position w:val="8"/>
          <w:sz w:val="20"/>
          <w:sz w:val="25"/>
        </w:rPr>
        <w:t xml:space="preserve">® </w:t>
      </w:r>
      <w:r>
        <w:rPr>
          <w:rFonts w:ascii="Times New Roman;Times;Serif" w:hAnsi="Times New Roman;Times;Serif"/>
          <w:b w:val="false"/>
          <w:i w:val="false"/>
          <w:caps w:val="false"/>
          <w:smallCaps w:val="false"/>
          <w:sz w:val="20"/>
        </w:rPr>
        <w:t>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Regulation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85"/>
        <w:gridCol w:w="36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design, and development;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safety, testing, labeling and storage;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keeping procedures;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marketing.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numerous FDA regulatory requirements governing the approval or clearance and subsequent commercial marketing of Microbot’s products. These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submission of product listing and establishment registration information, along with associated establishment user fees;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labeling regulations and FDA prohibitions against the promotion of products for uncleared, unapproved or off-label use or indication;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clearance or approval of product modifications that could significantly affect the safety or effectiveness of the device or that would constitute a major change in intended use;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use of the Corrective and Preventive Actions process to identify and correct or prevent significant systemic failures of products or processes or in trends which suggest same;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post-approval restrictions or conditions, including post-approval study commitments;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 regulations, which apply when necessary to protect the public health or to provide additional safety and effectiveness data for the device;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correction or removal and recall regulations.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comprehensive product description and indications for use;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review of predicate devices and development of data supporting the new product’s substantial equivalence to one or more predicate devices;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appropriate and required, certain types of clinical trials (IDE submission and approval may be required for conducting a clinical trial in the US).</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510(k) clearance letter from the FDA will authorize commercial marketing of the device for one or more specific indications for use.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Microbot receives a Not Substantially Equivalent determination for either of its device candidates in response to a 510(k) submission, the Microbot device may still be eligible for the 510(k) de-novo classification process.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Regulation</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Europe</w:t>
      </w:r>
      <w:r>
        <w:rPr>
          <w:rFonts w:ascii="Times New Roman;Times;Serif" w:hAnsi="Times New Roman;Times;Serif"/>
          <w:b w:val="false"/>
          <w:i w:val="false"/>
          <w:caps w:val="false"/>
          <w:smallCaps w:val="false"/>
          <w:sz w:val="20"/>
        </w:rPr>
        <w:t>. The primary regulatory body in Europe is the European Union, or E.U., which consists of 27 member states and has a coordinated system for the authorization of medical devices.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CE Marking certification, comply with European Commission Regulation (EU) No. 2017/745, commonly known as the Medical Device Regulation (MDR).</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 Person Responsible for Regulatory Compliance (PRRC). Determine classification of device - Class I (self-certified); Class I (sterile, measuring or reusable surgical instrument); Class IIa, Class IIb, or Class III.</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devices except Class I (self-certified), the QMS and Technical Documentation or Design Dossier must be audited by a Notified Body, a third party accredited by European authorities to audit medical device companies and products.</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 Declaration of Conformity, a legally binding document prepared by the manufacturer stating that the device is in compliance with the applicable European requirements. At this time, the CE Marking may be affixed.</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device and its Unique Device Identifier (UDI) in the EUDAMED database. UDI must be on label and associated with the regulatory documents.</w:t>
            </w:r>
          </w:p>
        </w:tc>
      </w:tr>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Israel</w:t>
      </w:r>
      <w:r>
        <w:rPr>
          <w:rFonts w:ascii="Times New Roman;Times;Serif" w:hAnsi="Times New Roman;Times;Serif"/>
          <w:b w:val="false"/>
          <w:i w:val="false"/>
          <w:caps w:val="false"/>
          <w:smallCaps w:val="false"/>
          <w:sz w:val="20"/>
        </w:rPr>
        <w:t>.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medical devices requires the submission of an application to the Ministry of Health Medical Institutions and Devices Licensing Department, or AMAR. An application for the registration of a medical device includes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the manufacturer, and of the importer as applicable;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intended use of the medical device and of its medical indications;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details of the medical device and of its components, and in the event that the device or the components are not new, information should be provided on the date or renovation;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attesting to the safety of the device, issued by a competent authority of one of the following countries: Australia, Canada, European Community (EC), Member States (MSs), Israel, Japan, or the United States;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any risk which may be associated with the use of the device (including precautionary measures to be taken);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for use of the device in Hebrew; the MOH may allow the instructions to be in English for certain devices;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standards to which the device complies;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technical and maintenance services, including periodic checks and inspections;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as appropriate: of the local manufacturer/importer, and of the foreign manufacturer.</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pStyle w:val="TextBody"/>
        <w:bidi w:val="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85"/>
        <w:gridCol w:w="738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 and maintain a place of business in Israel and serve as the regulatory representative.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questions from AMAR concerning the registered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adverse events to AMAR.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the registration on time to keep the market approval active.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post-marketing requirements, including reporting of adverse and unexpected events occurring in Israel or in other countries where the device is in use.</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Getting a device listed on Israel’s four major Sick Funds (health insurance entities) is also necessary in order for Israeli hospitals and health care providers to order such products.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caps w:val="false"/>
          <w:smallCaps w:val="false"/>
          <w:sz w:val="20"/>
        </w:rPr>
        <w:t>Litigation Resulting from 2017 Financing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26, 2024 (the “Effective Date”), we entered into a Settlement Agreement and Release with the Plaintiffs. Pursuant to the Settlement Agreement, we agreed to pay the Plaintiffs $2,154,000 (the “Total Settlement Amount”), consisting of a cash payment covered by our insurance carrier of $1,100,000 and 1,005,965 shares of restricted common stock which represent the whole number of restricted shares of our common stock calculated pursuant to the following formula: $1,054,000/[closing price of common stock on the Effective Date * 0.825]. Additionally, the Plaintiffs and the Company each agreed to fully release the other from all claims arising out of the 2017 financing, the Securities Purchase Agreement and/or the allegations and claims asserted in the lawsuit, subject to customary carve-outs.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agreed, pursuant to a Registration Rights Agreement, to file a registration statement on Form S-1 or Form S-3 covering the resale of the 1,005,965 shares, within 30 calendar days following the Effective Date, and to use reasonable best efforts to have such registration statement declared effective by the Securities and Exchange Commission within 60 days (or, in the event of a “full review” by the Securities and Exchange Commission, within 90 days) following the Effective Date. We shall be required to make cash payments to the Plaintiffs in the event we fail to register the shares and keep the registration statement effective pursuant to the terms of the Registration Rights Agreement, and if we fail to remove the restrictions on the shares pursuant to the terms of the Settlement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three business days of the Plaintiffs’ receipt of the Total Settlement Amount, the Plaintiffs will file a stipulation discontinuing the Lawsuit with prejudice.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employees currently either work remotely or at leased premises in the suburbs of Boston, Massachusetts of approximately 300 square feet. It has also retained a small leased storage facility and a mailing address in the United States.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24, 2024, we have 20 employees (including full-time and hourly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Chief Executive Officer, President and Chairman, Harel Gadot, along with 4 full-time, are based in the United States. Additionally, Microbot has 14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been able to attract and retain top talent by creating a culture that challenges and engages our employees, offering them opportunities to learn, grow and achieve their career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Benefits and Wellbeing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competitive compensation for our employees We have historically offered annual bonuses and stock-based compensation for eligible employees. As a result of our recent cost reduction plan, our executive officers and certain of our employees have taken salary reductions, although all of them have since had their salaries reinstated. We can give no assurance that such plan will not have an adverse effect on our ability to attract and/or retain employees or remain competitive for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Leadership, Training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provide our employees with advanced professional and development skills, so that they can perform effectively in their roles and build their capabilities and career prospects for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Diversity, Equity and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encourage a diversity of views and to create an equal opportunity workplace. During the past year, we have increased the total number of women in management positions.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d_001"/>
      <w:bookmarkEnd w:id="13"/>
      <w:r>
        <w:rPr>
          <w:rFonts w:ascii="Times New Roman;Times;Serif" w:hAnsi="Times New Roman;Times;Serif"/>
          <w:b/>
          <w:i w:val="false"/>
          <w:caps w:val="false"/>
          <w:smallCaps w:val="false"/>
          <w:sz w:val="20"/>
        </w:rPr>
        <w:t>BOARD OF DIRECTORS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seven directors serving on our Board. The following table lists the names, ages and positions of the individuals who serve as directors of the Company, as of January 24, 2024:</w:t>
      </w:r>
    </w:p>
    <w:p>
      <w:pPr>
        <w:pStyle w:val="TextBody"/>
        <w:bidi w:val="0"/>
        <w:spacing w:before="0" w:after="0"/>
        <w:ind w:left="0" w:right="0" w:hanging="0"/>
        <w:jc w:val="both"/>
        <w:rPr>
          <w:caps w:val="false"/>
          <w:smallCaps w:val="false"/>
        </w:rPr>
      </w:pPr>
      <w:r>
        <w:rPr>
          <w:caps w:val="false"/>
          <w:smallCaps w:val="false"/>
        </w:rPr>
        <w:t> </w:t>
      </w:r>
    </w:p>
    <w:tbl>
      <w:tblPr>
        <w:tblW w:w="8580" w:type="dxa"/>
        <w:jc w:val="left"/>
        <w:tblInd w:w="0" w:type="dxa"/>
        <w:tblLayout w:type="fixed"/>
        <w:tblCellMar>
          <w:top w:w="0" w:type="dxa"/>
          <w:left w:w="0" w:type="dxa"/>
          <w:bottom w:w="28" w:type="dxa"/>
          <w:right w:w="0" w:type="dxa"/>
        </w:tblCellMar>
      </w:tblPr>
      <w:tblGrid>
        <w:gridCol w:w="2090"/>
        <w:gridCol w:w="60"/>
        <w:gridCol w:w="350"/>
        <w:gridCol w:w="60"/>
        <w:gridCol w:w="6020"/>
      </w:tblGrid>
      <w:tr>
        <w:trPr/>
        <w:tc>
          <w:tcPr>
            <w:tcW w:w="20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045" w:type="dxa"/>
        <w:jc w:val="left"/>
        <w:tblInd w:w="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Audit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Corporate Governance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Compensation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classified Board, with each of our directors serving a staggered three-year term. The following table shows the current composition of the three classes of our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Directors (terms scheduled to expire in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385" w:type="dxa"/>
        <w:jc w:val="left"/>
        <w:tblInd w:w="0" w:type="dxa"/>
        <w:tblLayout w:type="fixed"/>
        <w:tblCellMar>
          <w:top w:w="0" w:type="dxa"/>
          <w:left w:w="0" w:type="dxa"/>
          <w:bottom w:w="0" w:type="dxa"/>
          <w:right w:w="0" w:type="dxa"/>
        </w:tblCellMar>
      </w:tblPr>
      <w:tblGrid>
        <w:gridCol w:w="75"/>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Directors (term scheduled to expire in 2026):</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75"/>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Directors (term scheduled to expire in 2024):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75"/>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members of our Board, as determined by the Board in accordance with the existing Nasdaq Listing rules, are Messrs. Bornstein, Burell, Madden, Laxminarain and Wenderow, and Ms. Stockburger.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Biographies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Harel Gadot</w:t>
      </w:r>
      <w:r>
        <w:rPr>
          <w:rFonts w:ascii="Times New Roman;Times;Serif" w:hAnsi="Times New Roman;Times;Serif"/>
          <w:b w:val="false"/>
          <w:i w:val="false"/>
          <w:caps w:val="false"/>
          <w:smallCaps w:val="false"/>
          <w:sz w:val="20"/>
        </w:rPr>
        <w:t>, became President, Chief Executive Officer and Chairman of the Company’s Board following the consummation of the merger of C&amp;RD 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Yoseph Bornstein</w:t>
      </w:r>
      <w:r>
        <w:rPr>
          <w:rFonts w:ascii="Times New Roman;Times;Serif" w:hAnsi="Times New Roman;Times;Serif"/>
          <w:b w:val="false"/>
          <w:i w:val="false"/>
          <w:caps w:val="false"/>
          <w:smallCaps w:val="false"/>
          <w:sz w:val="20"/>
        </w:rPr>
        <w:t>, became a director of the Company following the Merger. Mr. Bornstein is a co-founder of Microbot Israel and has been a member of the 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Scott R. Burell</w:t>
      </w:r>
      <w:r>
        <w:rPr>
          <w:rFonts w:ascii="Times New Roman;Times;Serif" w:hAnsi="Times New Roman;Times;Serif"/>
          <w:b w:val="false"/>
          <w:i w:val="false"/>
          <w:caps w:val="false"/>
          <w:smallCaps w:val="false"/>
          <w:sz w:val="20"/>
        </w:rPr>
        <w:t>, became a director of the Company in November 2016. Since August 2018, Mr. Burell has been the Chief Financial Officer and 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Martin Madden</w:t>
      </w:r>
      <w:r>
        <w:rPr>
          <w:rFonts w:ascii="Times New Roman;Times;Serif" w:hAnsi="Times New Roman;Times;Serif"/>
          <w:b w:val="false"/>
          <w:i w:val="false"/>
          <w:caps w:val="false"/>
          <w:smallCaps w:val="false"/>
          <w:sz w:val="20"/>
        </w:rPr>
        <w:t>, has been a director of the Company since February 6, 2017. Mr. Madden has held various positions at Johnson &amp; 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Prattipati Laxminarain</w:t>
      </w:r>
      <w:r>
        <w:rPr>
          <w:rFonts w:ascii="Times New Roman;Times;Serif" w:hAnsi="Times New Roman;Times;Serif"/>
          <w:b w:val="false"/>
          <w:i w:val="false"/>
          <w:caps w:val="false"/>
          <w:smallCaps w:val="false"/>
          <w:sz w:val="20"/>
        </w:rPr>
        <w:t>, has been a director of the Company since December 6, 2017. From April 2006 through October 2017, Mr. 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Aileen Stockburger</w:t>
      </w:r>
      <w:r>
        <w:rPr>
          <w:rFonts w:ascii="Times New Roman;Times;Serif" w:hAnsi="Times New Roman;Times;Serif"/>
          <w:b w:val="false"/>
          <w:i w:val="false"/>
          <w:caps w:val="false"/>
          <w:smallCaps w:val="false"/>
          <w:sz w:val="20"/>
        </w:rPr>
        <w:t xml:space="preserve"> was appointed by the Board on March 26, 2020 to fill a vacancy on the Board and to serve as a Class II director of 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and Chair of Next Science’s Audit Committee.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Tal Wenderow</w:t>
      </w:r>
      <w:r>
        <w:rPr>
          <w:rFonts w:ascii="Times New Roman;Times;Serif" w:hAnsi="Times New Roman;Times;Serif"/>
          <w:b w:val="false"/>
          <w:i w:val="false"/>
          <w:caps w:val="false"/>
          <w:smallCaps w:val="false"/>
          <w:sz w:val="20"/>
        </w:rPr>
        <w:t xml:space="preserve"> was appointed by the Board on July 29, 2020 to fill a vacancy on the Board and to serve as a Class I director of the Company, with a term 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Diversity Matrix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matrix below reflects our Board’s gender and racial characteristics and LGBTQ+ status, based on the self-identification of our directors. Each of the categories listed below has the meaning as it is used in Nasdaq Rule 5605(f).</w:t>
      </w:r>
    </w:p>
    <w:p>
      <w:pPr>
        <w:pStyle w:val="TextBody"/>
        <w:bidi w:val="0"/>
        <w:spacing w:before="0" w:after="0"/>
        <w:ind w:left="0" w:right="0" w:hanging="0"/>
        <w:jc w:val="both"/>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3710"/>
        <w:gridCol w:w="60"/>
        <w:gridCol w:w="455"/>
        <w:gridCol w:w="60"/>
        <w:gridCol w:w="650"/>
        <w:gridCol w:w="60"/>
        <w:gridCol w:w="1025"/>
        <w:gridCol w:w="60"/>
        <w:gridCol w:w="1715"/>
      </w:tblGrid>
      <w:tr>
        <w:trPr/>
        <w:tc>
          <w:tcPr>
            <w:tcW w:w="7795" w:type="dxa"/>
            <w:gridSpan w:val="9"/>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of January 24, 2024)</w:t>
            </w:r>
          </w:p>
        </w:tc>
      </w:tr>
      <w:tr>
        <w:trPr/>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5" w:type="dxa"/>
            <w:gridSpan w:val="7"/>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r>
      <w:tr>
        <w:trPr/>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Gender Identity: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Female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Non-Binary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Gender Undisclosed</w:t>
            </w:r>
          </w:p>
        </w:tc>
      </w:tr>
      <w:tr>
        <w:trPr/>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7795" w:type="dxa"/>
            <w:gridSpan w:val="9"/>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 who Identify in any of the Categories Below:</w:t>
            </w:r>
          </w:p>
        </w:tc>
      </w:tr>
      <w:tr>
        <w:trPr/>
        <w:tc>
          <w:tcPr>
            <w:tcW w:w="3710"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African American or Black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Alaskan Native or Native American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Asian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Hispanic or Latinx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Native Hawaiian or Pacific Islander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Two or More Races or Ethnicities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LGBTQ+</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5" w:type="dxa"/>
            <w:gridSpan w:val="7"/>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Did Not Disclose Demographic Background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5" w:type="dxa"/>
            <w:gridSpan w:val="7"/>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Oversight and Qualifications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025" w:type="dxa"/>
        <w:jc w:val="left"/>
        <w:tblInd w:w="0" w:type="dxa"/>
        <w:tblLayout w:type="fixed"/>
        <w:tblCellMar>
          <w:top w:w="0" w:type="dxa"/>
          <w:left w:w="0" w:type="dxa"/>
          <w:bottom w:w="28" w:type="dxa"/>
          <w:right w:w="0" w:type="dxa"/>
        </w:tblCellMar>
      </w:tblPr>
      <w:tblGrid>
        <w:gridCol w:w="1535"/>
        <w:gridCol w:w="60"/>
        <w:gridCol w:w="350"/>
        <w:gridCol w:w="60"/>
        <w:gridCol w:w="6020"/>
      </w:tblGrid>
      <w:tr>
        <w:trPr/>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Sharon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 and General Manager, Microbot Israel</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Juan Diaz-Cartelle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Rachel Vaknin, </w:t>
      </w:r>
      <w:r>
        <w:rPr>
          <w:rFonts w:ascii="Times New Roman;Times;Serif" w:hAnsi="Times New Roman;Times;Serif"/>
          <w:b w:val="false"/>
          <w:i w:val="false"/>
          <w:caps w:val="false"/>
          <w:smallCaps w:val="false"/>
          <w:sz w:val="20"/>
        </w:rPr>
        <w:t>has served as the Company’s Chief Financial Officer since April 2022 and before that was its VP Finance since January 2022. From 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Simon Sharon</w:t>
      </w:r>
      <w:r>
        <w:rPr>
          <w:rFonts w:ascii="Times New Roman;Times;Serif" w:hAnsi="Times New Roman;Times;Serif"/>
          <w:b w:val="false"/>
          <w:i w:val="false"/>
          <w:caps w:val="false"/>
          <w:smallCaps w:val="false"/>
          <w:sz w:val="20"/>
        </w:rPr>
        <w:t>, has served as the Company’s Chief Technology Officer since April 2018 and as the General Manager of Microbot Israel 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 Juan Diaz-Cartelle</w:t>
      </w:r>
      <w:r>
        <w:rPr>
          <w:rFonts w:ascii="Times New Roman;Times;Serif" w:hAnsi="Times New Roman;Times;Serif"/>
          <w:b w:val="false"/>
          <w:i w:val="false"/>
          <w:caps w:val="false"/>
          <w:smallCaps w:val="false"/>
          <w:sz w:val="20"/>
        </w:rPr>
        <w:t>, has served as the Company’s Chief Medical Officer since December 1, 2023. As CMO, Dr. Diaz-Cartelle will lead the development and execution of the clinical strategy of the Company, including its planned clinical trials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16(a) Reports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 Involving Directors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legal proceedings involving the members of the Board.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d_002"/>
      <w:bookmarkEnd w:id="14"/>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element of compensation that was paid or awarded to the named executive officers of the Company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53"/>
        <w:gridCol w:w="60"/>
        <w:gridCol w:w="60"/>
        <w:gridCol w:w="440"/>
        <w:gridCol w:w="60"/>
        <w:gridCol w:w="60"/>
        <w:gridCol w:w="61"/>
        <w:gridCol w:w="710"/>
        <w:gridCol w:w="60"/>
        <w:gridCol w:w="60"/>
        <w:gridCol w:w="60"/>
        <w:gridCol w:w="703"/>
        <w:gridCol w:w="194"/>
        <w:gridCol w:w="60"/>
        <w:gridCol w:w="84"/>
        <w:gridCol w:w="704"/>
        <w:gridCol w:w="60"/>
        <w:gridCol w:w="60"/>
        <w:gridCol w:w="73"/>
        <w:gridCol w:w="852"/>
        <w:gridCol w:w="60"/>
        <w:gridCol w:w="60"/>
        <w:gridCol w:w="132"/>
        <w:gridCol w:w="1507"/>
        <w:gridCol w:w="60"/>
        <w:gridCol w:w="60"/>
        <w:gridCol w:w="130"/>
        <w:gridCol w:w="1280"/>
        <w:gridCol w:w="194"/>
        <w:gridCol w:w="60"/>
        <w:gridCol w:w="60"/>
        <w:gridCol w:w="845"/>
        <w:gridCol w:w="83"/>
      </w:tblGrid>
      <w:tr>
        <w:trPr/>
        <w:tc>
          <w:tcPr>
            <w:tcW w:w="125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1"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 ($)</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1"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8"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370,552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386,000</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470,302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1,240,654</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President &amp; Chairman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971,217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1,827,017</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Sharon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87,022</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22,828</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469,930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CTO and GM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348,197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89,721</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23,298</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526,330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Eyal Morag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314,033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82,878</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13,605</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511,872</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CMO (6)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401,517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89,164</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19,752</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601,269</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27,626</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289,502</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234,647</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for the fiscal year ended December 31, 2022 included in this prospectus.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2022 fiscal year, which amount was actually paid in 2023.</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2021 fiscal year, which amount was actually paid in 2022.</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Mr. Gadot’s monthly automobile allowance.</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the executive’s yearly automobile allowance.</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2023, Dr. Morag resigned from his position with the Company, effective November 29, 2023.</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awards held by each of the named executive officers as of the end of the fiscal year ended December 31, 2023.</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
        <w:gridCol w:w="60"/>
        <w:gridCol w:w="83"/>
        <w:gridCol w:w="972"/>
        <w:gridCol w:w="60"/>
        <w:gridCol w:w="60"/>
        <w:gridCol w:w="112"/>
        <w:gridCol w:w="1108"/>
        <w:gridCol w:w="60"/>
        <w:gridCol w:w="60"/>
        <w:gridCol w:w="181"/>
        <w:gridCol w:w="708"/>
        <w:gridCol w:w="60"/>
        <w:gridCol w:w="60"/>
        <w:gridCol w:w="1077"/>
        <w:gridCol w:w="60"/>
        <w:gridCol w:w="115"/>
        <w:gridCol w:w="738"/>
        <w:gridCol w:w="60"/>
        <w:gridCol w:w="60"/>
        <w:gridCol w:w="159"/>
        <w:gridCol w:w="697"/>
        <w:gridCol w:w="60"/>
        <w:gridCol w:w="60"/>
        <w:gridCol w:w="193"/>
        <w:gridCol w:w="1035"/>
        <w:gridCol w:w="60"/>
        <w:gridCol w:w="60"/>
        <w:gridCol w:w="220"/>
        <w:gridCol w:w="1179"/>
        <w:gridCol w:w="80"/>
      </w:tblGrid>
      <w:tr>
        <w:trPr/>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24" w:type="dxa"/>
            <w:gridSpan w:val="1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96"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Units of Stock That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 value of 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Units of Stock That Have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Incentive Plan Awards: Number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Unearned Shares, Units or Other Rights That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Incentive Plan Awards: Market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Payout Value of Unearned Shares, Units or Other Rights That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6"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02/01/2031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01/26/2032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Sharon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08/13/2028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01/26/2032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01/26/2032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07/18/2032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Eyal Morag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02/29/2024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02/29/2024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Harel Gadot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26, 2022, Mr. Gadot shall also be entitled to receive a target annual cash bonus of up to a maximum amount of 75% of base salary, which amount for the 2023 fiscal year has not yet been determined.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disability, Mr. Gadot would be entitled to receive any earned annual salary, bonus, reimbursement of business expenses and accrued vacation, if any, incurred up to the date of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for cause, Mr. Gadot would be entitled to receive any compensation then due and payable incurred up to the date of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Rachel Vaknin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also be entitled to receive a target annual cash bonus, based on certain milestones, of up to a maximum amount of 25% (increased from 20% in January 2023) of her annual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Ms. Vaknin may terminate the Vaknin Agreement at its discretion at any time by providing the other party with two months prior written notice of termination (the “Advance Notice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Vaknin Agreement “For Cause” (as defined in the Vaknin Agreement) at any time by written notice without the Advance Notice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Simon Sharon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is reviewed on an annual basis by the Compensation Committee of the Company to determine potential increases taking into account such performance metrics and criteria as established by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Sharon Agreement, Mr. Sharon was to have received in 2023 a combined base salary and overtime payment of NIS74,160 per month. Mr. Sharon is also entitled to receive an annual cash bonus of up to 35% of the annual combined salary and overtime payment, based on certain performance factors established and assessed by the Compensation Committee of the Board of Directors of the Company, which he received in full for the 2022 fiscal year. For 2023, as a result of the Company’s May 2023 cost reduction plan and the Sharon Addendum, Mr. Sharon’s gross monthly salary was decreased to a gross amount of NIS44,496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Mr. Sharon may terminate the Sharon Agreement without cause (as defined in the Sharon Agreement) by providing the other party with ninety days prior written notice.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Sharon Agreement for cause at any time by written notice without any advance notice.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Juan Diaz-Cartelle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(the “Diaz-Cartelle Agreement”), effective as of December 1, 2023, with Dr. Diaz-Cartelle, to serve as CMO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shall also be entitled to receive a target annual cash bonus, based on corporate performance factors established and assessed by the Compensation Committee, of up to a maximum amount of 30% of his annual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Agreement, either the Company or Dr. Diaz-Cartelle shall have the right to earlier terminate Dr. Diaz-Cartelle’s employment at any time for any reason or no reason upon at least one month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Limits on Liability and Indemnification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directors and officers insurance for our current directors and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cash and equity-based compensation information for our outside directors,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61"/>
        <w:gridCol w:w="60"/>
        <w:gridCol w:w="149"/>
        <w:gridCol w:w="728"/>
        <w:gridCol w:w="60"/>
        <w:gridCol w:w="60"/>
        <w:gridCol w:w="128"/>
        <w:gridCol w:w="719"/>
        <w:gridCol w:w="60"/>
        <w:gridCol w:w="60"/>
        <w:gridCol w:w="146"/>
        <w:gridCol w:w="715"/>
        <w:gridCol w:w="60"/>
        <w:gridCol w:w="60"/>
        <w:gridCol w:w="134"/>
        <w:gridCol w:w="1436"/>
        <w:gridCol w:w="60"/>
        <w:gridCol w:w="60"/>
        <w:gridCol w:w="165"/>
        <w:gridCol w:w="1423"/>
        <w:gridCol w:w="60"/>
        <w:gridCol w:w="60"/>
        <w:gridCol w:w="142"/>
        <w:gridCol w:w="1377"/>
        <w:gridCol w:w="60"/>
        <w:gridCol w:w="60"/>
        <w:gridCol w:w="140"/>
        <w:gridCol w:w="680"/>
        <w:gridCol w:w="82"/>
      </w:tblGrid>
      <w:tr>
        <w:trPr/>
        <w:tc>
          <w:tcPr>
            <w:tcW w:w="1261" w:type="dxa"/>
            <w:tcBorders>
              <w:bottom w:val="single" w:sz="12"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77" w:type="dxa"/>
            <w:gridSpan w:val="2"/>
            <w:tcBorders>
              <w:bottom w:val="single" w:sz="12" w:space="0" w:color="000000"/>
            </w:tcBorders>
            <w:vAlign w:val="center"/>
          </w:tcPr>
          <w:p>
            <w:pPr>
              <w:pStyle w:val="TableContents"/>
              <w:bidi w:val="0"/>
              <w:spacing w:before="0" w:after="283"/>
              <w:jc w:val="center"/>
              <w:rPr>
                <w:b/>
              </w:rPr>
            </w:pPr>
            <w:r>
              <w:rPr>
                <w:b/>
              </w:rPr>
              <w:t>Fees earned or paid in cash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7" w:type="dxa"/>
            <w:gridSpan w:val="2"/>
            <w:tcBorders>
              <w:bottom w:val="single" w:sz="12" w:space="0" w:color="000000"/>
            </w:tcBorders>
            <w:vAlign w:val="center"/>
          </w:tcPr>
          <w:p>
            <w:pPr>
              <w:pStyle w:val="TableContents"/>
              <w:bidi w:val="0"/>
              <w:spacing w:before="0" w:after="283"/>
              <w:jc w:val="center"/>
              <w:rPr>
                <w:b/>
              </w:rPr>
            </w:pPr>
            <w:r>
              <w:rPr>
                <w:b/>
              </w:rPr>
              <w:t>Stock 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 w:type="dxa"/>
            <w:gridSpan w:val="2"/>
            <w:tcBorders>
              <w:bottom w:val="single" w:sz="12" w:space="0" w:color="000000"/>
            </w:tcBorders>
            <w:vAlign w:val="center"/>
          </w:tcPr>
          <w:p>
            <w:pPr>
              <w:pStyle w:val="TableContents"/>
              <w:bidi w:val="0"/>
              <w:spacing w:before="0" w:after="283"/>
              <w:jc w:val="center"/>
              <w:rPr>
                <w:b/>
              </w:rPr>
            </w:pPr>
            <w:r>
              <w:rPr>
                <w:b/>
              </w:rPr>
              <w:t>Option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0" w:type="dxa"/>
            <w:gridSpan w:val="2"/>
            <w:tcBorders>
              <w:bottom w:val="single" w:sz="12" w:space="0" w:color="000000"/>
            </w:tcBorders>
            <w:vAlign w:val="center"/>
          </w:tcPr>
          <w:p>
            <w:pPr>
              <w:pStyle w:val="TableContents"/>
              <w:bidi w:val="0"/>
              <w:spacing w:before="0" w:after="283"/>
              <w:jc w:val="center"/>
              <w:rPr>
                <w:b/>
              </w:rPr>
            </w:pPr>
            <w:r>
              <w:rPr>
                <w:b/>
              </w:rPr>
              <w:t>Non-Equity Incentive Plan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8" w:type="dxa"/>
            <w:gridSpan w:val="2"/>
            <w:tcBorders>
              <w:bottom w:val="single" w:sz="12" w:space="0" w:color="000000"/>
            </w:tcBorders>
            <w:vAlign w:val="center"/>
          </w:tcPr>
          <w:p>
            <w:pPr>
              <w:pStyle w:val="TableContents"/>
              <w:bidi w:val="0"/>
              <w:spacing w:before="0" w:after="283"/>
              <w:jc w:val="center"/>
              <w:rPr>
                <w:b/>
              </w:rPr>
            </w:pPr>
            <w:r>
              <w:rPr>
                <w:b/>
              </w:rPr>
              <w:t>Nonqualified Deferred Compensation Earnings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All Other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82" w:type="dxa"/>
            <w:tcBorders/>
            <w:tcMar>
              <w:bottom w:w="0" w:type="dxa"/>
            </w:tcMar>
            <w:vAlign w:val="center"/>
          </w:tcPr>
          <w:p>
            <w:pPr>
              <w:pStyle w:val="TableContents"/>
              <w:bidi w:val="0"/>
              <w:spacing w:before="0" w:after="283"/>
              <w:jc w:val="left"/>
              <w:rPr/>
            </w:pPr>
            <w:r>
              <w:rPr/>
              <w:t> </w:t>
            </w:r>
          </w:p>
        </w:tc>
      </w:tr>
      <w:tr>
        <w:trPr/>
        <w:tc>
          <w:tcPr>
            <w:tcW w:w="12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right"/>
              <w:rPr/>
            </w:pPr>
            <w:r>
              <w:rPr/>
              <w:t> </w:t>
            </w:r>
          </w:p>
        </w:tc>
        <w:tc>
          <w:tcPr>
            <w:tcW w:w="82" w:type="dxa"/>
            <w:tcBorders/>
            <w:tcMar>
              <w:bottom w:w="0" w:type="dxa"/>
            </w:tcMar>
            <w:vAlign w:val="center"/>
          </w:tcPr>
          <w:p>
            <w:pPr>
              <w:pStyle w:val="TableContents"/>
              <w:bidi w:val="0"/>
              <w:spacing w:before="0" w:after="283"/>
              <w:jc w:val="left"/>
              <w:rPr/>
            </w:pPr>
            <w:r>
              <w:rPr/>
              <w:t> </w:t>
            </w:r>
          </w:p>
        </w:tc>
      </w:tr>
      <w:tr>
        <w:trPr/>
        <w:tc>
          <w:tcPr>
            <w:tcW w:w="1261" w:type="dxa"/>
            <w:tcBorders/>
            <w:shd w:fill="CCEEFF" w:val="clear"/>
            <w:tcMar>
              <w:bottom w:w="0" w:type="dxa"/>
            </w:tcMar>
            <w:vAlign w:val="center"/>
          </w:tcPr>
          <w:p>
            <w:pPr>
              <w:pStyle w:val="TableContents"/>
              <w:bidi w:val="0"/>
              <w:spacing w:before="0" w:after="283"/>
              <w:jc w:val="left"/>
              <w:rPr/>
            </w:pPr>
            <w:r>
              <w:rPr/>
              <w:t>Yoseph Bornstein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8" w:type="dxa"/>
            <w:tcBorders/>
            <w:shd w:fill="CCEEFF" w:val="clear"/>
            <w:tcMar>
              <w:bottom w:w="0" w:type="dxa"/>
            </w:tcMar>
            <w:vAlign w:val="center"/>
          </w:tcPr>
          <w:p>
            <w:pPr>
              <w:pStyle w:val="TableContents"/>
              <w:bidi w:val="0"/>
              <w:spacing w:before="0" w:after="283"/>
              <w:jc w:val="right"/>
              <w:rPr/>
            </w:pPr>
            <w:r>
              <w:rPr/>
              <w:t>13,125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64,116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423"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77"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77,241</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261" w:type="dxa"/>
            <w:tcBorders/>
            <w:shd w:fill="FFFFFF" w:val="clear"/>
            <w:tcMar>
              <w:bottom w:w="0" w:type="dxa"/>
            </w:tcMar>
            <w:vAlign w:val="center"/>
          </w:tcPr>
          <w:p>
            <w:pPr>
              <w:pStyle w:val="TableContents"/>
              <w:bidi w:val="0"/>
              <w:spacing w:before="0" w:after="283"/>
              <w:jc w:val="left"/>
              <w:rPr/>
            </w:pPr>
            <w:r>
              <w:rPr/>
              <w:t>Scott Burell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728"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7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5" w:type="dxa"/>
            <w:tcBorders/>
            <w:shd w:fill="FFFFFF" w:val="clear"/>
            <w:tcMar>
              <w:bottom w:w="0" w:type="dxa"/>
            </w:tcMar>
            <w:vAlign w:val="center"/>
          </w:tcPr>
          <w:p>
            <w:pPr>
              <w:pStyle w:val="TableContents"/>
              <w:bidi w:val="0"/>
              <w:spacing w:before="0" w:after="283"/>
              <w:jc w:val="right"/>
              <w:rPr/>
            </w:pPr>
            <w:r>
              <w:rPr/>
              <w:t>64,116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42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37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79,116</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261" w:type="dxa"/>
            <w:tcBorders/>
            <w:shd w:fill="CCEEFF" w:val="clear"/>
            <w:tcMar>
              <w:bottom w:w="0" w:type="dxa"/>
            </w:tcMar>
            <w:vAlign w:val="center"/>
          </w:tcPr>
          <w:p>
            <w:pPr>
              <w:pStyle w:val="TableContents"/>
              <w:bidi w:val="0"/>
              <w:spacing w:before="0" w:after="283"/>
              <w:jc w:val="left"/>
              <w:rPr/>
            </w:pPr>
            <w:r>
              <w:rPr/>
              <w:t>Martin Madden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8" w:type="dxa"/>
            <w:tcBorders/>
            <w:shd w:fill="CCEEFF" w:val="clear"/>
            <w:tcMar>
              <w:bottom w:w="0" w:type="dxa"/>
            </w:tcMar>
            <w:vAlign w:val="center"/>
          </w:tcPr>
          <w:p>
            <w:pPr>
              <w:pStyle w:val="TableContents"/>
              <w:bidi w:val="0"/>
              <w:spacing w:before="0" w:after="283"/>
              <w:jc w:val="right"/>
              <w:rPr/>
            </w:pPr>
            <w:r>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64,116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4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7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79,116</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261" w:type="dxa"/>
            <w:tcBorders/>
            <w:shd w:fill="FFFFFF" w:val="clear"/>
            <w:tcMar>
              <w:bottom w:w="0" w:type="dxa"/>
            </w:tcMar>
            <w:vAlign w:val="center"/>
          </w:tcPr>
          <w:p>
            <w:pPr>
              <w:pStyle w:val="TableContents"/>
              <w:bidi w:val="0"/>
              <w:spacing w:before="0" w:after="283"/>
              <w:jc w:val="left"/>
              <w:rPr/>
            </w:pPr>
            <w:r>
              <w:rPr/>
              <w:t>Prattipati Laxminarain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728" w:type="dxa"/>
            <w:tcBorders/>
            <w:shd w:fill="FFFFFF" w:val="clear"/>
            <w:tcMar>
              <w:bottom w:w="0" w:type="dxa"/>
            </w:tcMar>
            <w:vAlign w:val="center"/>
          </w:tcPr>
          <w:p>
            <w:pPr>
              <w:pStyle w:val="TableContents"/>
              <w:bidi w:val="0"/>
              <w:spacing w:before="0" w:after="283"/>
              <w:jc w:val="right"/>
              <w:rPr/>
            </w:pPr>
            <w:r>
              <w:rPr/>
              <w:t>11,250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7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5" w:type="dxa"/>
            <w:tcBorders/>
            <w:shd w:fill="FFFFFF" w:val="clear"/>
            <w:tcMar>
              <w:bottom w:w="0" w:type="dxa"/>
            </w:tcMar>
            <w:vAlign w:val="center"/>
          </w:tcPr>
          <w:p>
            <w:pPr>
              <w:pStyle w:val="TableContents"/>
              <w:bidi w:val="0"/>
              <w:spacing w:before="0" w:after="283"/>
              <w:jc w:val="right"/>
              <w:rPr/>
            </w:pPr>
            <w:r>
              <w:rPr/>
              <w:t>64,116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42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37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75,366</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261" w:type="dxa"/>
            <w:tcBorders/>
            <w:shd w:fill="CCEEFF" w:val="clear"/>
            <w:tcMar>
              <w:bottom w:w="0" w:type="dxa"/>
            </w:tcMar>
            <w:vAlign w:val="center"/>
          </w:tcPr>
          <w:p>
            <w:pPr>
              <w:pStyle w:val="TableContents"/>
              <w:bidi w:val="0"/>
              <w:spacing w:before="0" w:after="283"/>
              <w:jc w:val="left"/>
              <w:rPr/>
            </w:pPr>
            <w:r>
              <w:rPr/>
              <w:t>Aileen Stockburger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8" w:type="dxa"/>
            <w:tcBorders/>
            <w:shd w:fill="CCEEFF" w:val="clear"/>
            <w:tcMar>
              <w:bottom w:w="0" w:type="dxa"/>
            </w:tcMar>
            <w:vAlign w:val="center"/>
          </w:tcPr>
          <w:p>
            <w:pPr>
              <w:pStyle w:val="TableContents"/>
              <w:bidi w:val="0"/>
              <w:spacing w:before="0" w:after="283"/>
              <w:jc w:val="right"/>
              <w:rPr/>
            </w:pPr>
            <w:r>
              <w:rPr/>
              <w:t>10,625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67,504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4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37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78,129</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261" w:type="dxa"/>
            <w:tcBorders/>
            <w:shd w:fill="FFFFFF" w:val="clear"/>
            <w:tcMar>
              <w:bottom w:w="0" w:type="dxa"/>
            </w:tcMar>
            <w:vAlign w:val="center"/>
          </w:tcPr>
          <w:p>
            <w:pPr>
              <w:pStyle w:val="TableContents"/>
              <w:bidi w:val="0"/>
              <w:spacing w:before="0" w:after="283"/>
              <w:jc w:val="left"/>
              <w:rPr/>
            </w:pPr>
            <w:r>
              <w:rPr/>
              <w:t>Tal Wenderow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728"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7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5" w:type="dxa"/>
            <w:tcBorders/>
            <w:shd w:fill="FFFFFF" w:val="clear"/>
            <w:tcMar>
              <w:bottom w:w="0" w:type="dxa"/>
            </w:tcMar>
            <w:vAlign w:val="center"/>
          </w:tcPr>
          <w:p>
            <w:pPr>
              <w:pStyle w:val="TableContents"/>
              <w:bidi w:val="0"/>
              <w:spacing w:before="0" w:after="283"/>
              <w:jc w:val="right"/>
              <w:rPr/>
            </w:pPr>
            <w:r>
              <w:rPr/>
              <w:t>66,819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42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37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76,819</w:t>
            </w:r>
          </w:p>
        </w:tc>
        <w:tc>
          <w:tcPr>
            <w:tcW w:w="8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this prospectus for the fiscal year ended December 31, 2022.</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received compensation for his services to the Company as set forth under the summary compensation table above.</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5" w:name="d_012"/>
      <w:bookmarkEnd w:id="15"/>
      <w:r>
        <w:rPr>
          <w:rFonts w:ascii="Times New Roman;Times;Serif" w:hAnsi="Times New Roman;Times;Serif"/>
          <w:b/>
          <w:i w:val="false"/>
          <w:caps w:val="false"/>
          <w:smallCaps w:val="false"/>
          <w:sz w:val="20"/>
        </w:rPr>
        <w:t>CERTAIN RELATIONSHIPS AND RELATED TRANSACTIONS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related party transactions or any other transactions or relationships required to be disclosed pursuant to Item 404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 Table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shares of our common stock that may be issued upon the exercise of options under all of our existing compensation plans as of December 31, 2023.</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9"/>
        <w:gridCol w:w="60"/>
        <w:gridCol w:w="169"/>
        <w:gridCol w:w="2778"/>
        <w:gridCol w:w="60"/>
        <w:gridCol w:w="60"/>
        <w:gridCol w:w="487"/>
        <w:gridCol w:w="1948"/>
        <w:gridCol w:w="60"/>
        <w:gridCol w:w="60"/>
        <w:gridCol w:w="148"/>
        <w:gridCol w:w="1998"/>
        <w:gridCol w:w="78"/>
      </w:tblGrid>
      <w:tr>
        <w:trPr/>
        <w:tc>
          <w:tcPr>
            <w:tcW w:w="2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exercise price of outstanding options, warrants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remaining available for future issuance</w:t>
            </w:r>
          </w:p>
        </w:tc>
        <w:tc>
          <w:tcPr>
            <w:tcW w:w="78" w:type="dxa"/>
            <w:tcBorders/>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b/>
              </w:rPr>
            </w:pPr>
            <w:r>
              <w:rPr>
                <w:b/>
              </w:rPr>
              <w:t>Plan Category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7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19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pPr>
            <w:r>
              <w:rPr/>
              <w:t>Equity compensation plans approved by security holders: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7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pPr>
            <w:r>
              <w:rPr/>
              <w:t>2017 Equity Incentive Plan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778" w:type="dxa"/>
            <w:tcBorders/>
            <w:shd w:fill="CCEEFF" w:val="clear"/>
            <w:vAlign w:val="center"/>
          </w:tcPr>
          <w:p>
            <w:pPr>
              <w:pStyle w:val="TableContents"/>
              <w:bidi w:val="0"/>
              <w:spacing w:before="0" w:after="283"/>
              <w:jc w:val="right"/>
              <w:rPr/>
            </w:pPr>
            <w:r>
              <w:rPr/>
              <w:t>492,133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w:t>
            </w:r>
          </w:p>
        </w:tc>
        <w:tc>
          <w:tcPr>
            <w:tcW w:w="1948" w:type="dxa"/>
            <w:tcBorders/>
            <w:shd w:fill="CCEEFF" w:val="clear"/>
            <w:vAlign w:val="center"/>
          </w:tcPr>
          <w:p>
            <w:pPr>
              <w:pStyle w:val="TableContents"/>
              <w:bidi w:val="0"/>
              <w:spacing w:before="0" w:after="283"/>
              <w:jc w:val="right"/>
              <w:rPr/>
            </w:pPr>
            <w:r>
              <w:rPr/>
              <w:t>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131,585</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pPr>
            <w:r>
              <w:rPr/>
              <w:t>2020 Omnibus Performance Award Plan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778" w:type="dxa"/>
            <w:tcBorders/>
            <w:shd w:fill="FFFFFF" w:val="clear"/>
            <w:vAlign w:val="center"/>
          </w:tcPr>
          <w:p>
            <w:pPr>
              <w:pStyle w:val="TableContents"/>
              <w:bidi w:val="0"/>
              <w:spacing w:before="0" w:after="283"/>
              <w:jc w:val="right"/>
              <w:rPr/>
            </w:pPr>
            <w:r>
              <w:rPr/>
              <w:t>1,438,806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w:t>
            </w:r>
          </w:p>
        </w:tc>
        <w:tc>
          <w:tcPr>
            <w:tcW w:w="1948" w:type="dxa"/>
            <w:tcBorders/>
            <w:shd w:fill="FFFFFF" w:val="clear"/>
            <w:vAlign w:val="center"/>
          </w:tcPr>
          <w:p>
            <w:pPr>
              <w:pStyle w:val="TableContents"/>
              <w:bidi w:val="0"/>
              <w:spacing w:before="0" w:after="283"/>
              <w:jc w:val="right"/>
              <w:rPr/>
            </w:pPr>
            <w:r>
              <w:rPr/>
              <w:t>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8" w:type="dxa"/>
            <w:tcBorders/>
            <w:shd w:fill="FFFFFF" w:val="clear"/>
            <w:vAlign w:val="center"/>
          </w:tcPr>
          <w:p>
            <w:pPr>
              <w:pStyle w:val="TableContents"/>
              <w:bidi w:val="0"/>
              <w:spacing w:before="0" w:after="283"/>
              <w:jc w:val="right"/>
              <w:rPr/>
            </w:pPr>
            <w:r>
              <w:rPr/>
              <w:t>581,846</w:t>
            </w:r>
          </w:p>
        </w:tc>
        <w:tc>
          <w:tcPr>
            <w:tcW w:w="78" w:type="dxa"/>
            <w:tcBorders/>
            <w:shd w:fill="FFFFFF" w:val="clear"/>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pPr>
            <w:r>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7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19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pPr>
            <w:r>
              <w:rPr/>
              <w:t>Microbot Israel Employee Stock Option Plan(1)</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778" w:type="dxa"/>
            <w:tcBorders/>
            <w:shd w:fill="FFFFFF" w:val="clear"/>
            <w:vAlign w:val="center"/>
          </w:tcPr>
          <w:p>
            <w:pPr>
              <w:pStyle w:val="TableContents"/>
              <w:bidi w:val="0"/>
              <w:spacing w:before="0" w:after="283"/>
              <w:jc w:val="right"/>
              <w:rPr/>
            </w:pPr>
            <w:r>
              <w:rPr/>
              <w:t>61,577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w:t>
            </w:r>
          </w:p>
        </w:tc>
        <w:tc>
          <w:tcPr>
            <w:tcW w:w="1948"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pPr>
            <w:r>
              <w:rPr/>
              <w:t>Stock Options (2)</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77, 846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w:t>
            </w:r>
          </w:p>
        </w:tc>
        <w:tc>
          <w:tcPr>
            <w:tcW w:w="1948"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778" w:type="dxa"/>
            <w:tcBorders>
              <w:bottom w:val="double" w:sz="6" w:space="0" w:color="000000"/>
            </w:tcBorders>
            <w:shd w:fill="FFFFFF" w:val="clear"/>
            <w:tcMar>
              <w:bottom w:w="28" w:type="dxa"/>
            </w:tcMar>
            <w:vAlign w:val="center"/>
          </w:tcPr>
          <w:p>
            <w:pPr>
              <w:pStyle w:val="TableContents"/>
              <w:bidi w:val="0"/>
              <w:spacing w:before="0" w:after="283"/>
              <w:jc w:val="right"/>
              <w:rPr/>
            </w:pPr>
            <w:r>
              <w:rPr/>
              <w:t>2,070,362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98" w:type="dxa"/>
            <w:tcBorders>
              <w:bottom w:val="double" w:sz="6" w:space="0" w:color="000000"/>
            </w:tcBorders>
            <w:shd w:fill="FFFFFF" w:val="clear"/>
            <w:tcMar>
              <w:bottom w:w="28" w:type="dxa"/>
            </w:tcMar>
            <w:vAlign w:val="center"/>
          </w:tcPr>
          <w:p>
            <w:pPr>
              <w:pStyle w:val="TableContents"/>
              <w:bidi w:val="0"/>
              <w:spacing w:before="0" w:after="283"/>
              <w:jc w:val="right"/>
              <w:rPr/>
            </w:pPr>
            <w:r>
              <w:rPr/>
              <w:t>713,431</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_011"/>
      <w:bookmarkEnd w:id="16"/>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number of shares of our common stock beneficially owned, as of January 24, 2024,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December 31, 2023. We calculated percentage ownership in accordance with the rules of the SEC. The percentage of common stock beneficially owned is based on 13,392,999 shares outstanding as of January 24, 2024. In addition, shares issuable pursuant to options or other convertible securities that may be acquired within 60 days of January 24, 2024 are deemed to be issued and outstanding and have been treated as outstanding in calculating and determining the beneficial ownership and percentage ownership of those persons possessing those securities, but not for any other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83"/>
        <w:gridCol w:w="60"/>
        <w:gridCol w:w="155"/>
        <w:gridCol w:w="2572"/>
        <w:gridCol w:w="60"/>
        <w:gridCol w:w="60"/>
        <w:gridCol w:w="403"/>
        <w:gridCol w:w="2979"/>
        <w:gridCol w:w="233"/>
      </w:tblGrid>
      <w:tr>
        <w:trPr/>
        <w:tc>
          <w:tcPr>
            <w:tcW w:w="3683" w:type="dxa"/>
            <w:tcBorders>
              <w:bottom w:val="single" w:sz="12" w:space="0" w:color="000000"/>
            </w:tcBorders>
            <w:vAlign w:val="center"/>
          </w:tcPr>
          <w:p>
            <w:pPr>
              <w:pStyle w:val="TableContents"/>
              <w:bidi w:val="0"/>
              <w:spacing w:before="0" w:after="283"/>
              <w:jc w:val="both"/>
              <w:rPr>
                <w:b/>
              </w:rPr>
            </w:pPr>
            <w:r>
              <w:rPr>
                <w:b/>
              </w:rPr>
              <w:t>Beneficial Owner</w:t>
            </w:r>
          </w:p>
        </w:tc>
        <w:tc>
          <w:tcPr>
            <w:tcW w:w="60" w:type="dxa"/>
            <w:tcBorders/>
            <w:tcMar>
              <w:bottom w:w="0" w:type="dxa"/>
            </w:tcMar>
            <w:vAlign w:val="center"/>
          </w:tcPr>
          <w:p>
            <w:pPr>
              <w:pStyle w:val="TableContents"/>
              <w:bidi w:val="0"/>
              <w:spacing w:before="0" w:after="283"/>
              <w:jc w:val="left"/>
              <w:rPr/>
            </w:pPr>
            <w:r>
              <w:rPr/>
              <w:t> </w:t>
            </w:r>
          </w:p>
        </w:tc>
        <w:tc>
          <w:tcPr>
            <w:tcW w:w="2727" w:type="dxa"/>
            <w:gridSpan w:val="2"/>
            <w:tcBorders>
              <w:bottom w:val="single" w:sz="12" w:space="0" w:color="000000"/>
            </w:tcBorders>
            <w:vAlign w:val="center"/>
          </w:tcPr>
          <w:p>
            <w:pPr>
              <w:pStyle w:val="TableContents"/>
              <w:bidi w:val="0"/>
              <w:spacing w:before="0" w:after="283"/>
              <w:jc w:val="center"/>
              <w:rPr>
                <w:b/>
              </w:rPr>
            </w:pPr>
            <w:r>
              <w:rPr>
                <w:b/>
              </w:rPr>
              <w:t>Number of Shares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82" w:type="dxa"/>
            <w:gridSpan w:val="2"/>
            <w:tcBorders>
              <w:bottom w:val="single" w:sz="12" w:space="0" w:color="000000"/>
            </w:tcBorders>
            <w:vAlign w:val="center"/>
          </w:tcPr>
          <w:p>
            <w:pPr>
              <w:pStyle w:val="TableContents"/>
              <w:bidi w:val="0"/>
              <w:spacing w:before="0" w:after="283"/>
              <w:jc w:val="center"/>
              <w:rPr>
                <w:b/>
              </w:rPr>
            </w:pPr>
            <w:r>
              <w:rPr>
                <w:b/>
              </w:rPr>
              <w:t>Percentage of Common Stock Beneficially Owned</w:t>
            </w:r>
          </w:p>
        </w:tc>
        <w:tc>
          <w:tcPr>
            <w:tcW w:w="233" w:type="dxa"/>
            <w:tcBorders/>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Harel Gadot</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846,206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pPr>
            <w:r>
              <w:rPr/>
              <w:t>6.00</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Yoseph Bornstein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272,036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pPr>
            <w:r>
              <w:rPr/>
              <w:t>2.03</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Scott Burell</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30,008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Martin Madden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30,008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Prattipati Laxminarain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30,008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Aileen Stockburger</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24,912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Sharon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60,045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Tal Wenderow</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23,321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Rachel Vaknin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29,075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Juan Diaz-Cartelle</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pPr>
            <w:r>
              <w:rPr/>
              <w:t>Eyal Morag</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40,625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current directors and executive officers as a group (10 persons)</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1,345,619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pPr>
            <w:r>
              <w:rPr/>
              <w:t>9.37</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136,847 shares of our common stock owned by MEDX Ventures Group LLC, (ii) 77,846 shares of our common stock issuable upon the exercise of options granted to MEDX Ventures Group LLC, and (iii) 631,513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242,028 shares of our common stock owned by LSA - Life Science Accelerator Ltd. and (ii) 30,008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acquire shares of our common stock.</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our common stock issuable upon the exercise of options as set forth in footnotes (1), (2) and (3).</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d_010"/>
      <w:bookmarkEnd w:id="17"/>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d_009"/>
      <w:bookmarkEnd w:id="18"/>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 forth certain information regarding the selling stockholders and the shares of common stock beneficially owned by them, which information is available to us as of January 24,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The percentage of shares beneficially owned prior to the offering is based on 13,392,999 shares of our common stock outstanding as of January 24,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9"/>
        <w:gridCol w:w="60"/>
        <w:gridCol w:w="83"/>
        <w:gridCol w:w="2358"/>
        <w:gridCol w:w="195"/>
        <w:gridCol w:w="60"/>
        <w:gridCol w:w="67"/>
        <w:gridCol w:w="635"/>
        <w:gridCol w:w="215"/>
        <w:gridCol w:w="60"/>
        <w:gridCol w:w="80"/>
        <w:gridCol w:w="1314"/>
        <w:gridCol w:w="60"/>
        <w:gridCol w:w="60"/>
        <w:gridCol w:w="143"/>
        <w:gridCol w:w="1742"/>
        <w:gridCol w:w="130"/>
        <w:gridCol w:w="130"/>
        <w:gridCol w:w="180"/>
        <w:gridCol w:w="958"/>
        <w:gridCol w:w="236"/>
      </w:tblGrid>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1" w:type="dxa"/>
            <w:gridSpan w:val="2"/>
            <w:tcBorders/>
            <w:vAlign w:val="center"/>
          </w:tcPr>
          <w:p>
            <w:pPr>
              <w:pStyle w:val="TableContents"/>
              <w:bidi w:val="0"/>
              <w:spacing w:before="0" w:after="283"/>
              <w:jc w:val="center"/>
              <w:rPr>
                <w:b/>
              </w:rPr>
            </w:pPr>
            <w:r>
              <w:rPr>
                <w:b/>
              </w:rPr>
              <w:t>Number of Shares of Common Stock Beneficially Owned</w:t>
            </w:r>
          </w:p>
        </w:tc>
        <w:tc>
          <w:tcPr>
            <w:tcW w:w="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center"/>
              <w:rPr>
                <w:b/>
              </w:rPr>
            </w:pPr>
            <w:r>
              <w:rPr>
                <w:b/>
              </w:rPr>
              <w:t>Number of Shares of 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 Beneficially Owned After Sale of All Shares of Common Stock Pursuant to this Prospectus</w:t>
            </w:r>
          </w:p>
        </w:tc>
        <w:tc>
          <w:tcPr>
            <w:tcW w:w="236" w:type="dxa"/>
            <w:tcBorders/>
            <w:vAlign w:val="center"/>
          </w:tcPr>
          <w:p>
            <w:pPr>
              <w:pStyle w:val="TableContents"/>
              <w:bidi w:val="0"/>
              <w:spacing w:before="0" w:after="283"/>
              <w:jc w:val="left"/>
              <w:rPr/>
            </w:pPr>
            <w:r>
              <w:rPr/>
              <w:t> </w:t>
            </w:r>
          </w:p>
        </w:tc>
      </w:tr>
      <w:tr>
        <w:trPr/>
        <w:tc>
          <w:tcPr>
            <w:tcW w:w="1439" w:type="dxa"/>
            <w:tcBorders>
              <w:bottom w:val="single" w:sz="12" w:space="0" w:color="000000"/>
            </w:tcBorders>
            <w:tcMar>
              <w:bottom w:w="28" w:type="dxa"/>
            </w:tcMar>
            <w:vAlign w:val="center"/>
          </w:tcPr>
          <w:p>
            <w:pPr>
              <w:pStyle w:val="TableContents"/>
              <w:bidi w:val="0"/>
              <w:spacing w:before="0" w:after="283"/>
              <w:jc w:val="left"/>
              <w:rPr>
                <w:b/>
              </w:rPr>
            </w:pPr>
            <w:r>
              <w:rPr>
                <w:b/>
              </w:rPr>
              <w:t>Selling Stockholder</w:t>
            </w:r>
          </w:p>
        </w:tc>
        <w:tc>
          <w:tcPr>
            <w:tcW w:w="60" w:type="dxa"/>
            <w:tcBorders/>
            <w:vAlign w:val="center"/>
          </w:tcPr>
          <w:p>
            <w:pPr>
              <w:pStyle w:val="TableContents"/>
              <w:bidi w:val="0"/>
              <w:spacing w:before="0" w:after="283"/>
              <w:jc w:val="left"/>
              <w:rPr/>
            </w:pPr>
            <w:r>
              <w:rPr/>
              <w:t> </w:t>
            </w:r>
          </w:p>
        </w:tc>
        <w:tc>
          <w:tcPr>
            <w:tcW w:w="244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Sale</w:t>
            </w:r>
          </w:p>
        </w:tc>
        <w:tc>
          <w:tcPr>
            <w:tcW w:w="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Class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Class</w:t>
            </w:r>
          </w:p>
        </w:tc>
        <w:tc>
          <w:tcPr>
            <w:tcW w:w="236" w:type="dxa"/>
            <w:tcBorders/>
            <w:vAlign w:val="center"/>
          </w:tcPr>
          <w:p>
            <w:pPr>
              <w:pStyle w:val="TableContents"/>
              <w:bidi w:val="0"/>
              <w:spacing w:before="0" w:after="283"/>
              <w:jc w:val="left"/>
              <w:rPr/>
            </w:pPr>
            <w:r>
              <w:rPr/>
              <w:t> </w:t>
            </w:r>
          </w:p>
        </w:tc>
      </w:tr>
      <w:tr>
        <w:trPr/>
        <w:tc>
          <w:tcPr>
            <w:tcW w:w="1439" w:type="dxa"/>
            <w:tcBorders/>
            <w:shd w:fill="CCEEFF" w:val="clear"/>
            <w:vAlign w:val="center"/>
          </w:tcPr>
          <w:p>
            <w:pPr>
              <w:pStyle w:val="TableContents"/>
              <w:bidi w:val="0"/>
              <w:spacing w:before="0" w:after="283"/>
              <w:jc w:val="left"/>
              <w:rPr/>
            </w:pPr>
            <w:r>
              <w:rPr>
                <w:rFonts w:ascii="Times New Roman;Times;Serif" w:hAnsi="Times New Roman;Times;Serif"/>
                <w:sz w:val="20"/>
              </w:rPr>
              <w:t>Armistice Capital,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            </w:t>
            </w:r>
            <w:r>
              <w:rPr/>
              <w:t>1,360,517</w:t>
            </w:r>
          </w:p>
        </w:tc>
        <w:tc>
          <w:tcPr>
            <w:tcW w:w="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1,360,517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w:t>
            </w:r>
          </w:p>
        </w:tc>
        <w:tc>
          <w:tcPr>
            <w:tcW w:w="236" w:type="dxa"/>
            <w:tcBorders/>
            <w:shd w:fill="CCEEFF" w:val="clear"/>
            <w:vAlign w:val="center"/>
          </w:tcPr>
          <w:p>
            <w:pPr>
              <w:pStyle w:val="TableContents"/>
              <w:bidi w:val="0"/>
              <w:spacing w:before="0" w:after="283"/>
              <w:jc w:val="left"/>
              <w:rPr/>
            </w:pPr>
            <w:r>
              <w:rPr/>
              <w:t> </w:t>
            </w:r>
          </w:p>
        </w:tc>
      </w:tr>
      <w:tr>
        <w:trPr/>
        <w:tc>
          <w:tcPr>
            <w:tcW w:w="14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Intracoastal Capital, LLC</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358" w:type="dxa"/>
            <w:tcBorders/>
            <w:shd w:fill="FFFFFF" w:val="clear"/>
            <w:vAlign w:val="center"/>
          </w:tcPr>
          <w:p>
            <w:pPr>
              <w:pStyle w:val="TableContents"/>
              <w:bidi w:val="0"/>
              <w:spacing w:before="0" w:after="283"/>
              <w:jc w:val="right"/>
              <w:rPr/>
            </w:pPr>
            <w:r>
              <w:rPr/>
              <w:t>221,062</w:t>
            </w:r>
          </w:p>
        </w:tc>
        <w:tc>
          <w:tcPr>
            <w:tcW w:w="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221,062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w:t>
            </w:r>
          </w:p>
        </w:tc>
        <w:tc>
          <w:tcPr>
            <w:tcW w:w="236" w:type="dxa"/>
            <w:tcBorders/>
            <w:shd w:fill="FFFFFF" w:val="clear"/>
            <w:vAlign w:val="center"/>
          </w:tcPr>
          <w:p>
            <w:pPr>
              <w:pStyle w:val="TableContents"/>
              <w:bidi w:val="0"/>
              <w:spacing w:before="0" w:after="283"/>
              <w:jc w:val="left"/>
              <w:rPr/>
            </w:pPr>
            <w:r>
              <w:rPr/>
              <w:t> </w:t>
            </w:r>
          </w:p>
        </w:tc>
      </w:tr>
      <w:tr>
        <w:trPr/>
        <w:tc>
          <w:tcPr>
            <w:tcW w:w="14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CVI Investments, Inc.</w:t>
            </w:r>
            <w:r>
              <w:rPr>
                <w:rFonts w:ascii="Times New Roman;Times;Serif" w:hAnsi="Times New Roman;Times;Serif"/>
                <w:position w:val="7"/>
                <w:sz w:val="16"/>
                <w:sz w:val="20"/>
              </w:rPr>
              <w:t>(3)(4)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104,103</w:t>
            </w:r>
          </w:p>
        </w:tc>
        <w:tc>
          <w:tcPr>
            <w:tcW w:w="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104,103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w:t>
            </w:r>
          </w:p>
        </w:tc>
        <w:tc>
          <w:tcPr>
            <w:tcW w:w="236" w:type="dxa"/>
            <w:tcBorders/>
            <w:shd w:fill="CCEEFF" w:val="clear"/>
            <w:vAlign w:val="center"/>
          </w:tcPr>
          <w:p>
            <w:pPr>
              <w:pStyle w:val="TableContents"/>
              <w:bidi w:val="0"/>
              <w:spacing w:before="0" w:after="283"/>
              <w:jc w:val="left"/>
              <w:rPr/>
            </w:pPr>
            <w:r>
              <w:rPr/>
              <w:t> </w:t>
            </w:r>
          </w:p>
        </w:tc>
      </w:tr>
      <w:tr>
        <w:trPr/>
        <w:tc>
          <w:tcPr>
            <w:tcW w:w="14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Noam Rubenstein</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358" w:type="dxa"/>
            <w:tcBorders/>
            <w:shd w:fill="FFFFFF" w:val="clear"/>
            <w:vAlign w:val="center"/>
          </w:tcPr>
          <w:p>
            <w:pPr>
              <w:pStyle w:val="TableContents"/>
              <w:bidi w:val="0"/>
              <w:spacing w:before="0" w:after="283"/>
              <w:jc w:val="right"/>
              <w:rPr/>
            </w:pPr>
            <w:r>
              <w:rPr/>
              <w:t>92,918</w:t>
            </w:r>
          </w:p>
        </w:tc>
        <w:tc>
          <w:tcPr>
            <w:tcW w:w="195"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26,549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66,369</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FFFFFF" w:val="clear"/>
            <w:vAlign w:val="center"/>
          </w:tcPr>
          <w:p>
            <w:pPr>
              <w:pStyle w:val="TableContents"/>
              <w:bidi w:val="0"/>
              <w:spacing w:before="0" w:after="283"/>
              <w:jc w:val="left"/>
              <w:rPr/>
            </w:pPr>
            <w:r>
              <w:rPr/>
              <w:t> </w:t>
            </w:r>
          </w:p>
        </w:tc>
      </w:tr>
      <w:tr>
        <w:trPr/>
        <w:tc>
          <w:tcPr>
            <w:tcW w:w="14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Vasinkevich</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189,157</w:t>
            </w:r>
          </w:p>
        </w:tc>
        <w:tc>
          <w:tcPr>
            <w:tcW w:w="195"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54,047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135,110</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1.0</w:t>
            </w:r>
          </w:p>
        </w:tc>
        <w:tc>
          <w:tcPr>
            <w:tcW w:w="236" w:type="dxa"/>
            <w:tcBorders/>
            <w:shd w:fill="CCEEFF" w:val="clear"/>
            <w:vAlign w:val="center"/>
          </w:tcPr>
          <w:p>
            <w:pPr>
              <w:pStyle w:val="TableContents"/>
              <w:bidi w:val="0"/>
              <w:spacing w:before="0" w:after="283"/>
              <w:jc w:val="left"/>
              <w:rPr/>
            </w:pPr>
            <w:r>
              <w:rPr/>
              <w:t>%</w:t>
            </w:r>
          </w:p>
        </w:tc>
      </w:tr>
      <w:tr>
        <w:trPr/>
        <w:tc>
          <w:tcPr>
            <w:tcW w:w="14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Schwabe</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358" w:type="dxa"/>
            <w:tcBorders/>
            <w:shd w:fill="FFFFFF" w:val="clear"/>
            <w:vAlign w:val="center"/>
          </w:tcPr>
          <w:p>
            <w:pPr>
              <w:pStyle w:val="TableContents"/>
              <w:bidi w:val="0"/>
              <w:spacing w:before="0" w:after="283"/>
              <w:jc w:val="right"/>
              <w:rPr/>
            </w:pPr>
            <w:r>
              <w:rPr/>
              <w:t>9,956</w:t>
            </w:r>
          </w:p>
        </w:tc>
        <w:tc>
          <w:tcPr>
            <w:tcW w:w="195"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2,845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7,111</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FFFFFF" w:val="clear"/>
            <w:vAlign w:val="center"/>
          </w:tcPr>
          <w:p>
            <w:pPr>
              <w:pStyle w:val="TableContents"/>
              <w:bidi w:val="0"/>
              <w:spacing w:before="0" w:after="283"/>
              <w:jc w:val="left"/>
              <w:rPr/>
            </w:pPr>
            <w:r>
              <w:rPr/>
              <w:t> </w:t>
            </w:r>
          </w:p>
        </w:tc>
      </w:tr>
      <w:tr>
        <w:trPr/>
        <w:tc>
          <w:tcPr>
            <w:tcW w:w="14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Worthman</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2,951</w:t>
            </w:r>
          </w:p>
        </w:tc>
        <w:tc>
          <w:tcPr>
            <w:tcW w:w="195"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2,108</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CCEEFF" w:val="clear"/>
            <w:vAlign w:val="center"/>
          </w:tcPr>
          <w:p>
            <w:pPr>
              <w:pStyle w:val="TableContents"/>
              <w:bidi w:val="0"/>
              <w:spacing w:before="0" w:after="283"/>
              <w:jc w:val="left"/>
              <w:rPr/>
            </w:pPr>
            <w:r>
              <w:rPr/>
              <w:t> </w:t>
            </w:r>
          </w:p>
        </w:tc>
      </w:tr>
      <w:tr>
        <w:trPr/>
        <w:tc>
          <w:tcPr>
            <w:tcW w:w="1439"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358" w:type="dxa"/>
            <w:tcBorders/>
            <w:shd w:fill="FFFFFF" w:val="clear"/>
            <w:vAlign w:val="center"/>
          </w:tcPr>
          <w:p>
            <w:pPr>
              <w:pStyle w:val="TableContents"/>
              <w:bidi w:val="0"/>
              <w:spacing w:before="0" w:after="283"/>
              <w:jc w:val="right"/>
              <w:rPr/>
            </w:pPr>
            <w:r>
              <w:rPr/>
              <w:t>1,980,664</w:t>
            </w:r>
          </w:p>
        </w:tc>
        <w:tc>
          <w:tcPr>
            <w:tcW w:w="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1,769,966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210,698</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1.55</w:t>
            </w:r>
          </w:p>
        </w:tc>
        <w:tc>
          <w:tcPr>
            <w:tcW w:w="23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tc>
      </w:tr>
      <w:tr>
        <w:trPr/>
        <w:tc>
          <w:tcPr>
            <w:tcW w:w="2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 </w:t>
            </w:r>
          </w:p>
        </w:tc>
      </w:tr>
      <w:tr>
        <w:trPr/>
        <w:tc>
          <w:tcPr>
            <w:tcW w:w="2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tc>
      </w:tr>
      <w:tr>
        <w:trPr/>
        <w:tc>
          <w:tcPr>
            <w:tcW w:w="2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an affiliate of a registered broker-dealer.</w:t>
            </w:r>
          </w:p>
        </w:tc>
      </w:tr>
      <w:tr>
        <w:trPr/>
        <w:tc>
          <w:tcPr>
            <w:tcW w:w="2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transactions described above and elsewhere in this prospectus, we have not had any material relationships with the selling stockholders in the last three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d_008"/>
      <w:bookmarkEnd w:id="1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the registration statement of which this prospectus is a part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d_007"/>
      <w:bookmarkEnd w:id="20"/>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60,000,000 shares of common stock, par value $0.01, of which 13,392,999 shares were issued and outstanding as of January 24,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2,070,362 shares of our common stock issuable upon the exercise of outstanding stock options granted to employees, directors and consultants, with exercise prices ranging from approximately $0.005 to $15.75 and having a weighted-average exercise price of $5.56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131,585 shares of our common stock reserved for future grant under our 2017 Equity Incentive Plan;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581,846 shares of our common stock reserved for future grant under our 2020 Omnibus Performance Award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Preferred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24, 2024,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November 2026, at an exercise price per share of $2.6719;</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1,685,682 shares of our common stock issuable upon the exercise of outstanding series E preferred investment options expiring in July 2029, at an exercise price per share of $1.50;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registered pursuant to the Registration Statement on Form S-1 of which this prospectus forms a part, are underlying our 1,685,682 outstanding series E preferred investment options expiring in July 2029 and our 84,284 outstanding placement agent preferred investment options expiring in July 2029. See “Prospectus Summary-Recent Developments-Preferred Investment Option Inducement Transaction” above, for a summary of the terms of the series E preferred investment options and the placement agent preferred investment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are currently quoted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 Its address is 33 North LaSalle Street, Suite 1100, Chicago, IL 60602.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hanging="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d_006"/>
      <w:bookmarkEnd w:id="2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being offered by this prospectus will be passed upon for us by Ruskin Moscou Faltischek, PC, Uniondale,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d_005"/>
      <w:bookmarkEnd w:id="2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2022 and 2021, and for each of the two years in the period ended December 31, 2022, included in this Prospectus, have been audited by Brightman Almagor Zohar and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d_004"/>
      <w:bookmarkEnd w:id="2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http://www.microbotmedical.com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ap_006"/>
      <w:bookmarkEnd w:id="24"/>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8030"/>
        <w:gridCol w:w="60"/>
        <w:gridCol w:w="875"/>
      </w:tblGrid>
      <w:tr>
        <w:trPr/>
        <w:tc>
          <w:tcPr>
            <w:tcW w:w="8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No. 1197)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F-2 - F-3 </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Consolidated Balance Sheets as of December 31, 2022, and 2021</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Consolidated Statements of Comprehensive Loss for the years ended December 31, 2022 and 2021</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Consolidated Statements of Shareholders’ Equity for the years ended December 31, 2022 and 2021</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Consolidated Statements of Cash Flows for the years ended December 31, 2022 and 2021</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 – F-24</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4000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01"/>
      <w:bookmarkEnd w:id="2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Board of Directors and Shareholders of Microbot Medical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Microbot Medical Inc. and its subsidiary (the “Company”) as of December 31, 2022 and 2021 and the related consolidated statements of comprehensive loss, shareholders’ equity and cash flows, for each of the two years in the period ended December 31, 2022, and the related notes (collectively referred to as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1B to the financial statements, the Company’s financial statements include a net loss of $ 13,168 thousand for the year ended December 31, 2022 and accumulated deficit of $ 68,761 thousand as of December 31, 2022. The Company is dependent on its ability to obtain additional debt or equity in order to continue its operations. These conditions raise substantial doubt about its ability to continue as a going concern.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4000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 Litigation — Refer to Note 2P and 9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Audit Matter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a litigation as the defendant resulting from the 2017 financing Litigation from third parties may result in a substantial loss. An estimated loss from a loss contingency is accrued by a charge to expenses or shareholders’ equity if it is probable that a liability has been incurred and the amount of the loss can be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loss from the case is not probable and it cannot be reasonably estimable at this stage and no provision was recorded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litigation contingency accruals is subject to significant management judgement in assessing the likelihood of a loss being incurred and when determining whether a reasonable estimate of the loss or range of loss can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inherent uncertainty of the outcome of identified litigation, auditing the valuation assertion of litigation contingency required a high degree of auditor judgment and an increased extent of effort when performing audit procedures to evaluate management’s assessment on the likelihood and magnitude of the contingent loss and whether this litigation is reasonably estimable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potential loss contingency liability and disclosure of the litigation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inquiries with management to obtain an understanding of litigation matter and status that the Company is currently undergoing.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legal letters from the external legal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inquired of the external and internal legal counsels to determine the status of the case and to understand the basis for management’s conclusion that the loss from the case is not probable and it cannot be reasonably estimable at this stage.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assumptions used by management to estimate the litigation contingency likelihood and magnitude, including corroborating these assumptions with internal and external legal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Company’s litigation contingencies disclosure for consistency with our evidence obtained on the litigation matter.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Brightman Almagor Zohar &amp; Co.</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1438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0" cy="143827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6" w:name="a_002"/>
      <w:bookmarkEnd w:id="26"/>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5"/>
        <w:gridCol w:w="60"/>
        <w:gridCol w:w="86"/>
        <w:gridCol w:w="399"/>
        <w:gridCol w:w="60"/>
        <w:gridCol w:w="60"/>
        <w:gridCol w:w="125"/>
        <w:gridCol w:w="650"/>
        <w:gridCol w:w="80"/>
        <w:gridCol w:w="60"/>
        <w:gridCol w:w="125"/>
        <w:gridCol w:w="650"/>
        <w:gridCol w:w="95"/>
      </w:tblGrid>
      <w:tr>
        <w:trPr/>
        <w:tc>
          <w:tcPr>
            <w:tcW w:w="7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deposit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60,000,000 shares authorized as of December 31, 2022 and 2021; 7,890,628 and 7,108,133 shares issued and outstanding as of December 31, 2022 and 2021,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7" w:name="a_003"/>
      <w:bookmarkEnd w:id="27"/>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5240"/>
        <w:gridCol w:w="60"/>
        <w:gridCol w:w="125"/>
        <w:gridCol w:w="845"/>
        <w:gridCol w:w="80"/>
        <w:gridCol w:w="60"/>
        <w:gridCol w:w="125"/>
        <w:gridCol w:w="845"/>
        <w:gridCol w:w="95"/>
      </w:tblGrid>
      <w:tr>
        <w:trPr/>
        <w:tc>
          <w:tcPr>
            <w:tcW w:w="52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7,260,344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8" w:name="a_004"/>
      <w:bookmarkEnd w:id="28"/>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4"/>
        <w:gridCol w:w="60"/>
        <w:gridCol w:w="60"/>
        <w:gridCol w:w="845"/>
        <w:gridCol w:w="60"/>
        <w:gridCol w:w="60"/>
        <w:gridCol w:w="244"/>
        <w:gridCol w:w="451"/>
        <w:gridCol w:w="60"/>
        <w:gridCol w:w="60"/>
        <w:gridCol w:w="291"/>
        <w:gridCol w:w="1387"/>
        <w:gridCol w:w="60"/>
        <w:gridCol w:w="60"/>
        <w:gridCol w:w="235"/>
        <w:gridCol w:w="1230"/>
        <w:gridCol w:w="80"/>
        <w:gridCol w:w="60"/>
        <w:gridCol w:w="244"/>
        <w:gridCol w:w="1276"/>
        <w:gridCol w:w="98"/>
      </w:tblGrid>
      <w:tr>
        <w:trPr/>
        <w:tc>
          <w:tcPr>
            <w:tcW w:w="328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Stockholders’ Equity</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and warrants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7,890,628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7,890,628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9" w:name="a_005"/>
      <w:bookmarkEnd w:id="29"/>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9537" w:type="dxa"/>
        <w:jc w:val="left"/>
        <w:tblInd w:w="0" w:type="dxa"/>
        <w:tblLayout w:type="fixed"/>
        <w:tblCellMar>
          <w:top w:w="0" w:type="dxa"/>
          <w:left w:w="0" w:type="dxa"/>
          <w:bottom w:w="0" w:type="dxa"/>
          <w:right w:w="0" w:type="dxa"/>
        </w:tblCellMar>
      </w:tblPr>
      <w:tblGrid>
        <w:gridCol w:w="6425"/>
        <w:gridCol w:w="60"/>
        <w:gridCol w:w="218"/>
        <w:gridCol w:w="1138"/>
        <w:gridCol w:w="140"/>
        <w:gridCol w:w="105"/>
        <w:gridCol w:w="218"/>
        <w:gridCol w:w="1138"/>
        <w:gridCol w:w="95"/>
      </w:tblGrid>
      <w:tr>
        <w:trPr/>
        <w:tc>
          <w:tcPr>
            <w:tcW w:w="64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105"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105"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(13,168</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from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(11,549</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deposit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(3,749</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sales of marketable security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maturities of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(3,836</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and warrants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4,324</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4,324</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(11,061</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13,580</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ending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2,519</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received from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0" w:name="a_006"/>
      <w:bookmarkEnd w:id="30"/>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71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245"/>
        <w:gridCol w:w="2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p>
        </w:tc>
        <w:tc>
          <w:tcPr>
            <w:tcW w:w="2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are sometimes collectively referred to as the “Company” as the context may require.</w:t>
      </w:r>
    </w:p>
    <w:p>
      <w:pPr>
        <w:pStyle w:val="TextBody"/>
        <w:bidi w:val="0"/>
        <w:spacing w:before="0" w:after="0"/>
        <w:ind w:left="993"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200"/>
        <w:gridCol w:w="1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December 31, 2022, the Company had cash equivalents and marketable securities balance of approximately $8,202 excluding encumbered cash, which management believes is sufficient to fund its operations for additional 4 months form the date of this annual report. As of the issuance date, there is a substantial doubt as to the Company’s ability to continue as a going concern.</w:t>
      </w:r>
    </w:p>
    <w:p>
      <w:pPr>
        <w:pStyle w:val="TextBody"/>
        <w:bidi w:val="0"/>
        <w:spacing w:before="0" w:after="0"/>
        <w:ind w:left="108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continuing research and development activities, the Company expects to continue to incur additional losses for the foreseeable future. While management of the Company believes that it has sufficient funds until August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0" w:after="0"/>
        <w:ind w:left="108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245"/>
        <w:gridCol w:w="1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applied in the preparation of the financial statements are as follows:</w:t>
      </w:r>
    </w:p>
    <w:p>
      <w:pPr>
        <w:pStyle w:val="TextBody"/>
        <w:bidi w:val="0"/>
        <w:spacing w:before="0" w:after="0"/>
        <w:ind w:left="1134"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200"/>
        <w:gridCol w:w="1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the United States of America (“US GAAP”).</w:t>
      </w:r>
    </w:p>
    <w:p>
      <w:pPr>
        <w:pStyle w:val="TextBody"/>
        <w:bidi w:val="0"/>
        <w:spacing w:before="0" w:after="0"/>
        <w:ind w:left="1701"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200"/>
        <w:gridCol w:w="2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9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in U.S. dollars: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U.S. dollar (“dollar”) since the dollar is the currency of the primary economic environment in which the Company has operated and expects to continue to operate in the foreseeable future.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 gains and losses from re-measurement of monetary balance sheet items denominated in non-dollar currencies are reflected in the statement of operations as financial income or expenses, as appropriate.</w:t>
      </w:r>
    </w:p>
    <w:p>
      <w:pPr>
        <w:pStyle w:val="TextBody"/>
        <w:bidi w:val="0"/>
        <w:spacing w:before="0" w:after="0"/>
        <w:ind w:left="108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20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3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subsidiary. Inter-company balances and transactions have been eliminated in consolidation.</w:t>
      </w:r>
    </w:p>
    <w:p>
      <w:pPr>
        <w:pStyle w:val="TextBody"/>
        <w:bidi w:val="0"/>
        <w:spacing w:before="0" w:after="0"/>
        <w:ind w:left="144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245"/>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and demand deposits in banks, and other short-term liquid investments (primarily interest-bearing time deposits) with original maturities of three months or less at the date of purchase.</w:t>
      </w:r>
    </w:p>
    <w:p>
      <w:pPr>
        <w:pStyle w:val="TextBody"/>
        <w:bidi w:val="0"/>
        <w:spacing w:before="0" w:after="0"/>
        <w:ind w:left="108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75"/>
        <w:gridCol w:w="245"/>
        <w:gridCol w:w="1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cash:</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as of December 31, 2022 and 2021 included an $77 and $87, respectively, collateral account for the Company’s leases agreements and credit line from the bank.</w:t>
      </w:r>
    </w:p>
    <w:p>
      <w:pPr>
        <w:pStyle w:val="TextBody"/>
        <w:bidi w:val="0"/>
        <w:spacing w:before="0" w:after="0"/>
        <w:ind w:left="144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44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185"/>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30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other receivable and other accounts payable and accrued liabilities approximate their fair value due to the short-term maturity of these instruments.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(such as marketable securities) on a recurring basis. The method of determining the fair value of marketable securities is discussed in Note 4.</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bidi w:val="0"/>
        <w:spacing w:before="0" w:after="0"/>
        <w:ind w:left="108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21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credit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pStyle w:val="TextBody"/>
        <w:bidi w:val="0"/>
        <w:spacing w:before="0" w:after="0"/>
        <w:ind w:left="144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60"/>
        <w:gridCol w:w="2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presented at cost less accumulated depreciation. Depreciation is calculated based on the straight-line method over the estimated useful lives of the assets, at the following annual rates:</w:t>
      </w:r>
    </w:p>
    <w:p>
      <w:pPr>
        <w:pStyle w:val="TextBody"/>
        <w:bidi w:val="0"/>
        <w:spacing w:before="0" w:after="0"/>
        <w:ind w:left="1701"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ESTIMATED USEFUL LIVES OF PROPERTY AND EQUIPMENT</w:t>
      </w:r>
    </w:p>
    <w:tbl>
      <w:tblPr>
        <w:tblW w:w="5155" w:type="dxa"/>
        <w:jc w:val="left"/>
        <w:tblInd w:w="0" w:type="dxa"/>
        <w:tblLayout w:type="fixed"/>
        <w:tblCellMar>
          <w:top w:w="0" w:type="dxa"/>
          <w:left w:w="0" w:type="dxa"/>
          <w:bottom w:w="0" w:type="dxa"/>
          <w:right w:w="0" w:type="dxa"/>
        </w:tblCellMar>
      </w:tblPr>
      <w:tblGrid>
        <w:gridCol w:w="3230"/>
        <w:gridCol w:w="60"/>
        <w:gridCol w:w="60"/>
        <w:gridCol w:w="1730"/>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Research equipment and 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25-33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Furniture and 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0" w:type="dxa"/>
            <w:tcBorders/>
            <w:shd w:fill="FFFFFF" w:val="clear"/>
            <w:vAlign w:val="center"/>
          </w:tcPr>
          <w:p>
            <w:pPr>
              <w:pStyle w:val="TableContents"/>
              <w:bidi w:val="0"/>
              <w:spacing w:before="0" w:after="283"/>
              <w:jc w:val="center"/>
              <w:rPr/>
            </w:pPr>
            <w:r>
              <w:rPr/>
              <w:t>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Over the lease period</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85"/>
        <w:gridCol w:w="4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w:t>
            </w:r>
          </w:p>
        </w:tc>
        <w:tc>
          <w:tcPr>
            <w:tcW w:w="4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due to termination of employment agreements: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pStyle w:val="TextBody"/>
        <w:bidi w:val="0"/>
        <w:spacing w:before="0" w:after="0"/>
        <w:ind w:left="144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ind w:left="144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44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15"/>
        <w:gridCol w:w="3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 </w:t>
            </w:r>
          </w:p>
        </w:tc>
        <w:tc>
          <w:tcPr>
            <w:tcW w:w="30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loss per share:</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attributable to common stock shareholders by the weighted average number of shares of common stock outstanding during the year without consideration of potentially dilutive securities. Diluted net loss per share is calculated by giving effect to all potentially dilutive securities outstanding for the period using the treasury share method.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stock options and warrants have been excluded from the calculation of the diluted loss per share for the years ended December 31, 2022 and December 31, 2021, since all such securities have an anti-dilutive effect.</w:t>
      </w:r>
    </w:p>
    <w:p>
      <w:pPr>
        <w:pStyle w:val="TextBody"/>
        <w:bidi w:val="0"/>
        <w:spacing w:before="0" w:after="0"/>
        <w:ind w:left="144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260"/>
        <w:gridCol w:w="3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 </w:t>
            </w:r>
          </w:p>
        </w:tc>
        <w:tc>
          <w:tcPr>
            <w:tcW w:w="30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the statement of comprehensive loss as incurred. Grants for funding of approved research and development projects are recognized at the time the Company is entitled to such grants, on the basis of the costs incurred and applied as a deduction from the research and development expenses.</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245"/>
        <w:gridCol w:w="2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 </w:t>
            </w:r>
          </w:p>
        </w:tc>
        <w:tc>
          <w:tcPr>
            <w:tcW w:w="23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shares and warrant grants issued to non-employees using the guidance of ASU No. 2018-07 “Compensation - Stock Compensation (Topic 718): Improvements to Nonemployee Share-Based Payment Accounting.” which expand the scope of Topic 718, Compensation - Stock Compensation (which currently only includes share-based payments to employees) to include share-based payments issued to nonemployees for goods or services.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08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290"/>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 </w:t>
            </w:r>
          </w:p>
        </w:tc>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2022, and 2021, the Company had a full valuation allowance against deferred tax assets.</w:t>
      </w:r>
    </w:p>
    <w:p>
      <w:pPr>
        <w:pStyle w:val="TextBody"/>
        <w:bidi w:val="0"/>
        <w:spacing w:before="0" w:after="0"/>
        <w:ind w:left="144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245"/>
        <w:gridCol w:w="1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 </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Marketable securities:</w:t>
            </w:r>
          </w:p>
        </w:tc>
      </w:tr>
    </w:tbl>
    <w:p>
      <w:pPr>
        <w:pStyle w:val="TextBody"/>
        <w:bidi w:val="0"/>
        <w:spacing w:before="0" w:after="0"/>
        <w:ind w:left="993"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included in financing income, net. Unrealized gains or losses for the equity security are included in financing income, net. The Company classifies its investments as current based on the nature of the investments and their availability for use in current operations.</w:t>
      </w:r>
    </w:p>
    <w:p>
      <w:pPr>
        <w:pStyle w:val="TextBody"/>
        <w:bidi w:val="0"/>
        <w:spacing w:before="0" w:after="0"/>
        <w:ind w:left="108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75"/>
        <w:gridCol w:w="215"/>
        <w:gridCol w:w="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implements ASU 2016-02, Leases (“Topic 842”). This ASU requires entities that lease assets to recognize on the balance sheet the assets and liabilities for the rights and obligations created by leases with lease terms of more than 12 months.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that are determined to be leases at inception are recognized as long-term right-of-use assets (“ROU”) and lease liabilities in the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Operating lease assets are presented as operating lease ROU assets, and corresponding as lease liabilities (current portion), and as operating long-term lease liabilities, on the Company’s consolidated balance sheets.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08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185"/>
        <w:gridCol w:w="1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Government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which are received from the IIA by way of participation in research and development that is conducted by the Company, are received in installments as the program progresses based on qualified research spending. Grants received are recognized when the grant becomes receivable, provided there was reasonable assurance that the Company will comply with the conditions attached to the grant and there was reasonable assurance the grant will be received.</w:t>
      </w:r>
    </w:p>
    <w:p>
      <w:pPr>
        <w:pStyle w:val="TextBody"/>
        <w:bidi w:val="0"/>
        <w:spacing w:before="0" w:after="0"/>
        <w:ind w:left="108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200"/>
        <w:gridCol w:w="3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tc>
      </w:tr>
    </w:tbl>
    <w:p>
      <w:pPr>
        <w:pStyle w:val="TextBody"/>
        <w:shd w:fill="FFFFFF" w:val="clear"/>
        <w:bidi w:val="0"/>
        <w:spacing w:before="0" w:after="0"/>
        <w:ind w:left="862"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Refer to Note 2Q above.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CASH AND CASH EQUIVALENTS AND MARKETABLE SECURITIES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cash equivalents and marketable securities as of December 31, 2022 and 2021:</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CASH AND CASH EQUIVALENTS AND MARKETABLE SECURITIES </w:t>
      </w:r>
    </w:p>
    <w:tbl>
      <w:tblPr>
        <w:tblW w:w="7582" w:type="dxa"/>
        <w:jc w:val="left"/>
        <w:tblInd w:w="0" w:type="dxa"/>
        <w:tblLayout w:type="fixed"/>
        <w:tblCellMar>
          <w:top w:w="0" w:type="dxa"/>
          <w:left w:w="0" w:type="dxa"/>
          <w:bottom w:w="0" w:type="dxa"/>
          <w:right w:w="0" w:type="dxa"/>
        </w:tblCellMar>
      </w:tblPr>
      <w:tblGrid>
        <w:gridCol w:w="5450"/>
        <w:gridCol w:w="60"/>
        <w:gridCol w:w="170"/>
        <w:gridCol w:w="682"/>
        <w:gridCol w:w="73"/>
        <w:gridCol w:w="73"/>
        <w:gridCol w:w="170"/>
        <w:gridCol w:w="829"/>
        <w:gridCol w:w="75"/>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682" w:type="dxa"/>
            <w:tcBorders/>
            <w:shd w:fill="FFFFFF" w:val="clear"/>
            <w:vAlign w:val="center"/>
          </w:tcPr>
          <w:p>
            <w:pPr>
              <w:pStyle w:val="TableContents"/>
              <w:bidi w:val="0"/>
              <w:spacing w:before="0" w:after="283"/>
              <w:jc w:val="right"/>
              <w:rPr/>
            </w:pPr>
            <w:r>
              <w:rPr/>
              <w:t>1,195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29" w:type="dxa"/>
            <w:tcBorders/>
            <w:shd w:fill="FFFFFF" w:val="clear"/>
            <w:vAlign w:val="center"/>
          </w:tcPr>
          <w:p>
            <w:pPr>
              <w:pStyle w:val="TableContents"/>
              <w:bidi w:val="0"/>
              <w:spacing w:before="0" w:after="283"/>
              <w:jc w:val="right"/>
              <w:rPr/>
            </w:pPr>
            <w:r>
              <w:rPr/>
              <w:t>13,493</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U.S. treasury securities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1,247</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13,493</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1,999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1,999</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FFFFFF" w:val="clear"/>
            <w:tcMar>
              <w:bottom w:w="28" w:type="dxa"/>
            </w:tcMar>
            <w:vAlign w:val="center"/>
          </w:tcPr>
          <w:p>
            <w:pPr>
              <w:pStyle w:val="TableContents"/>
              <w:bidi w:val="0"/>
              <w:spacing w:before="0" w:after="283"/>
              <w:jc w:val="right"/>
              <w:rPr/>
            </w:pPr>
            <w:r>
              <w:rPr/>
              <w:t>3,761</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Total marketable securities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Total cash and cash equivalents and marketable securities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8,202</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unrealized gains on our marketable securities were $12 and less than $1 for the years ended December 31, 2022 and 2021, respectively.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Treasuries have contractual maturities of less than 12 months.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financial assets subject to fair value measurement and the level of inputs used in such measurements as of December 31, 2022 and 2021: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MEASUREMENT INPUTS AND VALUATION TECHNIQUES </w:t>
      </w:r>
    </w:p>
    <w:tbl>
      <w:tblPr>
        <w:tblW w:w="6362" w:type="dxa"/>
        <w:jc w:val="left"/>
        <w:tblInd w:w="0" w:type="dxa"/>
        <w:tblLayout w:type="fixed"/>
        <w:tblCellMar>
          <w:top w:w="0" w:type="dxa"/>
          <w:left w:w="0" w:type="dxa"/>
          <w:bottom w:w="0" w:type="dxa"/>
          <w:right w:w="0" w:type="dxa"/>
        </w:tblCellMar>
      </w:tblPr>
      <w:tblGrid>
        <w:gridCol w:w="2705"/>
        <w:gridCol w:w="60"/>
        <w:gridCol w:w="155"/>
        <w:gridCol w:w="621"/>
        <w:gridCol w:w="66"/>
        <w:gridCol w:w="66"/>
        <w:gridCol w:w="155"/>
        <w:gridCol w:w="687"/>
        <w:gridCol w:w="66"/>
        <w:gridCol w:w="66"/>
        <w:gridCol w:w="449"/>
        <w:gridCol w:w="305"/>
        <w:gridCol w:w="66"/>
        <w:gridCol w:w="66"/>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42"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776" w:type="dxa"/>
            <w:gridSpan w:val="2"/>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42" w:type="dxa"/>
            <w:gridSpan w:val="2"/>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jc w:val="right"/>
              <w:rPr/>
            </w:pPr>
            <w:r>
              <w:rPr/>
              <w:t>1,247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1,247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U.S. treasury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3,761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3,761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2705"/>
        <w:gridCol w:w="60"/>
        <w:gridCol w:w="159"/>
        <w:gridCol w:w="637"/>
        <w:gridCol w:w="68"/>
        <w:gridCol w:w="68"/>
        <w:gridCol w:w="159"/>
        <w:gridCol w:w="637"/>
        <w:gridCol w:w="68"/>
        <w:gridCol w:w="68"/>
        <w:gridCol w:w="449"/>
        <w:gridCol w:w="305"/>
        <w:gridCol w:w="68"/>
        <w:gridCol w:w="68"/>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2021</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sz w:val="4"/>
                <w:szCs w:val="4"/>
              </w:rPr>
            </w:pPr>
            <w:r>
              <w:rPr>
                <w:sz w:val="4"/>
                <w:szCs w:val="4"/>
              </w:rPr>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1,999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1,999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260"/>
        <w:gridCol w:w="23"/>
        <w:gridCol w:w="1025"/>
      </w:tblGrid>
      <w:tr>
        <w:trPr/>
        <w:tc>
          <w:tcPr>
            <w:tcW w:w="26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Reclassified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2022 and 2021.</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PREPAID EXPENSES AND OTHER CURRENT ASSETS</w:t>
      </w:r>
    </w:p>
    <w:tbl>
      <w:tblPr>
        <w:tblW w:w="6218" w:type="dxa"/>
        <w:jc w:val="left"/>
        <w:tblInd w:w="0" w:type="dxa"/>
        <w:tblLayout w:type="fixed"/>
        <w:tblCellMar>
          <w:top w:w="0" w:type="dxa"/>
          <w:left w:w="0" w:type="dxa"/>
          <w:bottom w:w="0" w:type="dxa"/>
          <w:right w:w="0" w:type="dxa"/>
        </w:tblCellMar>
      </w:tblPr>
      <w:tblGrid>
        <w:gridCol w:w="4085"/>
        <w:gridCol w:w="60"/>
        <w:gridCol w:w="241"/>
        <w:gridCol w:w="655"/>
        <w:gridCol w:w="103"/>
        <w:gridCol w:w="103"/>
        <w:gridCol w:w="241"/>
        <w:gridCol w:w="655"/>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Amounts due from government institutions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103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429</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126</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532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LEASES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Company signed a lease agreement for the period from November 2019 till October 2024. In addition, the Company received an option to extend the lease agreement for additional 5 years.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monthly lease payments are approximately $16.</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lease payments the Company had issued a bank guarantee of $54 in favor of the facility’s lessor.</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operating leases was as follows: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CASH FLOW INFORMATION RELATED TO OPERATING LEASES</w:t>
      </w:r>
    </w:p>
    <w:tbl>
      <w:tblPr>
        <w:tblW w:w="6546" w:type="dxa"/>
        <w:jc w:val="left"/>
        <w:tblInd w:w="0" w:type="dxa"/>
        <w:tblLayout w:type="fixed"/>
        <w:tblCellMar>
          <w:top w:w="0" w:type="dxa"/>
          <w:left w:w="0" w:type="dxa"/>
          <w:bottom w:w="0" w:type="dxa"/>
          <w:right w:w="0" w:type="dxa"/>
        </w:tblCellMar>
      </w:tblPr>
      <w:tblGrid>
        <w:gridCol w:w="2795"/>
        <w:gridCol w:w="60"/>
        <w:gridCol w:w="436"/>
        <w:gridCol w:w="1185"/>
        <w:gridCol w:w="187"/>
        <w:gridCol w:w="187"/>
        <w:gridCol w:w="436"/>
        <w:gridCol w:w="1185"/>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Cash payments and expenses</w:t>
            </w:r>
          </w:p>
        </w:tc>
        <w:tc>
          <w:tcPr>
            <w:tcW w:w="60"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344</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330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Undiscounted maturities of operating lease payments as of December 31, 2022 are summarized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MATURITIES OF LEASE LIABILITIES</w:t>
      </w:r>
    </w:p>
    <w:tbl>
      <w:tblPr>
        <w:tblW w:w="4799" w:type="dxa"/>
        <w:jc w:val="left"/>
        <w:tblInd w:w="0" w:type="dxa"/>
        <w:tblLayout w:type="fixed"/>
        <w:tblCellMar>
          <w:top w:w="0" w:type="dxa"/>
          <w:left w:w="0" w:type="dxa"/>
          <w:bottom w:w="0" w:type="dxa"/>
          <w:right w:w="0" w:type="dxa"/>
        </w:tblCellMar>
      </w:tblPr>
      <w:tblGrid>
        <w:gridCol w:w="2630"/>
        <w:gridCol w:w="60"/>
        <w:gridCol w:w="538"/>
        <w:gridCol w:w="1461"/>
        <w:gridCol w:w="110"/>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99" w:type="dxa"/>
            <w:gridSpan w:val="2"/>
            <w:tcBorders/>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2023</w:t>
            </w:r>
          </w:p>
        </w:tc>
        <w:tc>
          <w:tcPr>
            <w:tcW w:w="6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312</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Total future lease payments</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sz w:val="4"/>
                <w:szCs w:val="4"/>
              </w:rPr>
            </w:pPr>
            <w:r>
              <w:rPr>
                <w:sz w:val="4"/>
                <w:szCs w:val="4"/>
              </w:rPr>
            </w:r>
          </w:p>
        </w:tc>
        <w:tc>
          <w:tcPr>
            <w:tcW w:w="1461" w:type="dxa"/>
            <w:tcBorders/>
            <w:shd w:fill="FFFFFF" w:val="clear"/>
            <w:vAlign w:val="center"/>
          </w:tcPr>
          <w:p>
            <w:pPr>
              <w:pStyle w:val="TableContents"/>
              <w:bidi w:val="0"/>
              <w:spacing w:before="0" w:after="283"/>
              <w:jc w:val="right"/>
              <w:rPr/>
            </w:pPr>
            <w:r>
              <w:rPr/>
              <w:t>495</w:t>
            </w:r>
          </w:p>
        </w:tc>
        <w:tc>
          <w:tcPr>
            <w:tcW w:w="11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CCEEFF" w:val="clear"/>
            <w:tcMar>
              <w:bottom w:w="28" w:type="dxa"/>
            </w:tcM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jc w:val="left"/>
              <w:rPr/>
            </w:pPr>
            <w:r>
              <w:rPr/>
              <w:t>)</w:t>
            </w:r>
          </w:p>
        </w:tc>
      </w:tr>
      <w:tr>
        <w:trPr/>
        <w:tc>
          <w:tcPr>
            <w:tcW w:w="2630" w:type="dxa"/>
            <w:tcBorders/>
            <w:shd w:fill="FFFFFF" w:val="clear"/>
            <w:vAlign w:val="center"/>
          </w:tcPr>
          <w:p>
            <w:pPr>
              <w:pStyle w:val="TableContents"/>
              <w:bidi w:val="0"/>
              <w:spacing w:before="0" w:after="283"/>
              <w:jc w:val="left"/>
              <w:rPr/>
            </w:pPr>
            <w:r>
              <w:rPr/>
              <w:t>Total lease liability balance</w:t>
            </w:r>
          </w:p>
        </w:tc>
        <w:tc>
          <w:tcPr>
            <w:tcW w:w="60" w:type="dxa"/>
            <w:tcBorders/>
            <w:shd w:fill="FFFFFF" w:val="cle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pPr>
            <w:r>
              <w:rPr/>
              <w:t>462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INFORMATION RELATED TO LEASES</w:t>
      </w:r>
    </w:p>
    <w:tbl>
      <w:tblPr>
        <w:tblW w:w="8562" w:type="dxa"/>
        <w:jc w:val="left"/>
        <w:tblInd w:w="0" w:type="dxa"/>
        <w:tblLayout w:type="fixed"/>
        <w:tblCellMar>
          <w:top w:w="0" w:type="dxa"/>
          <w:left w:w="0" w:type="dxa"/>
          <w:bottom w:w="0" w:type="dxa"/>
          <w:right w:w="0" w:type="dxa"/>
        </w:tblCellMar>
      </w:tblPr>
      <w:tblGrid>
        <w:gridCol w:w="6275"/>
        <w:gridCol w:w="60"/>
        <w:gridCol w:w="176"/>
        <w:gridCol w:w="413"/>
        <w:gridCol w:w="636"/>
        <w:gridCol w:w="176"/>
        <w:gridCol w:w="176"/>
        <w:gridCol w:w="420"/>
        <w:gridCol w:w="230"/>
      </w:tblGrid>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3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5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596"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Operating leases 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2</w:t>
            </w:r>
          </w:p>
        </w:tc>
        <w:tc>
          <w:tcPr>
            <w:tcW w:w="63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3</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Operating leases weighted average discount rate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pPr>
            <w:r>
              <w:rPr/>
              <w:t>9</w:t>
            </w:r>
          </w:p>
        </w:tc>
        <w:tc>
          <w:tcPr>
            <w:tcW w:w="636" w:type="dxa"/>
            <w:tcBorders/>
            <w:shd w:fill="FFFFFF" w:val="clear"/>
            <w:vAlign w:val="center"/>
          </w:tcPr>
          <w:p>
            <w:pPr>
              <w:pStyle w:val="TableContents"/>
              <w:bidi w:val="0"/>
              <w:spacing w:before="0" w:after="283"/>
              <w:jc w:val="left"/>
              <w:rPr/>
            </w:pPr>
            <w:r>
              <w:rPr/>
              <w:t>%</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 NET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PROPERTY AND EQUIPMENT, NET</w:t>
      </w:r>
    </w:p>
    <w:p>
      <w:pPr>
        <w:pStyle w:val="TextBody"/>
        <w:bidi w:val="0"/>
        <w:spacing w:before="0" w:after="0"/>
        <w:ind w:left="0" w:right="0" w:hanging="0"/>
        <w:jc w:val="both"/>
        <w:rPr>
          <w:caps w:val="false"/>
          <w:smallCaps w:val="false"/>
        </w:rPr>
      </w:pPr>
      <w:r>
        <w:rPr>
          <w:caps w:val="false"/>
          <w:smallCaps w:val="false"/>
        </w:rPr>
        <w:t> </w:t>
      </w:r>
    </w:p>
    <w:tbl>
      <w:tblPr>
        <w:tblW w:w="5363" w:type="dxa"/>
        <w:jc w:val="left"/>
        <w:tblInd w:w="0" w:type="dxa"/>
        <w:tblLayout w:type="fixed"/>
        <w:tblCellMar>
          <w:top w:w="0" w:type="dxa"/>
          <w:left w:w="0" w:type="dxa"/>
          <w:bottom w:w="0" w:type="dxa"/>
          <w:right w:w="0" w:type="dxa"/>
        </w:tblCellMar>
      </w:tblPr>
      <w:tblGrid>
        <w:gridCol w:w="3230"/>
        <w:gridCol w:w="60"/>
        <w:gridCol w:w="241"/>
        <w:gridCol w:w="655"/>
        <w:gridCol w:w="103"/>
        <w:gridCol w:w="103"/>
        <w:gridCol w:w="241"/>
        <w:gridCol w:w="655"/>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Research equipment and software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71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Leasehold improvement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229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229</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Furniture and office equipment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308</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236</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533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both"/>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Research equipment and software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63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Leasehold improvement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135</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89</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Furniture and office equipment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146</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387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289</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221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244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ACCRUED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ACCRUED LIABILITIES</w:t>
      </w:r>
    </w:p>
    <w:p>
      <w:pPr>
        <w:pStyle w:val="TextBody"/>
        <w:bidi w:val="0"/>
        <w:spacing w:before="0" w:after="0"/>
        <w:ind w:left="0" w:right="0" w:hanging="0"/>
        <w:jc w:val="both"/>
        <w:rPr>
          <w:caps w:val="false"/>
          <w:smallCaps w:val="false"/>
        </w:rPr>
      </w:pPr>
      <w:r>
        <w:rPr>
          <w:caps w:val="false"/>
          <w:smallCaps w:val="false"/>
        </w:rPr>
        <w:t> </w:t>
      </w:r>
    </w:p>
    <w:tbl>
      <w:tblPr>
        <w:tblW w:w="4731" w:type="dxa"/>
        <w:jc w:val="left"/>
        <w:tblInd w:w="0" w:type="dxa"/>
        <w:tblLayout w:type="fixed"/>
        <w:tblCellMar>
          <w:top w:w="0" w:type="dxa"/>
          <w:left w:w="0" w:type="dxa"/>
          <w:bottom w:w="0" w:type="dxa"/>
          <w:right w:w="0" w:type="dxa"/>
        </w:tblCellMar>
      </w:tblPr>
      <w:tblGrid>
        <w:gridCol w:w="2600"/>
        <w:gridCol w:w="60"/>
        <w:gridCol w:w="184"/>
        <w:gridCol w:w="736"/>
        <w:gridCol w:w="78"/>
        <w:gridCol w:w="78"/>
        <w:gridCol w:w="184"/>
        <w:gridCol w:w="736"/>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Employee-related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1,372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1,031</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Accrued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1,670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1,427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93" w:right="0" w:hanging="993"/>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993" w:right="0" w:hanging="993"/>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993" w:right="0" w:hanging="993"/>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Grants: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Israeli Innovation Authority (“IIA”) for participation in research and development since 2013 through December 31, 2022 totaling approximately $1,500.</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Ltd. (“CardioSert”) on January 4, 2018, Microbot Israel took over the liability to repay CardioSert’s IIA grants in the aggregate amount of approximately $530.</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Nitiloop, on October 6, 2022, Microbot Israel took over the liability to repay Nitiloop’s IIA grants in the aggregate amount of approximately $925.</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IIA grants described above, the Company is obligated to pay royalties amounting to 3.0%-3.5% of its future sales of the products relating to such grants.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Libor per annum.</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TRDF Agreement:</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License Agreement, both parties agreed to extend the next development milestone for the Company’s Self Cleaning Shunt (SCS) project, which includes the First In Human milestone, until December 2024, and to continue to maintain the TipCat assets, which are still in a discovery phase, until December 2023. The Company in October 2022 suspended the SCS project while it evaluates alternatives for the SCS assets (mainly related patents), which may include seeking buyers for the assets, entering into joint ventures or licensing arrangements, spinning off the assets into a new operating company or discontinuing the project altogether. The Company has certain obligations to seek to develop and commercialize the SCS and the TipCat assets under the License Agreement. At the time of filing of this Annually Report on Form 10-K, the Company has been in discussions with TRDF with respect to the suspension of the SCS project and the status of the TipCat assets, and the Company expects that if it is unsuccessful in entering into alternative arrangements for such assets, the Company will return the licensed assets to TRDF.</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with CardioSert Ltd.:</w:t>
      </w:r>
    </w:p>
    <w:p>
      <w:pPr>
        <w:pStyle w:val="TextBody"/>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Microbot Israel entered into an agreement with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pStyle w:val="TextBody"/>
        <w:shd w:fill="FFFFFF" w:val="clear"/>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2018, Microbot Israel, delivered an Exercise Notice to CardioSert Ltd., notifying it that Microbot Israel elected to exercise the option to acquire the Technology owned by CardioSert and therefore made an additional cash payment of $250 and 6,738 shares of common stock estimated at $74.</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As of December 31, 2022, the 50 months period has expired and CardioSert can buy-back the Technology at any time. As of the report date, CardioSert has not purchased back the Technology.</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NIS40 (or approximately US$11.37, based on an exchange rate of NIS 3.519 to the dollar) covering up to 60 consulting hours per month.</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ATM Agreement:</w:t>
      </w:r>
    </w:p>
    <w:p>
      <w:pPr>
        <w:pStyle w:val="TextBody"/>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we have not sold any shares of Common Stock pursuant to the ATM Agreement, and as of October 13, 2022, the Company suspended the ATM Agreement, which remains in full force and effect, and terminated the June 2021 Prospectus.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Nitiloop’s Assets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$8,000, as follows:</w:t>
      </w:r>
    </w:p>
    <w:p>
      <w:pPr>
        <w:pStyle w:val="TextBody"/>
        <w:shd w:fill="FFFFFF" w:val="clear"/>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at a rate of 3% of net revenue generated as a result of sales, license or other exploitation of the Devices;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at a rate of 1.5% of net revenue generated from the sale, license or other exploitation of commercialization of the technology as part of an integrated product.</w:t>
            </w:r>
          </w:p>
        </w:tc>
      </w:tr>
    </w:tbl>
    <w:p>
      <w:pPr>
        <w:pStyle w:val="TextBody"/>
        <w:shd w:fill="FFFFFF" w:val="clear"/>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 Based on the Company’s analysis, the Company concluded that the acquisition of the assets does not meet the definition of a business for the purpose of applying SEC Rules (S-X Rules of 3-05, 8-04 and 11-01).</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 Resulting from 2017 Financing</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seeks rescission of the SPA and return of the Plaintiffs’ $6,750 purchase price with respect to the Financing. The Company is currently in the discovery phase. Management is unable to assess the likelihood that the Company will succeed at trial with respect to the SPA or the Financing, having previously lost another lawsuit with respect to the Financing.</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Alliance Litigation</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2019, Alliance filed a motion for summary judgment requesting that the Court dismiss the claims against Alliance. On February 4, 2020, Mona answered the 16(b) claim the Company asserted against him by claiming various equitable defenses and filed a counterclaim against the Company under Section 10(b) of the Securities Exchange Act of 1934 and Rule 10b-5 promulgated thereunder, claiming a net loss on trading the Company’s stock of approximately $151.</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2020, the Court issued a Memorandum Decision &amp; Order that, among other things, granted Alliance’s summary judgment motion.</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2021, the Court issued an Order; and on March 31, 2021, the Clerk entered judgment against Mona and in favor of the Company in the amount of approximately $485. On April 27, 2021, Mona filed an appeal of the Court’s judgment, which is pending before the U.S. Court of Appeals for the Second Circuit.</w:t>
      </w:r>
    </w:p>
    <w:p>
      <w:pPr>
        <w:pStyle w:val="TextBody"/>
        <w:shd w:fill="FFFFFF" w:val="clear"/>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Magistrate issued an order permitting Mona to file an Amended Counterclaim Complaint, and rejected the Company’s request to execute on the judgment. The Company filed a response to Mona’s amended counterclaim in July 2021, and in February 2023 filed a motion for summary judgment on Mona’s fraud claim on the basis of inability to demonstrate reliance or loss causation. The motion is scheduled to be fully briefed and submitted on May 1, 2023.</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 CAPITAL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Developments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Company has 7,890,628 and 7,108,133 shares of common stock issued and outstanding, respectively.</w:t>
      </w:r>
    </w:p>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FASB ASC 480 and FASB ASC 815, “Derivatives and Hedging” (“ASC 815”). The assessment considers whether the warrants are freestanding financial instruments pursuant to ASC 480, meet the definition of a liability pursuant to ASC 480, and meet all of the requirements for equity classification under FASB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the Pre-funded Warrants and for the Common Warrants. The Common Stocks of the Company are recognized as equity under the requirements of Accounting Standard Codification Topic 505 Equity (ASC 505). Based on the Company’s analysis the Warrants were classified as equity.</w:t>
      </w:r>
    </w:p>
    <w:p>
      <w:pPr>
        <w:pStyle w:val="TextBody"/>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2022 and in connection with the Offerings, the Company entered into an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paid Wainwright aggregate cash fees and reimbursed Wainwright for its expenses aggregating approximately $565. The Company also issued to Wainwright or its designees warrants to purchase 51,125 shares of Common Stock (the “Wainwright Warrants”). The Wainwright Warrants have a term of five years from the commencement of sales in the Offerings, and have an exercise price of $6.11 per share. Upon any exercise for cash of any preferred investment options issued to investors in the offering, the Company obligate to pay 7% percent of the aggregate gross exercise price of the warrants issued in the Offering and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w:t>
      </w:r>
    </w:p>
    <w:p>
      <w:pPr>
        <w:pStyle w:val="TextBody"/>
        <w:shd w:fill="FFFFFF" w:val="clear"/>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the Wainwright Warrants issued to Wainwright. Since the Company did not identify any features causing liability classification of the Wainwright Warrants according to ASC 718, it concluded that the Wainwright Warrants are equity-classified awards.</w:t>
      </w:r>
    </w:p>
    <w:p>
      <w:pPr>
        <w:pStyle w:val="TextBody"/>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Grants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granted to Mr. Harel Gadot, the Company’s Chairman of the Board, President and CEO, options to purchase an aggregate of 190,000 shares of the Company’s common stock, at an exercise price per share of $8.48. The stock options vest over a period of 2 years as outlined in the option agreements evidencing such grants. As a result, the Company recognized compensation expenses for the year ended December 31, 2021, in the total amount of $646.</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granted to certain employees and consultants and directors, options to purchase an aggregate of 231,426 shares of the Company’s common stock, at an exercise price per share of $6.72 - $7.26. The stock options vest over a period of 3 years as outlined in the option agreements evidencing such grants. As a result, the Company recognized compensation expenses for the year ended December 31, 2021, in the total amount of $740.</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granted to Mr. Harel Gadot, the Company’s Chairman of the Board, President and CEO, options to purchase an aggregate of 260,000 shares of the Common Stock, at an exercise price per share of $3.73-$6.48. The stock options vest over a period of three years as outlined in the option agreements evidencing such grants.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granted to certain employees, consultants and directors, options to purchase an aggregate of 270,822 shares of the Common Stock, at an exercise price per share of $3.73-$6.48. The stock options vest over a period of three years as outlined in the option agreements evidencing such grants.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option activity related to options to employees and directors, and related information is as follows:</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STOCK OPTION ACTIVITY </w:t>
      </w:r>
    </w:p>
    <w:tbl>
      <w:tblPr>
        <w:tblW w:w="9907" w:type="dxa"/>
        <w:jc w:val="left"/>
        <w:tblInd w:w="0" w:type="dxa"/>
        <w:tblLayout w:type="fixed"/>
        <w:tblCellMar>
          <w:top w:w="0" w:type="dxa"/>
          <w:left w:w="0" w:type="dxa"/>
          <w:bottom w:w="0" w:type="dxa"/>
          <w:right w:w="0" w:type="dxa"/>
        </w:tblCellMar>
      </w:tblPr>
      <w:tblGrid>
        <w:gridCol w:w="3635"/>
        <w:gridCol w:w="60"/>
        <w:gridCol w:w="144"/>
        <w:gridCol w:w="2365"/>
        <w:gridCol w:w="217"/>
        <w:gridCol w:w="137"/>
        <w:gridCol w:w="791"/>
        <w:gridCol w:w="2483"/>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2022</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21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997,148</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w:t>
            </w:r>
          </w:p>
        </w:tc>
        <w:tc>
          <w:tcPr>
            <w:tcW w:w="2483" w:type="dxa"/>
            <w:tcBorders/>
            <w:shd w:fill="CCEEFF" w:val="clear"/>
            <w:vAlign w:val="center"/>
          </w:tcPr>
          <w:p>
            <w:pPr>
              <w:pStyle w:val="TableContents"/>
              <w:bidi w:val="0"/>
              <w:spacing w:before="0" w:after="283"/>
              <w:jc w:val="right"/>
              <w:rPr/>
            </w:pPr>
            <w:r>
              <w:rPr/>
              <w:t>8.48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365" w:type="dxa"/>
            <w:tcBorders/>
            <w:shd w:fill="FFFFFF" w:val="clear"/>
            <w:vAlign w:val="center"/>
          </w:tcPr>
          <w:p>
            <w:pPr>
              <w:pStyle w:val="TableContents"/>
              <w:bidi w:val="0"/>
              <w:spacing w:before="0" w:after="283"/>
              <w:jc w:val="right"/>
              <w:rPr/>
            </w:pPr>
            <w:r>
              <w:rPr/>
              <w:t>530,822</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2483" w:type="dxa"/>
            <w:tcBorders/>
            <w:shd w:fill="FFFFFF" w:val="clear"/>
            <w:vAlign w:val="center"/>
          </w:tcPr>
          <w:p>
            <w:pPr>
              <w:pStyle w:val="TableContents"/>
              <w:bidi w:val="0"/>
              <w:spacing w:before="0" w:after="283"/>
              <w:jc w:val="right"/>
              <w:rPr/>
            </w:pPr>
            <w:r>
              <w:rPr/>
              <w:t>5.14</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Cancelled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65" w:type="dxa"/>
            <w:tcBorders>
              <w:bottom w:val="single" w:sz="12" w:space="0" w:color="000000"/>
            </w:tcBorders>
            <w:shd w:fill="CCEEFF" w:val="clear"/>
            <w:tcMar>
              <w:bottom w:w="28" w:type="dxa"/>
            </w:tcMar>
            <w:vAlign w:val="center"/>
          </w:tcPr>
          <w:p>
            <w:pPr>
              <w:pStyle w:val="TableContents"/>
              <w:bidi w:val="0"/>
              <w:spacing w:before="0" w:after="283"/>
              <w:jc w:val="right"/>
              <w:rPr/>
            </w:pPr>
            <w:r>
              <w:rPr/>
              <w:t>(20,833</w:t>
            </w:r>
          </w:p>
        </w:tc>
        <w:tc>
          <w:tcPr>
            <w:tcW w:w="217"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83" w:type="dxa"/>
            <w:tcBorders>
              <w:bottom w:val="single" w:sz="12" w:space="0" w:color="000000"/>
            </w:tcBorders>
            <w:shd w:fill="CCEEFF" w:val="clear"/>
            <w:tcMar>
              <w:bottom w:w="28" w:type="dxa"/>
            </w:tcMar>
            <w:vAlign w:val="center"/>
          </w:tcPr>
          <w:p>
            <w:pPr>
              <w:pStyle w:val="TableContents"/>
              <w:bidi w:val="0"/>
              <w:spacing w:before="0" w:after="283"/>
              <w:jc w:val="right"/>
              <w:rPr/>
            </w:pPr>
            <w:r>
              <w:rPr/>
              <w:t>8.16</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Outstanding as of December 31, 2022</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1,507,137</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83" w:type="dxa"/>
            <w:tcBorders>
              <w:bottom w:val="double" w:sz="6" w:space="0" w:color="000000"/>
            </w:tcBorders>
            <w:shd w:fill="FFFFFF" w:val="clear"/>
            <w:tcMar>
              <w:bottom w:w="28" w:type="dxa"/>
            </w:tcMar>
            <w:vAlign w:val="center"/>
          </w:tcPr>
          <w:p>
            <w:pPr>
              <w:pStyle w:val="TableContents"/>
              <w:bidi w:val="0"/>
              <w:spacing w:before="0" w:after="283"/>
              <w:jc w:val="right"/>
              <w:rPr/>
            </w:pPr>
            <w:r>
              <w:rPr/>
              <w:t>7.31</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24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Vested as of December 31, 2022</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899,609</w:t>
            </w:r>
          </w:p>
        </w:tc>
        <w:tc>
          <w:tcPr>
            <w:tcW w:w="2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83" w:type="dxa"/>
            <w:tcBorders>
              <w:bottom w:val="double" w:sz="6" w:space="0" w:color="000000"/>
            </w:tcBorders>
            <w:shd w:fill="FFFFFF" w:val="clear"/>
            <w:tcMar>
              <w:bottom w:w="28" w:type="dxa"/>
            </w:tcMar>
            <w:vAlign w:val="center"/>
          </w:tcPr>
          <w:p>
            <w:pPr>
              <w:pStyle w:val="TableContents"/>
              <w:bidi w:val="0"/>
              <w:spacing w:before="0" w:after="283"/>
              <w:jc w:val="right"/>
              <w:rPr/>
            </w:pPr>
            <w:r>
              <w:rPr/>
              <w:t>8.52</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3635"/>
        <w:gridCol w:w="60"/>
        <w:gridCol w:w="174"/>
        <w:gridCol w:w="2335"/>
        <w:gridCol w:w="156"/>
        <w:gridCol w:w="156"/>
        <w:gridCol w:w="790"/>
        <w:gridCol w:w="2484"/>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2021</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2335" w:type="dxa"/>
            <w:tcBorders/>
            <w:shd w:fill="CCEEFF" w:val="clear"/>
            <w:vAlign w:val="center"/>
          </w:tcPr>
          <w:p>
            <w:pPr>
              <w:pStyle w:val="TableContents"/>
              <w:bidi w:val="0"/>
              <w:spacing w:before="0" w:after="283"/>
              <w:jc w:val="right"/>
              <w:rPr/>
            </w:pPr>
            <w:r>
              <w:rPr/>
              <w:t>575,722</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w:t>
            </w:r>
          </w:p>
        </w:tc>
        <w:tc>
          <w:tcPr>
            <w:tcW w:w="2484" w:type="dxa"/>
            <w:tcBorders/>
            <w:shd w:fill="CCEEFF" w:val="clear"/>
            <w:vAlign w:val="center"/>
          </w:tcPr>
          <w:p>
            <w:pPr>
              <w:pStyle w:val="TableContents"/>
              <w:bidi w:val="0"/>
              <w:spacing w:before="0" w:after="283"/>
              <w:jc w:val="right"/>
              <w:rPr/>
            </w:pPr>
            <w:r>
              <w:rPr/>
              <w:t>9.14</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5" w:type="dxa"/>
            <w:tcBorders>
              <w:bottom w:val="single" w:sz="12" w:space="0" w:color="000000"/>
            </w:tcBorders>
            <w:shd w:fill="FFFFFF" w:val="clear"/>
            <w:tcMar>
              <w:bottom w:w="28" w:type="dxa"/>
            </w:tcMar>
            <w:vAlign w:val="center"/>
          </w:tcPr>
          <w:p>
            <w:pPr>
              <w:pStyle w:val="TableContents"/>
              <w:bidi w:val="0"/>
              <w:spacing w:before="0" w:after="283"/>
              <w:jc w:val="right"/>
              <w:rPr/>
            </w:pPr>
            <w:r>
              <w:rPr/>
              <w:t>421,426</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484" w:type="dxa"/>
            <w:tcBorders>
              <w:bottom w:val="single" w:sz="12" w:space="0" w:color="000000"/>
            </w:tcBorders>
            <w:shd w:fill="FFFFFF" w:val="clear"/>
            <w:tcMar>
              <w:bottom w:w="28" w:type="dxa"/>
            </w:tcMar>
            <w:vAlign w:val="center"/>
          </w:tcPr>
          <w:p>
            <w:pPr>
              <w:pStyle w:val="TableContents"/>
              <w:bidi w:val="0"/>
              <w:spacing w:before="0" w:after="283"/>
              <w:jc w:val="right"/>
              <w:rPr/>
            </w:pPr>
            <w:r>
              <w:rPr/>
              <w:t>7.60</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35" w:type="dxa"/>
            <w:tcBorders>
              <w:bottom w:val="double" w:sz="6" w:space="0" w:color="000000"/>
            </w:tcBorders>
            <w:shd w:fill="CCEEFF" w:val="clear"/>
            <w:tcMar>
              <w:bottom w:w="28" w:type="dxa"/>
            </w:tcMar>
            <w:vAlign w:val="center"/>
          </w:tcPr>
          <w:p>
            <w:pPr>
              <w:pStyle w:val="TableContents"/>
              <w:bidi w:val="0"/>
              <w:spacing w:before="0" w:after="283"/>
              <w:jc w:val="right"/>
              <w:rPr/>
            </w:pPr>
            <w:r>
              <w:rPr/>
              <w:t>997,148</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484" w:type="dxa"/>
            <w:tcBorders>
              <w:bottom w:val="double" w:sz="6" w:space="0" w:color="000000"/>
            </w:tcBorders>
            <w:shd w:fill="CCEEFF" w:val="clear"/>
            <w:tcMar>
              <w:bottom w:w="28" w:type="dxa"/>
            </w:tcMar>
            <w:vAlign w:val="center"/>
          </w:tcPr>
          <w:p>
            <w:pPr>
              <w:pStyle w:val="TableContents"/>
              <w:bidi w:val="0"/>
              <w:spacing w:before="0" w:after="283"/>
              <w:jc w:val="right"/>
              <w:rPr/>
            </w:pPr>
            <w:r>
              <w:rPr/>
              <w:t>8.48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35"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248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Vested as of December 31, 2021</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35" w:type="dxa"/>
            <w:tcBorders>
              <w:bottom w:val="double" w:sz="6" w:space="0" w:color="000000"/>
            </w:tcBorders>
            <w:shd w:fill="CCEEFF" w:val="clear"/>
            <w:tcMar>
              <w:bottom w:w="28" w:type="dxa"/>
            </w:tcMar>
            <w:vAlign w:val="center"/>
          </w:tcPr>
          <w:p>
            <w:pPr>
              <w:pStyle w:val="TableContents"/>
              <w:bidi w:val="0"/>
              <w:spacing w:before="0" w:after="283"/>
              <w:jc w:val="right"/>
              <w:rPr/>
            </w:pPr>
            <w:r>
              <w:rPr/>
              <w:t>568,053</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484" w:type="dxa"/>
            <w:tcBorders>
              <w:bottom w:val="double" w:sz="6" w:space="0" w:color="000000"/>
            </w:tcBorders>
            <w:shd w:fill="CCEEFF" w:val="clear"/>
            <w:tcMar>
              <w:bottom w:w="28" w:type="dxa"/>
            </w:tcMar>
            <w:vAlign w:val="center"/>
          </w:tcPr>
          <w:p>
            <w:pPr>
              <w:pStyle w:val="TableContents"/>
              <w:bidi w:val="0"/>
              <w:spacing w:before="0" w:after="283"/>
              <w:jc w:val="right"/>
              <w:rPr/>
            </w:pPr>
            <w:r>
              <w:rPr/>
              <w:t>9.08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forfeitures of outstanding options as they occur.</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2022 and December 31, 2021, respectively.</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aggregate intrinsic value of the outstanding options is $185 and $974 respectively, and the aggregate intrinsic value of the exercisable options is $185 and $815, respectively.</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there were approximately $2,036 of total unrecognized compensation costs related to unvested share-based compensation awards granted under the Share Incentive Plan. The costs are expected to be recognized over a weighted average period of 2.039 years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outstanding as of December 31, 2022 and December 31, 2021, summarized by exercise prices, are as follows:</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STOCK OPTIONS OUTSTANDING </w:t>
      </w:r>
    </w:p>
    <w:tbl>
      <w:tblPr>
        <w:tblW w:w="10205" w:type="dxa"/>
        <w:jc w:val="left"/>
        <w:tblInd w:w="0" w:type="dxa"/>
        <w:tblLayout w:type="fixed"/>
        <w:tblCellMar>
          <w:top w:w="0" w:type="dxa"/>
          <w:left w:w="0" w:type="dxa"/>
          <w:bottom w:w="28" w:type="dxa"/>
          <w:right w:w="0" w:type="dxa"/>
        </w:tblCellMar>
      </w:tblPr>
      <w:tblGrid>
        <w:gridCol w:w="928"/>
        <w:gridCol w:w="60"/>
        <w:gridCol w:w="81"/>
        <w:gridCol w:w="1340"/>
        <w:gridCol w:w="60"/>
        <w:gridCol w:w="60"/>
        <w:gridCol w:w="99"/>
        <w:gridCol w:w="1323"/>
        <w:gridCol w:w="60"/>
        <w:gridCol w:w="60"/>
        <w:gridCol w:w="181"/>
        <w:gridCol w:w="1334"/>
        <w:gridCol w:w="60"/>
        <w:gridCol w:w="60"/>
        <w:gridCol w:w="181"/>
        <w:gridCol w:w="1334"/>
        <w:gridCol w:w="60"/>
        <w:gridCol w:w="60"/>
        <w:gridCol w:w="91"/>
        <w:gridCol w:w="1240"/>
        <w:gridCol w:w="60"/>
        <w:gridCol w:w="60"/>
        <w:gridCol w:w="91"/>
        <w:gridCol w:w="1240"/>
        <w:gridCol w:w="82"/>
      </w:tblGrid>
      <w:tr>
        <w:trPr/>
        <w:tc>
          <w:tcPr>
            <w:tcW w:w="928" w:type="dxa"/>
            <w:tcBorders>
              <w:bottom w:val="single" w:sz="12" w:space="0" w:color="000000"/>
            </w:tcBorders>
            <w:vAlign w:val="center"/>
          </w:tcPr>
          <w:p>
            <w:pPr>
              <w:pStyle w:val="TableContents"/>
              <w:bidi w:val="0"/>
              <w:spacing w:before="0" w:after="283"/>
              <w:jc w:val="center"/>
              <w:rPr>
                <w:b/>
              </w:rPr>
            </w:pPr>
            <w:r>
              <w:rPr>
                <w:b/>
              </w:rPr>
              <w:t>Exercise price $</w:t>
            </w:r>
          </w:p>
        </w:tc>
        <w:tc>
          <w:tcPr>
            <w:tcW w:w="60" w:type="dxa"/>
            <w:tcBorders/>
            <w:tcMar>
              <w:bottom w:w="0" w:type="dxa"/>
            </w:tcMar>
            <w:vAlign w:val="center"/>
          </w:tcPr>
          <w:p>
            <w:pPr>
              <w:pStyle w:val="TableContents"/>
              <w:bidi w:val="0"/>
              <w:spacing w:before="0" w:after="283"/>
              <w:jc w:val="center"/>
              <w:rPr/>
            </w:pPr>
            <w:r>
              <w:rPr/>
              <w:t> </w:t>
            </w:r>
          </w:p>
        </w:tc>
        <w:tc>
          <w:tcPr>
            <w:tcW w:w="1421" w:type="dxa"/>
            <w:gridSpan w:val="2"/>
            <w:tcBorders>
              <w:bottom w:val="single" w:sz="12" w:space="0" w:color="000000"/>
            </w:tcBorders>
            <w:vAlign w:val="center"/>
          </w:tcPr>
          <w:p>
            <w:pPr>
              <w:pStyle w:val="TableContents"/>
              <w:bidi w:val="0"/>
              <w:spacing w:before="0" w:after="283"/>
              <w:jc w:val="center"/>
              <w:rPr>
                <w:b/>
              </w:rPr>
            </w:pPr>
            <w:r>
              <w:rPr>
                <w:b/>
              </w:rPr>
              <w:t>Stock options outstanding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22" w:type="dxa"/>
            <w:gridSpan w:val="2"/>
            <w:tcBorders>
              <w:bottom w:val="single" w:sz="12" w:space="0" w:color="000000"/>
            </w:tcBorders>
            <w:vAlign w:val="center"/>
          </w:tcPr>
          <w:p>
            <w:pPr>
              <w:pStyle w:val="TableContents"/>
              <w:bidi w:val="0"/>
              <w:spacing w:before="0" w:after="283"/>
              <w:jc w:val="center"/>
              <w:rPr>
                <w:b/>
              </w:rPr>
            </w:pPr>
            <w:r>
              <w:rPr>
                <w:b/>
              </w:rPr>
              <w:t>Stock options outstanding as of December 31, 2021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Weighted average remaining contractual life – years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Weighted average remaining contractual life – years as of December 31, 2021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1331" w:type="dxa"/>
            <w:gridSpan w:val="2"/>
            <w:tcBorders>
              <w:bottom w:val="single" w:sz="12" w:space="0" w:color="000000"/>
            </w:tcBorders>
            <w:vAlign w:val="center"/>
          </w:tcPr>
          <w:p>
            <w:pPr>
              <w:pStyle w:val="TableContents"/>
              <w:bidi w:val="0"/>
              <w:spacing w:before="0" w:after="283"/>
              <w:jc w:val="center"/>
              <w:rPr>
                <w:b/>
              </w:rPr>
            </w:pPr>
            <w:r>
              <w:rPr>
                <w:b/>
              </w:rPr>
              <w:t>Stock options exercisable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1" w:type="dxa"/>
            <w:gridSpan w:val="2"/>
            <w:tcBorders>
              <w:bottom w:val="single" w:sz="12" w:space="0" w:color="000000"/>
            </w:tcBorders>
            <w:vAlign w:val="center"/>
          </w:tcPr>
          <w:p>
            <w:pPr>
              <w:pStyle w:val="TableContents"/>
              <w:bidi w:val="0"/>
              <w:spacing w:before="0" w:after="283"/>
              <w:jc w:val="center"/>
              <w:rPr>
                <w:b/>
              </w:rPr>
            </w:pPr>
            <w:r>
              <w:rPr>
                <w:b/>
              </w:rPr>
              <w:t>Stock options exercisable as of December 31, 2021</w:t>
            </w:r>
          </w:p>
        </w:tc>
        <w:tc>
          <w:tcPr>
            <w:tcW w:w="82" w:type="dxa"/>
            <w:tcBorders/>
            <w:tcMar>
              <w:bottom w:w="0" w:type="dxa"/>
            </w:tcMar>
            <w:vAlign w:val="center"/>
          </w:tcPr>
          <w:p>
            <w:pPr>
              <w:pStyle w:val="TableContents"/>
              <w:bidi w:val="0"/>
              <w:spacing w:before="0" w:after="283"/>
              <w:jc w:val="center"/>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3.73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211,000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4.20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77,846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77,846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77,846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77,846</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32,500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15,808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15,808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15,808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11,064</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99,823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5.95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17,503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17,503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17,503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13,564</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6.16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31,492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31,492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26,282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16,834</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6.48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182,500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59,312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6.72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117,500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125,000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64,624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31,249</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81,426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81,426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38,676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11,084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11,084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7,756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4,432</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4,902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4,902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3,799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2,328</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8.48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190,000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190,000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166,250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9,304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9,304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9,304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9,304</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10,000</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9.64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166,666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166,666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166,666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166,666</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15.30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35,199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pPr>
            <w:r>
              <w:rPr/>
              <w:t>38,533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35,199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38,533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15.75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131,007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pPr>
            <w:r>
              <w:rPr/>
              <w:t>131,007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  </w:t>
            </w: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  </w:t>
            </w:r>
            <w:r>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131,007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124,656</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FFFFFF" w:val="clear"/>
            <w:vAlign w:val="center"/>
          </w:tcPr>
          <w:p>
            <w:pPr>
              <w:pStyle w:val="TableContents"/>
              <w:bidi w:val="0"/>
              <w:spacing w:before="0" w:after="283"/>
              <w:jc w:val="left"/>
              <w:rPr/>
            </w:pPr>
            <w:r>
              <w:rPr/>
              <w:t> </w:t>
            </w:r>
          </w:p>
        </w:tc>
        <w:tc>
          <w:tcPr>
            <w:tcW w:w="1340" w:type="dxa"/>
            <w:tcBorders>
              <w:bottom w:val="single" w:sz="12" w:space="0" w:color="000000"/>
            </w:tcBorders>
            <w:shd w:fill="FFFFFF" w:val="clear"/>
            <w:vAlign w:val="center"/>
          </w:tcPr>
          <w:p>
            <w:pPr>
              <w:pStyle w:val="TableContents"/>
              <w:bidi w:val="0"/>
              <w:spacing w:before="0" w:after="283"/>
              <w:jc w:val="right"/>
              <w:rPr/>
            </w:pPr>
            <w:r>
              <w:rPr/>
              <w:t>61,577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1323" w:type="dxa"/>
            <w:tcBorders>
              <w:bottom w:val="single" w:sz="12" w:space="0" w:color="000000"/>
            </w:tcBorders>
            <w:shd w:fill="FFFFFF" w:val="clear"/>
            <w:vAlign w:val="center"/>
          </w:tcPr>
          <w:p>
            <w:pPr>
              <w:pStyle w:val="TableContents"/>
              <w:bidi w:val="0"/>
              <w:spacing w:before="0" w:after="283"/>
              <w:jc w:val="right"/>
              <w:rPr/>
            </w:pPr>
            <w:r>
              <w:rPr/>
              <w:t>61,577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FFFFFF" w:val="clear"/>
            <w:vAlign w:val="center"/>
          </w:tcPr>
          <w:p>
            <w:pPr>
              <w:pStyle w:val="TableContents"/>
              <w:bidi w:val="0"/>
              <w:spacing w:before="0" w:after="283"/>
              <w:jc w:val="left"/>
              <w:rPr/>
            </w:pPr>
            <w:r>
              <w:rPr/>
              <w:t> </w:t>
            </w:r>
          </w:p>
        </w:tc>
        <w:tc>
          <w:tcPr>
            <w:tcW w:w="1334" w:type="dxa"/>
            <w:tcBorders>
              <w:bottom w:val="single" w:sz="12" w:space="0" w:color="000000"/>
            </w:tcBorders>
            <w:shd w:fill="FFFFFF" w:val="clear"/>
            <w:vAlign w:val="center"/>
          </w:tcPr>
          <w:p>
            <w:pPr>
              <w:pStyle w:val="TableContents"/>
              <w:bidi w:val="0"/>
              <w:spacing w:before="0" w:after="283"/>
              <w:jc w:val="righ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FFFFFF" w:val="clear"/>
            <w:vAlign w:val="center"/>
          </w:tcPr>
          <w:p>
            <w:pPr>
              <w:pStyle w:val="TableContents"/>
              <w:bidi w:val="0"/>
              <w:spacing w:before="0" w:after="283"/>
              <w:jc w:val="left"/>
              <w:rPr/>
            </w:pPr>
            <w:r>
              <w:rPr/>
              <w:t> </w:t>
            </w:r>
          </w:p>
        </w:tc>
        <w:tc>
          <w:tcPr>
            <w:tcW w:w="1334" w:type="dxa"/>
            <w:tcBorders>
              <w:bottom w:val="single" w:sz="12" w:space="0" w:color="000000"/>
            </w:tcBorders>
            <w:shd w:fill="FFFFFF" w:val="clear"/>
            <w:vAlign w:val="center"/>
          </w:tcPr>
          <w:p>
            <w:pPr>
              <w:pStyle w:val="TableContents"/>
              <w:bidi w:val="0"/>
              <w:spacing w:before="0" w:after="283"/>
              <w:jc w:val="right"/>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shd w:fill="FFFFFF" w:val="clear"/>
            <w:vAlign w:val="center"/>
          </w:tcPr>
          <w:p>
            <w:pPr>
              <w:pStyle w:val="TableContents"/>
              <w:bidi w:val="0"/>
              <w:spacing w:before="0" w:after="283"/>
              <w:jc w:val="left"/>
              <w:rPr/>
            </w:pPr>
            <w:r>
              <w:rPr/>
              <w:t> </w:t>
            </w:r>
          </w:p>
        </w:tc>
        <w:tc>
          <w:tcPr>
            <w:tcW w:w="1240" w:type="dxa"/>
            <w:tcBorders>
              <w:bottom w:val="single" w:sz="12" w:space="0" w:color="000000"/>
            </w:tcBorders>
            <w:shd w:fill="FFFFFF" w:val="clear"/>
            <w:vAlign w:val="center"/>
          </w:tcPr>
          <w:p>
            <w:pPr>
              <w:pStyle w:val="TableContents"/>
              <w:bidi w:val="0"/>
              <w:spacing w:before="0" w:after="283"/>
              <w:jc w:val="right"/>
              <w:rPr/>
            </w:pPr>
            <w:r>
              <w:rPr/>
              <w:t>61,577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shd w:fill="FFFFFF" w:val="clear"/>
            <w:vAlign w:val="center"/>
          </w:tcPr>
          <w:p>
            <w:pPr>
              <w:pStyle w:val="TableContents"/>
              <w:bidi w:val="0"/>
              <w:spacing w:before="0" w:after="283"/>
              <w:jc w:val="left"/>
              <w:rPr/>
            </w:pPr>
            <w:r>
              <w:rPr/>
              <w:t> </w:t>
            </w:r>
          </w:p>
        </w:tc>
        <w:tc>
          <w:tcPr>
            <w:tcW w:w="1240" w:type="dxa"/>
            <w:tcBorders>
              <w:bottom w:val="single" w:sz="12" w:space="0" w:color="000000"/>
            </w:tcBorders>
            <w:shd w:fill="FFFFFF" w:val="clear"/>
            <w:vAlign w:val="center"/>
          </w:tcPr>
          <w:p>
            <w:pPr>
              <w:pStyle w:val="TableContents"/>
              <w:bidi w:val="0"/>
              <w:spacing w:before="0" w:after="283"/>
              <w:jc w:val="right"/>
              <w:rPr/>
            </w:pPr>
            <w:r>
              <w:rPr/>
              <w:t>61,577</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CCEEFF" w:val="clear"/>
            <w:vAlign w:val="center"/>
          </w:tcPr>
          <w:p>
            <w:pPr>
              <w:pStyle w:val="TableContents"/>
              <w:bidi w:val="0"/>
              <w:spacing w:before="0" w:after="283"/>
              <w:jc w:val="left"/>
              <w:rPr/>
            </w:pPr>
            <w:r>
              <w:rPr/>
              <w:t> </w:t>
            </w:r>
          </w:p>
        </w:tc>
        <w:tc>
          <w:tcPr>
            <w:tcW w:w="1340" w:type="dxa"/>
            <w:tcBorders>
              <w:bottom w:val="double" w:sz="6" w:space="0" w:color="000000"/>
            </w:tcBorders>
            <w:shd w:fill="CCEEFF" w:val="clear"/>
            <w:vAlign w:val="center"/>
          </w:tcPr>
          <w:p>
            <w:pPr>
              <w:pStyle w:val="TableContents"/>
              <w:bidi w:val="0"/>
              <w:spacing w:before="0" w:after="283"/>
              <w:jc w:val="right"/>
              <w:rPr/>
            </w:pPr>
            <w:r>
              <w:rPr/>
              <w:t>1,507,137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double" w:sz="6" w:space="0" w:color="000000"/>
            </w:tcBorders>
            <w:shd w:fill="CCEEFF" w:val="clear"/>
            <w:vAlign w:val="center"/>
          </w:tcPr>
          <w:p>
            <w:pPr>
              <w:pStyle w:val="TableContents"/>
              <w:bidi w:val="0"/>
              <w:spacing w:before="0" w:after="283"/>
              <w:jc w:val="left"/>
              <w:rPr/>
            </w:pPr>
            <w:r>
              <w:rPr/>
              <w:t> </w:t>
            </w:r>
          </w:p>
        </w:tc>
        <w:tc>
          <w:tcPr>
            <w:tcW w:w="1323" w:type="dxa"/>
            <w:tcBorders>
              <w:bottom w:val="double" w:sz="6" w:space="0" w:color="000000"/>
            </w:tcBorders>
            <w:shd w:fill="CCEEFF" w:val="clear"/>
            <w:vAlign w:val="center"/>
          </w:tcPr>
          <w:p>
            <w:pPr>
              <w:pStyle w:val="TableContents"/>
              <w:bidi w:val="0"/>
              <w:spacing w:before="0" w:after="283"/>
              <w:jc w:val="right"/>
              <w:rPr/>
            </w:pPr>
            <w:r>
              <w:rPr/>
              <w:t>997,148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pPr>
            <w:r>
              <w:rPr/>
              <w:t> </w:t>
            </w:r>
          </w:p>
        </w:tc>
        <w:tc>
          <w:tcPr>
            <w:tcW w:w="1334" w:type="dxa"/>
            <w:tcBorders>
              <w:bottom w:val="double" w:sz="6" w:space="0" w:color="000000"/>
            </w:tcBorders>
            <w:shd w:fill="CCEEFF" w:val="clear"/>
            <w:vAlign w:val="center"/>
          </w:tcPr>
          <w:p>
            <w:pPr>
              <w:pStyle w:val="TableContents"/>
              <w:bidi w:val="0"/>
              <w:spacing w:before="0" w:after="283"/>
              <w:jc w:val="right"/>
              <w:rPr/>
            </w:pPr>
            <w:r>
              <w:rPr/>
              <w:t>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pPr>
            <w:r>
              <w:rPr/>
              <w:t> </w:t>
            </w:r>
          </w:p>
        </w:tc>
        <w:tc>
          <w:tcPr>
            <w:tcW w:w="1334" w:type="dxa"/>
            <w:tcBorders>
              <w:bottom w:val="double" w:sz="6" w:space="0" w:color="000000"/>
            </w:tcBorders>
            <w:shd w:fill="CCEEFF" w:val="clear"/>
            <w:vAlign w:val="center"/>
          </w:tcPr>
          <w:p>
            <w:pPr>
              <w:pStyle w:val="TableContents"/>
              <w:bidi w:val="0"/>
              <w:spacing w:before="0" w:after="283"/>
              <w:jc w:val="right"/>
              <w:rPr/>
            </w:pPr>
            <w:r>
              <w:rPr/>
              <w:t>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double" w:sz="6" w:space="0" w:color="000000"/>
            </w:tcBorders>
            <w:shd w:fill="CCEEFF" w:val="clear"/>
            <w:vAlign w:val="center"/>
          </w:tcPr>
          <w:p>
            <w:pPr>
              <w:pStyle w:val="TableContents"/>
              <w:bidi w:val="0"/>
              <w:spacing w:before="0" w:after="283"/>
              <w:jc w:val="left"/>
              <w:rPr/>
            </w:pPr>
            <w:r>
              <w:rPr/>
              <w:t> </w:t>
            </w:r>
          </w:p>
        </w:tc>
        <w:tc>
          <w:tcPr>
            <w:tcW w:w="1240" w:type="dxa"/>
            <w:tcBorders>
              <w:bottom w:val="double" w:sz="6" w:space="0" w:color="000000"/>
            </w:tcBorders>
            <w:shd w:fill="CCEEFF" w:val="clear"/>
            <w:vAlign w:val="center"/>
          </w:tcPr>
          <w:p>
            <w:pPr>
              <w:pStyle w:val="TableContents"/>
              <w:bidi w:val="0"/>
              <w:spacing w:before="0" w:after="283"/>
              <w:jc w:val="right"/>
              <w:rPr/>
            </w:pPr>
            <w:r>
              <w:rPr/>
              <w:t>899,609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double" w:sz="6" w:space="0" w:color="000000"/>
            </w:tcBorders>
            <w:shd w:fill="CCEEFF" w:val="clear"/>
            <w:vAlign w:val="center"/>
          </w:tcPr>
          <w:p>
            <w:pPr>
              <w:pStyle w:val="TableContents"/>
              <w:bidi w:val="0"/>
              <w:spacing w:before="0" w:after="283"/>
              <w:jc w:val="left"/>
              <w:rPr/>
            </w:pPr>
            <w:r>
              <w:rPr/>
              <w:t> </w:t>
            </w:r>
          </w:p>
        </w:tc>
        <w:tc>
          <w:tcPr>
            <w:tcW w:w="1240" w:type="dxa"/>
            <w:tcBorders>
              <w:bottom w:val="double" w:sz="6" w:space="0" w:color="000000"/>
            </w:tcBorders>
            <w:shd w:fill="CCEEFF" w:val="clear"/>
            <w:vAlign w:val="center"/>
          </w:tcPr>
          <w:p>
            <w:pPr>
              <w:pStyle w:val="TableContents"/>
              <w:bidi w:val="0"/>
              <w:spacing w:before="0" w:after="283"/>
              <w:jc w:val="right"/>
              <w:rPr/>
            </w:pPr>
            <w:r>
              <w:rPr/>
              <w:t>568,053</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60"/>
        <w:gridCol w:w="135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$0.01.</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 recorded by the Company for its stock-based employee compensation awards in accordance with ASC 718-10 for the years ended December 31, 2022 and 2021 was $1,752 and $1,386, respectively.</w:t>
      </w:r>
    </w:p>
    <w:p>
      <w:pPr>
        <w:pStyle w:val="TextBody"/>
        <w:shd w:fill="FFFFFF" w:val="clear"/>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Grants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values of stock options granted in the years ended December 31, 2022 and 2021 were estimated using the Black-Scholes valuation model with the following: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STOCK OPTIONS VALUATION ASSUMPTIONS </w:t>
      </w:r>
    </w:p>
    <w:tbl>
      <w:tblPr>
        <w:tblW w:w="5948" w:type="dxa"/>
        <w:jc w:val="left"/>
        <w:tblInd w:w="0" w:type="dxa"/>
        <w:tblLayout w:type="fixed"/>
        <w:tblCellMar>
          <w:top w:w="0" w:type="dxa"/>
          <w:left w:w="0" w:type="dxa"/>
          <w:bottom w:w="0" w:type="dxa"/>
          <w:right w:w="0" w:type="dxa"/>
        </w:tblCellMar>
      </w:tblPr>
      <w:tblGrid>
        <w:gridCol w:w="2195"/>
        <w:gridCol w:w="60"/>
        <w:gridCol w:w="74"/>
        <w:gridCol w:w="1661"/>
        <w:gridCol w:w="74"/>
        <w:gridCol w:w="74"/>
        <w:gridCol w:w="74"/>
        <w:gridCol w:w="1661"/>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111.2%-161.7%</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118.3%-134.3%</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Risk-free interest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1.7%- 3.7%</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center"/>
              <w:rPr/>
            </w:pPr>
            <w:r>
              <w:rPr/>
              <w:t>-%</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283"/>
              <w:jc w:val="center"/>
              <w:rPr/>
            </w:pPr>
            <w:r>
              <w:rPr/>
              <w:t>-%</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95" w:type="dxa"/>
            <w:tcBorders/>
            <w:shd w:fill="FFFFFF" w:val="clear"/>
            <w:vAlign w:val="center"/>
          </w:tcPr>
          <w:p>
            <w:pPr>
              <w:pStyle w:val="TableContents"/>
              <w:bidi w:val="0"/>
              <w:spacing w:before="0" w:after="283"/>
              <w:jc w:val="left"/>
              <w:rPr/>
            </w:pPr>
            <w:r>
              <w:rPr/>
              <w:t>Expected terms (years)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center"/>
              <w:rPr/>
            </w:pPr>
            <w:r>
              <w:rPr/>
              <w:t>6.2</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283"/>
              <w:jc w:val="center"/>
              <w:rPr/>
            </w:pPr>
            <w:r>
              <w:rPr/>
              <w:t>5.3</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outstanding warrants and terms as of December 31, 2022 and 2021 are as follows:</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WARRANTS OUTSTANDING </w:t>
      </w:r>
    </w:p>
    <w:tbl>
      <w:tblPr>
        <w:tblW w:w="10205" w:type="dxa"/>
        <w:jc w:val="left"/>
        <w:tblInd w:w="0" w:type="dxa"/>
        <w:tblLayout w:type="fixed"/>
        <w:tblCellMar>
          <w:top w:w="0" w:type="dxa"/>
          <w:left w:w="0" w:type="dxa"/>
          <w:bottom w:w="28" w:type="dxa"/>
          <w:right w:w="0" w:type="dxa"/>
        </w:tblCellMar>
      </w:tblPr>
      <w:tblGrid>
        <w:gridCol w:w="1843"/>
        <w:gridCol w:w="60"/>
        <w:gridCol w:w="150"/>
        <w:gridCol w:w="2483"/>
        <w:gridCol w:w="60"/>
        <w:gridCol w:w="60"/>
        <w:gridCol w:w="211"/>
        <w:gridCol w:w="2421"/>
        <w:gridCol w:w="60"/>
        <w:gridCol w:w="60"/>
        <w:gridCol w:w="160"/>
        <w:gridCol w:w="989"/>
        <w:gridCol w:w="60"/>
        <w:gridCol w:w="60"/>
        <w:gridCol w:w="1528"/>
      </w:tblGrid>
      <w:tr>
        <w:trPr/>
        <w:tc>
          <w:tcPr>
            <w:tcW w:w="1843" w:type="dxa"/>
            <w:tcBorders>
              <w:bottom w:val="single" w:sz="12" w:space="0" w:color="000000"/>
            </w:tcBorders>
            <w:vAlign w:val="center"/>
          </w:tcPr>
          <w:p>
            <w:pPr>
              <w:pStyle w:val="TableContents"/>
              <w:bidi w:val="0"/>
              <w:spacing w:before="0" w:after="283"/>
              <w:jc w:val="center"/>
              <w:rPr>
                <w:b/>
              </w:rPr>
            </w:pPr>
            <w:r>
              <w:rPr>
                <w:b/>
              </w:rPr>
              <w:t>Issuance date</w:t>
            </w:r>
          </w:p>
        </w:tc>
        <w:tc>
          <w:tcPr>
            <w:tcW w:w="60" w:type="dxa"/>
            <w:tcBorders/>
            <w:tcMar>
              <w:bottom w:w="0" w:type="dxa"/>
            </w:tcMar>
            <w:vAlign w:val="center"/>
          </w:tcPr>
          <w:p>
            <w:pPr>
              <w:pStyle w:val="TableContents"/>
              <w:bidi w:val="0"/>
              <w:spacing w:before="0" w:after="283"/>
              <w:jc w:val="left"/>
              <w:rPr/>
            </w:pPr>
            <w:r>
              <w:rPr/>
              <w:t> </w:t>
            </w:r>
          </w:p>
        </w:tc>
        <w:tc>
          <w:tcPr>
            <w:tcW w:w="2633" w:type="dxa"/>
            <w:gridSpan w:val="2"/>
            <w:tcBorders>
              <w:bottom w:val="single" w:sz="12" w:space="0" w:color="000000"/>
            </w:tcBorders>
            <w:vAlign w:val="center"/>
          </w:tcPr>
          <w:p>
            <w:pPr>
              <w:pStyle w:val="TableContents"/>
              <w:bidi w:val="0"/>
              <w:spacing w:before="0" w:after="283"/>
              <w:jc w:val="center"/>
              <w:rPr>
                <w:b/>
              </w:rPr>
            </w:pPr>
            <w:r>
              <w:rPr>
                <w:b/>
              </w:rPr>
              <w:t>Outstanding and exercisable as of December 31, 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32" w:type="dxa"/>
            <w:gridSpan w:val="2"/>
            <w:tcBorders>
              <w:bottom w:val="single" w:sz="12" w:space="0" w:color="000000"/>
            </w:tcBorders>
            <w:vAlign w:val="center"/>
          </w:tcPr>
          <w:p>
            <w:pPr>
              <w:pStyle w:val="TableContents"/>
              <w:bidi w:val="0"/>
              <w:spacing w:before="0" w:after="283"/>
              <w:jc w:val="center"/>
              <w:rPr>
                <w:b/>
              </w:rPr>
            </w:pPr>
            <w:r>
              <w:rPr>
                <w:b/>
              </w:rPr>
              <w:t>Outstanding and exercisable as of December 31, 2021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9" w:type="dxa"/>
            <w:gridSpan w:val="2"/>
            <w:tcBorders>
              <w:bottom w:val="single" w:sz="12" w:space="0" w:color="000000"/>
            </w:tcBorders>
            <w:vAlign w:val="center"/>
          </w:tcPr>
          <w:p>
            <w:pPr>
              <w:pStyle w:val="TableContents"/>
              <w:bidi w:val="0"/>
              <w:spacing w:before="0" w:after="283"/>
              <w:jc w:val="center"/>
              <w:rPr>
                <w:b/>
              </w:rPr>
            </w:pPr>
            <w:r>
              <w:rPr>
                <w:b/>
              </w:rP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8" w:type="dxa"/>
            <w:tcBorders>
              <w:bottom w:val="single" w:sz="12" w:space="0" w:color="000000"/>
            </w:tcBorders>
            <w:vAlign w:val="center"/>
          </w:tcPr>
          <w:p>
            <w:pPr>
              <w:pStyle w:val="TableContents"/>
              <w:bidi w:val="0"/>
              <w:spacing w:before="0" w:after="283"/>
              <w:jc w:val="center"/>
              <w:rPr>
                <w:b/>
              </w:rPr>
            </w:pPr>
            <w:r>
              <w:rPr>
                <w:b/>
              </w:rPr>
              <w:t>Exercisable Through</w:t>
            </w:r>
          </w:p>
        </w:tc>
      </w:tr>
      <w:tr>
        <w:trPr/>
        <w:tc>
          <w:tcPr>
            <w:tcW w:w="1843" w:type="dxa"/>
            <w:tcBorders/>
            <w:shd w:fill="CCEEFF" w:val="clear"/>
            <w:tcMar>
              <w:bottom w:w="0" w:type="dxa"/>
            </w:tcMar>
            <w:vAlign w:val="center"/>
          </w:tcPr>
          <w:p>
            <w:pPr>
              <w:pStyle w:val="TableContents"/>
              <w:bidi w:val="0"/>
              <w:spacing w:before="0" w:after="283"/>
              <w:jc w:val="left"/>
              <w:rPr/>
            </w:pPr>
            <w:r>
              <w:rPr/>
              <w:t>Series A (2013)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483" w:type="dxa"/>
            <w:tcBorders/>
            <w:shd w:fill="CCEEFF" w:val="clear"/>
            <w:tcMar>
              <w:bottom w:w="0" w:type="dxa"/>
            </w:tcMar>
            <w:vAlign w:val="center"/>
          </w:tcPr>
          <w:p>
            <w:pPr>
              <w:pStyle w:val="TableContents"/>
              <w:bidi w:val="0"/>
              <w:spacing w:before="0" w:after="283"/>
              <w:jc w:val="right"/>
              <w:rPr/>
            </w:pPr>
            <w:r>
              <w:rPr/>
              <w:t>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2421" w:type="dxa"/>
            <w:tcBorders/>
            <w:shd w:fill="CCEEFF" w:val="clear"/>
            <w:tcMar>
              <w:bottom w:w="0" w:type="dxa"/>
            </w:tcMar>
            <w:vAlign w:val="center"/>
          </w:tcPr>
          <w:p>
            <w:pPr>
              <w:pStyle w:val="TableContents"/>
              <w:bidi w:val="0"/>
              <w:spacing w:before="0" w:after="283"/>
              <w:jc w:val="right"/>
              <w:rPr/>
            </w:pPr>
            <w:r>
              <w:rPr/>
              <w:t>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2,754.00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center"/>
              <w:rPr/>
            </w:pPr>
            <w:r>
              <w:rPr/>
              <w:t>April 9, 2023</w:t>
            </w:r>
          </w:p>
        </w:tc>
      </w:tr>
      <w:tr>
        <w:trPr/>
        <w:tc>
          <w:tcPr>
            <w:tcW w:w="1843" w:type="dxa"/>
            <w:tcBorders/>
            <w:shd w:fill="FFFFFF" w:val="clear"/>
            <w:tcMar>
              <w:bottom w:w="0" w:type="dxa"/>
            </w:tcMar>
            <w:vAlign w:val="center"/>
          </w:tcPr>
          <w:p>
            <w:pPr>
              <w:pStyle w:val="TableContents"/>
              <w:bidi w:val="0"/>
              <w:spacing w:before="0" w:after="283"/>
              <w:jc w:val="left"/>
              <w:rPr/>
            </w:pPr>
            <w:r>
              <w:rPr/>
              <w:t>Series B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248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21" w:type="dxa"/>
            <w:tcBorders/>
            <w:shd w:fill="FFFFFF" w:val="clear"/>
            <w:tcMar>
              <w:bottom w:w="0" w:type="dxa"/>
            </w:tcMar>
            <w:vAlign w:val="center"/>
          </w:tcPr>
          <w:p>
            <w:pPr>
              <w:pStyle w:val="TableContents"/>
              <w:bidi w:val="0"/>
              <w:spacing w:before="0" w:after="283"/>
              <w:jc w:val="right"/>
              <w:rPr/>
            </w:pPr>
            <w:r>
              <w:rPr/>
              <w:t>2,770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40.50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center"/>
              <w:rPr/>
            </w:pPr>
            <w:r>
              <w:rPr/>
              <w:t>March 14, 2022</w:t>
            </w:r>
          </w:p>
        </w:tc>
      </w:tr>
      <w:tr>
        <w:trPr/>
        <w:tc>
          <w:tcPr>
            <w:tcW w:w="1843" w:type="dxa"/>
            <w:tcBorders/>
            <w:shd w:fill="CCEEFF" w:val="clear"/>
            <w:tcMar>
              <w:bottom w:w="0" w:type="dxa"/>
            </w:tcMar>
            <w:vAlign w:val="center"/>
          </w:tcPr>
          <w:p>
            <w:pPr>
              <w:pStyle w:val="TableContents"/>
              <w:bidi w:val="0"/>
              <w:spacing w:before="0" w:after="283"/>
              <w:jc w:val="left"/>
              <w:rPr/>
            </w:pPr>
            <w:r>
              <w:rPr/>
              <w:t>Warrant to underwriters 1.2019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4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2421" w:type="dxa"/>
            <w:tcBorders/>
            <w:shd w:fill="CCEEFF" w:val="clear"/>
            <w:tcMar>
              <w:bottom w:w="0" w:type="dxa"/>
            </w:tcMar>
            <w:vAlign w:val="center"/>
          </w:tcPr>
          <w:p>
            <w:pPr>
              <w:pStyle w:val="TableContents"/>
              <w:bidi w:val="0"/>
              <w:spacing w:before="0" w:after="283"/>
              <w:jc w:val="right"/>
              <w:rPr/>
            </w:pPr>
            <w:r>
              <w:rPr/>
              <w:t>8,082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center"/>
              <w:rPr/>
            </w:pPr>
            <w:r>
              <w:rPr/>
              <w:t>July 14, 2022</w:t>
            </w:r>
          </w:p>
        </w:tc>
      </w:tr>
      <w:tr>
        <w:trPr/>
        <w:tc>
          <w:tcPr>
            <w:tcW w:w="1843" w:type="dxa"/>
            <w:tcBorders/>
            <w:shd w:fill="FFFFFF" w:val="clear"/>
            <w:tcMar>
              <w:bottom w:w="0" w:type="dxa"/>
            </w:tcMar>
            <w:vAlign w:val="center"/>
          </w:tcPr>
          <w:p>
            <w:pPr>
              <w:pStyle w:val="TableContents"/>
              <w:bidi w:val="0"/>
              <w:spacing w:before="0" w:after="283"/>
              <w:jc w:val="left"/>
              <w:rPr/>
            </w:pPr>
            <w:r>
              <w:rPr/>
              <w:t>Warrant to underwriters 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248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21" w:type="dxa"/>
            <w:tcBorders/>
            <w:shd w:fill="FFFFFF" w:val="clear"/>
            <w:tcMar>
              <w:bottom w:w="0" w:type="dxa"/>
            </w:tcMar>
            <w:vAlign w:val="center"/>
          </w:tcPr>
          <w:p>
            <w:pPr>
              <w:pStyle w:val="TableContents"/>
              <w:bidi w:val="0"/>
              <w:spacing w:before="0" w:after="283"/>
              <w:jc w:val="right"/>
              <w:rPr/>
            </w:pPr>
            <w:r>
              <w:rPr/>
              <w:t>29,500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center"/>
              <w:rPr/>
            </w:pPr>
            <w:r>
              <w:rPr/>
              <w:t>July 15, 2022</w:t>
            </w:r>
          </w:p>
        </w:tc>
      </w:tr>
      <w:tr>
        <w:trPr/>
        <w:tc>
          <w:tcPr>
            <w:tcW w:w="1843" w:type="dxa"/>
            <w:tcBorders/>
            <w:shd w:fill="CCEEFF" w:val="clear"/>
            <w:tcMar>
              <w:bottom w:w="0" w:type="dxa"/>
            </w:tcMar>
            <w:vAlign w:val="center"/>
          </w:tcPr>
          <w:p>
            <w:pPr>
              <w:pStyle w:val="TableContents"/>
              <w:bidi w:val="0"/>
              <w:spacing w:before="0" w:after="283"/>
              <w:jc w:val="left"/>
              <w:rPr/>
            </w:pPr>
            <w:r>
              <w:rPr/>
              <w:t>Warrant to underwriters 12.2019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483" w:type="dxa"/>
            <w:tcBorders/>
            <w:shd w:fill="CCEEFF" w:val="clear"/>
            <w:tcMar>
              <w:bottom w:w="0" w:type="dxa"/>
            </w:tcMar>
            <w:vAlign w:val="center"/>
          </w:tcPr>
          <w:p>
            <w:pPr>
              <w:pStyle w:val="TableContents"/>
              <w:bidi w:val="0"/>
              <w:spacing w:before="0" w:after="283"/>
              <w:jc w:val="right"/>
              <w:rPr/>
            </w:pPr>
            <w:r>
              <w:rPr/>
              <w:t>45,643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2421" w:type="dxa"/>
            <w:tcBorders/>
            <w:shd w:fill="CCEEFF" w:val="clear"/>
            <w:tcMar>
              <w:bottom w:w="0" w:type="dxa"/>
            </w:tcMar>
            <w:vAlign w:val="center"/>
          </w:tcPr>
          <w:p>
            <w:pPr>
              <w:pStyle w:val="TableContents"/>
              <w:bidi w:val="0"/>
              <w:spacing w:before="0" w:after="283"/>
              <w:jc w:val="right"/>
              <w:rPr/>
            </w:pPr>
            <w:r>
              <w:rPr/>
              <w:t>45,643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13.13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center"/>
              <w:rPr/>
            </w:pPr>
            <w:r>
              <w:rPr/>
              <w:t>June 25, 2023</w:t>
            </w:r>
          </w:p>
        </w:tc>
      </w:tr>
      <w:tr>
        <w:trPr/>
        <w:tc>
          <w:tcPr>
            <w:tcW w:w="1843" w:type="dxa"/>
            <w:tcBorders/>
            <w:shd w:fill="FFFFFF" w:val="clear"/>
            <w:tcMar>
              <w:bottom w:w="0" w:type="dxa"/>
            </w:tcMar>
            <w:vAlign w:val="center"/>
          </w:tcPr>
          <w:p>
            <w:pPr>
              <w:pStyle w:val="TableContents"/>
              <w:bidi w:val="0"/>
              <w:spacing w:before="0" w:after="283"/>
              <w:jc w:val="left"/>
              <w:rPr/>
            </w:pPr>
            <w:r>
              <w:rPr/>
              <w:t>Warrant to underwriters 12.2019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2483" w:type="dxa"/>
            <w:tcBorders/>
            <w:shd w:fill="FFFFFF" w:val="clear"/>
            <w:tcMar>
              <w:bottom w:w="0" w:type="dxa"/>
            </w:tcMar>
            <w:vAlign w:val="center"/>
          </w:tcPr>
          <w:p>
            <w:pPr>
              <w:pStyle w:val="TableContents"/>
              <w:bidi w:val="0"/>
              <w:spacing w:before="0" w:after="283"/>
              <w:jc w:val="right"/>
              <w:rPr/>
            </w:pPr>
            <w:r>
              <w:rPr/>
              <w:t>47,619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21" w:type="dxa"/>
            <w:tcBorders/>
            <w:shd w:fill="FFFFFF" w:val="clear"/>
            <w:tcMar>
              <w:bottom w:w="0" w:type="dxa"/>
            </w:tcMar>
            <w:vAlign w:val="center"/>
          </w:tcPr>
          <w:p>
            <w:pPr>
              <w:pStyle w:val="TableContents"/>
              <w:bidi w:val="0"/>
              <w:spacing w:before="0" w:after="283"/>
              <w:jc w:val="right"/>
              <w:rPr/>
            </w:pPr>
            <w:r>
              <w:rPr/>
              <w:t>47,619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13.13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center"/>
              <w:rPr/>
            </w:pPr>
            <w:r>
              <w:rPr/>
              <w:t>June 27, 2023</w:t>
            </w:r>
          </w:p>
        </w:tc>
      </w:tr>
      <w:tr>
        <w:trPr/>
        <w:tc>
          <w:tcPr>
            <w:tcW w:w="1843" w:type="dxa"/>
            <w:tcBorders/>
            <w:shd w:fill="CCEEFF" w:val="clear"/>
            <w:tcMar>
              <w:bottom w:w="0" w:type="dxa"/>
            </w:tcMar>
            <w:vAlign w:val="center"/>
          </w:tcPr>
          <w:p>
            <w:pPr>
              <w:pStyle w:val="TableContents"/>
              <w:bidi w:val="0"/>
              <w:spacing w:before="0" w:after="283"/>
              <w:jc w:val="left"/>
              <w:rPr/>
            </w:pPr>
            <w:r>
              <w:rPr/>
              <w:t>Warrant to underwriters 12.2019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483" w:type="dxa"/>
            <w:tcBorders/>
            <w:shd w:fill="CCEEFF" w:val="clear"/>
            <w:tcMar>
              <w:bottom w:w="0" w:type="dxa"/>
            </w:tcMar>
            <w:vAlign w:val="center"/>
          </w:tcPr>
          <w:p>
            <w:pPr>
              <w:pStyle w:val="TableContents"/>
              <w:bidi w:val="0"/>
              <w:spacing w:before="0" w:after="283"/>
              <w:jc w:val="right"/>
              <w:rPr/>
            </w:pPr>
            <w:r>
              <w:rPr/>
              <w:t>45,045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2421" w:type="dxa"/>
            <w:tcBorders/>
            <w:shd w:fill="CCEEFF" w:val="clear"/>
            <w:tcMar>
              <w:bottom w:w="0" w:type="dxa"/>
            </w:tcMar>
            <w:vAlign w:val="center"/>
          </w:tcPr>
          <w:p>
            <w:pPr>
              <w:pStyle w:val="TableContents"/>
              <w:bidi w:val="0"/>
              <w:spacing w:before="0" w:after="283"/>
              <w:jc w:val="right"/>
              <w:rPr/>
            </w:pPr>
            <w:r>
              <w:rPr/>
              <w:t>45,045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13.88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center"/>
              <w:rPr/>
            </w:pPr>
            <w:r>
              <w:rPr/>
              <w:t>June 30, 2023</w:t>
            </w:r>
          </w:p>
        </w:tc>
      </w:tr>
      <w:tr>
        <w:trPr/>
        <w:tc>
          <w:tcPr>
            <w:tcW w:w="1843" w:type="dxa"/>
            <w:tcBorders/>
            <w:shd w:fill="FFFFFF" w:val="clear"/>
            <w:tcMar>
              <w:bottom w:w="0" w:type="dxa"/>
            </w:tcMar>
            <w:vAlign w:val="center"/>
          </w:tcPr>
          <w:p>
            <w:pPr>
              <w:pStyle w:val="TableContents"/>
              <w:bidi w:val="0"/>
              <w:spacing w:before="0" w:after="283"/>
              <w:jc w:val="left"/>
              <w:rPr/>
            </w:pPr>
            <w:r>
              <w:rPr/>
              <w:t>Series A 10.2022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2483" w:type="dxa"/>
            <w:tcBorders/>
            <w:shd w:fill="FFFFFF" w:val="clear"/>
            <w:tcMar>
              <w:bottom w:w="0" w:type="dxa"/>
            </w:tcMar>
            <w:vAlign w:val="center"/>
          </w:tcPr>
          <w:p>
            <w:pPr>
              <w:pStyle w:val="TableContents"/>
              <w:bidi w:val="0"/>
              <w:spacing w:before="0" w:after="283"/>
              <w:jc w:val="right"/>
              <w:rPr/>
            </w:pPr>
            <w:r>
              <w:rPr/>
              <w:t>1,022,495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4.64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center"/>
              <w:rPr/>
            </w:pPr>
            <w:r>
              <w:rPr/>
              <w:t>October 25, 2027</w:t>
            </w:r>
          </w:p>
        </w:tc>
      </w:tr>
      <w:tr>
        <w:trPr/>
        <w:tc>
          <w:tcPr>
            <w:tcW w:w="1843" w:type="dxa"/>
            <w:tcBorders/>
            <w:shd w:fill="CCEEFF" w:val="clear"/>
            <w:tcMar>
              <w:bottom w:w="0" w:type="dxa"/>
            </w:tcMar>
            <w:vAlign w:val="center"/>
          </w:tcPr>
          <w:p>
            <w:pPr>
              <w:pStyle w:val="TableContents"/>
              <w:bidi w:val="0"/>
              <w:spacing w:before="0" w:after="283"/>
              <w:jc w:val="left"/>
              <w:rPr/>
            </w:pPr>
            <w:r>
              <w:rPr/>
              <w:t>Series B 10.2022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483" w:type="dxa"/>
            <w:tcBorders/>
            <w:shd w:fill="CCEEFF" w:val="clear"/>
            <w:tcMar>
              <w:bottom w:w="0" w:type="dxa"/>
            </w:tcMar>
            <w:vAlign w:val="center"/>
          </w:tcPr>
          <w:p>
            <w:pPr>
              <w:pStyle w:val="TableContents"/>
              <w:bidi w:val="0"/>
              <w:spacing w:before="0" w:after="283"/>
              <w:jc w:val="right"/>
              <w:rPr/>
            </w:pPr>
            <w:r>
              <w:rPr/>
              <w:t>1,022,495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24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989" w:type="dxa"/>
            <w:tcBorders/>
            <w:shd w:fill="CCEEFF" w:val="clear"/>
            <w:tcMar>
              <w:bottom w:w="0" w:type="dxa"/>
            </w:tcMar>
            <w:vAlign w:val="center"/>
          </w:tcPr>
          <w:p>
            <w:pPr>
              <w:pStyle w:val="TableContents"/>
              <w:bidi w:val="0"/>
              <w:spacing w:before="0" w:after="283"/>
              <w:jc w:val="right"/>
              <w:rPr/>
            </w:pPr>
            <w:r>
              <w:rPr/>
              <w:t>4.64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center"/>
              <w:rPr/>
            </w:pPr>
            <w:r>
              <w:rPr/>
              <w:t>October 25, 2024</w:t>
            </w:r>
          </w:p>
        </w:tc>
      </w:tr>
      <w:tr>
        <w:trPr/>
        <w:tc>
          <w:tcPr>
            <w:tcW w:w="1843" w:type="dxa"/>
            <w:tcBorders/>
            <w:shd w:fill="FFFFFF" w:val="clear"/>
            <w:tcMar>
              <w:bottom w:w="0" w:type="dxa"/>
            </w:tcMar>
            <w:vAlign w:val="center"/>
          </w:tcPr>
          <w:p>
            <w:pPr>
              <w:pStyle w:val="TableContents"/>
              <w:bidi w:val="0"/>
              <w:spacing w:before="0" w:after="283"/>
              <w:jc w:val="left"/>
              <w:rPr/>
            </w:pPr>
            <w:r>
              <w:rPr/>
              <w:t>Warrant to underwriters 10.2022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2483" w:type="dxa"/>
            <w:tcBorders/>
            <w:shd w:fill="FFFFFF" w:val="clear"/>
            <w:tcMar>
              <w:bottom w:w="0" w:type="dxa"/>
            </w:tcMar>
            <w:vAlign w:val="center"/>
          </w:tcPr>
          <w:p>
            <w:pPr>
              <w:pStyle w:val="TableContents"/>
              <w:bidi w:val="0"/>
              <w:spacing w:before="0" w:after="283"/>
              <w:jc w:val="right"/>
              <w:rPr/>
            </w:pPr>
            <w:r>
              <w:rPr/>
              <w:t>51,125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989" w:type="dxa"/>
            <w:tcBorders/>
            <w:shd w:fill="FFFFFF" w:val="clear"/>
            <w:tcMar>
              <w:bottom w:w="0" w:type="dxa"/>
            </w:tcMar>
            <w:vAlign w:val="center"/>
          </w:tcPr>
          <w:p>
            <w:pPr>
              <w:pStyle w:val="TableContents"/>
              <w:bidi w:val="0"/>
              <w:spacing w:before="0" w:after="283"/>
              <w:jc w:val="right"/>
              <w:rPr/>
            </w:pPr>
            <w:r>
              <w:rPr/>
              <w:t>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center"/>
              <w:rPr/>
            </w:pPr>
            <w:r>
              <w:rPr/>
              <w:t>October 21, 2027</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BASIC AND DILUTED NET LOSS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and diluted net loss per share and weighted average number of shares of common stock used in the calculation of basic and diluted net loss per share were presented in the consolidated statements of comprehensive loss for the years ended December 31, 2022 and 2021.</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net loss to common stockholders in each of the periods presented above, diluted loss per share was computed without consideration to potentially dilutive instruments as their inclusion would have been anti-dilutive. As of December 31, 2022 and 2021, potentially dilutive securities excluded from the diluted loss per share calculation are as follows:</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POTENTIALLY DILUTIVE SECURITIES EXCLUDED FROM DILUTED LOSS PER SHARE </w:t>
      </w:r>
    </w:p>
    <w:tbl>
      <w:tblPr>
        <w:tblW w:w="8272" w:type="dxa"/>
        <w:jc w:val="left"/>
        <w:tblInd w:w="0" w:type="dxa"/>
        <w:tblLayout w:type="fixed"/>
        <w:tblCellMar>
          <w:top w:w="0" w:type="dxa"/>
          <w:left w:w="0" w:type="dxa"/>
          <w:bottom w:w="0" w:type="dxa"/>
          <w:right w:w="0" w:type="dxa"/>
        </w:tblCellMar>
      </w:tblPr>
      <w:tblGrid>
        <w:gridCol w:w="4520"/>
        <w:gridCol w:w="60"/>
        <w:gridCol w:w="107"/>
        <w:gridCol w:w="1756"/>
        <w:gridCol w:w="107"/>
        <w:gridCol w:w="107"/>
        <w:gridCol w:w="107"/>
        <w:gridCol w:w="1433"/>
        <w:gridCol w:w="75"/>
      </w:tblGrid>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3"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Series A and B warrants 2013 and 2016</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2,953</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Warrant to underwriters 12.2019</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138,307</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175,889</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Series A and B warrants 10.2022</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2,044,990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Warrant to underwriters 10.2022</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756" w:type="dxa"/>
            <w:tcBorders/>
            <w:shd w:fill="FFFFFF" w:val="clear"/>
            <w:vAlign w:val="center"/>
          </w:tcPr>
          <w:p>
            <w:pPr>
              <w:pStyle w:val="TableContents"/>
              <w:bidi w:val="0"/>
              <w:spacing w:before="0" w:after="283"/>
              <w:jc w:val="right"/>
              <w:rPr/>
            </w:pPr>
            <w:r>
              <w:rPr/>
              <w:t>51,125</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Outstanding options to purchase common stock</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bidi w:val="0"/>
              <w:spacing w:before="0" w:after="283"/>
              <w:jc w:val="right"/>
              <w:rPr/>
            </w:pPr>
            <w:r>
              <w:rPr/>
              <w:t>1,507,137</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997,148</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RESEARCH AND DEVELOPMENT EXPENSES, NET</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RESEARCH AND DEVELOPMENT EXPENSES </w:t>
      </w:r>
    </w:p>
    <w:tbl>
      <w:tblPr>
        <w:tblW w:w="6951" w:type="dxa"/>
        <w:jc w:val="left"/>
        <w:tblInd w:w="0" w:type="dxa"/>
        <w:tblLayout w:type="fixed"/>
        <w:tblCellMar>
          <w:top w:w="0" w:type="dxa"/>
          <w:left w:w="0" w:type="dxa"/>
          <w:bottom w:w="0" w:type="dxa"/>
          <w:right w:w="0" w:type="dxa"/>
        </w:tblCellMar>
      </w:tblPr>
      <w:tblGrid>
        <w:gridCol w:w="3200"/>
        <w:gridCol w:w="60"/>
        <w:gridCol w:w="333"/>
        <w:gridCol w:w="1333"/>
        <w:gridCol w:w="142"/>
        <w:gridCol w:w="142"/>
        <w:gridCol w:w="333"/>
        <w:gridCol w:w="1333"/>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33" w:type="dxa"/>
            <w:tcBorders/>
            <w:shd w:fill="CCEEFF" w:val="clear"/>
            <w:vAlign w:val="center"/>
          </w:tcPr>
          <w:p>
            <w:pPr>
              <w:pStyle w:val="TableContents"/>
              <w:bidi w:val="0"/>
              <w:spacing w:before="0" w:after="283"/>
              <w:jc w:val="right"/>
              <w:rPr/>
            </w:pPr>
            <w:r>
              <w:rPr/>
              <w:t>3,558</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33" w:type="dxa"/>
            <w:tcBorders/>
            <w:shd w:fill="CCEEFF" w:val="clear"/>
            <w:vAlign w:val="center"/>
          </w:tcPr>
          <w:p>
            <w:pPr>
              <w:pStyle w:val="TableContents"/>
              <w:bidi w:val="0"/>
              <w:spacing w:before="0" w:after="283"/>
              <w:jc w:val="right"/>
              <w:rPr/>
            </w:pPr>
            <w:r>
              <w:rPr/>
              <w:t>3,030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387</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183</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2,097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1,532</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Materials</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559</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703</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341</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251</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224</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206</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Office and maintenance expenses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100</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123</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102</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72</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pPr>
            <w:r>
              <w:rPr/>
              <w:t>368</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pPr>
            <w:r>
              <w:rPr/>
              <w:t>53</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w:t>
            </w:r>
          </w:p>
        </w:tc>
        <w:tc>
          <w:tcPr>
            <w:tcW w:w="60"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GENERAL AND ADMINISTRATIVE EXPENSES</w:t>
      </w:r>
    </w:p>
    <w:p>
      <w:pPr>
        <w:pStyle w:val="TextBody"/>
        <w:bidi w:val="0"/>
        <w:spacing w:before="0" w:after="0"/>
        <w:ind w:left="993" w:right="0" w:hanging="99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GENERAL AND ADMINISTRATIVE EXPENSES </w:t>
      </w:r>
    </w:p>
    <w:tbl>
      <w:tblPr>
        <w:tblW w:w="6951" w:type="dxa"/>
        <w:jc w:val="left"/>
        <w:tblInd w:w="0" w:type="dxa"/>
        <w:tblLayout w:type="fixed"/>
        <w:tblCellMar>
          <w:top w:w="0" w:type="dxa"/>
          <w:left w:w="0" w:type="dxa"/>
          <w:bottom w:w="0" w:type="dxa"/>
          <w:right w:w="0" w:type="dxa"/>
        </w:tblCellMar>
      </w:tblPr>
      <w:tblGrid>
        <w:gridCol w:w="3200"/>
        <w:gridCol w:w="60"/>
        <w:gridCol w:w="333"/>
        <w:gridCol w:w="1333"/>
        <w:gridCol w:w="142"/>
        <w:gridCol w:w="142"/>
        <w:gridCol w:w="333"/>
        <w:gridCol w:w="1333"/>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33" w:type="dxa"/>
            <w:tcBorders/>
            <w:shd w:fill="CCEEFF" w:val="clear"/>
            <w:vAlign w:val="center"/>
          </w:tcPr>
          <w:p>
            <w:pPr>
              <w:pStyle w:val="TableContents"/>
              <w:bidi w:val="0"/>
              <w:spacing w:before="0" w:after="283"/>
              <w:jc w:val="right"/>
              <w:rPr/>
            </w:pPr>
            <w:r>
              <w:rPr/>
              <w:t>1,813</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33" w:type="dxa"/>
            <w:tcBorders/>
            <w:shd w:fill="CCEEFF" w:val="clear"/>
            <w:vAlign w:val="center"/>
          </w:tcPr>
          <w:p>
            <w:pPr>
              <w:pStyle w:val="TableContents"/>
              <w:bidi w:val="0"/>
              <w:spacing w:before="0" w:after="283"/>
              <w:jc w:val="right"/>
              <w:rPr/>
            </w:pPr>
            <w:r>
              <w:rPr/>
              <w:t>1,391</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Government fees</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35</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170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1,365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1,203</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998</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1,298</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733</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732</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Public and investor relations</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220</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203</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Office and maintenance expenses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120</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Travel</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180</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42</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pPr>
            <w:r>
              <w:rPr/>
              <w:t>81</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5,545</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TRANSACTIONS AND BALANCES WITH RELATED PARTIES</w:t>
      </w:r>
    </w:p>
    <w:p>
      <w:pPr>
        <w:pStyle w:val="TextBody"/>
        <w:bidi w:val="0"/>
        <w:spacing w:before="0" w:after="0"/>
        <w:ind w:left="993" w:right="0" w:hanging="99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RELATED PARTY TRANSACTION AND BALANCES </w:t>
      </w:r>
    </w:p>
    <w:tbl>
      <w:tblPr>
        <w:tblW w:w="8226" w:type="dxa"/>
        <w:jc w:val="left"/>
        <w:tblInd w:w="0" w:type="dxa"/>
        <w:tblLayout w:type="fixed"/>
        <w:tblCellMar>
          <w:top w:w="0" w:type="dxa"/>
          <w:left w:w="0" w:type="dxa"/>
          <w:bottom w:w="0" w:type="dxa"/>
          <w:right w:w="0" w:type="dxa"/>
        </w:tblCellMar>
      </w:tblPr>
      <w:tblGrid>
        <w:gridCol w:w="4475"/>
        <w:gridCol w:w="60"/>
        <w:gridCol w:w="333"/>
        <w:gridCol w:w="1333"/>
        <w:gridCol w:w="142"/>
        <w:gridCol w:w="142"/>
        <w:gridCol w:w="333"/>
        <w:gridCol w:w="1333"/>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b/>
              </w:rPr>
            </w:pPr>
            <w:r>
              <w:rPr>
                <w:b/>
              </w:rPr>
              <w:t>Transactions: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Payroll and related expenses</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333" w:type="dxa"/>
            <w:tcBorders/>
            <w:shd w:fill="FFFFFF" w:val="clear"/>
            <w:vAlign w:val="center"/>
          </w:tcPr>
          <w:p>
            <w:pPr>
              <w:pStyle w:val="TableContents"/>
              <w:bidi w:val="0"/>
              <w:spacing w:before="0" w:after="283"/>
              <w:jc w:val="right"/>
              <w:rPr/>
            </w:pPr>
            <w:r>
              <w:rPr/>
              <w:t>2,067</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333" w:type="dxa"/>
            <w:tcBorders/>
            <w:shd w:fill="FFFFFF" w:val="clear"/>
            <w:vAlign w:val="center"/>
          </w:tcPr>
          <w:p>
            <w:pPr>
              <w:pStyle w:val="TableContents"/>
              <w:bidi w:val="0"/>
              <w:spacing w:before="0" w:after="283"/>
              <w:jc w:val="right"/>
              <w:rPr/>
            </w:pPr>
            <w:r>
              <w:rPr/>
              <w:t>1,912</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ESOP expenses to CEO and executive officers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1,172</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846</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Board of directors fees</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300</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ESOP expenses to directors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301</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91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Insurance for directors and executives</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pPr>
            <w:r>
              <w:rPr/>
              <w:t>722</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pPr>
            <w:r>
              <w:rPr/>
              <w:t>727</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pPr>
            <w:r>
              <w:rPr/>
              <w:t>4,562</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pPr>
            <w:r>
              <w:rPr/>
              <w:t>3,876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33" w:type="dxa"/>
        <w:jc w:val="left"/>
        <w:tblInd w:w="0" w:type="dxa"/>
        <w:tblLayout w:type="fixed"/>
        <w:tblCellMar>
          <w:top w:w="0" w:type="dxa"/>
          <w:left w:w="0" w:type="dxa"/>
          <w:bottom w:w="0" w:type="dxa"/>
          <w:right w:w="0" w:type="dxa"/>
        </w:tblCellMar>
      </w:tblPr>
      <w:tblGrid>
        <w:gridCol w:w="3500"/>
        <w:gridCol w:w="60"/>
        <w:gridCol w:w="241"/>
        <w:gridCol w:w="655"/>
        <w:gridCol w:w="103"/>
        <w:gridCol w:w="103"/>
        <w:gridCol w:w="241"/>
        <w:gridCol w:w="655"/>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b/>
              </w:rPr>
            </w:pPr>
            <w:r>
              <w:rPr>
                <w:b/>
              </w:rPr>
              <w:t>Balances: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Bonus to CEO and executive offices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581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310</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Board of directors fees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75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75</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Payroll and related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92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748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413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TAXES ON INCOME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taxes under the Israeli and U.S. tax laws: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tax rates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U.S. federal tax rate of 21% for the years ended December 31, 2022 and 2021.</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been audited by the Internal Revenue Service since its incorporation.</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Company has generated accumulated net operating losses in the U.S. of approximately $502,053 and $496,950,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subject to Israeli corporate tax rate of 23% for the years ended 2022 and 2021. Microbot Israel has not received a final tax assessment since 2016.</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Microbot Israel has generated accumulated net operating losses in Israel of approximately $34,688 and $26,623, respectively, which may be carried forward and offset against taxable income in the future for an indefinite period.</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DEFERRED TAX ASSETS AND LIABILITIES  </w:t>
      </w:r>
    </w:p>
    <w:tbl>
      <w:tblPr>
        <w:tblW w:w="7196" w:type="dxa"/>
        <w:jc w:val="left"/>
        <w:tblInd w:w="0" w:type="dxa"/>
        <w:tblLayout w:type="fixed"/>
        <w:tblCellMar>
          <w:top w:w="0" w:type="dxa"/>
          <w:left w:w="0" w:type="dxa"/>
          <w:bottom w:w="0" w:type="dxa"/>
          <w:right w:w="0" w:type="dxa"/>
        </w:tblCellMar>
      </w:tblPr>
      <w:tblGrid>
        <w:gridCol w:w="3410"/>
        <w:gridCol w:w="60"/>
        <w:gridCol w:w="231"/>
        <w:gridCol w:w="1449"/>
        <w:gridCol w:w="157"/>
        <w:gridCol w:w="99"/>
        <w:gridCol w:w="231"/>
        <w:gridCol w:w="1449"/>
        <w:gridCol w:w="11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113,393</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109,483</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Operation lease liabilities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105</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Accrued vacation pay</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12" w:space="0" w:color="000000"/>
            </w:tcBorders>
            <w:shd w:fill="CCEEFF" w:val="clear"/>
            <w:tcMar>
              <w:bottom w:w="28" w:type="dxa"/>
            </w:tcMar>
            <w:vAlign w:val="center"/>
          </w:tcPr>
          <w:p>
            <w:pPr>
              <w:pStyle w:val="TableContents"/>
              <w:bidi w:val="0"/>
              <w:spacing w:before="0" w:after="283"/>
              <w:jc w:val="right"/>
              <w:rPr/>
            </w:pPr>
            <w:r>
              <w:rPr/>
              <w:t>71</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113,569</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110,684</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12" w:space="0" w:color="000000"/>
            </w:tcBorders>
            <w:shd w:fill="CCEEFF" w:val="clear"/>
            <w:tcMar>
              <w:bottom w:w="28" w:type="dxa"/>
            </w:tcMar>
            <w:vAlign w:val="center"/>
          </w:tcPr>
          <w:p>
            <w:pPr>
              <w:pStyle w:val="TableContents"/>
              <w:bidi w:val="0"/>
              <w:spacing w:before="0" w:after="283"/>
              <w:jc w:val="right"/>
              <w:rPr/>
            </w:pPr>
            <w:r>
              <w:rPr/>
              <w:t>(113,455</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12" w:space="0" w:color="000000"/>
            </w:tcBorders>
            <w:shd w:fill="CCEEFF" w:val="clear"/>
            <w:tcMar>
              <w:bottom w:w="28" w:type="dxa"/>
            </w:tcMar>
            <w:vAlign w:val="center"/>
          </w:tcPr>
          <w:p>
            <w:pPr>
              <w:pStyle w:val="TableContents"/>
              <w:bidi w:val="0"/>
              <w:spacing w:before="0" w:after="283"/>
              <w:jc w:val="right"/>
              <w:rPr/>
            </w:pPr>
            <w:r>
              <w:rPr/>
              <w:t>(110,536</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114</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148</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Operating leases, right-of-use assets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(114</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(148</w:t>
            </w:r>
          </w:p>
        </w:tc>
        <w:tc>
          <w:tcPr>
            <w:tcW w:w="110" w:type="dxa"/>
            <w:tcBorders/>
            <w:shd w:fill="FFFFFF" w:val="clear"/>
            <w:vAlign w:val="center"/>
          </w:tcPr>
          <w:p>
            <w:pPr>
              <w:pStyle w:val="TableContents"/>
              <w:bidi w:val="0"/>
              <w:spacing w:before="0" w:after="283"/>
              <w:jc w:val="left"/>
              <w:rPr/>
            </w:pPr>
            <w:r>
              <w:rPr/>
              <w:t>)</w:t>
            </w:r>
          </w:p>
        </w:tc>
      </w:tr>
      <w:tr>
        <w:trPr/>
        <w:tc>
          <w:tcPr>
            <w:tcW w:w="3410"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12" w:space="0" w:color="000000"/>
            </w:tcBorders>
            <w:shd w:fill="CCEEFF" w:val="clear"/>
            <w:tcMar>
              <w:bottom w:w="28" w:type="dxa"/>
            </w:tcMar>
            <w:vAlign w:val="center"/>
          </w:tcPr>
          <w:p>
            <w:pPr>
              <w:pStyle w:val="TableContents"/>
              <w:bidi w:val="0"/>
              <w:spacing w:before="0" w:after="283"/>
              <w:jc w:val="right"/>
              <w:rPr/>
            </w:pPr>
            <w:r>
              <w:rPr/>
              <w:t>(148</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Total net deferred tax assets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Income Taxes: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taxes on income assuming that all income is taxed at the ordinary statutory corporate tax rate in Israel and the effective income tax rate:</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STATUTORY CORPORATE TAX RATE AND EFFECTIVE INCOME TAX RATE </w:t>
      </w:r>
    </w:p>
    <w:tbl>
      <w:tblPr>
        <w:tblW w:w="7182" w:type="dxa"/>
        <w:jc w:val="left"/>
        <w:tblInd w:w="0" w:type="dxa"/>
        <w:tblLayout w:type="fixed"/>
        <w:tblCellMar>
          <w:top w:w="0" w:type="dxa"/>
          <w:left w:w="0" w:type="dxa"/>
          <w:bottom w:w="0" w:type="dxa"/>
          <w:right w:w="0" w:type="dxa"/>
        </w:tblCellMar>
      </w:tblPr>
      <w:tblGrid>
        <w:gridCol w:w="3395"/>
        <w:gridCol w:w="60"/>
        <w:gridCol w:w="241"/>
        <w:gridCol w:w="1434"/>
        <w:gridCol w:w="164"/>
        <w:gridCol w:w="103"/>
        <w:gridCol w:w="241"/>
        <w:gridCol w:w="1434"/>
        <w:gridCol w:w="110"/>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6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Net loss in Israel</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434" w:type="dxa"/>
            <w:tcBorders/>
            <w:shd w:fill="CCEEFF" w:val="clear"/>
            <w:vAlign w:val="center"/>
          </w:tcPr>
          <w:p>
            <w:pPr>
              <w:pStyle w:val="TableContents"/>
              <w:bidi w:val="0"/>
              <w:spacing w:before="0" w:after="283"/>
              <w:jc w:val="right"/>
              <w:rPr/>
            </w:pPr>
            <w:r>
              <w:rPr/>
              <w:t>8,065</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434" w:type="dxa"/>
            <w:tcBorders/>
            <w:shd w:fill="CCEEFF" w:val="clear"/>
            <w:vAlign w:val="center"/>
          </w:tcPr>
          <w:p>
            <w:pPr>
              <w:pStyle w:val="TableContents"/>
              <w:bidi w:val="0"/>
              <w:spacing w:before="0" w:after="283"/>
              <w:jc w:val="right"/>
              <w:rPr/>
            </w:pPr>
            <w:r>
              <w:rPr/>
              <w:t>6,853</w:t>
            </w:r>
          </w:p>
        </w:tc>
        <w:tc>
          <w:tcPr>
            <w:tcW w:w="11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Net loss in U.S.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434" w:type="dxa"/>
            <w:tcBorders/>
            <w:shd w:fill="FFFFFF" w:val="clear"/>
            <w:vAlign w:val="center"/>
          </w:tcPr>
          <w:p>
            <w:pPr>
              <w:pStyle w:val="TableContents"/>
              <w:bidi w:val="0"/>
              <w:spacing w:before="0" w:after="283"/>
              <w:jc w:val="right"/>
              <w:rPr/>
            </w:pPr>
            <w:r>
              <w:rPr/>
              <w:t>5,103</w:t>
            </w:r>
          </w:p>
        </w:tc>
        <w:tc>
          <w:tcPr>
            <w:tcW w:w="164"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434" w:type="dxa"/>
            <w:tcBorders/>
            <w:shd w:fill="FFFFFF" w:val="clear"/>
            <w:vAlign w:val="center"/>
          </w:tcPr>
          <w:p>
            <w:pPr>
              <w:pStyle w:val="TableContents"/>
              <w:bidi w:val="0"/>
              <w:spacing w:before="0" w:after="283"/>
              <w:jc w:val="right"/>
              <w:rPr/>
            </w:pPr>
            <w:r>
              <w:rPr/>
              <w:t>4,460</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Statutory tax rate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21%-23%</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21%-23%</w:t>
            </w:r>
          </w:p>
        </w:tc>
        <w:tc>
          <w:tcPr>
            <w:tcW w:w="11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Income Tax under statutory tax rate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2,922</w:t>
            </w:r>
          </w:p>
        </w:tc>
        <w:tc>
          <w:tcPr>
            <w:tcW w:w="164"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2,513</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(2,922</w:t>
            </w:r>
          </w:p>
        </w:tc>
        <w:tc>
          <w:tcPr>
            <w:tcW w:w="164"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(2,513</w:t>
            </w:r>
          </w:p>
        </w:tc>
        <w:tc>
          <w:tcPr>
            <w:tcW w:w="110"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Actual provision for income tax</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64"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SUBSEQUENT EVENT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2023, 240,000 pre-funded warrants were exercised to shares of Common Stock (the “Pre-Funded Warrants”) in exercise price of $0.0001 per share.</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89"/>
        <w:gridCol w:w="60"/>
        <w:gridCol w:w="856"/>
      </w:tblGrid>
      <w:tr>
        <w:trPr/>
        <w:tc>
          <w:tcPr>
            <w:tcW w:w="9289" w:type="dxa"/>
            <w:tcBorders/>
            <w:shd w:fill="CCEEFF" w:val="clear"/>
            <w:vAlign w:val="center"/>
          </w:tcPr>
          <w:p>
            <w:pPr>
              <w:pStyle w:val="TableContents"/>
              <w:bidi w:val="0"/>
              <w:spacing w:before="0" w:after="283"/>
              <w:jc w:val="left"/>
              <w:rPr/>
            </w:pPr>
            <w:hyperlink w:anchor="ap_001">
              <w:r>
                <w:rPr>
                  <w:rStyle w:val="InternetLink"/>
                  <w:rFonts w:ascii="Times New Roman;Times;Serif" w:hAnsi="Times New Roman;Times;Serif"/>
                  <w:b w:val="false"/>
                  <w:i w:val="false"/>
                  <w:caps w:val="false"/>
                  <w:smallCaps w:val="false"/>
                  <w:sz w:val="20"/>
                </w:rPr>
                <w:t>Interim Consolidated Balance Sheets as of September 30, 2023 (Unaudited) and December 31, 2022 (Audited)</w:t>
              </w:r>
            </w:hyperlink>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F-26</w:t>
            </w:r>
          </w:p>
        </w:tc>
      </w:tr>
      <w:tr>
        <w:trPr/>
        <w:tc>
          <w:tcPr>
            <w:tcW w:w="9289" w:type="dxa"/>
            <w:tcBorders/>
            <w:shd w:fill="FFFFFF" w:val="clear"/>
            <w:vAlign w:val="center"/>
          </w:tcPr>
          <w:p>
            <w:pPr>
              <w:pStyle w:val="TableContents"/>
              <w:bidi w:val="0"/>
              <w:spacing w:before="0" w:after="283"/>
              <w:jc w:val="left"/>
              <w:rPr/>
            </w:pPr>
            <w:hyperlink w:anchor="ap_002">
              <w:r>
                <w:rPr>
                  <w:rStyle w:val="InternetLink"/>
                  <w:rFonts w:ascii="Times New Roman;Times;Serif" w:hAnsi="Times New Roman;Times;Serif"/>
                  <w:b w:val="false"/>
                  <w:i w:val="false"/>
                  <w:caps w:val="false"/>
                  <w:smallCaps w:val="false"/>
                  <w:sz w:val="20"/>
                </w:rPr>
                <w:t>Interim Consolidated Statements of Comprehensive Loss for the Three and Nine Months Ended September 30, 2023 and 2022 (Unaudited)</w:t>
              </w:r>
            </w:hyperlink>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F-27</w:t>
            </w:r>
          </w:p>
        </w:tc>
      </w:tr>
      <w:tr>
        <w:trPr/>
        <w:tc>
          <w:tcPr>
            <w:tcW w:w="9289" w:type="dxa"/>
            <w:tcBorders/>
            <w:shd w:fill="CCEEFF" w:val="clear"/>
            <w:vAlign w:val="center"/>
          </w:tcPr>
          <w:p>
            <w:pPr>
              <w:pStyle w:val="TableContents"/>
              <w:bidi w:val="0"/>
              <w:spacing w:before="0" w:after="283"/>
              <w:jc w:val="left"/>
              <w:rPr/>
            </w:pPr>
            <w:hyperlink w:anchor="ap_003">
              <w:r>
                <w:rPr>
                  <w:rStyle w:val="InternetLink"/>
                  <w:rFonts w:ascii="Times New Roman;Times;Serif" w:hAnsi="Times New Roman;Times;Serif"/>
                  <w:b w:val="false"/>
                  <w:i w:val="false"/>
                  <w:caps w:val="false"/>
                  <w:smallCaps w:val="false"/>
                  <w:sz w:val="20"/>
                </w:rPr>
                <w:t>Interim Consolidated Statements of Shareholders’ Equity for the Three and Nine Months Ended September 30, 2023 and 2022 (Unaudited)</w:t>
              </w:r>
            </w:hyperlink>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F-28</w:t>
            </w:r>
          </w:p>
        </w:tc>
      </w:tr>
      <w:tr>
        <w:trPr/>
        <w:tc>
          <w:tcPr>
            <w:tcW w:w="9289" w:type="dxa"/>
            <w:tcBorders/>
            <w:shd w:fill="FFFFFF" w:val="clear"/>
            <w:vAlign w:val="center"/>
          </w:tcPr>
          <w:p>
            <w:pPr>
              <w:pStyle w:val="TableContents"/>
              <w:bidi w:val="0"/>
              <w:spacing w:before="0" w:after="283"/>
              <w:jc w:val="left"/>
              <w:rPr/>
            </w:pPr>
            <w:hyperlink w:anchor="ap_004">
              <w:r>
                <w:rPr>
                  <w:rStyle w:val="InternetLink"/>
                  <w:rFonts w:ascii="Times New Roman;Times;Serif" w:hAnsi="Times New Roman;Times;Serif"/>
                  <w:b w:val="false"/>
                  <w:i w:val="false"/>
                  <w:caps w:val="false"/>
                  <w:smallCaps w:val="false"/>
                  <w:sz w:val="20"/>
                </w:rPr>
                <w:t>Interim Consolidated Statements of Cash Flows for the Nine Months Ended September 30, 2023 and 2022 (Unaudited)</w:t>
              </w:r>
            </w:hyperlink>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F-29</w:t>
            </w:r>
          </w:p>
        </w:tc>
      </w:tr>
      <w:tr>
        <w:trPr/>
        <w:tc>
          <w:tcPr>
            <w:tcW w:w="9289" w:type="dxa"/>
            <w:tcBorders/>
            <w:shd w:fill="CCEEFF" w:val="clear"/>
            <w:vAlign w:val="center"/>
          </w:tcPr>
          <w:p>
            <w:pPr>
              <w:pStyle w:val="TableContents"/>
              <w:bidi w:val="0"/>
              <w:spacing w:before="0" w:after="283"/>
              <w:jc w:val="left"/>
              <w:rPr/>
            </w:pPr>
            <w:hyperlink w:anchor="ap_005">
              <w:r>
                <w:rPr>
                  <w:rStyle w:val="InternetLink"/>
                  <w:rFonts w:ascii="Times New Roman;Times;Serif" w:hAnsi="Times New Roman;Times;Serif"/>
                  <w:b w:val="false"/>
                  <w:i w:val="false"/>
                  <w:caps w:val="false"/>
                  <w:smallCaps w:val="false"/>
                  <w:sz w:val="20"/>
                </w:rPr>
                <w:t>Notes to Interim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F-30 – F-37</w:t>
            </w:r>
          </w:p>
        </w:tc>
      </w:tr>
    </w:tbl>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p_001"/>
      <w:bookmarkEnd w:id="31"/>
      <w:r>
        <w:rPr>
          <w:rFonts w:ascii="Times New Roman;Times;Serif" w:hAnsi="Times New Roman;Times;Serif"/>
          <w:b/>
          <w:i w:val="false"/>
          <w:caps w:val="false"/>
          <w:smallCaps w:val="false"/>
          <w:sz w:val="20"/>
        </w:rPr>
        <w:t>Interim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4"/>
        <w:gridCol w:w="60"/>
        <w:gridCol w:w="177"/>
        <w:gridCol w:w="413"/>
        <w:gridCol w:w="60"/>
        <w:gridCol w:w="60"/>
        <w:gridCol w:w="189"/>
        <w:gridCol w:w="1023"/>
        <w:gridCol w:w="95"/>
        <w:gridCol w:w="60"/>
        <w:gridCol w:w="180"/>
        <w:gridCol w:w="972"/>
        <w:gridCol w:w="112"/>
      </w:tblGrid>
      <w:tr>
        <w:trPr/>
        <w:tc>
          <w:tcPr>
            <w:tcW w:w="6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September 30,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2022</w:t>
            </w:r>
          </w:p>
        </w:tc>
        <w:tc>
          <w:tcPr>
            <w:tcW w:w="112" w:type="dxa"/>
            <w:tcBorders/>
            <w:vAlign w:val="center"/>
          </w:tcPr>
          <w:p>
            <w:pPr>
              <w:pStyle w:val="TableContents"/>
              <w:bidi w:val="0"/>
              <w:spacing w:before="0" w:after="283"/>
              <w:jc w:val="left"/>
              <w:rPr/>
            </w:pPr>
            <w:r>
              <w:rPr/>
              <w:t> </w:t>
            </w:r>
          </w:p>
        </w:tc>
      </w:tr>
      <w:tr>
        <w:trPr/>
        <w:tc>
          <w:tcPr>
            <w:tcW w:w="6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w:t>
            </w:r>
          </w:p>
        </w:tc>
        <w:tc>
          <w:tcPr>
            <w:tcW w:w="112" w:type="dxa"/>
            <w:tcBorders/>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1,335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2,442</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6,818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5,760</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Short-term deposit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77</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532</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8,407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8,814</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221</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Operating right-of-use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502</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pPr>
            <w:r>
              <w:rPr/>
              <w:t>8,888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jc w:val="right"/>
              <w:rPr/>
            </w:pPr>
            <w:r>
              <w:rPr/>
              <w:t>9,537</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center"/>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023" w:type="dxa"/>
            <w:tcBorders/>
            <w:shd w:fill="FFFFFF" w:val="clear"/>
            <w:vAlign w:val="center"/>
          </w:tcPr>
          <w:p>
            <w:pPr>
              <w:pStyle w:val="TableContents"/>
              <w:bidi w:val="0"/>
              <w:spacing w:before="0" w:after="283"/>
              <w:jc w:val="right"/>
              <w:rPr/>
            </w:pPr>
            <w:r>
              <w:rPr/>
              <w:t>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2" w:type="dxa"/>
            <w:tcBorders/>
            <w:shd w:fill="FFFFFF" w:val="clear"/>
            <w:vAlign w:val="center"/>
          </w:tcPr>
          <w:p>
            <w:pPr>
              <w:pStyle w:val="TableContents"/>
              <w:bidi w:val="0"/>
              <w:spacing w:before="0" w:after="283"/>
              <w:jc w:val="right"/>
              <w:rPr/>
            </w:pPr>
            <w:r>
              <w:rPr/>
              <w:t>116</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283</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1,047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FFFFFF" w:val="clear"/>
            <w:tcMar>
              <w:bottom w:w="28" w:type="dxa"/>
            </w:tcMar>
            <w:vAlign w:val="center"/>
          </w:tcPr>
          <w:p>
            <w:pPr>
              <w:pStyle w:val="TableContents"/>
              <w:bidi w:val="0"/>
              <w:spacing w:before="0" w:after="283"/>
              <w:jc w:val="right"/>
              <w:rPr/>
            </w:pPr>
            <w:r>
              <w:rPr/>
              <w:t>1,670</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2,069</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Long-term lease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FFFFFF" w:val="clear"/>
            <w:tcMar>
              <w:bottom w:w="28" w:type="dxa"/>
            </w:tcMar>
            <w:vAlign w:val="center"/>
          </w:tcPr>
          <w:p>
            <w:pPr>
              <w:pStyle w:val="TableContents"/>
              <w:bidi w:val="0"/>
              <w:spacing w:before="0" w:after="283"/>
              <w:jc w:val="right"/>
              <w:rPr/>
            </w:pPr>
            <w:r>
              <w:rPr/>
              <w:t>179</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2,248</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both"/>
              <w:rPr/>
            </w:pPr>
            <w:r>
              <w:rPr/>
              <w:t>Common stock; $0.01 par value; 60,000,000 shares authorized as of September 30, 2023 and December 31, 2022; 11,707,317 and 7,890,628 shares issued and outstanding as of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80</w:t>
            </w:r>
          </w:p>
        </w:tc>
        <w:tc>
          <w:tcPr>
            <w:tcW w:w="112" w:type="dxa"/>
            <w:tcBorders/>
            <w:shd w:fill="CCEEFF" w:val="clear"/>
            <w:vAlign w:val="center"/>
          </w:tcPr>
          <w:p>
            <w:pPr>
              <w:pStyle w:val="TableContents"/>
              <w:bidi w:val="0"/>
              <w:spacing w:before="0" w:after="283"/>
              <w:jc w:val="left"/>
              <w:rPr/>
            </w:pPr>
            <w:r>
              <w:rPr/>
              <w:t> </w:t>
            </w:r>
          </w:p>
        </w:tc>
      </w:tr>
      <w:tr>
        <w:trPr/>
        <w:tc>
          <w:tcPr>
            <w:tcW w:w="680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83,587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75,970</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pPr>
            <w:r>
              <w:rPr/>
              <w:t>(76,347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(68,761</w:t>
            </w:r>
          </w:p>
        </w:tc>
        <w:tc>
          <w:tcPr>
            <w:tcW w:w="112" w:type="dxa"/>
            <w:tcBorders/>
            <w:shd w:fill="CCEEFF" w:val="clear"/>
            <w:vAlign w:val="center"/>
          </w:tcPr>
          <w:p>
            <w:pPr>
              <w:pStyle w:val="TableContents"/>
              <w:bidi w:val="0"/>
              <w:spacing w:before="0" w:after="283"/>
              <w:jc w:val="left"/>
              <w:rPr/>
            </w:pPr>
            <w:r>
              <w:rPr/>
              <w:t>)</w:t>
            </w:r>
          </w:p>
        </w:tc>
      </w:tr>
      <w:tr>
        <w:trPr/>
        <w:tc>
          <w:tcPr>
            <w:tcW w:w="6804"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pPr>
            <w:r>
              <w:rPr/>
              <w:t>7,358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FFFFFF" w:val="clear"/>
            <w:tcMar>
              <w:bottom w:w="28" w:type="dxa"/>
            </w:tcMar>
            <w:vAlign w:val="center"/>
          </w:tcPr>
          <w:p>
            <w:pPr>
              <w:pStyle w:val="TableContents"/>
              <w:bidi w:val="0"/>
              <w:spacing w:before="0" w:after="283"/>
              <w:jc w:val="right"/>
              <w:rPr/>
            </w:pPr>
            <w:r>
              <w:rPr/>
              <w:t>7,289</w:t>
            </w:r>
          </w:p>
        </w:tc>
        <w:tc>
          <w:tcPr>
            <w:tcW w:w="112" w:type="dxa"/>
            <w:tcBorders/>
            <w:shd w:fill="FFFFFF" w:val="clear"/>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center"/>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pPr>
            <w:r>
              <w:rPr/>
              <w:t>8,888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jc w:val="right"/>
              <w:rPr/>
            </w:pPr>
            <w:r>
              <w:rPr/>
              <w:t>9,537</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accompanying notes are an integral part of these consolidated financial statements.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p_002"/>
      <w:bookmarkEnd w:id="32"/>
      <w:r>
        <w:rPr>
          <w:rFonts w:ascii="Times New Roman;Times;Serif" w:hAnsi="Times New Roman;Times;Serif"/>
          <w:b/>
          <w:i w:val="false"/>
          <w:caps w:val="false"/>
          <w:smallCaps w:val="false"/>
          <w:sz w:val="20"/>
        </w:rPr>
        <w:t>Interim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1"/>
        <w:gridCol w:w="60"/>
        <w:gridCol w:w="159"/>
        <w:gridCol w:w="1252"/>
        <w:gridCol w:w="108"/>
        <w:gridCol w:w="68"/>
        <w:gridCol w:w="159"/>
        <w:gridCol w:w="1116"/>
        <w:gridCol w:w="95"/>
        <w:gridCol w:w="60"/>
        <w:gridCol w:w="159"/>
        <w:gridCol w:w="1119"/>
        <w:gridCol w:w="108"/>
        <w:gridCol w:w="68"/>
        <w:gridCol w:w="159"/>
        <w:gridCol w:w="1119"/>
        <w:gridCol w:w="115"/>
      </w:tblGrid>
      <w:tr>
        <w:trPr/>
        <w:tc>
          <w:tcPr>
            <w:tcW w:w="4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5" w:type="dxa"/>
            <w:tcBorders/>
            <w:vAlign w:val="center"/>
          </w:tcPr>
          <w:p>
            <w:pPr>
              <w:pStyle w:val="TableContents"/>
              <w:bidi w:val="0"/>
              <w:spacing w:before="0" w:after="283"/>
              <w:jc w:val="left"/>
              <w:rPr/>
            </w:pPr>
            <w:r>
              <w:rPr/>
              <w:t> </w:t>
            </w:r>
          </w:p>
        </w:tc>
      </w:tr>
      <w:tr>
        <w:trPr/>
        <w:tc>
          <w:tcPr>
            <w:tcW w:w="4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115" w:type="dxa"/>
            <w:tcBorders/>
            <w:vAlign w:val="center"/>
          </w:tcPr>
          <w:p>
            <w:pPr>
              <w:pStyle w:val="TableContents"/>
              <w:bidi w:val="0"/>
              <w:spacing w:before="0" w:after="283"/>
              <w:jc w:val="left"/>
              <w:rPr/>
            </w:pPr>
            <w:r>
              <w:rPr/>
              <w:t> </w:t>
            </w:r>
          </w:p>
        </w:tc>
      </w:tr>
      <w:tr>
        <w:trPr/>
        <w:tc>
          <w:tcPr>
            <w:tcW w:w="4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5" w:type="dxa"/>
            <w:tcBorders/>
            <w:vAlign w:val="center"/>
          </w:tcPr>
          <w:p>
            <w:pPr>
              <w:pStyle w:val="TableContents"/>
              <w:bidi w:val="0"/>
              <w:spacing w:before="0" w:after="283"/>
              <w:jc w:val="left"/>
              <w:rPr/>
            </w:pPr>
            <w:r>
              <w:rPr/>
              <w:t> </w:t>
            </w:r>
          </w:p>
        </w:tc>
      </w:tr>
      <w:tr>
        <w:trPr/>
        <w:tc>
          <w:tcPr>
            <w:tcW w:w="4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2"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pPr>
            <w:r>
              <w:rPr/>
              <w:t>Unaudited</w:t>
            </w:r>
          </w:p>
        </w:tc>
        <w:tc>
          <w:tcPr>
            <w:tcW w:w="115" w:type="dxa"/>
            <w:tcBorders/>
            <w:vAlign w:val="center"/>
          </w:tcPr>
          <w:p>
            <w:pPr>
              <w:pStyle w:val="TableContents"/>
              <w:bidi w:val="0"/>
              <w:spacing w:before="0" w:after="283"/>
              <w:jc w:val="left"/>
              <w:rPr/>
            </w:pPr>
            <w:r>
              <w:rPr/>
              <w:t> </w:t>
            </w:r>
          </w:p>
        </w:tc>
      </w:tr>
      <w:tr>
        <w:trPr/>
        <w:tc>
          <w:tcPr>
            <w:tcW w:w="4281"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(1,612</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(1,953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(4,594</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(5,852</w:t>
            </w:r>
          </w:p>
        </w:tc>
        <w:tc>
          <w:tcPr>
            <w:tcW w:w="115" w:type="dxa"/>
            <w:tcBorders/>
            <w:shd w:fill="CCEEFF" w:val="clear"/>
            <w:vAlign w:val="center"/>
          </w:tcPr>
          <w:p>
            <w:pPr>
              <w:pStyle w:val="TableContents"/>
              <w:bidi w:val="0"/>
              <w:spacing w:before="0" w:after="283"/>
              <w:jc w:val="left"/>
              <w:rPr/>
            </w:pPr>
            <w:r>
              <w:rPr/>
              <w:t>)</w:t>
            </w:r>
          </w:p>
        </w:tc>
      </w:tr>
      <w:tr>
        <w:trPr/>
        <w:tc>
          <w:tcPr>
            <w:tcW w:w="4281"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FFFFFF" w:val="clear"/>
            <w:tcMar>
              <w:bottom w:w="28" w:type="dxa"/>
            </w:tcMar>
            <w:vAlign w:val="center"/>
          </w:tcPr>
          <w:p>
            <w:pPr>
              <w:pStyle w:val="TableContents"/>
              <w:bidi w:val="0"/>
              <w:spacing w:before="0" w:after="283"/>
              <w:jc w:val="right"/>
              <w:rPr/>
            </w:pPr>
            <w:r>
              <w:rPr/>
              <w:t>(932</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(1,521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(3,193</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(4,361</w:t>
            </w:r>
          </w:p>
        </w:tc>
        <w:tc>
          <w:tcPr>
            <w:tcW w:w="115" w:type="dxa"/>
            <w:tcBorders/>
            <w:shd w:fill="FFFFFF" w:val="clear"/>
            <w:vAlign w:val="center"/>
          </w:tcPr>
          <w:p>
            <w:pPr>
              <w:pStyle w:val="TableContents"/>
              <w:bidi w:val="0"/>
              <w:spacing w:before="0" w:after="283"/>
              <w:jc w:val="left"/>
              <w:rPr/>
            </w:pPr>
            <w:r>
              <w:rPr/>
              <w:t>)</w:t>
            </w:r>
          </w:p>
        </w:tc>
      </w:tr>
      <w:tr>
        <w:trPr/>
        <w:tc>
          <w:tcPr>
            <w:tcW w:w="4281"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(2,544</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(3,474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(7,787</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(10,213</w:t>
            </w:r>
          </w:p>
        </w:tc>
        <w:tc>
          <w:tcPr>
            <w:tcW w:w="115" w:type="dxa"/>
            <w:tcBorders/>
            <w:shd w:fill="CCEEFF" w:val="clear"/>
            <w:vAlign w:val="center"/>
          </w:tcPr>
          <w:p>
            <w:pPr>
              <w:pStyle w:val="TableContents"/>
              <w:bidi w:val="0"/>
              <w:spacing w:before="0" w:after="283"/>
              <w:jc w:val="left"/>
              <w:rPr/>
            </w:pPr>
            <w:r>
              <w:rPr/>
              <w:t>)</w:t>
            </w:r>
          </w:p>
        </w:tc>
      </w:tr>
      <w:tr>
        <w:trPr/>
        <w:tc>
          <w:tcPr>
            <w:tcW w:w="42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281"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98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201</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43</w:t>
            </w:r>
          </w:p>
        </w:tc>
        <w:tc>
          <w:tcPr>
            <w:tcW w:w="115" w:type="dxa"/>
            <w:tcBorders/>
            <w:shd w:fill="CCEEFF" w:val="clear"/>
            <w:vAlign w:val="center"/>
          </w:tcPr>
          <w:p>
            <w:pPr>
              <w:pStyle w:val="TableContents"/>
              <w:bidi w:val="0"/>
              <w:spacing w:before="0" w:after="283"/>
              <w:jc w:val="left"/>
              <w:rPr/>
            </w:pPr>
            <w:r>
              <w:rPr/>
              <w:t> </w:t>
            </w:r>
          </w:p>
        </w:tc>
      </w:tr>
      <w:tr>
        <w:trPr/>
        <w:tc>
          <w:tcPr>
            <w:tcW w:w="428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pPr>
            <w:r>
              <w:rPr/>
              <w:t>(2,446</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pPr>
            <w:r>
              <w:rPr/>
              <w:t>(3,468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pPr>
            <w:r>
              <w:rPr/>
              <w:t>(7,586</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pPr>
            <w:r>
              <w:rPr/>
              <w:t>(10,170</w:t>
            </w:r>
          </w:p>
        </w:tc>
        <w:tc>
          <w:tcPr>
            <w:tcW w:w="115" w:type="dxa"/>
            <w:tcBorders/>
            <w:shd w:fill="FFFFFF" w:val="clear"/>
            <w:vAlign w:val="center"/>
          </w:tcPr>
          <w:p>
            <w:pPr>
              <w:pStyle w:val="TableContents"/>
              <w:bidi w:val="0"/>
              <w:spacing w:before="0" w:after="283"/>
              <w:jc w:val="left"/>
              <w:rPr/>
            </w:pPr>
            <w:r>
              <w:rPr/>
              <w:t>)</w:t>
            </w:r>
          </w:p>
        </w:tc>
      </w:tr>
      <w:tr>
        <w:trPr/>
        <w:tc>
          <w:tcPr>
            <w:tcW w:w="42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281"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pPr>
            <w:r>
              <w:rPr/>
              <w:t>(0.21</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pPr>
            <w:r>
              <w:rPr/>
              <w:t>(0.49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pPr>
            <w:r>
              <w:rPr/>
              <w:t>(0.79</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pPr>
            <w:r>
              <w:rPr/>
              <w:t>(1.43</w:t>
            </w:r>
          </w:p>
        </w:tc>
        <w:tc>
          <w:tcPr>
            <w:tcW w:w="115" w:type="dxa"/>
            <w:tcBorders/>
            <w:shd w:fill="FFFFFF" w:val="clear"/>
            <w:vAlign w:val="center"/>
          </w:tcPr>
          <w:p>
            <w:pPr>
              <w:pStyle w:val="TableContents"/>
              <w:bidi w:val="0"/>
              <w:spacing w:before="0" w:after="283"/>
              <w:jc w:val="left"/>
              <w:rPr/>
            </w:pPr>
            <w:r>
              <w:rPr/>
              <w:t>)</w:t>
            </w:r>
          </w:p>
        </w:tc>
      </w:tr>
      <w:tr>
        <w:trPr/>
        <w:tc>
          <w:tcPr>
            <w:tcW w:w="4281" w:type="dxa"/>
            <w:tcBorders/>
            <w:shd w:fill="CCEEFF" w:val="clear"/>
            <w:vAlign w:val="center"/>
          </w:tcPr>
          <w:p>
            <w:pPr>
              <w:pStyle w:val="TableContents"/>
              <w:bidi w:val="0"/>
              <w:spacing w:before="0" w:after="283"/>
              <w:jc w:val="left"/>
              <w:rPr/>
            </w:pPr>
            <w:r>
              <w:rPr/>
              <w:t>Basic and 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double" w:sz="6" w:space="0" w:color="000000"/>
            </w:tcBorders>
            <w:shd w:fill="CCEEFF" w:val="clear"/>
            <w:tcMar>
              <w:bottom w:w="28" w:type="dxa"/>
            </w:tcMar>
            <w:vAlign w:val="center"/>
          </w:tcPr>
          <w:p>
            <w:pPr>
              <w:pStyle w:val="TableContents"/>
              <w:bidi w:val="0"/>
              <w:spacing w:before="0" w:after="283"/>
              <w:jc w:val="right"/>
              <w:rPr/>
            </w:pPr>
            <w:r>
              <w:rPr/>
              <w:t>7,108,133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pPr>
            <w:r>
              <w:rPr/>
              <w:t>9,653,337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pPr>
            <w:r>
              <w:rPr/>
              <w:t>7,108,133</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p_003"/>
      <w:bookmarkEnd w:id="33"/>
      <w:r>
        <w:rPr>
          <w:rFonts w:ascii="Times New Roman;Times;Serif" w:hAnsi="Times New Roman;Times;Serif"/>
          <w:b/>
          <w:i w:val="false"/>
          <w:caps w:val="false"/>
          <w:smallCaps w:val="false"/>
          <w:sz w:val="20"/>
        </w:rPr>
        <w:t>Interim 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1"/>
        <w:gridCol w:w="60"/>
        <w:gridCol w:w="60"/>
        <w:gridCol w:w="993"/>
        <w:gridCol w:w="60"/>
        <w:gridCol w:w="60"/>
        <w:gridCol w:w="301"/>
        <w:gridCol w:w="559"/>
        <w:gridCol w:w="60"/>
        <w:gridCol w:w="60"/>
        <w:gridCol w:w="279"/>
        <w:gridCol w:w="1364"/>
        <w:gridCol w:w="60"/>
        <w:gridCol w:w="60"/>
        <w:gridCol w:w="214"/>
        <w:gridCol w:w="1156"/>
        <w:gridCol w:w="95"/>
        <w:gridCol w:w="60"/>
        <w:gridCol w:w="211"/>
        <w:gridCol w:w="1207"/>
        <w:gridCol w:w="115"/>
      </w:tblGrid>
      <w:tr>
        <w:trPr/>
        <w:tc>
          <w:tcPr>
            <w:tcW w:w="31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center"/>
              <w:rPr>
                <w:b/>
              </w:rPr>
            </w:pPr>
            <w:r>
              <w:rPr>
                <w:b/>
              </w:rPr>
              <w:t>Total</w:t>
              <w:br/>
              <w:t>Shareholders’</w:t>
            </w:r>
          </w:p>
        </w:tc>
        <w:tc>
          <w:tcPr>
            <w:tcW w:w="115" w:type="dxa"/>
            <w:tcBorders/>
            <w:vAlign w:val="center"/>
          </w:tcPr>
          <w:p>
            <w:pPr>
              <w:pStyle w:val="TableContents"/>
              <w:bidi w:val="0"/>
              <w:spacing w:before="0" w:after="283"/>
              <w:jc w:val="left"/>
              <w:rPr/>
            </w:pPr>
            <w:r>
              <w:rPr/>
              <w:t> </w:t>
            </w:r>
          </w:p>
        </w:tc>
      </w:tr>
      <w:tr>
        <w:trPr/>
        <w:tc>
          <w:tcPr>
            <w:tcW w:w="3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5" w:type="dxa"/>
            <w:tcBorders/>
            <w:vAlign w:val="center"/>
          </w:tcPr>
          <w:p>
            <w:pPr>
              <w:pStyle w:val="TableContents"/>
              <w:bidi w:val="0"/>
              <w:spacing w:before="0" w:after="283"/>
              <w:jc w:val="left"/>
              <w:rPr/>
            </w:pPr>
            <w:r>
              <w:rPr/>
              <w:t> </w:t>
            </w:r>
          </w:p>
        </w:tc>
      </w:tr>
      <w:tr>
        <w:trPr/>
        <w:tc>
          <w:tcPr>
            <w:tcW w:w="3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171" w:type="dxa"/>
            <w:tcBorders/>
            <w:shd w:fill="CCEEFF" w:val="clear"/>
            <w:vAlign w:val="center"/>
          </w:tcPr>
          <w:p>
            <w:pPr>
              <w:pStyle w:val="TableContents"/>
              <w:bidi w:val="0"/>
              <w:spacing w:before="0" w:after="283"/>
              <w:jc w:val="left"/>
              <w:rPr/>
            </w:pPr>
            <w:r>
              <w:rPr/>
              <w:t>Balances, December 31, 2021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7,108,133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364" w:type="dxa"/>
            <w:tcBorders/>
            <w:shd w:fill="CCEEFF" w:val="clear"/>
            <w:vAlign w:val="center"/>
          </w:tcPr>
          <w:p>
            <w:pPr>
              <w:pStyle w:val="TableContents"/>
              <w:bidi w:val="0"/>
              <w:spacing w:before="0" w:after="283"/>
              <w:jc w:val="right"/>
              <w:rPr/>
            </w:pPr>
            <w:r>
              <w:rPr/>
              <w:t>69,902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(55,593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  </w:t>
            </w:r>
            <w:r>
              <w:rPr/>
              <w:t>14,381</w:t>
            </w:r>
          </w:p>
        </w:tc>
        <w:tc>
          <w:tcPr>
            <w:tcW w:w="115" w:type="dxa"/>
            <w:tcBorders/>
            <w:shd w:fill="CCEEFF" w:val="clear"/>
            <w:vAlign w:val="center"/>
          </w:tcPr>
          <w:p>
            <w:pPr>
              <w:pStyle w:val="TableContents"/>
              <w:bidi w:val="0"/>
              <w:spacing w:before="0" w:after="283"/>
              <w:jc w:val="left"/>
              <w:rPr/>
            </w:pPr>
            <w:r>
              <w:rPr/>
              <w:t> </w:t>
            </w:r>
          </w:p>
        </w:tc>
      </w:tr>
      <w:tr>
        <w:trPr/>
        <w:tc>
          <w:tcPr>
            <w:tcW w:w="3171"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429</w:t>
            </w:r>
          </w:p>
        </w:tc>
        <w:tc>
          <w:tcPr>
            <w:tcW w:w="115" w:type="dxa"/>
            <w:tcBorders/>
            <w:shd w:fill="FFFFFF" w:val="clear"/>
            <w:vAlign w:val="center"/>
          </w:tcPr>
          <w:p>
            <w:pPr>
              <w:pStyle w:val="TableContents"/>
              <w:bidi w:val="0"/>
              <w:spacing w:before="0" w:after="283"/>
              <w:jc w:val="left"/>
              <w:rPr/>
            </w:pPr>
            <w:r>
              <w:rPr/>
              <w:t> </w:t>
            </w:r>
          </w:p>
        </w:tc>
      </w:tr>
      <w:tr>
        <w:trPr/>
        <w:tc>
          <w:tcPr>
            <w:tcW w:w="317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(3,189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(3,189</w:t>
            </w:r>
          </w:p>
        </w:tc>
        <w:tc>
          <w:tcPr>
            <w:tcW w:w="115" w:type="dxa"/>
            <w:tcBorders/>
            <w:shd w:fill="CCEEFF" w:val="clear"/>
            <w:vAlign w:val="center"/>
          </w:tcPr>
          <w:p>
            <w:pPr>
              <w:pStyle w:val="TableContents"/>
              <w:bidi w:val="0"/>
              <w:spacing w:before="0" w:after="283"/>
              <w:jc w:val="left"/>
              <w:rPr/>
            </w:pPr>
            <w:r>
              <w:rPr/>
              <w:t>)</w:t>
            </w:r>
          </w:p>
        </w:tc>
      </w:tr>
      <w:tr>
        <w:trPr/>
        <w:tc>
          <w:tcPr>
            <w:tcW w:w="3171" w:type="dxa"/>
            <w:tcBorders/>
            <w:shd w:fill="FFFFFF" w:val="clear"/>
            <w:vAlign w:val="center"/>
          </w:tcPr>
          <w:p>
            <w:pPr>
              <w:pStyle w:val="TableContents"/>
              <w:bidi w:val="0"/>
              <w:spacing w:before="0" w:after="283"/>
              <w:jc w:val="left"/>
              <w:rPr/>
            </w:pPr>
            <w:r>
              <w:rPr/>
              <w:t>Balances, March 31, 2022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pPr>
            <w:r>
              <w:rPr/>
              <w:t>7,108,133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4" w:type="dxa"/>
            <w:tcBorders>
              <w:bottom w:val="double" w:sz="6" w:space="0" w:color="000000"/>
            </w:tcBorders>
            <w:shd w:fill="FFFFFF" w:val="clear"/>
            <w:tcMar>
              <w:bottom w:w="28" w:type="dxa"/>
            </w:tcMar>
            <w:vAlign w:val="center"/>
          </w:tcPr>
          <w:p>
            <w:pPr>
              <w:pStyle w:val="TableContents"/>
              <w:bidi w:val="0"/>
              <w:spacing w:before="0" w:after="283"/>
              <w:jc w:val="right"/>
              <w:rPr/>
            </w:pPr>
            <w:r>
              <w:rPr/>
              <w:t>70,331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(58,782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pPr>
            <w:r>
              <w:rPr/>
              <w:t>11,621</w:t>
            </w:r>
          </w:p>
        </w:tc>
        <w:tc>
          <w:tcPr>
            <w:tcW w:w="115" w:type="dxa"/>
            <w:tcBorders/>
            <w:shd w:fill="FFFFFF" w:val="clear"/>
            <w:vAlign w:val="center"/>
          </w:tcPr>
          <w:p>
            <w:pPr>
              <w:pStyle w:val="TableContents"/>
              <w:bidi w:val="0"/>
              <w:spacing w:before="0" w:after="283"/>
              <w:jc w:val="left"/>
              <w:rPr/>
            </w:pPr>
            <w:r>
              <w:rPr/>
              <w:t> </w:t>
            </w:r>
          </w:p>
        </w:tc>
      </w:tr>
      <w:tr>
        <w:trPr/>
        <w:tc>
          <w:tcPr>
            <w:tcW w:w="3171"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432</w:t>
            </w:r>
          </w:p>
        </w:tc>
        <w:tc>
          <w:tcPr>
            <w:tcW w:w="115" w:type="dxa"/>
            <w:tcBorders/>
            <w:shd w:fill="CCEEFF" w:val="clear"/>
            <w:vAlign w:val="center"/>
          </w:tcPr>
          <w:p>
            <w:pPr>
              <w:pStyle w:val="TableContents"/>
              <w:bidi w:val="0"/>
              <w:spacing w:before="0" w:after="283"/>
              <w:jc w:val="left"/>
              <w:rPr/>
            </w:pPr>
            <w:r>
              <w:rPr/>
              <w:t> </w:t>
            </w:r>
          </w:p>
        </w:tc>
      </w:tr>
      <w:tr>
        <w:trPr/>
        <w:tc>
          <w:tcPr>
            <w:tcW w:w="317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(3,513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(3,513</w:t>
            </w:r>
          </w:p>
        </w:tc>
        <w:tc>
          <w:tcPr>
            <w:tcW w:w="115" w:type="dxa"/>
            <w:tcBorders/>
            <w:shd w:fill="FFFFFF" w:val="clear"/>
            <w:vAlign w:val="center"/>
          </w:tcPr>
          <w:p>
            <w:pPr>
              <w:pStyle w:val="TableContents"/>
              <w:bidi w:val="0"/>
              <w:spacing w:before="0" w:after="283"/>
              <w:jc w:val="left"/>
              <w:rPr/>
            </w:pPr>
            <w:r>
              <w:rPr/>
              <w:t>)</w:t>
            </w:r>
          </w:p>
        </w:tc>
      </w:tr>
      <w:tr>
        <w:trPr/>
        <w:tc>
          <w:tcPr>
            <w:tcW w:w="3171" w:type="dxa"/>
            <w:tcBorders/>
            <w:shd w:fill="CCEEFF" w:val="clear"/>
            <w:vAlign w:val="center"/>
          </w:tcPr>
          <w:p>
            <w:pPr>
              <w:pStyle w:val="TableContents"/>
              <w:bidi w:val="0"/>
              <w:spacing w:before="0" w:after="283"/>
              <w:jc w:val="left"/>
              <w:rPr/>
            </w:pPr>
            <w:r>
              <w:rPr/>
              <w:t>Balances, June 30, 2022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pPr>
            <w:r>
              <w:rPr/>
              <w:t>7,108,133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pPr>
            <w:r>
              <w:rPr/>
              <w:t>70,763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(62,295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pPr>
            <w:r>
              <w:rPr/>
              <w:t>8,540</w:t>
            </w:r>
          </w:p>
        </w:tc>
        <w:tc>
          <w:tcPr>
            <w:tcW w:w="115" w:type="dxa"/>
            <w:tcBorders/>
            <w:shd w:fill="CCEEFF" w:val="clear"/>
            <w:vAlign w:val="center"/>
          </w:tcPr>
          <w:p>
            <w:pPr>
              <w:pStyle w:val="TableContents"/>
              <w:bidi w:val="0"/>
              <w:spacing w:before="0" w:after="283"/>
              <w:jc w:val="left"/>
              <w:rPr/>
            </w:pPr>
            <w:r>
              <w:rPr/>
              <w:t> </w:t>
            </w:r>
          </w:p>
        </w:tc>
      </w:tr>
      <w:tr>
        <w:trPr/>
        <w:tc>
          <w:tcPr>
            <w:tcW w:w="3171"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461</w:t>
            </w:r>
          </w:p>
        </w:tc>
        <w:tc>
          <w:tcPr>
            <w:tcW w:w="115" w:type="dxa"/>
            <w:tcBorders/>
            <w:shd w:fill="FFFFFF" w:val="clear"/>
            <w:vAlign w:val="center"/>
          </w:tcPr>
          <w:p>
            <w:pPr>
              <w:pStyle w:val="TableContents"/>
              <w:bidi w:val="0"/>
              <w:spacing w:before="0" w:after="283"/>
              <w:jc w:val="left"/>
              <w:rPr/>
            </w:pPr>
            <w:r>
              <w:rPr/>
              <w:t> </w:t>
            </w:r>
          </w:p>
        </w:tc>
      </w:tr>
      <w:tr>
        <w:trPr/>
        <w:tc>
          <w:tcPr>
            <w:tcW w:w="317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(3,468</w:t>
            </w:r>
          </w:p>
        </w:tc>
        <w:tc>
          <w:tcPr>
            <w:tcW w:w="115" w:type="dxa"/>
            <w:tcBorders/>
            <w:shd w:fill="CCEEFF" w:val="clear"/>
            <w:vAlign w:val="center"/>
          </w:tcPr>
          <w:p>
            <w:pPr>
              <w:pStyle w:val="TableContents"/>
              <w:bidi w:val="0"/>
              <w:spacing w:before="0" w:after="283"/>
              <w:jc w:val="left"/>
              <w:rPr/>
            </w:pPr>
            <w:r>
              <w:rPr/>
              <w:t>)</w:t>
            </w:r>
          </w:p>
        </w:tc>
      </w:tr>
      <w:tr>
        <w:trPr/>
        <w:tc>
          <w:tcPr>
            <w:tcW w:w="3171" w:type="dxa"/>
            <w:tcBorders/>
            <w:shd w:fill="FFFFFF" w:val="clear"/>
            <w:vAlign w:val="center"/>
          </w:tcPr>
          <w:p>
            <w:pPr>
              <w:pStyle w:val="TableContents"/>
              <w:bidi w:val="0"/>
              <w:spacing w:before="0" w:after="283"/>
              <w:jc w:val="left"/>
              <w:rPr/>
            </w:pPr>
            <w:r>
              <w:rPr/>
              <w:t>Balances, September 30, 2022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pPr>
            <w:r>
              <w:rPr/>
              <w:t>7,108,133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4" w:type="dxa"/>
            <w:tcBorders>
              <w:bottom w:val="double" w:sz="6" w:space="0" w:color="000000"/>
            </w:tcBorders>
            <w:shd w:fill="FFFFFF" w:val="clear"/>
            <w:tcMar>
              <w:bottom w:w="28" w:type="dxa"/>
            </w:tcMar>
            <w:vAlign w:val="center"/>
          </w:tcPr>
          <w:p>
            <w:pPr>
              <w:pStyle w:val="TableContents"/>
              <w:bidi w:val="0"/>
              <w:spacing w:before="0" w:after="283"/>
              <w:jc w:val="right"/>
              <w:rPr/>
            </w:pPr>
            <w:r>
              <w:rPr/>
              <w:t>71,224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(65,763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pPr>
            <w:r>
              <w:rPr/>
              <w:t>5,533</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3"/>
        <w:gridCol w:w="60"/>
        <w:gridCol w:w="60"/>
        <w:gridCol w:w="1100"/>
        <w:gridCol w:w="60"/>
        <w:gridCol w:w="60"/>
        <w:gridCol w:w="231"/>
        <w:gridCol w:w="629"/>
        <w:gridCol w:w="60"/>
        <w:gridCol w:w="60"/>
        <w:gridCol w:w="243"/>
        <w:gridCol w:w="1188"/>
        <w:gridCol w:w="95"/>
        <w:gridCol w:w="60"/>
        <w:gridCol w:w="214"/>
        <w:gridCol w:w="1156"/>
        <w:gridCol w:w="95"/>
        <w:gridCol w:w="60"/>
        <w:gridCol w:w="221"/>
        <w:gridCol w:w="1178"/>
        <w:gridCol w:w="112"/>
      </w:tblGrid>
      <w:tr>
        <w:trPr/>
        <w:tc>
          <w:tcPr>
            <w:tcW w:w="3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Total</w:t>
              <w:br/>
              <w:t>Shareholders’</w:t>
            </w:r>
          </w:p>
        </w:tc>
        <w:tc>
          <w:tcPr>
            <w:tcW w:w="112" w:type="dxa"/>
            <w:tcBorders/>
            <w:vAlign w:val="center"/>
          </w:tcPr>
          <w:p>
            <w:pPr>
              <w:pStyle w:val="TableContents"/>
              <w:bidi w:val="0"/>
              <w:spacing w:before="0" w:after="283"/>
              <w:jc w:val="left"/>
              <w:rPr/>
            </w:pPr>
            <w:r>
              <w:rPr/>
              <w:t> </w:t>
            </w:r>
          </w:p>
        </w:tc>
      </w:tr>
      <w:tr>
        <w:trPr/>
        <w:tc>
          <w:tcPr>
            <w:tcW w:w="3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3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3263" w:type="dxa"/>
            <w:tcBorders/>
            <w:shd w:fill="CCEEFF" w:val="clear"/>
            <w:vAlign w:val="center"/>
          </w:tcPr>
          <w:p>
            <w:pPr>
              <w:pStyle w:val="TableContents"/>
              <w:bidi w:val="0"/>
              <w:spacing w:before="0" w:after="283"/>
              <w:jc w:val="left"/>
              <w:rPr/>
            </w:pPr>
            <w:r>
              <w:rPr/>
              <w:t>Balances, December 31, 2022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75,970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   </w:t>
            </w:r>
            <w:r>
              <w:rPr/>
              <w:t>7,289</w:t>
            </w:r>
          </w:p>
        </w:tc>
        <w:tc>
          <w:tcPr>
            <w:tcW w:w="112" w:type="dxa"/>
            <w:tcBorders/>
            <w:shd w:fill="CCEEFF" w:val="clear"/>
            <w:vAlign w:val="center"/>
          </w:tcPr>
          <w:p>
            <w:pPr>
              <w:pStyle w:val="TableContents"/>
              <w:bidi w:val="0"/>
              <w:spacing w:before="0" w:after="283"/>
              <w:jc w:val="left"/>
              <w:rPr/>
            </w:pPr>
            <w:r>
              <w:rPr/>
              <w:t> </w:t>
            </w:r>
          </w:p>
        </w:tc>
      </w:tr>
      <w:tr>
        <w:trPr/>
        <w:tc>
          <w:tcPr>
            <w:tcW w:w="3263"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412</w:t>
            </w:r>
          </w:p>
        </w:tc>
        <w:tc>
          <w:tcPr>
            <w:tcW w:w="112" w:type="dxa"/>
            <w:tcBorders/>
            <w:shd w:fill="FFFFFF" w:val="clear"/>
            <w:vAlign w:val="center"/>
          </w:tcPr>
          <w:p>
            <w:pPr>
              <w:pStyle w:val="TableContents"/>
              <w:bidi w:val="0"/>
              <w:spacing w:before="0" w:after="283"/>
              <w:jc w:val="left"/>
              <w:rPr/>
            </w:pPr>
            <w:r>
              <w:rPr/>
              <w:t> </w:t>
            </w:r>
          </w:p>
        </w:tc>
      </w:tr>
      <w:tr>
        <w:trPr/>
        <w:tc>
          <w:tcPr>
            <w:tcW w:w="3263" w:type="dxa"/>
            <w:tcBorders/>
            <w:shd w:fill="CCEEFF" w:val="clear"/>
            <w:vAlign w:val="center"/>
          </w:tcPr>
          <w:p>
            <w:pPr>
              <w:pStyle w:val="TableContents"/>
              <w:bidi w:val="0"/>
              <w:spacing w:before="0" w:after="283"/>
              <w:jc w:val="left"/>
              <w:rPr/>
            </w:pPr>
            <w:r>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326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(2,853</w:t>
            </w:r>
          </w:p>
        </w:tc>
        <w:tc>
          <w:tcPr>
            <w:tcW w:w="112" w:type="dxa"/>
            <w:tcBorders/>
            <w:shd w:fill="FFFFFF" w:val="clear"/>
            <w:vAlign w:val="center"/>
          </w:tcPr>
          <w:p>
            <w:pPr>
              <w:pStyle w:val="TableContents"/>
              <w:bidi w:val="0"/>
              <w:spacing w:before="0" w:after="283"/>
              <w:jc w:val="left"/>
              <w:rPr/>
            </w:pPr>
            <w:r>
              <w:rPr/>
              <w:t>)</w:t>
            </w:r>
          </w:p>
        </w:tc>
      </w:tr>
      <w:tr>
        <w:trPr/>
        <w:tc>
          <w:tcPr>
            <w:tcW w:w="3263" w:type="dxa"/>
            <w:tcBorders/>
            <w:shd w:fill="CCEEFF" w:val="clear"/>
            <w:vAlign w:val="center"/>
          </w:tcPr>
          <w:p>
            <w:pPr>
              <w:pStyle w:val="TableContents"/>
              <w:bidi w:val="0"/>
              <w:spacing w:before="0" w:after="283"/>
              <w:jc w:val="left"/>
              <w:rPr/>
            </w:pPr>
            <w:r>
              <w:rPr/>
              <w:t>Balances, March 31, 2023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8,130,628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76,379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(71,614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4,848</w:t>
            </w:r>
          </w:p>
        </w:tc>
        <w:tc>
          <w:tcPr>
            <w:tcW w:w="112" w:type="dxa"/>
            <w:tcBorders/>
            <w:shd w:fill="CCEEFF" w:val="clear"/>
            <w:vAlign w:val="center"/>
          </w:tcPr>
          <w:p>
            <w:pPr>
              <w:pStyle w:val="TableContents"/>
              <w:bidi w:val="0"/>
              <w:spacing w:before="0" w:after="283"/>
              <w:jc w:val="left"/>
              <w:rPr/>
            </w:pPr>
            <w:r>
              <w:rPr/>
              <w:t> </w:t>
            </w:r>
          </w:p>
        </w:tc>
      </w:tr>
      <w:tr>
        <w:trPr/>
        <w:tc>
          <w:tcPr>
            <w:tcW w:w="3263"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349</w:t>
            </w:r>
          </w:p>
        </w:tc>
        <w:tc>
          <w:tcPr>
            <w:tcW w:w="112" w:type="dxa"/>
            <w:tcBorders/>
            <w:shd w:fill="FFFFFF" w:val="clear"/>
            <w:vAlign w:val="center"/>
          </w:tcPr>
          <w:p>
            <w:pPr>
              <w:pStyle w:val="TableContents"/>
              <w:bidi w:val="0"/>
              <w:spacing w:before="0" w:after="283"/>
              <w:jc w:val="left"/>
              <w:rPr/>
            </w:pPr>
            <w:r>
              <w:rPr/>
              <w:t> </w:t>
            </w:r>
          </w:p>
        </w:tc>
      </w:tr>
      <w:tr>
        <w:trPr/>
        <w:tc>
          <w:tcPr>
            <w:tcW w:w="3263" w:type="dxa"/>
            <w:tcBorders/>
            <w:shd w:fill="CCEEFF" w:val="clear"/>
            <w:vAlign w:val="center"/>
          </w:tcPr>
          <w:p>
            <w:pPr>
              <w:pStyle w:val="TableContents"/>
              <w:bidi w:val="0"/>
              <w:spacing w:before="0" w:after="283"/>
              <w:jc w:val="left"/>
              <w:rPr/>
            </w:pPr>
            <w:r>
              <w:rPr/>
              <w:t>Issuance of common stock and warrants net of issuance costs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3,576,689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6,558</w:t>
            </w:r>
          </w:p>
        </w:tc>
        <w:tc>
          <w:tcPr>
            <w:tcW w:w="112" w:type="dxa"/>
            <w:tcBorders/>
            <w:shd w:fill="CCEEFF" w:val="clear"/>
            <w:vAlign w:val="center"/>
          </w:tcPr>
          <w:p>
            <w:pPr>
              <w:pStyle w:val="TableContents"/>
              <w:bidi w:val="0"/>
              <w:spacing w:before="0" w:after="283"/>
              <w:jc w:val="left"/>
              <w:rPr/>
            </w:pPr>
            <w:r>
              <w:rPr/>
              <w:t> </w:t>
            </w:r>
          </w:p>
        </w:tc>
      </w:tr>
      <w:tr>
        <w:trPr/>
        <w:tc>
          <w:tcPr>
            <w:tcW w:w="326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(2,287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(2,287</w:t>
            </w:r>
          </w:p>
        </w:tc>
        <w:tc>
          <w:tcPr>
            <w:tcW w:w="112" w:type="dxa"/>
            <w:tcBorders/>
            <w:shd w:fill="FFFFFF" w:val="clear"/>
            <w:vAlign w:val="center"/>
          </w:tcPr>
          <w:p>
            <w:pPr>
              <w:pStyle w:val="TableContents"/>
              <w:bidi w:val="0"/>
              <w:spacing w:before="0" w:after="283"/>
              <w:jc w:val="left"/>
              <w:rPr/>
            </w:pPr>
            <w:r>
              <w:rPr/>
              <w:t>)</w:t>
            </w:r>
          </w:p>
        </w:tc>
      </w:tr>
      <w:tr>
        <w:trPr/>
        <w:tc>
          <w:tcPr>
            <w:tcW w:w="3263" w:type="dxa"/>
            <w:tcBorders/>
            <w:shd w:fill="CCEEFF" w:val="clear"/>
            <w:vAlign w:val="center"/>
          </w:tcPr>
          <w:p>
            <w:pPr>
              <w:pStyle w:val="TableContents"/>
              <w:bidi w:val="0"/>
              <w:spacing w:before="0" w:after="283"/>
              <w:jc w:val="left"/>
              <w:rPr/>
            </w:pPr>
            <w:r>
              <w:rPr/>
              <w:t>Balances, June 30, 2023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83,251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(73,901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9,468</w:t>
            </w:r>
          </w:p>
        </w:tc>
        <w:tc>
          <w:tcPr>
            <w:tcW w:w="112" w:type="dxa"/>
            <w:tcBorders/>
            <w:shd w:fill="CCEEFF" w:val="clear"/>
            <w:vAlign w:val="center"/>
          </w:tcPr>
          <w:p>
            <w:pPr>
              <w:pStyle w:val="TableContents"/>
              <w:bidi w:val="0"/>
              <w:spacing w:before="0" w:after="283"/>
              <w:jc w:val="left"/>
              <w:rPr/>
            </w:pPr>
            <w:r>
              <w:rPr/>
              <w:t> </w:t>
            </w:r>
          </w:p>
        </w:tc>
      </w:tr>
      <w:tr>
        <w:trPr/>
        <w:tc>
          <w:tcPr>
            <w:tcW w:w="3263"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83,251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(73,901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9,468</w:t>
            </w:r>
          </w:p>
        </w:tc>
        <w:tc>
          <w:tcPr>
            <w:tcW w:w="112" w:type="dxa"/>
            <w:tcBorders/>
            <w:shd w:fill="CCEEFF" w:val="clear"/>
            <w:vAlign w:val="center"/>
          </w:tcPr>
          <w:p>
            <w:pPr>
              <w:pStyle w:val="TableContents"/>
              <w:bidi w:val="0"/>
              <w:spacing w:before="0" w:after="283"/>
              <w:jc w:val="left"/>
              <w:rPr/>
            </w:pPr>
            <w:r>
              <w:rPr/>
              <w:t> </w:t>
            </w:r>
          </w:p>
        </w:tc>
      </w:tr>
      <w:tr>
        <w:trPr/>
        <w:tc>
          <w:tcPr>
            <w:tcW w:w="3263"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336</w:t>
            </w:r>
          </w:p>
        </w:tc>
        <w:tc>
          <w:tcPr>
            <w:tcW w:w="112" w:type="dxa"/>
            <w:tcBorders/>
            <w:shd w:fill="FFFFFF" w:val="clear"/>
            <w:vAlign w:val="center"/>
          </w:tcPr>
          <w:p>
            <w:pPr>
              <w:pStyle w:val="TableContents"/>
              <w:bidi w:val="0"/>
              <w:spacing w:before="0" w:after="283"/>
              <w:jc w:val="left"/>
              <w:rPr/>
            </w:pPr>
            <w:r>
              <w:rPr/>
              <w:t> </w:t>
            </w:r>
          </w:p>
        </w:tc>
      </w:tr>
      <w:tr>
        <w:trPr/>
        <w:tc>
          <w:tcPr>
            <w:tcW w:w="326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(2,446</w:t>
            </w:r>
          </w:p>
        </w:tc>
        <w:tc>
          <w:tcPr>
            <w:tcW w:w="112" w:type="dxa"/>
            <w:tcBorders/>
            <w:shd w:fill="CCEEFF" w:val="clear"/>
            <w:vAlign w:val="center"/>
          </w:tcPr>
          <w:p>
            <w:pPr>
              <w:pStyle w:val="TableContents"/>
              <w:bidi w:val="0"/>
              <w:spacing w:before="0" w:after="283"/>
              <w:jc w:val="left"/>
              <w:rPr/>
            </w:pPr>
            <w:r>
              <w:rPr/>
              <w:t>)</w:t>
            </w:r>
          </w:p>
        </w:tc>
      </w:tr>
      <w:tr>
        <w:trPr/>
        <w:tc>
          <w:tcPr>
            <w:tcW w:w="3263" w:type="dxa"/>
            <w:tcBorders/>
            <w:shd w:fill="FFFFFF" w:val="clear"/>
            <w:vAlign w:val="center"/>
          </w:tcPr>
          <w:p>
            <w:pPr>
              <w:pStyle w:val="TableContents"/>
              <w:bidi w:val="0"/>
              <w:spacing w:before="0" w:after="283"/>
              <w:jc w:val="left"/>
              <w:rPr/>
            </w:pPr>
            <w:r>
              <w:rPr/>
              <w:t>Balances, September 30, 2023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11,707,317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jc w:val="right"/>
              <w:rPr/>
            </w:pPr>
            <w:r>
              <w:rPr/>
              <w:t>83,587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(76,347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FFFFFF" w:val="clear"/>
            <w:tcMar>
              <w:bottom w:w="28" w:type="dxa"/>
            </w:tcMar>
            <w:vAlign w:val="center"/>
          </w:tcPr>
          <w:p>
            <w:pPr>
              <w:pStyle w:val="TableContents"/>
              <w:bidi w:val="0"/>
              <w:spacing w:before="0" w:after="283"/>
              <w:jc w:val="right"/>
              <w:rPr/>
            </w:pPr>
            <w:r>
              <w:rPr/>
              <w:t>7,358</w:t>
            </w:r>
          </w:p>
        </w:tc>
        <w:tc>
          <w:tcPr>
            <w:tcW w:w="112" w:type="dxa"/>
            <w:tcBorders/>
            <w:shd w:fill="FFFFFF" w:val="clear"/>
            <w:vAlign w:val="center"/>
          </w:tcPr>
          <w:p>
            <w:pPr>
              <w:pStyle w:val="TableContents"/>
              <w:bidi w:val="0"/>
              <w:spacing w:before="0" w:after="283"/>
              <w:jc w:val="left"/>
              <w:rPr/>
            </w:pPr>
            <w:r>
              <w:rPr/>
              <w:t> </w:t>
            </w:r>
          </w:p>
        </w:tc>
      </w:tr>
      <w:tr>
        <w:trPr/>
        <w:tc>
          <w:tcPr>
            <w:tcW w:w="3263" w:type="dxa"/>
            <w:tcBorders/>
            <w:shd w:fill="FFFFFF" w:val="clear"/>
            <w:vAlign w:val="center"/>
          </w:tcPr>
          <w:p>
            <w:pPr>
              <w:pStyle w:val="TableContents"/>
              <w:bidi w:val="0"/>
              <w:spacing w:before="0" w:after="283"/>
              <w:jc w:val="left"/>
              <w:rPr/>
            </w:pPr>
            <w:r>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11,707,317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jc w:val="right"/>
              <w:rPr/>
            </w:pPr>
            <w:r>
              <w:rPr/>
              <w:t>83,587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(76,347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FFFFFF" w:val="clear"/>
            <w:tcMar>
              <w:bottom w:w="28" w:type="dxa"/>
            </w:tcMar>
            <w:vAlign w:val="center"/>
          </w:tcPr>
          <w:p>
            <w:pPr>
              <w:pStyle w:val="TableContents"/>
              <w:bidi w:val="0"/>
              <w:spacing w:before="0" w:after="283"/>
              <w:jc w:val="right"/>
              <w:rPr/>
            </w:pPr>
            <w:r>
              <w:rPr/>
              <w:t>7,358</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45"/>
        <w:gridCol w:w="374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of issuance costs in the amount of $1,075.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p_004"/>
      <w:bookmarkEnd w:id="34"/>
      <w:r>
        <w:rPr>
          <w:rFonts w:ascii="Times New Roman;Times;Serif" w:hAnsi="Times New Roman;Times;Serif"/>
          <w:b/>
          <w:i w:val="false"/>
          <w:caps w:val="false"/>
          <w:smallCaps w:val="false"/>
          <w:sz w:val="20"/>
        </w:rPr>
        <w:t>Interim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9"/>
        <w:gridCol w:w="60"/>
        <w:gridCol w:w="225"/>
        <w:gridCol w:w="1012"/>
        <w:gridCol w:w="150"/>
        <w:gridCol w:w="94"/>
        <w:gridCol w:w="225"/>
        <w:gridCol w:w="1197"/>
        <w:gridCol w:w="113"/>
      </w:tblGrid>
      <w:tr>
        <w:trPr/>
        <w:tc>
          <w:tcPr>
            <w:tcW w:w="7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3" w:type="dxa"/>
            <w:tcBorders/>
            <w:vAlign w:val="center"/>
          </w:tcPr>
          <w:p>
            <w:pPr>
              <w:pStyle w:val="TableContents"/>
              <w:bidi w:val="0"/>
              <w:spacing w:before="0" w:after="283"/>
              <w:jc w:val="left"/>
              <w:rPr/>
            </w:pPr>
            <w:r>
              <w:rPr/>
              <w:t> </w:t>
            </w:r>
          </w:p>
        </w:tc>
      </w:tr>
      <w:tr>
        <w:trPr/>
        <w:tc>
          <w:tcPr>
            <w:tcW w:w="7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113" w:type="dxa"/>
            <w:tcBorders/>
            <w:vAlign w:val="center"/>
          </w:tcPr>
          <w:p>
            <w:pPr>
              <w:pStyle w:val="TableContents"/>
              <w:bidi w:val="0"/>
              <w:spacing w:before="0" w:after="283"/>
              <w:jc w:val="left"/>
              <w:rPr/>
            </w:pPr>
            <w:r>
              <w:rPr/>
              <w:t> </w:t>
            </w:r>
          </w:p>
        </w:tc>
      </w:tr>
      <w:tr>
        <w:trPr/>
        <w:tc>
          <w:tcPr>
            <w:tcW w:w="7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3" w:type="dxa"/>
            <w:tcBorders/>
            <w:vAlign w:val="center"/>
          </w:tcPr>
          <w:p>
            <w:pPr>
              <w:pStyle w:val="TableContents"/>
              <w:bidi w:val="0"/>
              <w:spacing w:before="0" w:after="283"/>
              <w:jc w:val="left"/>
              <w:rPr/>
            </w:pPr>
            <w:r>
              <w:rPr/>
              <w:t> </w:t>
            </w:r>
          </w:p>
        </w:tc>
      </w:tr>
      <w:tr>
        <w:trPr/>
        <w:tc>
          <w:tcPr>
            <w:tcW w:w="7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center"/>
              <w:rPr/>
            </w:pPr>
            <w:r>
              <w:rPr/>
              <w:t>Unaudited</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22" w:type="dxa"/>
            <w:gridSpan w:val="2"/>
            <w:tcBorders/>
            <w:vAlign w:val="center"/>
          </w:tcPr>
          <w:p>
            <w:pPr>
              <w:pStyle w:val="TableContents"/>
              <w:bidi w:val="0"/>
              <w:spacing w:before="0" w:after="283"/>
              <w:jc w:val="center"/>
              <w:rPr/>
            </w:pPr>
            <w:r>
              <w:rPr/>
              <w:t>Unaudited</w:t>
            </w:r>
          </w:p>
        </w:tc>
        <w:tc>
          <w:tcPr>
            <w:tcW w:w="113" w:type="dxa"/>
            <w:tcBorders/>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012" w:type="dxa"/>
            <w:tcBorders/>
            <w:shd w:fill="FFFFFF" w:val="clear"/>
            <w:vAlign w:val="center"/>
          </w:tcPr>
          <w:p>
            <w:pPr>
              <w:pStyle w:val="TableContents"/>
              <w:bidi w:val="0"/>
              <w:spacing w:before="0" w:after="283"/>
              <w:jc w:val="right"/>
              <w:rPr/>
            </w:pPr>
            <w:r>
              <w:rPr/>
              <w:t>(7,586</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197" w:type="dxa"/>
            <w:tcBorders/>
            <w:shd w:fill="FFFFFF" w:val="clear"/>
            <w:vAlign w:val="center"/>
          </w:tcPr>
          <w:p>
            <w:pPr>
              <w:pStyle w:val="TableContents"/>
              <w:bidi w:val="0"/>
              <w:spacing w:before="0" w:after="283"/>
              <w:jc w:val="right"/>
              <w:rPr/>
            </w:pPr>
            <w:r>
              <w:rPr/>
              <w:t>(10,170</w:t>
            </w:r>
          </w:p>
        </w:tc>
        <w:tc>
          <w:tcPr>
            <w:tcW w:w="113" w:type="dxa"/>
            <w:tcBorders/>
            <w:shd w:fill="FFFFFF" w:val="clear"/>
            <w:vAlign w:val="center"/>
          </w:tcPr>
          <w:p>
            <w:pPr>
              <w:pStyle w:val="TableContents"/>
              <w:bidi w:val="0"/>
              <w:spacing w:before="0" w:after="283"/>
              <w:jc w:val="left"/>
              <w:rPr/>
            </w:pPr>
            <w:r>
              <w:rPr/>
              <w:t>)</w:t>
            </w:r>
          </w:p>
        </w:tc>
      </w:tr>
      <w:tr>
        <w:trPr/>
        <w:tc>
          <w:tcPr>
            <w:tcW w:w="7129" w:type="dxa"/>
            <w:tcBorders/>
            <w:shd w:fill="CCEEFF" w:val="clear"/>
            <w:vAlign w:val="center"/>
          </w:tcPr>
          <w:p>
            <w:pPr>
              <w:pStyle w:val="TableContents"/>
              <w:bidi w:val="0"/>
              <w:spacing w:before="0" w:after="283"/>
              <w:jc w:val="left"/>
              <w:rPr/>
            </w:pPr>
            <w:r>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71</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69</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Interest income and unrealized gains from marketable securities, net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(105</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1,097</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1,322</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549</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350</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(738</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(657</w:t>
            </w:r>
          </w:p>
        </w:tc>
        <w:tc>
          <w:tcPr>
            <w:tcW w:w="113" w:type="dxa"/>
            <w:tcBorders/>
            <w:shd w:fill="CCEEFF" w:val="clear"/>
            <w:vAlign w:val="center"/>
          </w:tcPr>
          <w:p>
            <w:pPr>
              <w:pStyle w:val="TableContents"/>
              <w:bidi w:val="0"/>
              <w:spacing w:before="0" w:after="283"/>
              <w:jc w:val="left"/>
              <w:rPr/>
            </w:pPr>
            <w:r>
              <w:rPr/>
              <w:t>)</w:t>
            </w:r>
          </w:p>
        </w:tc>
      </w:tr>
      <w:tr>
        <w:trPr/>
        <w:tc>
          <w:tcPr>
            <w:tcW w:w="7129" w:type="dxa"/>
            <w:tcBorders/>
            <w:shd w:fill="FFFFFF" w:val="clear"/>
            <w:vAlign w:val="center"/>
          </w:tcPr>
          <w:p>
            <w:pPr>
              <w:pStyle w:val="TableContents"/>
              <w:bidi w:val="0"/>
              <w:spacing w:before="0" w:after="283"/>
              <w:jc w:val="left"/>
              <w:rPr/>
            </w:pPr>
            <w:r>
              <w:rPr/>
              <w:t>Net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(6,712</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pPr>
            <w:r>
              <w:rPr/>
              <w:t>(9,086</w:t>
            </w:r>
          </w:p>
        </w:tc>
        <w:tc>
          <w:tcPr>
            <w:tcW w:w="113" w:type="dxa"/>
            <w:tcBorders/>
            <w:shd w:fill="FFFFFF" w:val="clear"/>
            <w:vAlign w:val="center"/>
          </w:tcPr>
          <w:p>
            <w:pPr>
              <w:pStyle w:val="TableContents"/>
              <w:bidi w:val="0"/>
              <w:spacing w:before="0" w:after="283"/>
              <w:jc w:val="left"/>
              <w:rPr/>
            </w:pPr>
            <w:r>
              <w:rPr/>
              <w:t>)</w:t>
            </w:r>
          </w:p>
        </w:tc>
      </w:tr>
      <w:tr>
        <w:trPr/>
        <w:tc>
          <w:tcPr>
            <w:tcW w:w="7129"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(38</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(83</w:t>
            </w:r>
          </w:p>
        </w:tc>
        <w:tc>
          <w:tcPr>
            <w:tcW w:w="113" w:type="dxa"/>
            <w:tcBorders/>
            <w:shd w:fill="FFFFFF" w:val="clear"/>
            <w:vAlign w:val="center"/>
          </w:tcPr>
          <w:p>
            <w:pPr>
              <w:pStyle w:val="TableContents"/>
              <w:bidi w:val="0"/>
              <w:spacing w:before="0" w:after="283"/>
              <w:jc w:val="left"/>
              <w:rPr/>
            </w:pPr>
            <w:r>
              <w:rPr/>
              <w:t>)</w:t>
            </w:r>
          </w:p>
        </w:tc>
      </w:tr>
      <w:tr>
        <w:trPr/>
        <w:tc>
          <w:tcPr>
            <w:tcW w:w="7129" w:type="dxa"/>
            <w:tcBorders/>
            <w:shd w:fill="CCEEFF" w:val="clear"/>
            <w:vAlign w:val="center"/>
          </w:tcPr>
          <w:p>
            <w:pPr>
              <w:pStyle w:val="TableContents"/>
              <w:bidi w:val="0"/>
              <w:spacing w:before="0" w:after="283"/>
              <w:jc w:val="left"/>
              <w:rPr/>
            </w:pPr>
            <w:r>
              <w:rPr/>
              <w:t>Sale of property and equipment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(8,379</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Proceeds from sales of a marketable securities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2,039</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Proceeds from maturities of marketable securities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5,389</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Short term deposit</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(984</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pPr>
            <w:r>
              <w:rPr/>
              <w:t>(83</w:t>
            </w:r>
          </w:p>
        </w:tc>
        <w:tc>
          <w:tcPr>
            <w:tcW w:w="113" w:type="dxa"/>
            <w:tcBorders/>
            <w:shd w:fill="FFFFFF" w:val="clear"/>
            <w:vAlign w:val="center"/>
          </w:tcPr>
          <w:p>
            <w:pPr>
              <w:pStyle w:val="TableContents"/>
              <w:bidi w:val="0"/>
              <w:spacing w:before="0" w:after="283"/>
              <w:jc w:val="left"/>
              <w:rPr/>
            </w:pPr>
            <w:r>
              <w:rPr/>
              <w:t>)</w:t>
            </w:r>
          </w:p>
        </w:tc>
      </w:tr>
      <w:tr>
        <w:trPr/>
        <w:tc>
          <w:tcPr>
            <w:tcW w:w="7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6,558</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Net cash flows provided by financing activities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6,558</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(1,138</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(9,169</w:t>
            </w:r>
          </w:p>
        </w:tc>
        <w:tc>
          <w:tcPr>
            <w:tcW w:w="113" w:type="dxa"/>
            <w:tcBorders/>
            <w:shd w:fill="FFFFFF" w:val="clear"/>
            <w:vAlign w:val="center"/>
          </w:tcPr>
          <w:p>
            <w:pPr>
              <w:pStyle w:val="TableContents"/>
              <w:bidi w:val="0"/>
              <w:spacing w:before="0" w:after="283"/>
              <w:jc w:val="left"/>
              <w:rPr/>
            </w:pPr>
            <w:r>
              <w:rPr/>
              <w:t>)</w:t>
            </w:r>
          </w:p>
        </w:tc>
      </w:tr>
      <w:tr>
        <w:trPr/>
        <w:tc>
          <w:tcPr>
            <w:tcW w:w="7129"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2,519</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pPr>
            <w:r>
              <w:rPr/>
              <w:t>13,580</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pPr>
            <w:r>
              <w:rPr/>
              <w:t>1,381</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r>
              <w:rPr/>
              <w:t>4,411</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29" w:type="dxa"/>
            <w:tcBorders/>
            <w:shd w:fill="CCEEFF" w:val="clear"/>
            <w:vAlign w:val="center"/>
          </w:tcPr>
          <w:p>
            <w:pPr>
              <w:pStyle w:val="TableContents"/>
              <w:bidi w:val="0"/>
              <w:spacing w:before="0" w:after="283"/>
              <w:jc w:val="left"/>
              <w:rPr/>
            </w:pPr>
            <w:r>
              <w:rPr/>
              <w:t>Cash received from interest</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15</w:t>
            </w:r>
          </w:p>
        </w:tc>
        <w:tc>
          <w:tcPr>
            <w:tcW w:w="113"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Right-of-use asset and lease liability</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r>
              <w:rPr/>
              <w:t>147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5" w:name="ap_005"/>
      <w:bookmarkEnd w:id="35"/>
      <w:r>
        <w:rPr>
          <w:rFonts w:ascii="Times New Roman;Times;Serif" w:hAnsi="Times New Roman;Times;Serif"/>
          <w:b w:val="false"/>
          <w:i w:val="false"/>
          <w:caps w:val="false"/>
          <w:smallCaps w:val="false"/>
          <w:sz w:val="20"/>
        </w:rPr>
        <w:t>Notes to Interim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Description of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par value $0.01 per share (the “Common Stock”) began trading on the Nasdaq Capital Market under the symbol “MBOT”.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Microbot Israel, its sole subsidiary, are sometimes collectively referred to as the “Company” as the context may require.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Risk Factors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September 30, 2023, the Company had cash equivalents and marketable securities balance of approximately $8,153, excluding restricted cash, which management believes is sufficient to fund its operations for five months from the filing date of this Quarterly Report on Form 10-Q. Accordingly, as of such filing date, there is a substantial doubt as to the Company’s ability to continue as a 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continuing research and development activities, the Company expects to continue to incur additional losses for the foreseeable future. While management of the Company believes that it has sufficient funds until approximately April 2024, partially as a result of the Company’s cost reduction program implemented in May 2023 and capital raises in May and June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See Note 6 for additional risk factors which have developed subsequent to September 30,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Use of estimates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Unaudited Interim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nine and three-month periods ended September 30, 2023, are not necessarily indicative of the results that may be expected for the year ended December 31,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followed in the preparation of these unaudited interim consolidated financial statements are identical to those applied in the preparation of the latest annual audited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other receivables and other accounts payable and accrued liabilities approximate their fair value due to the short-term maturity of these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summarizes the Company’s financial assets subject to fair value measurement and the level of inputs used in such measurements as of September 30, 2023 and December 31, 2022:</w:t>
      </w:r>
    </w:p>
    <w:p>
      <w:pPr>
        <w:pStyle w:val="TextBody"/>
        <w:shd w:fill="FFFFFF" w:val="clear"/>
        <w:bidi w:val="0"/>
        <w:spacing w:before="0" w:after="0"/>
        <w:ind w:left="36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FINANCIAL ASSETS FAIR VALUE MEASUREMENT</w:t>
      </w:r>
    </w:p>
    <w:tbl>
      <w:tblPr>
        <w:tblW w:w="6392" w:type="dxa"/>
        <w:jc w:val="left"/>
        <w:tblInd w:w="0" w:type="dxa"/>
        <w:tblLayout w:type="fixed"/>
        <w:tblCellMar>
          <w:top w:w="0" w:type="dxa"/>
          <w:left w:w="0" w:type="dxa"/>
          <w:bottom w:w="0" w:type="dxa"/>
          <w:right w:w="0" w:type="dxa"/>
        </w:tblCellMar>
      </w:tblPr>
      <w:tblGrid>
        <w:gridCol w:w="2705"/>
        <w:gridCol w:w="60"/>
        <w:gridCol w:w="163"/>
        <w:gridCol w:w="652"/>
        <w:gridCol w:w="69"/>
        <w:gridCol w:w="69"/>
        <w:gridCol w:w="163"/>
        <w:gridCol w:w="652"/>
        <w:gridCol w:w="69"/>
        <w:gridCol w:w="69"/>
        <w:gridCol w:w="449"/>
        <w:gridCol w:w="305"/>
        <w:gridCol w:w="69"/>
        <w:gridCol w:w="69"/>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September 30, 2023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2" w:type="dxa"/>
            <w:tcBorders/>
            <w:shd w:fill="FFFFFF" w:val="clear"/>
            <w:vAlign w:val="center"/>
          </w:tcPr>
          <w:p>
            <w:pPr>
              <w:pStyle w:val="TableContents"/>
              <w:bidi w:val="0"/>
              <w:spacing w:before="0" w:after="283"/>
              <w:jc w:val="right"/>
              <w:rPr/>
            </w:pPr>
            <w:r>
              <w:rPr/>
              <w:t>6,220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2" w:type="dxa"/>
            <w:tcBorders/>
            <w:shd w:fill="FFFFFF" w:val="clear"/>
            <w:vAlign w:val="center"/>
          </w:tcPr>
          <w:p>
            <w:pPr>
              <w:pStyle w:val="TableContents"/>
              <w:bidi w:val="0"/>
              <w:spacing w:before="0" w:after="283"/>
              <w:jc w:val="right"/>
              <w:rPr/>
            </w:pPr>
            <w:r>
              <w:rPr/>
              <w:t>6,220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598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598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pPr>
            <w:r>
              <w:rPr/>
              <w:t>6,818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pPr>
            <w:r>
              <w:rPr/>
              <w:t>6,818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2705"/>
        <w:gridCol w:w="60"/>
        <w:gridCol w:w="159"/>
        <w:gridCol w:w="637"/>
        <w:gridCol w:w="68"/>
        <w:gridCol w:w="68"/>
        <w:gridCol w:w="159"/>
        <w:gridCol w:w="637"/>
        <w:gridCol w:w="68"/>
        <w:gridCol w:w="68"/>
        <w:gridCol w:w="449"/>
        <w:gridCol w:w="305"/>
        <w:gridCol w:w="68"/>
        <w:gridCol w:w="68"/>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1,247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1,247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U.S. treasury securities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3,761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3,761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3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2023 and December 31, 2022.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records and discloses legal contingencies in accordance with ASC Topic 450, Contingencies. Accordingly, management of the Company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for the periods presented. The Company’s lease agreements do not contain any material residual value guarantees or material restrictive covenants. In addition, the Company does not have any related party leases.</w:t>
      </w:r>
    </w:p>
    <w:p>
      <w:pPr>
        <w:pStyle w:val="TextBody"/>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operating leases was as follows:</w:t>
      </w:r>
    </w:p>
    <w:p>
      <w:pPr>
        <w:pStyle w:val="TextBody"/>
        <w:shd w:fill="FFFFFF" w:val="clear"/>
        <w:bidi w:val="0"/>
        <w:spacing w:before="0" w:after="0"/>
        <w:ind w:left="36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OPERATING LEASES</w:t>
      </w:r>
    </w:p>
    <w:tbl>
      <w:tblPr>
        <w:tblW w:w="5872" w:type="dxa"/>
        <w:jc w:val="left"/>
        <w:tblInd w:w="0" w:type="dxa"/>
        <w:tblLayout w:type="fixed"/>
        <w:tblCellMar>
          <w:top w:w="0" w:type="dxa"/>
          <w:left w:w="0" w:type="dxa"/>
          <w:bottom w:w="0" w:type="dxa"/>
          <w:right w:w="0" w:type="dxa"/>
        </w:tblCellMar>
      </w:tblPr>
      <w:tblGrid>
        <w:gridCol w:w="2795"/>
        <w:gridCol w:w="60"/>
        <w:gridCol w:w="355"/>
        <w:gridCol w:w="964"/>
        <w:gridCol w:w="152"/>
        <w:gridCol w:w="152"/>
        <w:gridCol w:w="355"/>
        <w:gridCol w:w="964"/>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Cash payments and expenses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216</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Undiscounted maturities of operating lease payments as of September 30, 2023 are summarized as follows:</w:t>
      </w:r>
    </w:p>
    <w:p>
      <w:pPr>
        <w:pStyle w:val="TextBody"/>
        <w:bidi w:val="0"/>
        <w:spacing w:before="0" w:after="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MATURITIES OF LEASE LIABILITIES</w:t>
      </w:r>
    </w:p>
    <w:tbl>
      <w:tblPr>
        <w:tblW w:w="3515" w:type="dxa"/>
        <w:jc w:val="left"/>
        <w:tblInd w:w="0" w:type="dxa"/>
        <w:tblLayout w:type="fixed"/>
        <w:tblCellMar>
          <w:top w:w="0" w:type="dxa"/>
          <w:left w:w="0" w:type="dxa"/>
          <w:bottom w:w="0" w:type="dxa"/>
          <w:right w:w="0" w:type="dxa"/>
        </w:tblCellMar>
      </w:tblPr>
      <w:tblGrid>
        <w:gridCol w:w="2825"/>
        <w:gridCol w:w="60"/>
        <w:gridCol w:w="140"/>
        <w:gridCol w:w="380"/>
        <w:gridCol w:w="110"/>
      </w:tblGrid>
      <w:tr>
        <w:trPr/>
        <w:tc>
          <w:tcPr>
            <w:tcW w:w="28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2023 (Remainder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182</w:t>
            </w:r>
          </w:p>
        </w:tc>
        <w:tc>
          <w:tcPr>
            <w:tcW w:w="11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Total future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257</w:t>
            </w:r>
          </w:p>
        </w:tc>
        <w:tc>
          <w:tcPr>
            <w:tcW w:w="11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w:t>
            </w:r>
          </w:p>
        </w:tc>
      </w:tr>
      <w:tr>
        <w:trPr/>
        <w:tc>
          <w:tcPr>
            <w:tcW w:w="2825" w:type="dxa"/>
            <w:tcBorders/>
            <w:shd w:fill="FFFFFF" w:val="clear"/>
            <w:vAlign w:val="center"/>
          </w:tcPr>
          <w:p>
            <w:pPr>
              <w:pStyle w:val="TableContents"/>
              <w:bidi w:val="0"/>
              <w:spacing w:before="0" w:after="283"/>
              <w:jc w:val="both"/>
              <w:rPr/>
            </w:pPr>
            <w:r>
              <w:rPr/>
              <w:t>Total lease liability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245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INFORMATION RELATED TO LEASES</w:t>
      </w:r>
    </w:p>
    <w:tbl>
      <w:tblPr>
        <w:tblW w:w="9728" w:type="dxa"/>
        <w:jc w:val="left"/>
        <w:tblInd w:w="0" w:type="dxa"/>
        <w:tblLayout w:type="fixed"/>
        <w:tblCellMar>
          <w:top w:w="0" w:type="dxa"/>
          <w:left w:w="0" w:type="dxa"/>
          <w:bottom w:w="0" w:type="dxa"/>
          <w:right w:w="0" w:type="dxa"/>
        </w:tblCellMar>
      </w:tblPr>
      <w:tblGrid>
        <w:gridCol w:w="6275"/>
        <w:gridCol w:w="60"/>
        <w:gridCol w:w="361"/>
        <w:gridCol w:w="1113"/>
        <w:gridCol w:w="215"/>
        <w:gridCol w:w="60"/>
        <w:gridCol w:w="124"/>
        <w:gridCol w:w="1290"/>
        <w:gridCol w:w="230"/>
      </w:tblGrid>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Operating leases 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r>
              <w:rPr/>
              <w:t>2</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Operating leases weighted average discount rate</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Israeli Innovation Authority Grants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Israeli Innovation Authority (“IIA”) for participation in research and development since 2013 through September 30, 2023 totaling approximately $1,656. This amount includes advance payment in the third quarter of 2023 of approximately $156 which is a portion of additional grant previously approved from the IIA in the amount of approximately NIS 1.62 million, which based on an exchange rate on September 30, 2023 of NIS 1.00 = $0.2614, would be approximately $423, to further finance the development of the Company’s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robotic surgical system.</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Ltd. (“CardioSert”) on January 4, 2018, Microbot Israel took over the liability to repay CardioSert’s IIA grants in the aggregate amount of approximately $530, which liability will remain for so long as the Company continues to own the CardioSert assets.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agreement with Nitiloop Ltd., an Israeli limited liability company (“Nitiloop”), on October 6, 2022, Microbot Israel took over the liability to repay Nitiloop’s IIA grants in the aggregate amount of approximately $925.</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IIA grants described above, the Company is obligated to pay royalties amounting to 3%-5% of its future sales of the products relating to such grants.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Libor per annum.</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for Grant from Ministry of Economy</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2023, the Company announced that it received approval for a grant from the Ministry of Economy of the State of Israel in the amount of approximately NIS 300 thousand, which based on an exchange rate on such date of NIS 1.00 = $0.27457, would be approximately $82, to further finance the marketing activities of the LIBERTY Robotic System in the US market.</w:t>
      </w:r>
    </w:p>
    <w:p>
      <w:pPr>
        <w:pStyle w:val="TextBody"/>
        <w:shd w:fill="FFFFFF" w:val="clear"/>
        <w:bidi w:val="0"/>
        <w:ind w:left="360" w:right="0" w:hanging="0"/>
        <w:jc w:val="both"/>
        <w:rPr>
          <w:caps w:val="false"/>
          <w:smallCaps w:val="false"/>
        </w:rPr>
      </w:pPr>
      <w:r>
        <w:rPr>
          <w:caps w:val="false"/>
          <w:smallCaps w:val="false"/>
        </w:rPr>
        <w:t> </w:t>
      </w:r>
    </w:p>
    <w:p>
      <w:pPr>
        <w:pStyle w:val="TextBody"/>
        <w:shd w:fill="FFFFFF" w:val="clear"/>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2023, the Company received NIS 109,474 (approximately US$27) of such amount.</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Ministry of Economy grant, the Company is obligated to pay royalties amounting to between 3%-5% of future sales of the LIBERTY product up to the grant amount plus interest.</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TRDF Agreement</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 (SCS) project and its TipCat assets in addition to certain technology relating to the Company’s LIBERTY device. As partial consideration for the license, Microbot Israel shall pay TRDF royalties on net sales (between 1.5%-3.0%) and on sublicense income as detailed in the License Agreement.</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October 2022 suspended the SCS project while it evaluated alternatives for the SCS assets (mainly related patents), including seeking buyers for the assets, joint ventures or licensing arrangements, spinning off the assets into a new operating company or discontinuing the project altogether,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pStyle w:val="TextBody"/>
        <w:shd w:fill="FFFFFF" w:val="clear"/>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with CardioSert Ltd.</w:t>
      </w:r>
    </w:p>
    <w:p>
      <w:pPr>
        <w:pStyle w:val="TextBody"/>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CardioSert Agreement may be terminated by Microbot Israel at any time for convenience upon 90-days’ notice. 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September 30, 2023, the 50 months period has expired and CardioSert can buy-back the Technology at any time.</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the Technology, which could result in the Technology being reacquired by CardioSert for nominal consideration.</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date of this Quarterly Report on Form 10-Q, CardioSert has not purchased back the Technology; however, the Company is in discussions with CardioSert with respect to post-termination matters.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ATM Agreement</w:t>
      </w:r>
    </w:p>
    <w:p>
      <w:pPr>
        <w:pStyle w:val="TextBody"/>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the Company has not sold any shares of Common Stock pursuant to the ATM Agreement, and as of October 13, 2022, the Company suspended the ATM Agreement, which otherwise remains in full force and effect, and terminated the June 2021 Prospectus.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Engagement Letter with H.C. Wainwright</w:t>
      </w:r>
    </w:p>
    <w:p>
      <w:pPr>
        <w:pStyle w:val="TextBody"/>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2023 and in connection with the registered direct and private placement offerings referred to in Note 5 below, the Company entered into an engagement letter (the “Engagement Letter”) with Wainwright, pursuant to which Wainwright agreed to serve as the exclusive placement agent for the issuance and sale of securities of the Company. As compensation for such placement agent services, the Company has agreed to pay Wainwright an aggregate cash fee equal to 7.0% of the gross proceeds received by the Company from offerings contemplated by the Engagement Letter, plus a management fee equal to 1.0% of the gross proceeds received by the Company from such offerings, as well as other reimbursable expenses. The Company has also agreed to issue to Wainwright or its designees preferred investment options upon the closing of such offerings.</w:t>
      </w:r>
    </w:p>
    <w:p>
      <w:pPr>
        <w:pStyle w:val="TextBody"/>
        <w:shd w:fill="FFFFFF" w:val="clear"/>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Nitiloop’s Assets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“Nitiloop Technology”) and the products or potential products incorporating the Nitiloop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$8,000, as follows:</w:t>
      </w:r>
    </w:p>
    <w:p>
      <w:pPr>
        <w:pStyle w:val="TextBody"/>
        <w:shd w:fill="FFFFFF" w:val="clear"/>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at a rate of 3% of net revenue generated as a result of sales, license or other exploitation of the Devices;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at a rate of 1.5% of net revenue generated from the sale, license or other exploitation of commercialization of the technology as part of an integrated product.</w:t>
            </w:r>
          </w:p>
        </w:tc>
      </w:tr>
    </w:tbl>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 Resulting from the 2017 Financing</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seeks rescission of the SPA and return of the Plaintiffs’ $6,750 purchase price with respect to the 2017 Financing. The lawsuit is currently in the discovery phase, and a court-ordered mediation was completed. Management is unable to assess the likelihood that the Company will succeed at trial, having previously lost another lawsuit with respect to the 2017 Financing.</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Mona Litigation</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2019, Alliance filed a motion for summary judgment requesting that the Court dismiss the claims against Alliance, which was subsequently granted by the Court. On February 4, 2020, Mona answered the 16(b) claim and filed a counterclaim against the Company under Section 10(b) of the Exchange Act and Rule 10b-5 promulgated thereunder, claiming a net loss on trading the Company’s stock of approximately $151.</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the Court entered a judgment against Mona and in favor of the Company in the amount of approximately $485. Collection of the judgment was deferred pending resolution of Mona’s counterclaim.</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w:t>
      </w:r>
    </w:p>
    <w:p>
      <w:pPr>
        <w:pStyle w:val="TextBody"/>
        <w:shd w:fill="FFFFFF" w:val="clear"/>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SHARE CAPITAL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Developments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and December 31, 2022, the Company had, respectively, 11,707,317 and 7,890,628 shares of Common Stock issued and outstanding.</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2023, 240,000 of the Company’s outstanding pre-funded warrants were exercised into an equivalent number of shares of Common Stock, at an exercise price of $0.0001 per share.</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Grants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the Company granted stock option awards to certain officers, directors and employees to purchase an aggregate of 241,000 shares of the Common Stock, at a weighted average exercise price per share of $2.664 and with a vesting period of three years.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and Private Placement Offerings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Company also issued to Wainwright or its designees preferred investment options to purchase 60,476 shares of Common Stock, which have a term of three and one-half years from the closing of the Second May Offering, and have an exercise price of $2.75 per share. The Second May Offering was consummated on May 24, 2023. All of such pre-funded warrants were subsequently exercised in accordance with their terms at an exercise price per share of $0.0001 into an equivalent number of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Investment Options Amendment</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amount of the effect of the modifications is approximately $1,230. On June 16, 2023, the holder of the Series B Preferred Investment Options exercised all of such Series B Preferred Investment Options pursuant to its cashless exercise provision into 385,246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subsequent to the reporting period,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 Consequently:</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Company’s Israeli subcontractors, vendors, suppliers and other companies in which the Company relies, are currently only partially active, as instructed by the relevant authorities, which has caused delays in aspects of our development and regulatory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international flights in and out of Israel may affect the Company’s ability to import materials that are required to construct the Company’s devices which are required to complete development and regulatory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international flights in and out of Israel may affect the Company’s commercial and regulatory activities.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assessing whether there are any material adverse effects on its anticipated milestones and results of operations in the fourth quarter of 2023 and perhaps beyond due to the military operation and related matters, the extent of which cannot be estimated at this stage.</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63616</Words>
  <Characters>351301</Characters>
  <CharactersWithSpaces>417842</CharactersWithSpaces>
  <Paragraphs>10868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