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27,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3"/>
              </w:rPr>
              <w:t>Delaware</w:t>
            </w:r>
          </w:p>
        </w:tc>
        <w:tc>
          <w:tcPr>
            <w:tcW w:w="45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000-19871</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90"/>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Braintree, MA 02184</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276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27, 2023, Microbot Medical Inc. (the “Company”) issued a press release announcing its partnership with a Contract Research Organization (CRO) in the U.S. The engagement is an additional step in the Company’s path towards marketing clearance with the FDA.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w:t>
      </w:r>
    </w:p>
    <w:p>
      <w:pPr>
        <w:spacing w:after="0" w:line="23"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Engages CRO to Support its Upcoming U.S. Pivotal Clinical Trial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engagement is an additional step in the Company’s path towards marketing clearance with the FDA</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color w:val="auto"/>
        </w:rPr>
        <w:t xml:space="preserve">BRAINTREE, Mass., September 27, 2023 </w:t>
      </w:r>
      <w:r>
        <w:rPr>
          <w:rFonts w:ascii="Arial" w:cs="Arial" w:eastAsia="Arial" w:hAnsi="Arial"/>
          <w:sz w:val="18"/>
          <w:szCs w:val="18"/>
          <w:color w:val="auto"/>
        </w:rPr>
        <w:t>– Microbot Medical Inc. (Nasdaq: MBOT), the developer of the LIBERTY</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Robotic Surgical System,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single-use endovascular robotic system, announced today its partnership with a Contract Research Organization (CRO) in the U.S. This is an additional step in the preparations to the commencement of the Company’s planned upcoming clinical trial.</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CRO will provide an array of comprehensive research management services, leveraging their expertise and resources to bolster Microbot’s clinical trial initiatives. The CRO will also furnish guidance throughout the clinical trial process, along with essential functional support and resources, to ensure a seamless execution of the Company’s U.S. pivotal clinical trial.</w:t>
      </w:r>
    </w:p>
    <w:p>
      <w:pPr>
        <w:spacing w:after="0" w:line="18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This engagement is expected to support Microbot as it seeks to navigate the regulatory landscape and achieve necessary compliances with the Food and Drug Administration (FDA). The Company’s upcoming U.S. pivotal clinical trial has been designed to evaluate the safety and efficacy of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 in endovascular procedures.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new CRO partner has distinguished themselves with an exceptional track record of excellence in the very niche sector of cardiovascular and peripheral vascular device trials and has paved the way for successful FDA approvals in the past,” commented Jason Lewen, Director of Clinical Affairs at Microbot Medical. “Their clinical team is comprised of individuals with an extensive background in the clinical domain, many of whom are former hospital employees with vast amounts of clinical trial functional experiences. We believe that they will be able to effectively expand our clinical trial capabilities with expert guidance and functional support while maintaining the highest standards of quality and regulatory compliance. We view this significant development as an important milestone in our clinical trial roadmap for FDA market approval and beyond.”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2814320</wp:posOffset>
            </wp:positionH>
            <wp:positionV relativeFrom="page">
              <wp:posOffset>226060</wp:posOffset>
            </wp:positionV>
            <wp:extent cx="1928495" cy="745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2023-09-27T07:45:11Z</dcterms:created>
  <dcterms:modified xsi:type="dcterms:W3CDTF">2023-09-27T07:45:11Z</dcterms:modified>
</cp:coreProperties>
</file>