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4679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7995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BJERKHOLT ERIC</w:t>
              </w:r>
            </w:hyperlink>
          </w:p>
        </w:tc>
        <w:tc>
          <w:tcPr>
            <w:tcW w:w="1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9"/>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9"/>
            <w:vMerge w:val="continue"/>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16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4"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28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03/01/2005</w:t>
            </w: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C/O STEMCELLS, INC.</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3155 PORTER DRIVE</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tcPr>
          <w:p>
            <w:pPr>
              <w:spacing w:after="0"/>
              <w:rPr>
                <w:sz w:val="8"/>
                <w:szCs w:val="8"/>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32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17"/>
                <w:szCs w:val="17"/>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PALO ALTO</w:t>
            </w:r>
          </w:p>
        </w:tc>
        <w:tc>
          <w:tcPr>
            <w:tcW w:w="1260" w:type="dxa"/>
            <w:vAlign w:val="bottom"/>
            <w:gridSpan w:val="3"/>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ind w:left="20"/>
              <w:spacing w:after="0"/>
              <w:rPr>
                <w:sz w:val="20"/>
                <w:szCs w:val="20"/>
                <w:color w:val="auto"/>
              </w:rPr>
            </w:pPr>
            <w:r>
              <w:rPr>
                <w:rFonts w:ascii="Arial" w:cs="Arial" w:eastAsia="Arial" w:hAnsi="Arial"/>
                <w:sz w:val="17"/>
                <w:szCs w:val="17"/>
                <w:color w:val="0000FF"/>
              </w:rPr>
              <w:t>94304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0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6"/>
          </w:tcPr>
          <w:p>
            <w:pPr>
              <w:ind w:left="8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2"/>
          </w:tcPr>
          <w:p>
            <w:pPr>
              <w:ind w:left="840"/>
              <w:spacing w:after="0" w:line="129"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270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00" w:type="dxa"/>
            <w:vAlign w:val="bottom"/>
            <w:gridSpan w:val="6"/>
          </w:tcPr>
          <w:p>
            <w:pPr>
              <w:ind w:left="84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760" w:type="dxa"/>
            <w:vAlign w:val="bottom"/>
            <w:gridSpan w:val="17"/>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4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w w:val="95"/>
              </w:rPr>
              <w:t>Expiration Date</w:t>
            </w: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5"/>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74"/>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 and</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of (D) (Instr.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w w:val="92"/>
              </w:rPr>
              <w:t>Date</w:t>
            </w:r>
          </w:p>
        </w:tc>
        <w:tc>
          <w:tcPr>
            <w:tcW w:w="600" w:type="dxa"/>
            <w:vAlign w:val="bottom"/>
          </w:tcPr>
          <w:p>
            <w:pPr>
              <w:spacing w:after="0"/>
              <w:rPr>
                <w:sz w:val="11"/>
                <w:szCs w:val="11"/>
                <w:color w:val="auto"/>
              </w:rPr>
            </w:pPr>
          </w:p>
        </w:tc>
        <w:tc>
          <w:tcPr>
            <w:tcW w:w="700" w:type="dxa"/>
            <w:vAlign w:val="bottom"/>
          </w:tcPr>
          <w:p>
            <w:pPr>
              <w:spacing w:after="0" w:line="132"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4"/>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4.33</w:t>
            </w:r>
          </w:p>
        </w:tc>
        <w:tc>
          <w:tcPr>
            <w:tcW w:w="140" w:type="dxa"/>
            <w:vAlign w:val="bottom"/>
          </w:tcPr>
          <w:p>
            <w:pPr>
              <w:spacing w:after="0"/>
              <w:rPr>
                <w:sz w:val="17"/>
                <w:szCs w:val="17"/>
                <w:color w:val="auto"/>
              </w:rPr>
            </w:pPr>
          </w:p>
        </w:tc>
        <w:tc>
          <w:tcPr>
            <w:tcW w:w="1120" w:type="dxa"/>
            <w:vAlign w:val="bottom"/>
            <w:gridSpan w:val="2"/>
          </w:tcPr>
          <w:p>
            <w:pPr>
              <w:jc w:val="right"/>
              <w:ind w:right="174"/>
              <w:spacing w:after="0"/>
              <w:rPr>
                <w:sz w:val="20"/>
                <w:szCs w:val="20"/>
                <w:color w:val="auto"/>
              </w:rPr>
            </w:pPr>
            <w:r>
              <w:rPr>
                <w:rFonts w:ascii="Arial" w:cs="Arial" w:eastAsia="Arial" w:hAnsi="Arial"/>
                <w:sz w:val="13"/>
                <w:szCs w:val="13"/>
                <w:color w:val="0000FF"/>
              </w:rPr>
              <w:t>03/01/2005</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4"/>
          </w:tcPr>
          <w:p>
            <w:pPr>
              <w:ind w:left="60"/>
              <w:spacing w:after="0" w:line="207"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300" w:type="dxa"/>
            <w:vAlign w:val="bottom"/>
          </w:tcPr>
          <w:p>
            <w:pPr>
              <w:spacing w:after="0"/>
              <w:rPr>
                <w:sz w:val="17"/>
                <w:szCs w:val="17"/>
                <w:color w:val="auto"/>
              </w:rPr>
            </w:pPr>
          </w:p>
        </w:tc>
        <w:tc>
          <w:tcPr>
            <w:tcW w:w="940" w:type="dxa"/>
            <w:vAlign w:val="bottom"/>
            <w:gridSpan w:val="4"/>
          </w:tcPr>
          <w:p>
            <w:pPr>
              <w:ind w:left="80"/>
              <w:spacing w:after="0" w:line="207" w:lineRule="exact"/>
              <w:rPr>
                <w:sz w:val="20"/>
                <w:szCs w:val="20"/>
                <w:color w:val="auto"/>
              </w:rPr>
            </w:pPr>
            <w:r>
              <w:rPr>
                <w:rFonts w:ascii="Arial" w:cs="Arial" w:eastAsia="Arial" w:hAnsi="Arial"/>
                <w:sz w:val="13"/>
                <w:szCs w:val="13"/>
                <w:color w:val="0000FF"/>
              </w:rPr>
              <w:t>03/01/2006</w:t>
            </w:r>
            <w:r>
              <w:rPr>
                <w:rFonts w:ascii="Arial" w:cs="Arial" w:eastAsia="Arial" w:hAnsi="Arial"/>
                <w:sz w:val="21"/>
                <w:szCs w:val="21"/>
                <w:color w:val="008000"/>
                <w:vertAlign w:val="superscript"/>
              </w:rPr>
              <w:t>(1)</w:t>
            </w:r>
          </w:p>
        </w:tc>
        <w:tc>
          <w:tcPr>
            <w:tcW w:w="700" w:type="dxa"/>
            <w:vAlign w:val="bottom"/>
          </w:tcPr>
          <w:p>
            <w:pPr>
              <w:ind w:left="20"/>
              <w:spacing w:after="0"/>
              <w:rPr>
                <w:sz w:val="20"/>
                <w:szCs w:val="20"/>
                <w:color w:val="auto"/>
              </w:rPr>
            </w:pPr>
            <w:r>
              <w:rPr>
                <w:rFonts w:ascii="Arial" w:cs="Arial" w:eastAsia="Arial" w:hAnsi="Arial"/>
                <w:sz w:val="13"/>
                <w:szCs w:val="13"/>
                <w:color w:val="0000FF"/>
              </w:rPr>
              <w:t>03/01/2015</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700" w:type="dxa"/>
            <w:vAlign w:val="bottom"/>
            <w:gridSpan w:val="2"/>
          </w:tcPr>
          <w:p>
            <w:pPr>
              <w:ind w:left="20"/>
              <w:spacing w:after="0" w:line="207" w:lineRule="exact"/>
              <w:rPr>
                <w:sz w:val="20"/>
                <w:szCs w:val="20"/>
                <w:color w:val="auto"/>
              </w:rPr>
            </w:pPr>
            <w:r>
              <w:rPr>
                <w:rFonts w:ascii="Arial" w:cs="Arial" w:eastAsia="Arial" w:hAnsi="Arial"/>
                <w:sz w:val="17"/>
                <w:szCs w:val="17"/>
                <w:color w:val="0000FF"/>
                <w:w w:val="95"/>
              </w:rPr>
              <w:t>10,000</w:t>
            </w:r>
            <w:r>
              <w:rPr>
                <w:rFonts w:ascii="Arial" w:cs="Arial" w:eastAsia="Arial" w:hAnsi="Arial"/>
                <w:sz w:val="21"/>
                <w:szCs w:val="21"/>
                <w:color w:val="008000"/>
                <w:w w:val="95"/>
                <w:vertAlign w:val="superscript"/>
              </w:rPr>
              <w:t>(1)</w:t>
            </w:r>
          </w:p>
        </w:tc>
        <w:tc>
          <w:tcPr>
            <w:tcW w:w="40" w:type="dxa"/>
            <w:vAlign w:val="bottom"/>
          </w:tcPr>
          <w:p>
            <w:pPr>
              <w:spacing w:after="0"/>
              <w:rPr>
                <w:sz w:val="17"/>
                <w:szCs w:val="17"/>
                <w:color w:val="auto"/>
              </w:rPr>
            </w:pPr>
          </w:p>
        </w:tc>
        <w:tc>
          <w:tcPr>
            <w:tcW w:w="700" w:type="dxa"/>
            <w:vAlign w:val="bottom"/>
            <w:gridSpan w:val="2"/>
          </w:tcPr>
          <w:p>
            <w:pPr>
              <w:ind w:left="100"/>
              <w:spacing w:after="0" w:line="20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1"/>
                <w:szCs w:val="21"/>
                <w:color w:val="008000"/>
                <w:vertAlign w:val="superscript"/>
              </w:rPr>
              <w:t>(1)</w:t>
            </w:r>
          </w:p>
        </w:tc>
        <w:tc>
          <w:tcPr>
            <w:tcW w:w="900" w:type="dxa"/>
            <w:vAlign w:val="bottom"/>
            <w:gridSpan w:val="2"/>
          </w:tcPr>
          <w:p>
            <w:pPr>
              <w:ind w:left="260"/>
              <w:spacing w:after="0"/>
              <w:rPr>
                <w:sz w:val="20"/>
                <w:szCs w:val="20"/>
                <w:color w:val="auto"/>
              </w:rPr>
            </w:pPr>
            <w:r>
              <w:rPr>
                <w:rFonts w:ascii="Arial" w:cs="Arial" w:eastAsia="Arial" w:hAnsi="Arial"/>
                <w:sz w:val="13"/>
                <w:szCs w:val="13"/>
                <w:color w:val="0000FF"/>
              </w:rPr>
              <w:t>10,000</w:t>
            </w: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40"/>
              <w:spacing w:after="0" w:line="94"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420" w:firstLine="5"/>
        <w:spacing w:after="0" w:line="276" w:lineRule="auto"/>
        <w:tabs>
          <w:tab w:leader="none" w:pos="172"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Compensated non-employee directors receive an initial option for 20,000 shares of the Company's common stock on appointment to the Board of Directors as such, and an option for 10,000 shares on each anniversary of appointment, with a strike price equal to the closing price of the stock on such date (or the last preceding business day if such day is not a business day); initial options vest 1/3 on each of the first three anniversaries of appointment, and annual options vest on the first anniversary of each such option. Mr. Bjerkholt was appointed to the Board on March 1, 2004.</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Eric H. Bjerkholt by Iris Brest,</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03/01/2005</w:t>
            </w:r>
          </w:p>
        </w:tc>
        <w:tc>
          <w:tcPr>
            <w:tcW w:w="0" w:type="dxa"/>
            <w:vAlign w:val="bottom"/>
          </w:tcPr>
          <w:p>
            <w:pPr>
              <w:spacing w:after="0"/>
              <w:rPr>
                <w:sz w:val="1"/>
                <w:szCs w:val="1"/>
                <w:color w:val="auto"/>
              </w:rPr>
            </w:pPr>
          </w:p>
        </w:tc>
      </w:tr>
      <w:tr>
        <w:trPr>
          <w:trHeight w:val="90"/>
        </w:trPr>
        <w:tc>
          <w:tcPr>
            <w:tcW w:w="1160" w:type="dxa"/>
            <w:vAlign w:val="bottom"/>
            <w:vMerge w:val="restart"/>
          </w:tcPr>
          <w:p>
            <w:pPr>
              <w:spacing w:after="0" w:line="191" w:lineRule="exact"/>
              <w:rPr>
                <w:sz w:val="20"/>
                <w:szCs w:val="20"/>
                <w:color w:val="auto"/>
              </w:rPr>
            </w:pPr>
            <w:r>
              <w:rPr>
                <w:rFonts w:ascii="Arial" w:cs="Arial" w:eastAsia="Arial" w:hAnsi="Arial"/>
                <w:sz w:val="17"/>
                <w:szCs w:val="17"/>
                <w:color w:val="0000FF"/>
                <w:w w:val="94"/>
              </w:rPr>
              <w:t>Attorney-in-Fact</w:t>
            </w:r>
          </w:p>
        </w:tc>
        <w:tc>
          <w:tcPr>
            <w:tcW w:w="11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160" w:type="dxa"/>
            <w:vAlign w:val="bottom"/>
            <w:tcBorders>
              <w:bottom w:val="single" w:sz="8" w:color="auto"/>
            </w:tcBorders>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735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2019-12-24T00:50:00Z</dcterms:created>
  <dcterms:modified xsi:type="dcterms:W3CDTF">2019-12-24T00:50:00Z</dcterms:modified>
</cp:coreProperties>
</file>