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On December 10, 2024, Microbot Medical Inc. (the “Company”) issued a press release announcing that it has submitted a 510(k) premarket notification to the U.S. Food and Drug Administration (FDA)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successful completion of its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anticipates FDA marketing clearance during the second quarter of 2025, with U.S. commercialization activities expected to commence after the clearance.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 has submitted a 510(k) premarket notification to the U.S. Food and Drug Administration (FDA)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its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anticipates FDA marketing clearance during the second quarter of 2025, with U.S. commercialization activities expected to commence after the clearance.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w:t>
            </w:r>
          </w:p>
        </w:tc>
        <w:tc>
          <w:tcPr>
            <w:tcW w:w="9280" w:type="dxa"/>
            <w:vAlign w:val="bottom"/>
            <w:tcBorders>
              <w:top w:val="single" w:sz="8" w:color="auto"/>
            </w:tcBorders>
          </w:tcPr>
          <w:p>
            <w:pPr>
              <w:spacing w:after="0"/>
              <w:rPr>
                <w:sz w:val="24"/>
                <w:szCs w:val="24"/>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831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Announces FDA Submission for the Commercialization of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FDA 510(k) Submission Follows the Successful Completion of the Pivotal Human Clinical Trial</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FDA 510(k) Clearance Anticipated During the Second Quarter of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Preparing to Commence Commercialization Following FDA 510(k) Clearance</w:t>
      </w:r>
    </w:p>
    <w:p>
      <w:pPr>
        <w:spacing w:after="0" w:line="231"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18"/>
          <w:szCs w:val="18"/>
          <w:b w:val="1"/>
          <w:bCs w:val="1"/>
          <w:color w:val="auto"/>
        </w:rPr>
        <w:t xml:space="preserve">BRAINTREE, Mass., December 10, 2024 </w:t>
      </w:r>
      <w:r>
        <w:rPr>
          <w:rFonts w:ascii="Times New Roman" w:cs="Times New Roman" w:eastAsia="Times New Roman" w:hAnsi="Times New Roman"/>
          <w:sz w:val="18"/>
          <w:szCs w:val="18"/>
          <w:color w:val="auto"/>
        </w:rPr>
        <w:t>— Microbot Medical Inc. (Nasdaq: MBOT), developer of the innovative single use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today announced that it has submitted a 510(k) premarket notification to the U.S. Food and Drug Administration (FDA)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the world’s first single-use, fully disposable robotic system for endovascular procedures. The 510(k) submission follows the successful</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completion of its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anticipates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is a pivotal milestone for our Company, as the 510(k) submission reflects the commencement of our transition to a commercially focused company,” commented Harel Gadot, Chairman, CEO and President. “We are excited to transition our focus towards preparing for our expected U.S. launch in the second quarter of 2025 and targeting the more than 2 million peripheral vascular procedures performed in the U.S. each year. We believe, based on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feedback from physicians and the medical community, that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positioned to redefine the peripheral endovascular space with the introduction of the world’s first commercially available single-use robotic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190" w:lineRule="auto"/>
        <w:rPr>
          <w:sz w:val="20"/>
          <w:szCs w:val="20"/>
          <w:color w:val="auto"/>
        </w:rPr>
      </w:pPr>
      <w:r>
        <w:rPr>
          <w:rFonts w:ascii="Times New Roman" w:cs="Times New Roman" w:eastAsia="Times New Roman" w:hAnsi="Times New Roman"/>
          <w:sz w:val="18"/>
          <w:szCs w:val="18"/>
          <w:color w:val="auto"/>
        </w:rPr>
        <w:t>As the world’s first single-use, fully disposable endovascular robotic system,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eliminates the need for large and expensive capital equipment and streamlines customers’ access to robotics. With its remote control,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designed to significantly reduce radiation exposure to physicians and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staff, and improve ergonomics, which has the potential to reduce the physical strain on healthcare providers. The Company also believes that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has the potential to lower procedure costs, increase procedure efficiency and improve the overall quality of care.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regulatory pathways and regulatory approvals, including whether the FDA will grant 510(k) clearance to</w:t>
      </w:r>
    </w:p>
    <w:p>
      <w:pPr>
        <w:spacing w:after="0" w:line="2"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Commission (SEC), which 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2024-12-10T07:10:35Z</dcterms:created>
  <dcterms:modified xsi:type="dcterms:W3CDTF">2024-12-10T07:10:35Z</dcterms:modified>
</cp:coreProperties>
</file>