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23292310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13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2,241,500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2,241,500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2,241,500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w:t>
      </w:r>
    </w:p>
    <w:p>
      <w:pPr>
        <w:spacing w:after="0" w:line="207" w:lineRule="exact"/>
        <w:rPr>
          <w:sz w:val="20"/>
          <w:szCs w:val="20"/>
          <w:color w:val="auto"/>
        </w:rPr>
      </w:pPr>
    </w:p>
    <w:p>
      <w:pPr>
        <w:ind w:right="7159" w:firstLine="8"/>
        <w:spacing w:after="0" w:line="470"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2,241,500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2,241,500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2,241,500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w:t>
      </w:r>
    </w:p>
    <w:p>
      <w:pPr>
        <w:spacing w:after="0" w:line="207" w:lineRule="exact"/>
        <w:rPr>
          <w:sz w:val="20"/>
          <w:szCs w:val="20"/>
          <w:color w:val="auto"/>
        </w:rPr>
      </w:pPr>
    </w:p>
    <w:p>
      <w:pPr>
        <w:ind w:right="71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2,241,500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2,241,500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2,241,500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w:t>
      </w:r>
    </w:p>
    <w:p>
      <w:pPr>
        <w:spacing w:after="0" w:line="207" w:lineRule="exact"/>
        <w:rPr>
          <w:sz w:val="20"/>
          <w:szCs w:val="20"/>
          <w:color w:val="auto"/>
        </w:rPr>
      </w:pPr>
    </w:p>
    <w:p>
      <w:pPr>
        <w:ind w:right="71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2,083,000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2,083,000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2,083,000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13.8%</w:t>
      </w:r>
    </w:p>
    <w:p>
      <w:pPr>
        <w:spacing w:after="0" w:line="207" w:lineRule="exact"/>
        <w:rPr>
          <w:sz w:val="20"/>
          <w:szCs w:val="20"/>
          <w:color w:val="auto"/>
        </w:rPr>
      </w:pPr>
    </w:p>
    <w:p>
      <w:pPr>
        <w:ind w:right="7159" w:firstLine="8"/>
        <w:spacing w:after="0" w:line="470"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PN</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2,083,000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2,083,000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2,083,000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13.8%</w:t>
      </w:r>
    </w:p>
    <w:p>
      <w:pPr>
        <w:spacing w:after="0" w:line="201"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13 Pages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Two Richmond Square</w:t>
      </w:r>
    </w:p>
    <w:p>
      <w:pPr>
        <w:ind w:left="1280"/>
        <w:spacing w:after="0" w:line="238" w:lineRule="auto"/>
        <w:rPr>
          <w:sz w:val="20"/>
          <w:szCs w:val="20"/>
          <w:color w:val="auto"/>
        </w:rPr>
      </w:pPr>
      <w:r>
        <w:rPr>
          <w:rFonts w:ascii="Courier New" w:cs="Courier New" w:eastAsia="Courier New" w:hAnsi="Courier New"/>
          <w:sz w:val="18"/>
          <w:szCs w:val="18"/>
          <w:color w:val="auto"/>
        </w:rPr>
        <w:t>Providence, RI 02906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Merrill Lynch Group, Inc..</w:t>
      </w:r>
    </w:p>
    <w:p>
      <w:pPr>
        <w:ind w:left="1280"/>
        <w:spacing w:after="0"/>
        <w:rPr>
          <w:sz w:val="20"/>
          <w:szCs w:val="20"/>
          <w:color w:val="auto"/>
        </w:rPr>
      </w:pPr>
      <w:r>
        <w:rPr>
          <w:rFonts w:ascii="Courier New" w:cs="Courier New" w:eastAsia="Courier New" w:hAnsi="Courier New"/>
          <w:sz w:val="18"/>
          <w:szCs w:val="18"/>
          <w:color w:val="auto"/>
        </w:rPr>
        <w:t>Princeton Services, Inc.</w:t>
      </w:r>
    </w:p>
    <w:p>
      <w:pPr>
        <w:ind w:left="1280"/>
        <w:spacing w:after="0" w:line="237" w:lineRule="auto"/>
        <w:rPr>
          <w:sz w:val="20"/>
          <w:szCs w:val="20"/>
          <w:color w:val="auto"/>
        </w:rPr>
      </w:pPr>
      <w:r>
        <w:rPr>
          <w:rFonts w:ascii="Courier New" w:cs="Courier New" w:eastAsia="Courier New" w:hAnsi="Courier New"/>
          <w:sz w:val="18"/>
          <w:szCs w:val="18"/>
          <w:color w:val="auto"/>
        </w:rPr>
        <w:t>Merrill Lynch Asset Management, L.P.</w:t>
      </w:r>
    </w:p>
    <w:p>
      <w:pPr>
        <w:ind w:left="1280"/>
        <w:spacing w:after="0" w:line="238" w:lineRule="auto"/>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23292310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Merrill Lynch &amp; Co., Inc. ("ML&amp;Co."), Merrill Lynch Group, Inc. ("ML Group") and Princeton Services, Inc. ("PSI") are parent holding companies, in accordance with (S) 240.13d-1(b) (ii) (G). Merrill Lynch Asset Management, L.P. (d/b/a) Merrill Lynch Asset Management ("MLAM") is an investment adviser registered (S) 203 of the Investment Advisers Act of 1940. Merrill Lynch Growth Fund for Investment &amp; Retirement (the "Fund") is an investment company registered under Section 8 of the Investment Company Act of 1940.</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See Item 9 of Cover Pages. Pursuant to (S) 240.13d-4, ML&amp;Co., ML Group, PSI, MLAM and the Fund (the "Reporting Persons") disclaim beneficial ownership of the securities of Cytotherapeutics, Inc. (the "Company") referred to herein, and the filing of this Schedule 13G shall not be construed as an admission that the Reporting Persons are, for the purposes of Section 13(d) or 13(g) of the Act, the beneficial owner of any securities of the Company covered by this statement.</w:t>
      </w:r>
    </w:p>
    <w:p>
      <w:pPr>
        <w:spacing w:after="0" w:line="205"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Page 9 of 13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359" w:hanging="631"/>
        <w:spacing w:after="0" w:line="470"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dispose of or direct the disposition of: See Item 8 of Cover Pages</w:t>
      </w:r>
    </w:p>
    <w:p>
      <w:pPr>
        <w:spacing w:after="0" w:line="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MLAM is an investment adviser registered under Section 203 of the Investment Advisers Act of 1940 and acts as an investment adviser to investment companies registered under Section 8 of the Investment Company Act of 1940. With respect to securities held by those investment companies, several persons have the right to receive, or the power to direct the receipt of dividends from, or the proceeds from the sale of, such securities. Merrill Lynch Growth Fund for Investment &amp; Retirement, a reporting person on this Schedule 13G for which MLAM serves as investment adviser, has an interest that reltates to more than 5% of the class of securities reported herein. No other person has an interest that relates to more than 5% of the class of securities reported herein.</w:t>
      </w: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Page 10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After reasonable inquiry and to the best of my knowledge and belief,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undersigned certifies that the information set forth in this statement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true, complete and correct.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firstLine="8"/>
        <w:spacing w:after="0" w:line="235" w:lineRule="auto"/>
        <w:tabs>
          <w:tab w:leader="none" w:pos="21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B to this Schedule 13G.</w:t>
      </w:r>
    </w:p>
    <w:p>
      <w:pPr>
        <w:spacing w:after="0" w:line="208" w:lineRule="exact"/>
        <w:rPr>
          <w:sz w:val="20"/>
          <w:szCs w:val="20"/>
          <w:color w:val="auto"/>
        </w:rPr>
      </w:pPr>
    </w:p>
    <w:p>
      <w:pPr>
        <w:ind w:right="1879" w:firstLine="8"/>
        <w:spacing w:after="0" w:line="235" w:lineRule="auto"/>
        <w:tabs>
          <w:tab w:leader="none" w:pos="3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C to this Schedule 13G.</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1995, included as Exhibit D to this Schedule 13G.</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11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of 13</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Pages</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Merrill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Lynch</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Asset Management, L.P.</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By: Princeton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Services, Inc. (General Partner)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10" w:lineRule="exact"/>
        <w:rPr>
          <w:sz w:val="20"/>
          <w:szCs w:val="20"/>
          <w:color w:val="auto"/>
        </w:rPr>
      </w:pPr>
    </w:p>
    <w:p>
      <w:pPr>
        <w:ind w:right="2099" w:firstLine="8"/>
        <w:spacing w:after="0" w:line="235" w:lineRule="auto"/>
        <w:tabs>
          <w:tab w:leader="none" w:pos="52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1996, included Exhibit E to this Schedule 13G.</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22 1996, included Exhibit F to this Schedule 13G.</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Page 12 of 13 Pages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A TO SCHEDULE 13G</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ITEM 7 DISCLOSURE RESPECTING SUBSIDIARIES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Three of the persons filing this report, Merrill Lynch &amp; Co., Inc., a Delaware corporation with its principal place of business at World Financial Center, North Tower, 250 Vesey Street, New York, New York ("ML&amp;Co."), Merrill Lynch Group, Inc., a Delaware corporation with its principal place of business at World Financial Center, North Tower, 250 Vesey Street, New York, New York ("ML Group"), and Princeton Services, Inc. a Delaware corporation with its principal place of business at 800 Scudders Mill Road, Plainsboro, New Jersey, ("PSI") are parent holding companies pursuant to (S)240 13d-1(b) (1) (ii) (G). Pursuant to the instructions in Item 7 of Schedule 13G, the relevant subsidiaries of Merrill Lynch &amp; Co. are ML Group and PSI, which is the general partner of Merrill Lynch Asset Management, L.P. (d/b/a) Merrill Lynch Asset Management ("MLAM") and Fund Asset Management, L.P. (d/b/a)</w:t>
      </w:r>
    </w:p>
    <w:p>
      <w:pPr>
        <w:spacing w:after="0" w:line="18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Fund Asset Management ("FAM"). The relevant subsidiary of Merrill Lynch Group is PSI.</w:t>
      </w:r>
    </w:p>
    <w:p>
      <w:pPr>
        <w:spacing w:after="0" w:line="208"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ML Group, a wholly-owned direct subsidiary of ML&amp;Co., may be deemed to be the beneficial owner of 14.8% of the common stock of Cytotherapeutics, Inc. (the "Company") by virtue of its control of its wholly-owned subsidiary, PSI.</w:t>
      </w:r>
    </w:p>
    <w:p>
      <w:pPr>
        <w:spacing w:after="0" w:line="178"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PSI, a wholly-owned direct subsidiary of ML Group, may be deemed to be the beneficial owner of 14.8% of the common stock of the Company by virtue of its being the general partner of MLAM and FAM.</w:t>
      </w:r>
    </w:p>
    <w:p>
      <w:pPr>
        <w:spacing w:after="0" w:line="209"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MLAM, a Delaware limited partnership with its principal place of business at 800 Scudders Mill Road, Plainsboro, New Jersey, is an investment adviser registered under Section 203 of the Investment Advisers Act of 1940. MLAM may be deemed to be the beneficial owner of 13.8% of the common stock of the Company by virtue of its acting as investment adviser to several investment companies registered under Section 8 of the Investment Company Act of 1940.</w:t>
      </w:r>
    </w:p>
    <w:p>
      <w:pPr>
        <w:spacing w:after="0" w:line="186"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One registered investment company advised by MLAM, Merrill Lynch Growth Fund for Investment &amp; Retirement (the "Fund"), may be deemd to be the beneficial owner of 13.8% of the common stock of the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FAM, a Delaware limited partnership with its principal place of business</w:t>
      </w:r>
    </w:p>
    <w:p>
      <w:pPr>
        <w:spacing w:after="0" w:line="238" w:lineRule="auto"/>
        <w:rPr>
          <w:sz w:val="20"/>
          <w:szCs w:val="20"/>
          <w:color w:val="auto"/>
        </w:rPr>
      </w:pPr>
      <w:r>
        <w:rPr>
          <w:rFonts w:ascii="Courier New" w:cs="Courier New" w:eastAsia="Courier New" w:hAnsi="Courier New"/>
          <w:sz w:val="18"/>
          <w:szCs w:val="18"/>
          <w:color w:val="auto"/>
        </w:rPr>
        <w:t>at 800 Scudders Mill Road, Plainsboro, New Jersey, is an investment adviser</w:t>
      </w:r>
    </w:p>
    <w:p>
      <w:pPr>
        <w:spacing w:after="0"/>
        <w:tabs>
          <w:tab w:leader="none" w:pos="7360" w:val="left"/>
        </w:tabs>
        <w:rPr>
          <w:sz w:val="20"/>
          <w:szCs w:val="20"/>
          <w:color w:val="auto"/>
        </w:rPr>
      </w:pPr>
      <w:r>
        <w:rPr>
          <w:rFonts w:ascii="Courier New" w:cs="Courier New" w:eastAsia="Courier New" w:hAnsi="Courier New"/>
          <w:sz w:val="18"/>
          <w:szCs w:val="18"/>
          <w:color w:val="auto"/>
        </w:rPr>
        <w:t>registered under Section 203 of the Investment Advisers Act of 1940.</w:t>
      </w:r>
      <w:r>
        <w:rPr>
          <w:sz w:val="20"/>
          <w:szCs w:val="20"/>
          <w:color w:val="auto"/>
        </w:rPr>
        <w:tab/>
      </w:r>
      <w:r>
        <w:rPr>
          <w:rFonts w:ascii="Courier New" w:cs="Courier New" w:eastAsia="Courier New" w:hAnsi="Courier New"/>
          <w:sz w:val="16"/>
          <w:szCs w:val="16"/>
          <w:color w:val="auto"/>
        </w:rPr>
        <w:t>FAM may</w:t>
      </w:r>
    </w:p>
    <w:p>
      <w:pPr>
        <w:spacing w:after="0" w:line="237" w:lineRule="auto"/>
        <w:rPr>
          <w:sz w:val="20"/>
          <w:szCs w:val="20"/>
          <w:color w:val="auto"/>
        </w:rPr>
      </w:pPr>
      <w:r>
        <w:rPr>
          <w:rFonts w:ascii="Courier New" w:cs="Courier New" w:eastAsia="Courier New" w:hAnsi="Courier New"/>
          <w:sz w:val="18"/>
          <w:szCs w:val="18"/>
          <w:color w:val="auto"/>
        </w:rPr>
        <w:t>be deemed to be the beneficial owner of less than 5% of the common stock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by virtue of its acting as investment adviser to several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companies registered under Section 8 of the Investment Company Act of 1940.</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(S)240.13d-4, ML &amp; Co., ML Group, PSI, MLAM, FAM and the Fund disclaim beneficial ownership of the securities of the Company, and the filing of this Schedule 13G shall not be construed as an admission that any such entity is, for the purposes of Section 13(d) or 13(g) of the Securities Exchange Act of 1934, the beneficial owner of any securities of the Company.</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Page 13 of 13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&amp; Co., Inc. (the "Corporation"), a corporation duly organized under the laws of the State of Delaware, with its principal place of business at World Financial Center, North Tower, New York, New York, 10281, does hereby make, constitute and appoint Richard B. Alsop,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w:t>
      </w:r>
    </w:p>
    <w:p>
      <w:pPr>
        <w:spacing w:after="0" w:line="193" w:lineRule="exact"/>
        <w:rPr>
          <w:rFonts w:ascii="Courier New" w:cs="Courier New" w:eastAsia="Courier New" w:hAnsi="Courier New"/>
          <w:sz w:val="16"/>
          <w:szCs w:val="16"/>
          <w:color w:val="auto"/>
        </w:rPr>
      </w:pPr>
    </w:p>
    <w:p>
      <w:pPr>
        <w:ind w:right="2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if the undersigned could do if personally present. This Power of Attorney shall remain in effect until revoked, in writing, by the undersigned.</w:t>
      </w:r>
    </w:p>
    <w:p>
      <w:pPr>
        <w:spacing w:after="0" w:line="17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H. Komansky</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H. Komansky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C</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Group, Inc. (the "Corporation"), a corporation duly organized under the laws of the State of Delaware, with its principal place of business at World Financial Center, North Tower, New York, New York, 10281, does hereby make, constitute and appoint Richard B. Alsop,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w:t>
      </w:r>
    </w:p>
    <w:p>
      <w:pPr>
        <w:sectPr>
          <w:pgSz w:w="11900" w:h="16838" w:orient="portrait"/>
          <w:cols w:equalWidth="0" w:num="1">
            <w:col w:w="10219"/>
          </w:cols>
          <w:pgMar w:left="240" w:top="717" w:right="1440" w:bottom="0" w:gutter="0" w:footer="0" w:header="0"/>
        </w:sectPr>
      </w:pPr>
    </w:p>
    <w:bookmarkStart w:id="13" w:name="page14"/>
    <w:bookmarkEnd w:id="13"/>
    <w:p>
      <w:pPr>
        <w:ind w:right="2099"/>
        <w:spacing w:after="0" w:line="272" w:lineRule="auto"/>
        <w:rPr>
          <w:sz w:val="20"/>
          <w:szCs w:val="20"/>
          <w:color w:val="auto"/>
        </w:rPr>
      </w:pPr>
      <w:r>
        <w:rPr>
          <w:rFonts w:ascii="Courier New" w:cs="Courier New" w:eastAsia="Courier New" w:hAnsi="Courier New"/>
          <w:sz w:val="16"/>
          <w:szCs w:val="16"/>
          <w:color w:val="auto"/>
        </w:rPr>
        <w:t>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186"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Rosemary T. Berkery</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Rosemary T. Berkery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The undersigned, Princeton Services Inc., a corporation duly organized under the laws of the State of Delaware, with its principal place of business at 800 Scudders Mill Road, Plainsboro, New Jersey 08536 does hereby make, constitute and appoint Richard B. Alsop,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200" w:lineRule="exact"/>
        <w:rPr>
          <w:sz w:val="20"/>
          <w:szCs w:val="20"/>
          <w:color w:val="auto"/>
        </w:rPr>
      </w:pPr>
    </w:p>
    <w:p>
      <w:pPr>
        <w:spacing w:after="0" w:line="3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undersigned, Merrill Lynch Asset Management, L.P. d/b/a Merrill Lynch Asset Management, a Limited Partnership duly organized under the laws of the State of Delaware, with its principal place of business at 800 Scudders Mill Road, Plainsboro, New Jersey 08536 does hereby make, constitute and appoint Richard B. Alsop, Andrea Lowenthal, Richard D. Kreuder, Gregory T. Russo,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Dauna R. Williams, acting severally, each of whose address is Merrill Lynch</w:t>
      </w:r>
    </w:p>
    <w:p>
      <w:pPr>
        <w:spacing w:after="0" w:line="21" w:lineRule="exact"/>
        <w:rPr>
          <w:sz w:val="20"/>
          <w:szCs w:val="20"/>
          <w:color w:val="auto"/>
        </w:rPr>
      </w:pPr>
    </w:p>
    <w:p>
      <w:pPr>
        <w:jc w:val="both"/>
        <w:ind w:right="1999" w:firstLine="8"/>
        <w:spacing w:after="0" w:line="273" w:lineRule="auto"/>
        <w:tabs>
          <w:tab w:leader="none" w:pos="21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filings of the Securities and Exchange Commission Schedule 13D or Schedule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5"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d/b/a Merrill Lynch Asset Management</w:t>
      </w:r>
    </w:p>
    <w:p>
      <w:pPr>
        <w:spacing w:after="0"/>
        <w:rPr>
          <w:sz w:val="20"/>
          <w:szCs w:val="20"/>
          <w:color w:val="auto"/>
        </w:rPr>
      </w:pPr>
      <w:r>
        <w:rPr>
          <w:rFonts w:ascii="Courier New" w:cs="Courier New" w:eastAsia="Courier New" w:hAnsi="Courier New"/>
          <w:sz w:val="18"/>
          <w:szCs w:val="18"/>
          <w:color w:val="auto"/>
        </w:rPr>
        <w:t>By: Princeton Services, Inc., General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F</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undersigned, Merrill Lynch Growth Fund for Investment and Retirement,</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 corporation duly organized under the laws of the State of Massachusetts with its principal place of business at 800 Scudders Mill Road, Plainsboro, New Jersey 08536 does hereby make, constitute and appoint Richard B. Alsop,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394"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22nd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AND RETIREMENT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6"/>
    </w:lvl>
  </w:abstractNum>
  <w:abstractNum w:abstractNumId="7">
    <w:nsid w:val="2901D82"/>
    <w:multiLevelType w:val="hybridMultilevel"/>
    <w:lvl w:ilvl="0">
      <w:lvlJc w:val="left"/>
      <w:lvlText w:val="%1."/>
      <w:numFmt w:val="decimal"/>
      <w:start w:val="12"/>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decimal"/>
      <w:start w:val="3"/>
    </w:lvl>
  </w:abstractNum>
  <w:abstractNum w:abstractNumId="11">
    <w:nsid w:val="7C3DBD3D"/>
    <w:multiLevelType w:val="hybridMultilevel"/>
    <w:lvl w:ilvl="0">
      <w:lvlJc w:val="left"/>
      <w:lvlText w:val="%1."/>
      <w:numFmt w:val="decimal"/>
      <w:start w:val="6"/>
    </w:lvl>
  </w:abstractNum>
  <w:abstractNum w:abstractNumId="12">
    <w:nsid w:val="737B8DDC"/>
    <w:multiLevelType w:val="hybridMultilevel"/>
    <w:lvl w:ilvl="0">
      <w:lvlJc w:val="left"/>
      <w:lvlText w:val="%1."/>
      <w:numFmt w:val="decimal"/>
      <w:start w:val="12"/>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decimal"/>
      <w:start w:val="3"/>
    </w:lvl>
  </w:abstractNum>
  <w:abstractNum w:abstractNumId="16">
    <w:nsid w:val="3006C83E"/>
    <w:multiLevelType w:val="hybridMultilevel"/>
    <w:lvl w:ilvl="0">
      <w:lvlJc w:val="left"/>
      <w:lvlText w:val="%1."/>
      <w:numFmt w:val="decimal"/>
      <w:start w:val="6"/>
    </w:lvl>
  </w:abstractNum>
  <w:abstractNum w:abstractNumId="17">
    <w:nsid w:val="614FD4A1"/>
    <w:multiLevelType w:val="hybridMultilevel"/>
    <w:lvl w:ilvl="0">
      <w:lvlJc w:val="left"/>
      <w:lvlText w:val="%1."/>
      <w:numFmt w:val="decimal"/>
      <w:start w:val="12"/>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1."/>
      <w:numFmt w:val="decimal"/>
      <w:start w:val="6"/>
    </w:lvl>
  </w:abstractNum>
  <w:abstractNum w:abstractNumId="23">
    <w:nsid w:val="77465F01"/>
    <w:multiLevelType w:val="hybridMultilevel"/>
    <w:lvl w:ilvl="0">
      <w:lvlJc w:val="left"/>
      <w:lvlText w:val="%1."/>
      <w:numFmt w:val="decimal"/>
      <w:start w:val="12"/>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decimal"/>
      <w:start w:val="3"/>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1."/>
      <w:numFmt w:val="decimal"/>
      <w:start w:val="1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2"/>
    </w:lvl>
    <w:lvl w:ilvl="1">
      <w:lvlJc w:val="left"/>
      <w:lvlText w:val="(%2)"/>
      <w:numFmt w:val="lowerRoman"/>
      <w:start w:val="1"/>
    </w:lvl>
  </w:abstractNum>
  <w:abstractNum w:abstractNumId="31">
    <w:nsid w:val="153EA438"/>
    <w:multiLevelType w:val="hybridMultilevel"/>
    <w:lvl w:ilvl="0">
      <w:lvlJc w:val="left"/>
      <w:lvlText w:val="(%1)"/>
      <w:numFmt w:val="lowerRoman"/>
      <w:start w:val="4"/>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amp;"/>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amp;"/>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amp;"/>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2019-12-13T21:53:58Z</dcterms:created>
  <dcterms:modified xsi:type="dcterms:W3CDTF">2019-12-13T21:53:58Z</dcterms:modified>
</cp:coreProperties>
</file>