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360" w:hanging="802"/>
        <w:spacing w:after="0"/>
        <w:tabs>
          <w:tab w:leader="none" w:pos="13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18"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ind w:left="1360" w:right="680" w:hanging="782"/>
        <w:spacing w:after="0" w:line="500" w:lineRule="auto"/>
        <w:tabs>
          <w:tab w:leader="none" w:pos="-250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25 Recreation Park Drive, Unit 108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760" w:right="339" w:bottom="1440" w:gutter="0" w:footer="0" w:header="0"/>
          <w:type w:val="continuous"/>
        </w:sect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3160" w:type="dxa"/>
            <w:vAlign w:val="bottom"/>
            <w:gridSpan w:val="2"/>
          </w:tcPr>
          <w:p>
            <w:pPr>
              <w:ind w:left="780"/>
              <w:spacing w:after="0"/>
              <w:rPr>
                <w:sz w:val="20"/>
                <w:szCs w:val="20"/>
                <w:color w:val="auto"/>
              </w:rPr>
            </w:pPr>
            <w:r>
              <w:rPr>
                <w:rFonts w:ascii="Arial" w:cs="Arial" w:eastAsia="Arial" w:hAnsi="Arial"/>
                <w:sz w:val="18"/>
                <w:szCs w:val="18"/>
                <w:color w:val="auto"/>
              </w:rPr>
              <w:t>Title of Each Class</w:t>
            </w:r>
          </w:p>
        </w:tc>
        <w:tc>
          <w:tcPr>
            <w:tcW w:w="3140" w:type="dxa"/>
            <w:vAlign w:val="bottom"/>
            <w:gridSpan w:val="2"/>
          </w:tcPr>
          <w:p>
            <w:pPr>
              <w:ind w:left="780"/>
              <w:spacing w:after="0"/>
              <w:rPr>
                <w:sz w:val="20"/>
                <w:szCs w:val="20"/>
                <w:color w:val="auto"/>
              </w:rPr>
            </w:pPr>
            <w:r>
              <w:rPr>
                <w:rFonts w:ascii="Arial" w:cs="Arial" w:eastAsia="Arial" w:hAnsi="Arial"/>
                <w:sz w:val="18"/>
                <w:szCs w:val="18"/>
                <w:color w:val="auto"/>
              </w:rPr>
              <w:t>Trading Symbol(s)</w:t>
            </w:r>
          </w:p>
        </w:tc>
        <w:tc>
          <w:tcPr>
            <w:tcW w:w="4940" w:type="dxa"/>
            <w:vAlign w:val="bottom"/>
          </w:tcPr>
          <w:p>
            <w:pPr>
              <w:ind w:left="1060"/>
              <w:spacing w:after="0"/>
              <w:rPr>
                <w:sz w:val="20"/>
                <w:szCs w:val="20"/>
                <w:color w:val="auto"/>
              </w:rPr>
            </w:pPr>
            <w:r>
              <w:rPr>
                <w:rFonts w:ascii="Arial" w:cs="Arial" w:eastAsia="Arial" w:hAnsi="Arial"/>
                <w:sz w:val="18"/>
                <w:szCs w:val="18"/>
                <w:color w:val="auto"/>
              </w:rPr>
              <w:t>Name of exchange on which registered</w:t>
            </w:r>
          </w:p>
        </w:tc>
      </w:tr>
      <w:tr>
        <w:trPr>
          <w:trHeight w:val="230"/>
        </w:trPr>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NASDAQ Capital Market</w:t>
            </w:r>
          </w:p>
        </w:tc>
      </w:tr>
    </w:tbl>
    <w:p>
      <w:pPr>
        <w:spacing w:after="0" w:line="187"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60" w:right="339" w:bottom="1440" w:gutter="0" w:footer="0" w:header="0"/>
          <w:type w:val="continuous"/>
        </w:sectPr>
      </w:pPr>
    </w:p>
    <w:p>
      <w:pPr>
        <w:spacing w:after="0" w:line="184" w:lineRule="exact"/>
        <w:rPr>
          <w:sz w:val="24"/>
          <w:szCs w:val="24"/>
          <w:color w:val="auto"/>
        </w:rPr>
      </w:pPr>
    </w:p>
    <w:p>
      <w:pPr>
        <w:jc w:val="both"/>
        <w:ind w:left="460" w:right="220"/>
        <w:spacing w:after="0" w:line="308" w:lineRule="auto"/>
        <w:rPr>
          <w:sz w:val="20"/>
          <w:szCs w:val="20"/>
          <w:color w:val="auto"/>
        </w:rPr>
      </w:pPr>
      <w:r>
        <w:rPr>
          <w:rFonts w:ascii="Arial" w:cs="Arial" w:eastAsia="Arial" w:hAnsi="Arial"/>
          <w:sz w:val="17"/>
          <w:szCs w:val="17"/>
          <w:color w:val="auto"/>
        </w:rPr>
        <w:t>Large accelerated filer [ ] Non-accelerated filer [X]</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36" w:lineRule="exact"/>
        <w:rPr>
          <w:sz w:val="24"/>
          <w:szCs w:val="24"/>
          <w:color w:val="auto"/>
        </w:rPr>
      </w:pPr>
    </w:p>
    <w:p>
      <w:pPr>
        <w:sectPr>
          <w:pgSz w:w="11900" w:h="16838" w:orient="portrait"/>
          <w:cols w:equalWidth="0" w:num="3">
            <w:col w:w="2560" w:space="720"/>
            <w:col w:w="3880" w:space="720"/>
            <w:col w:w="3360"/>
          </w:cols>
          <w:pgMar w:left="320" w:top="760" w:right="339" w:bottom="1440" w:gutter="0" w:footer="0" w:header="0"/>
          <w:type w:val="continuous"/>
        </w:sectPr>
      </w:pPr>
    </w:p>
    <w:p>
      <w:pPr>
        <w:ind w:firstLine="18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7,108,133 shares of Common Stock, $0.01 par value at May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80" w:type="dxa"/>
            <w:vAlign w:val="bottom"/>
            <w:gridSpan w:val="10"/>
          </w:tcPr>
          <w:p>
            <w:pPr>
              <w:jc w:val="center"/>
              <w:ind w:right="1700"/>
              <w:spacing w:after="0"/>
              <w:rPr>
                <w:sz w:val="20"/>
                <w:szCs w:val="20"/>
                <w:color w:val="auto"/>
              </w:rPr>
            </w:pPr>
            <w:r>
              <w:rPr>
                <w:rFonts w:ascii="Arial" w:cs="Arial" w:eastAsia="Arial" w:hAnsi="Arial"/>
                <w:sz w:val="18"/>
                <w:szCs w:val="18"/>
                <w:b w:val="1"/>
                <w:bCs w:val="1"/>
                <w:color w:val="auto"/>
              </w:rPr>
              <w:t>MICROBOT MEDICAL INC. AND SUBSIDIARIES</w:t>
            </w:r>
          </w:p>
        </w:tc>
        <w:tc>
          <w:tcPr>
            <w:tcW w:w="122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7"/>
          </w:tcPr>
          <w:p>
            <w:pPr>
              <w:jc w:val="center"/>
              <w:ind w:right="3760"/>
              <w:spacing w:after="0"/>
              <w:rPr>
                <w:sz w:val="20"/>
                <w:szCs w:val="20"/>
                <w:color w:val="auto"/>
              </w:rPr>
            </w:pPr>
            <w:r>
              <w:rPr>
                <w:rFonts w:ascii="Arial" w:cs="Arial" w:eastAsia="Arial" w:hAnsi="Arial"/>
                <w:sz w:val="18"/>
                <w:szCs w:val="18"/>
                <w:color w:val="auto"/>
                <w:w w:val="90"/>
              </w:rPr>
              <w:t>Index</w:t>
            </w:r>
          </w:p>
        </w:tc>
        <w:tc>
          <w:tcPr>
            <w:tcW w:w="122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2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220" w:type="dxa"/>
            <w:vAlign w:val="bottom"/>
            <w:shd w:val="clear" w:color="auto" w:fill="CCEEFF"/>
          </w:tcPr>
          <w:p>
            <w:pPr>
              <w:spacing w:after="0"/>
              <w:rPr>
                <w:sz w:val="18"/>
                <w:szCs w:val="18"/>
                <w:color w:val="auto"/>
              </w:rPr>
            </w:pPr>
          </w:p>
        </w:tc>
      </w:tr>
      <w:tr>
        <w:trPr>
          <w:trHeight w:val="216"/>
        </w:trPr>
        <w:tc>
          <w:tcPr>
            <w:tcW w:w="10020" w:type="dxa"/>
            <w:vAlign w:val="bottom"/>
            <w:gridSpan w:val="18"/>
          </w:tcPr>
          <w:p>
            <w:pPr>
              <w:spacing w:after="0"/>
              <w:rPr>
                <w:sz w:val="20"/>
                <w:szCs w:val="20"/>
                <w:color w:val="auto"/>
              </w:rPr>
            </w:pPr>
            <w:r>
              <w:rPr>
                <w:rFonts w:ascii="Arial" w:cs="Arial" w:eastAsia="Arial" w:hAnsi="Arial"/>
                <w:sz w:val="18"/>
                <w:szCs w:val="18"/>
                <w:color w:val="auto"/>
              </w:rPr>
              <w:t>Item 1 - Financial Statements</w:t>
            </w:r>
          </w:p>
        </w:tc>
        <w:tc>
          <w:tcPr>
            <w:tcW w:w="1220" w:type="dxa"/>
            <w:vAlign w:val="bottom"/>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98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Balance Sheets as of March 31, 2021 (unaudited) and December 31, 2020 (audited)</w:t>
              </w:r>
            </w:hyperlink>
          </w:p>
        </w:tc>
        <w:tc>
          <w:tcPr>
            <w:tcW w:w="122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984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Operations for the Three Months Ended March 31, 2021 and 2020 (unaudited)</w:t>
              </w:r>
            </w:hyperlink>
          </w:p>
        </w:tc>
        <w:tc>
          <w:tcPr>
            <w:tcW w:w="12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79"/>
              </w:rPr>
              <w:t>3</w:t>
            </w:r>
          </w:p>
        </w:tc>
      </w:tr>
      <w:tr>
        <w:trPr>
          <w:trHeight w:val="20"/>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Interim Consolidated Statements of Comprehensive Loss for the Three Months Ended March 31, 2021 and 2020 (unaudited)</w:t>
              </w:r>
            </w:hyperlink>
          </w:p>
        </w:tc>
        <w:tc>
          <w:tcPr>
            <w:tcW w:w="8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4</w:t>
            </w:r>
          </w:p>
        </w:tc>
      </w:tr>
      <w:tr>
        <w:trPr>
          <w:trHeight w:val="176"/>
        </w:trPr>
        <w:tc>
          <w:tcPr>
            <w:tcW w:w="180" w:type="dxa"/>
            <w:vAlign w:val="bottom"/>
          </w:tcPr>
          <w:p>
            <w:pPr>
              <w:spacing w:after="0"/>
              <w:rPr>
                <w:sz w:val="15"/>
                <w:szCs w:val="15"/>
                <w:color w:val="auto"/>
              </w:rPr>
            </w:pPr>
          </w:p>
        </w:tc>
        <w:tc>
          <w:tcPr>
            <w:tcW w:w="9840" w:type="dxa"/>
            <w:vAlign w:val="bottom"/>
            <w:gridSpan w:val="1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Shareholders’ Equity as of March 31, 2021 (unaudited) and 2020 (unaudited)</w:t>
              </w:r>
            </w:hyperlink>
          </w:p>
        </w:tc>
        <w:tc>
          <w:tcPr>
            <w:tcW w:w="12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84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Interim Consolidated Statements of Cash Flows for the Three Months Ended March 31, 2021 and 2020 (unaudited)</w:t>
              </w:r>
            </w:hyperlink>
          </w:p>
        </w:tc>
        <w:tc>
          <w:tcPr>
            <w:tcW w:w="122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6</w:t>
            </w:r>
          </w:p>
        </w:tc>
      </w:tr>
      <w:tr>
        <w:trPr>
          <w:trHeight w:val="175"/>
        </w:trPr>
        <w:tc>
          <w:tcPr>
            <w:tcW w:w="180" w:type="dxa"/>
            <w:vAlign w:val="bottom"/>
            <w:tcBorders>
              <w:top w:val="single" w:sz="8" w:color="CCEEFF"/>
            </w:tcBorders>
          </w:tcPr>
          <w:p>
            <w:pPr>
              <w:spacing w:after="0"/>
              <w:rPr>
                <w:sz w:val="15"/>
                <w:szCs w:val="15"/>
                <w:color w:val="auto"/>
              </w:rPr>
            </w:pPr>
          </w:p>
        </w:tc>
        <w:tc>
          <w:tcPr>
            <w:tcW w:w="83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Interim Consolidated Financial Statements</w:t>
              </w:r>
            </w:hyperlink>
          </w:p>
        </w:tc>
        <w:tc>
          <w:tcPr>
            <w:tcW w:w="1540" w:type="dxa"/>
            <w:vAlign w:val="bottom"/>
            <w:tcBorders>
              <w:top w:val="single" w:sz="8" w:color="CCEEFF"/>
            </w:tcBorders>
            <w:gridSpan w:val="2"/>
          </w:tcPr>
          <w:p>
            <w:pPr>
              <w:spacing w:after="0"/>
              <w:rPr>
                <w:sz w:val="15"/>
                <w:szCs w:val="15"/>
                <w:color w:val="auto"/>
              </w:rPr>
            </w:pPr>
          </w:p>
        </w:tc>
        <w:tc>
          <w:tcPr>
            <w:tcW w:w="1220" w:type="dxa"/>
            <w:vAlign w:val="bottom"/>
            <w:tcBorders>
              <w:top w:val="single" w:sz="8" w:color="CCEEFF"/>
            </w:tcBorders>
          </w:tcPr>
          <w:p>
            <w:pPr>
              <w:jc w:val="center"/>
              <w:ind w:left="570"/>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70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2 - Management’s Discussion and Analysis of Financial Condition and Results of Operations</w:t>
              </w:r>
            </w:hyperlink>
          </w:p>
        </w:tc>
        <w:tc>
          <w:tcPr>
            <w:tcW w:w="2940" w:type="dxa"/>
            <w:vAlign w:val="bottom"/>
            <w:tcBorders>
              <w:bottom w:val="single" w:sz="8" w:color="CCEEFF"/>
            </w:tcBorders>
            <w:gridSpan w:val="6"/>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10020" w:type="dxa"/>
            <w:vAlign w:val="bottom"/>
            <w:gridSpan w:val="18"/>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3 - Quantitative and Qualitative Disclosures About Market Risk</w:t>
              </w:r>
            </w:hyperlink>
          </w:p>
        </w:tc>
        <w:tc>
          <w:tcPr>
            <w:tcW w:w="122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Item 4 - Controls and Procedures</w:t>
              </w:r>
            </w:hyperlink>
          </w:p>
        </w:tc>
        <w:tc>
          <w:tcPr>
            <w:tcW w:w="7620" w:type="dxa"/>
            <w:vAlign w:val="bottom"/>
            <w:tcBorders>
              <w:bottom w:val="single" w:sz="8" w:color="CCEEFF"/>
            </w:tcBorders>
            <w:gridSpan w:val="11"/>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19</w:t>
            </w:r>
          </w:p>
        </w:tc>
      </w:tr>
      <w:tr>
        <w:trPr>
          <w:trHeight w:val="176"/>
        </w:trPr>
        <w:tc>
          <w:tcPr>
            <w:tcW w:w="10020" w:type="dxa"/>
            <w:vAlign w:val="bottom"/>
            <w:gridSpan w:val="18"/>
          </w:tcPr>
          <w:p>
            <w:pPr>
              <w:spacing w:after="0" w:line="17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1220" w:type="dxa"/>
            <w:vAlign w:val="bottom"/>
          </w:tcPr>
          <w:p>
            <w:pPr>
              <w:spacing w:after="0"/>
              <w:rPr>
                <w:sz w:val="15"/>
                <w:szCs w:val="15"/>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1 - Legal Proceedings</w:t>
              </w:r>
            </w:hyperlink>
          </w:p>
        </w:tc>
        <w:tc>
          <w:tcPr>
            <w:tcW w:w="8060" w:type="dxa"/>
            <w:vAlign w:val="bottom"/>
            <w:tcBorders>
              <w:bottom w:val="single" w:sz="8" w:color="CCEEFF"/>
            </w:tcBorders>
            <w:gridSpan w:val="13"/>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19</w:t>
            </w:r>
          </w:p>
        </w:tc>
      </w:tr>
      <w:tr>
        <w:trPr>
          <w:trHeight w:val="175"/>
        </w:trPr>
        <w:tc>
          <w:tcPr>
            <w:tcW w:w="1002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2 - Unregistered Sales of Equity Securities and Use of Proceeds</w:t>
              </w:r>
            </w:hyperlink>
          </w:p>
        </w:tc>
        <w:tc>
          <w:tcPr>
            <w:tcW w:w="122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20</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020" w:type="dxa"/>
            <w:vAlign w:val="bottom"/>
            <w:gridSpan w:val="1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3 - Defaults Upon Senior Securities</w:t>
              </w:r>
            </w:hyperlink>
          </w:p>
        </w:tc>
        <w:tc>
          <w:tcPr>
            <w:tcW w:w="122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20</w:t>
            </w:r>
          </w:p>
        </w:tc>
      </w:tr>
      <w:tr>
        <w:trPr>
          <w:trHeight w:val="176"/>
        </w:trPr>
        <w:tc>
          <w:tcPr>
            <w:tcW w:w="294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4 - Mine Safety Disclosures</w:t>
              </w:r>
            </w:hyperlink>
          </w:p>
        </w:tc>
        <w:tc>
          <w:tcPr>
            <w:tcW w:w="7080" w:type="dxa"/>
            <w:vAlign w:val="bottom"/>
            <w:tcBorders>
              <w:top w:val="single" w:sz="8" w:color="CCEEFF"/>
            </w:tcBorders>
            <w:gridSpan w:val="10"/>
          </w:tcPr>
          <w:p>
            <w:pPr>
              <w:spacing w:after="0"/>
              <w:rPr>
                <w:sz w:val="15"/>
                <w:szCs w:val="15"/>
                <w:color w:val="auto"/>
              </w:rPr>
            </w:pPr>
          </w:p>
        </w:tc>
        <w:tc>
          <w:tcPr>
            <w:tcW w:w="1220" w:type="dxa"/>
            <w:vAlign w:val="bottom"/>
            <w:tcBorders>
              <w:top w:val="single" w:sz="8" w:color="CCEEFF"/>
            </w:tcBorders>
          </w:tcPr>
          <w:p>
            <w:pPr>
              <w:jc w:val="center"/>
              <w:ind w:left="590"/>
              <w:spacing w:after="0" w:line="176" w:lineRule="exact"/>
              <w:rPr>
                <w:sz w:val="20"/>
                <w:szCs w:val="20"/>
                <w:color w:val="auto"/>
              </w:rPr>
            </w:pPr>
            <w:r>
              <w:rPr>
                <w:rFonts w:ascii="Arial" w:cs="Arial" w:eastAsia="Arial" w:hAnsi="Arial"/>
                <w:sz w:val="18"/>
                <w:szCs w:val="18"/>
                <w:color w:val="auto"/>
                <w:w w:val="89"/>
              </w:rPr>
              <w:t>20</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Item 5 - Other Information</w:t>
              </w:r>
            </w:hyperlink>
          </w:p>
        </w:tc>
        <w:tc>
          <w:tcPr>
            <w:tcW w:w="8080" w:type="dxa"/>
            <w:vAlign w:val="bottom"/>
            <w:tcBorders>
              <w:bottom w:val="single" w:sz="8" w:color="CCEEFF"/>
            </w:tcBorders>
            <w:gridSpan w:val="14"/>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1002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6 - Exhibits</w:t>
              </w:r>
            </w:hyperlink>
          </w:p>
        </w:tc>
        <w:tc>
          <w:tcPr>
            <w:tcW w:w="122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20</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002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122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8"/>
                <w:szCs w:val="18"/>
                <w:color w:val="auto"/>
                <w:w w:val="97"/>
              </w:rPr>
              <w:t>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w w:val="97"/>
              </w:rPr>
              <w:t>As of</w:t>
            </w:r>
          </w:p>
        </w:tc>
      </w:tr>
      <w:tr>
        <w:trPr>
          <w:trHeight w:val="229"/>
        </w:trPr>
        <w:tc>
          <w:tcPr>
            <w:tcW w:w="5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March 31, 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December 31, 2020</w:t>
            </w:r>
          </w:p>
        </w:tc>
      </w:tr>
      <w:tr>
        <w:trPr>
          <w:trHeight w:val="237"/>
        </w:trPr>
        <w:tc>
          <w:tcPr>
            <w:tcW w:w="5640" w:type="dxa"/>
            <w:vAlign w:val="bottom"/>
          </w:tcPr>
          <w:p>
            <w:pPr>
              <w:spacing w:after="0"/>
              <w:rPr>
                <w:sz w:val="20"/>
                <w:szCs w:val="20"/>
                <w:color w:val="auto"/>
              </w:rPr>
            </w:pPr>
          </w:p>
        </w:tc>
        <w:tc>
          <w:tcPr>
            <w:tcW w:w="1600" w:type="dxa"/>
            <w:vAlign w:val="bottom"/>
            <w:gridSpan w:val="3"/>
          </w:tcPr>
          <w:p>
            <w:pPr>
              <w:jc w:val="right"/>
              <w:ind w:right="790"/>
              <w:spacing w:after="0"/>
              <w:rPr>
                <w:sz w:val="20"/>
                <w:szCs w:val="20"/>
                <w:color w:val="auto"/>
              </w:rPr>
            </w:pPr>
            <w:r>
              <w:rPr>
                <w:rFonts w:ascii="Arial" w:cs="Arial" w:eastAsia="Arial" w:hAnsi="Arial"/>
                <w:sz w:val="18"/>
                <w:szCs w:val="18"/>
                <w:color w:val="auto"/>
              </w:rPr>
              <w:t>Notes</w:t>
            </w:r>
          </w:p>
        </w:tc>
        <w:tc>
          <w:tcPr>
            <w:tcW w:w="19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Audited</w:t>
            </w:r>
          </w:p>
        </w:tc>
      </w:tr>
      <w:tr>
        <w:trPr>
          <w:trHeight w:val="216"/>
        </w:trPr>
        <w:tc>
          <w:tcPr>
            <w:tcW w:w="5640" w:type="dxa"/>
            <w:vAlign w:val="bottom"/>
            <w:tcBorders>
              <w:top w:val="single" w:sz="8" w:color="CCEEFF"/>
            </w:tcBorders>
            <w:shd w:val="clear" w:color="auto" w:fill="CCEEFF"/>
          </w:tcPr>
          <w:p>
            <w:pPr>
              <w:ind w:left="2380"/>
              <w:spacing w:after="0"/>
              <w:rPr>
                <w:sz w:val="20"/>
                <w:szCs w:val="20"/>
                <w:color w:val="auto"/>
              </w:rPr>
            </w:pPr>
            <w:r>
              <w:rPr>
                <w:rFonts w:ascii="Arial" w:cs="Arial" w:eastAsia="Arial" w:hAnsi="Arial"/>
                <w:sz w:val="18"/>
                <w:szCs w:val="18"/>
                <w:color w:val="auto"/>
              </w:rPr>
              <w:t>ASSETS</w:t>
            </w: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17,924</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19,650</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4,998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4,998</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r>
      <w:tr>
        <w:trPr>
          <w:trHeight w:val="236"/>
        </w:trPr>
        <w:tc>
          <w:tcPr>
            <w:tcW w:w="56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0"/>
                <w:szCs w:val="20"/>
                <w:color w:val="auto"/>
              </w:rPr>
            </w:pPr>
          </w:p>
        </w:tc>
      </w:tr>
      <w:tr>
        <w:trPr>
          <w:trHeight w:val="216"/>
        </w:trPr>
        <w:tc>
          <w:tcPr>
            <w:tcW w:w="5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0"/>
                <w:szCs w:val="20"/>
                <w:color w:val="auto"/>
              </w:rPr>
            </w:pPr>
          </w:p>
        </w:tc>
      </w:tr>
      <w:tr>
        <w:trPr>
          <w:trHeight w:val="229"/>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payables</w:t>
            </w:r>
          </w:p>
        </w:tc>
        <w:tc>
          <w:tcPr>
            <w:tcW w:w="16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r>
      <w:tr>
        <w:trPr>
          <w:trHeight w:val="24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21"/>
                <w:szCs w:val="21"/>
                <w:color w:val="auto"/>
              </w:rPr>
            </w:pPr>
          </w:p>
        </w:tc>
      </w:tr>
      <w:tr>
        <w:trPr>
          <w:trHeight w:val="203"/>
        </w:trPr>
        <w:tc>
          <w:tcPr>
            <w:tcW w:w="56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0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1,275</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1,345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Non current liabilities: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liabilities</w:t>
            </w: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21"/>
                <w:szCs w:val="21"/>
                <w:color w:val="auto"/>
              </w:rPr>
            </w:pPr>
          </w:p>
        </w:tc>
      </w:tr>
      <w:tr>
        <w:trPr>
          <w:trHeight w:val="210"/>
        </w:trPr>
        <w:tc>
          <w:tcPr>
            <w:tcW w:w="56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0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640" w:type="dxa"/>
            <w:vAlign w:val="bottom"/>
          </w:tcPr>
          <w:p>
            <w:pPr>
              <w:ind w:left="180"/>
              <w:spacing w:after="0" w:line="201" w:lineRule="exact"/>
              <w:rPr>
                <w:sz w:val="20"/>
                <w:szCs w:val="20"/>
                <w:color w:val="auto"/>
              </w:rPr>
            </w:pPr>
            <w:r>
              <w:rPr>
                <w:rFonts w:ascii="Arial" w:cs="Arial" w:eastAsia="Arial" w:hAnsi="Arial"/>
                <w:sz w:val="18"/>
                <w:szCs w:val="18"/>
                <w:color w:val="auto"/>
                <w:w w:val="99"/>
              </w:rPr>
              <w:t>Common stock; $0.01 par value; 60,000,000 shares authorized as of</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w w:val="97"/>
              </w:rPr>
              <w:t>March 31, 2021 and December 31, 2020 7,108,133 shares issued and</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68,926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68,516</w:t>
            </w:r>
          </w:p>
        </w:tc>
        <w:tc>
          <w:tcPr>
            <w:tcW w:w="80" w:type="dxa"/>
            <w:vAlign w:val="bottom"/>
            <w:shd w:val="clear" w:color="auto" w:fill="CCEEFF"/>
          </w:tcPr>
          <w:p>
            <w:pPr>
              <w:spacing w:after="0"/>
              <w:rPr>
                <w:sz w:val="18"/>
                <w:szCs w:val="18"/>
                <w:color w:val="auto"/>
              </w:rPr>
            </w:pPr>
          </w:p>
        </w:tc>
      </w:tr>
      <w:tr>
        <w:trPr>
          <w:trHeight w:val="236"/>
        </w:trPr>
        <w:tc>
          <w:tcPr>
            <w:tcW w:w="56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(46,668)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(44,280)</w:t>
            </w:r>
          </w:p>
        </w:tc>
      </w:tr>
      <w:tr>
        <w:trPr>
          <w:trHeight w:val="236"/>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260" w:type="dxa"/>
            <w:vAlign w:val="bottom"/>
            <w:gridSpan w:val="7"/>
          </w:tcPr>
          <w:p>
            <w:pPr>
              <w:jc w:val="right"/>
              <w:ind w:right="661"/>
              <w:spacing w:after="0"/>
              <w:rPr>
                <w:sz w:val="20"/>
                <w:szCs w:val="20"/>
                <w:color w:val="auto"/>
              </w:rPr>
            </w:pPr>
            <w:r>
              <w:rPr>
                <w:rFonts w:ascii="Arial" w:cs="Arial" w:eastAsia="Arial" w:hAnsi="Arial"/>
                <w:sz w:val="18"/>
                <w:szCs w:val="18"/>
                <w:color w:val="auto"/>
              </w:rPr>
              <w:t>For the Three Months Ended March 31,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Unaudited</w:t>
            </w: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1,119</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2"/>
          </w:tcPr>
          <w:p>
            <w:pPr>
              <w:jc w:val="right"/>
              <w:ind w:right="2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6"/>
        </w:trPr>
        <w:tc>
          <w:tcPr>
            <w:tcW w:w="48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4800" w:type="dxa"/>
            <w:vAlign w:val="bottom"/>
          </w:tcPr>
          <w:p>
            <w:pPr>
              <w:ind w:left="180"/>
              <w:spacing w:after="0" w:line="203" w:lineRule="exact"/>
              <w:rPr>
                <w:sz w:val="20"/>
                <w:szCs w:val="20"/>
                <w:color w:val="auto"/>
              </w:rPr>
            </w:pPr>
            <w:r>
              <w:rPr>
                <w:rFonts w:ascii="Arial" w:cs="Arial" w:eastAsia="Arial" w:hAnsi="Arial"/>
                <w:sz w:val="18"/>
                <w:szCs w:val="18"/>
                <w:color w:val="auto"/>
              </w:rPr>
              <w:t>Financing income (expenses), net</w:t>
            </w:r>
          </w:p>
        </w:tc>
        <w:tc>
          <w:tcPr>
            <w:tcW w:w="2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(2,388)</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3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(0.34)</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weighted average</w:t>
            </w:r>
          </w:p>
        </w:tc>
        <w:tc>
          <w:tcPr>
            <w:tcW w:w="2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outstanding</w:t>
            </w:r>
          </w:p>
        </w:tc>
        <w:tc>
          <w:tcPr>
            <w:tcW w:w="2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9"/>
              </w:rPr>
              <w:t>7,108,133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7,154,245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For the Three Months Ended 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color w:val="auto"/>
              </w:rPr>
              <w:t>Unaudited</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(2,388)</w:t>
            </w:r>
          </w:p>
        </w:tc>
        <w:tc>
          <w:tcPr>
            <w:tcW w:w="148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(2,205)</w:t>
            </w:r>
          </w:p>
        </w:tc>
        <w:tc>
          <w:tcPr>
            <w:tcW w:w="100" w:type="dxa"/>
            <w:vAlign w:val="bottom"/>
            <w:shd w:val="clear" w:color="auto" w:fill="CCEEFF"/>
          </w:tcPr>
          <w:p>
            <w:pPr>
              <w:spacing w:after="0"/>
              <w:rPr>
                <w:sz w:val="18"/>
                <w:szCs w:val="18"/>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Net unrealized loss on available for sale security</w:t>
            </w: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 less than 1 thousand.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Additional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Total</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Paid-In</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Treasury</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100" w:type="dxa"/>
            <w:vAlign w:val="bottom"/>
            <w:gridSpan w:val="4"/>
          </w:tcPr>
          <w:p>
            <w:pPr>
              <w:spacing w:after="0"/>
              <w:rPr>
                <w:sz w:val="20"/>
                <w:szCs w:val="20"/>
                <w:color w:val="auto"/>
              </w:rPr>
            </w:pPr>
            <w:r>
              <w:rPr>
                <w:rFonts w:ascii="Arial" w:cs="Arial" w:eastAsia="Arial" w:hAnsi="Arial"/>
                <w:sz w:val="18"/>
                <w:szCs w:val="18"/>
                <w:color w:val="auto"/>
                <w:w w:val="99"/>
              </w:rPr>
              <w:t>Stockholders’</w:t>
            </w:r>
          </w:p>
        </w:tc>
      </w:tr>
      <w:tr>
        <w:trPr>
          <w:trHeight w:val="251"/>
        </w:trPr>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21"/>
                <w:szCs w:val="21"/>
                <w:color w:val="auto"/>
              </w:rPr>
            </w:pPr>
          </w:p>
        </w:tc>
        <w:tc>
          <w:tcPr>
            <w:tcW w:w="106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1"/>
                <w:szCs w:val="21"/>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Equity</w:t>
            </w:r>
          </w:p>
        </w:tc>
      </w:tr>
      <w:tr>
        <w:trPr>
          <w:trHeight w:val="237"/>
        </w:trPr>
        <w:tc>
          <w:tcPr>
            <w:tcW w:w="4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8"/>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060" w:type="dxa"/>
            <w:vAlign w:val="bottom"/>
            <w:gridSpan w:val="2"/>
          </w:tcPr>
          <w:p>
            <w:pPr>
              <w:jc w:val="right"/>
              <w:ind w:right="341"/>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Amount</w:t>
            </w:r>
          </w:p>
        </w:tc>
      </w:tr>
      <w:tr>
        <w:trPr>
          <w:trHeight w:val="216"/>
        </w:trPr>
        <w:tc>
          <w:tcPr>
            <w:tcW w:w="4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2020(Audited)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7,108,133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(44,280)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24,308</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r>
      <w:tr>
        <w:trPr>
          <w:trHeight w:val="25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(2,388)</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(2,388)</w:t>
            </w:r>
          </w:p>
        </w:tc>
      </w:tr>
      <w:tr>
        <w:trPr>
          <w:trHeight w:val="256"/>
        </w:trPr>
        <w:tc>
          <w:tcPr>
            <w:tcW w:w="462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Balances, March 31, 2021(Unaudited)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7,108,133</w:t>
            </w:r>
          </w:p>
        </w:tc>
        <w:tc>
          <w:tcPr>
            <w:tcW w:w="2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68,926</w:t>
            </w:r>
          </w:p>
        </w:tc>
        <w:tc>
          <w:tcPr>
            <w:tcW w:w="2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22,330</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2019(Audited)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7,185,628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(35,111)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31,540</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Exercise of options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Cancellation of treasury Shares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(83,333)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r>
      <w:tr>
        <w:trPr>
          <w:trHeight w:val="249"/>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(2,205)</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(2,205)</w:t>
            </w:r>
          </w:p>
        </w:tc>
      </w:tr>
      <w:tr>
        <w:trPr>
          <w:trHeight w:val="217"/>
        </w:trPr>
        <w:tc>
          <w:tcPr>
            <w:tcW w:w="46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Balances, March 31, 2020(Unaudited)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7,103,260</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66,923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(37,316</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For the Three Months Ended March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color w:val="auto"/>
              </w:rPr>
              <w:t>Unaudited</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(2,388)</w:t>
            </w:r>
          </w:p>
        </w:tc>
        <w:tc>
          <w:tcPr>
            <w:tcW w:w="1460" w:type="dxa"/>
            <w:vAlign w:val="bottom"/>
            <w:gridSpan w:val="2"/>
          </w:tcPr>
          <w:p>
            <w:pPr>
              <w:jc w:val="right"/>
              <w:ind w:right="115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(2,205)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17</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(391)</w:t>
            </w:r>
          </w:p>
        </w:tc>
      </w:tr>
      <w:tr>
        <w:trPr>
          <w:trHeight w:val="236"/>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operating activities</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260" w:type="dxa"/>
            <w:vAlign w:val="bottom"/>
          </w:tcPr>
          <w:p>
            <w:pPr>
              <w:spacing w:after="0" w:line="203" w:lineRule="exact"/>
              <w:rPr>
                <w:sz w:val="20"/>
                <w:szCs w:val="20"/>
                <w:color w:val="auto"/>
              </w:rPr>
            </w:pPr>
            <w:r>
              <w:rPr>
                <w:rFonts w:ascii="Arial" w:cs="Arial" w:eastAsia="Arial" w:hAnsi="Arial"/>
                <w:sz w:val="18"/>
                <w:szCs w:val="18"/>
                <w:color w:val="auto"/>
              </w:rPr>
              <w:t>Investing activities:</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Investment in convertible loan</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investment</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Proceeds from sales of marketable security</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2,521</w:t>
            </w:r>
          </w:p>
        </w:tc>
      </w:tr>
      <w:tr>
        <w:trPr>
          <w:trHeight w:val="236"/>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260" w:type="dxa"/>
            <w:vAlign w:val="bottom"/>
          </w:tcPr>
          <w:p>
            <w:pPr>
              <w:spacing w:after="0" w:line="203" w:lineRule="exact"/>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shareholders investment</w:t>
            </w: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10"/>
        </w:trPr>
        <w:tc>
          <w:tcPr>
            <w:tcW w:w="62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cash flows from financing activities</w:t>
            </w:r>
          </w:p>
        </w:tc>
        <w:tc>
          <w:tcPr>
            <w:tcW w:w="7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(3,468)</w:t>
            </w:r>
          </w:p>
        </w:tc>
      </w:tr>
      <w:tr>
        <w:trPr>
          <w:trHeight w:val="24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19,734</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33,129</w:t>
            </w:r>
          </w:p>
        </w:tc>
      </w:tr>
      <w:tr>
        <w:trPr>
          <w:trHeight w:val="257"/>
        </w:trPr>
        <w:tc>
          <w:tcPr>
            <w:tcW w:w="62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ending of period</w:t>
            </w:r>
          </w:p>
        </w:tc>
        <w:tc>
          <w:tcPr>
            <w:tcW w:w="72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18,005</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29,661</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6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260" w:type="dxa"/>
            <w:vAlign w:val="bottom"/>
          </w:tcPr>
          <w:p>
            <w:pPr>
              <w:ind w:left="180"/>
              <w:spacing w:after="0"/>
              <w:rPr>
                <w:sz w:val="20"/>
                <w:szCs w:val="20"/>
                <w:color w:val="auto"/>
              </w:rPr>
            </w:pPr>
            <w:r>
              <w:rPr>
                <w:rFonts w:ascii="Arial" w:cs="Arial" w:eastAsia="Arial" w:hAnsi="Arial"/>
                <w:sz w:val="18"/>
                <w:szCs w:val="18"/>
                <w:color w:val="auto"/>
              </w:rPr>
              <w:t>Interest paid from litigation</w:t>
            </w:r>
          </w:p>
        </w:tc>
        <w:tc>
          <w:tcPr>
            <w:tcW w:w="20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15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236</w:t>
            </w:r>
          </w:p>
        </w:tc>
      </w:tr>
      <w:tr>
        <w:trPr>
          <w:trHeight w:val="197"/>
        </w:trPr>
        <w:tc>
          <w:tcPr>
            <w:tcW w:w="626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received from interest</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0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ind w:right="115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subsidiaries are collectively referred to as the “Company”.</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Unaudited Interim Financial Statements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Operating results for the three-month period ended March 31, 2021, are not necessarily indicative of the results that may be expected for the year ended December 31, 2021.</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March 31, 2021, the Company had unrestricted cash and cash equivalent balance of $17,924, which management believes is sufficient to fund its operations for more than 12 months from the date of issuance of these financial statements and sufficient to fund its operations necessary to continue development activities of its current proposed products.</w:t>
      </w:r>
    </w:p>
    <w:p>
      <w:pPr>
        <w:spacing w:after="0" w:line="187"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Due to continuing research and development activities, the Company expects to continue to incur additional losses for the foreseeable future. While management of the Company believes that it has sufficient funds for more than 12 months, the Company may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An epidemic of the coronavirus disease (“COVID-19”) is ongoing throughout the world. As the outbreak is still evolving, much of its impact remains unknown. As of this filing, it is impossible to predict the effect and potential spread of the coronavirus disease globally. The coronavirus disease may cause significant delays and disruptions to our pre-clinical studies.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Additionally, travel restrictions have been implemented with respect to certain countries in an effort to contain the coronavirus disease, and several countries have expanded screenings of travelers. As travel restrictions are increasingly implemented and extended to other countries,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our products.</w:t>
      </w:r>
    </w:p>
    <w:p>
      <w:pPr>
        <w:spacing w:after="0" w:line="164"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ultimate impact of the COVID-19 outbreak or similar health epidemics are highly uncertain and subject to changes, and the Company cannot presently predict the scope and severity of any potential business shutdowns or disruptions. However, if the Company or any of the third parties with whom the Company’s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consolidated financial statements are identical to those applied in the preparation of the latest annual audited financial statements with the exception of the following:</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9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in such measurements were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w w:val="92"/>
              </w:rPr>
              <w:t>Fair value of financial instruments (continued):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As of March 31, 2021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money market funds</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1,999</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1,999</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 Treasury Bond</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5"/>
              </w:rPr>
              <w:t>As of December 31, 2020</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money market funds</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 Treasury Bond</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35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investment</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Contingencies</w:t>
      </w:r>
      <w:r>
        <w:rPr>
          <w:rFonts w:ascii="Arial" w:cs="Arial" w:eastAsia="Arial" w:hAnsi="Arial"/>
          <w:sz w:val="18"/>
          <w:szCs w:val="18"/>
          <w:color w:val="auto"/>
        </w:rPr>
        <w:t>:</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with early adoption permitted. The Company is currently evaluating the impact this guidance may have on its consolidated financial statements and related disclosures.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ind w:left="64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jc w:val="center"/>
        <w:ind w:right="574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left="1020"/>
        <w:spacing w:after="0" w:line="270" w:lineRule="auto"/>
        <w:rPr>
          <w:sz w:val="20"/>
          <w:szCs w:val="20"/>
          <w:color w:val="auto"/>
        </w:rPr>
      </w:pPr>
      <w:r>
        <w:rPr>
          <w:rFonts w:ascii="Arial" w:cs="Arial" w:eastAsia="Arial" w:hAnsi="Arial"/>
          <w:sz w:val="17"/>
          <w:szCs w:val="17"/>
          <w:color w:val="auto"/>
        </w:rPr>
        <w:t>In December 2019, the FASB issued ASU 2019-12, “Simplifying the Accounting for Income Taxes” which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The ASU also is designed to improve financial statement preparers’ application of income tax-related guidance and simplify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standard is effective for the Company on January 1, 2021 with early adoption permitted. The adoption of ASU 2019-12 on January 1, 2021 did not have a material impact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We have lease agreements with lease and non-lease components, which we account for as a single lease component. Variable lease payments based on an index or rate are initially measured using the index or rate in effect at the lease commencement and included in the measurement of the lease liability; thereafter, changes to lease payments due to rate or index updates are recorded as rent expense in the period incurred. We have elected not to recognize ROU assets and lease liabilities for short-term leases that have a term of 12 months or less. The effect of short-term leases on our ROU assets and lease liabilities was not material. Our lease agreements do not contain any material residual value guarantees or material restrictive covenants. In addition, we do not have any related party leases and our sublease transactions are de minimis.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25"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5715</wp:posOffset>
            </wp:positionV>
            <wp:extent cx="20574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0" cy="17145"/>
                    </a:xfrm>
                    <a:prstGeom prst="rect">
                      <a:avLst/>
                    </a:prstGeom>
                    <a:noFill/>
                  </pic:spPr>
                </pic:pic>
              </a:graphicData>
            </a:graphic>
          </wp:anchor>
        </w:drawing>
      </w:r>
    </w:p>
    <w:p>
      <w:pPr>
        <w:spacing w:after="0" w:line="15" w:lineRule="exact"/>
        <w:rPr>
          <w:sz w:val="20"/>
          <w:szCs w:val="20"/>
          <w:color w:val="auto"/>
        </w:rPr>
      </w:pPr>
    </w:p>
    <w:p>
      <w:pPr>
        <w:ind w:left="7260"/>
        <w:spacing w:after="0"/>
        <w:tabs>
          <w:tab w:leader="none" w:pos="898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0574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0" cy="17145"/>
                    </a:xfrm>
                    <a:prstGeom prst="rect">
                      <a:avLst/>
                    </a:prstGeom>
                    <a:noFill/>
                  </pic:spPr>
                </pic:pic>
              </a:graphicData>
            </a:graphic>
          </wp:anchor>
        </w:drawing>
      </w:r>
    </w:p>
    <w:p>
      <w:pPr>
        <w:spacing w:after="0" w:line="232" w:lineRule="exact"/>
        <w:rPr>
          <w:sz w:val="20"/>
          <w:szCs w:val="20"/>
          <w:color w:val="auto"/>
        </w:rPr>
      </w:pPr>
    </w:p>
    <w:p>
      <w:pPr>
        <w:ind w:left="1260"/>
        <w:spacing w:after="0"/>
        <w:tabs>
          <w:tab w:leader="none" w:pos="6660" w:val="left"/>
          <w:tab w:leader="none" w:pos="7980" w:val="left"/>
          <w:tab w:leader="none" w:pos="8420" w:val="left"/>
          <w:tab w:leader="none" w:pos="9720" w:val="left"/>
        </w:tabs>
        <w:rPr>
          <w:sz w:val="20"/>
          <w:szCs w:val="20"/>
          <w:color w:val="auto"/>
        </w:rPr>
      </w:pPr>
      <w:r>
        <w:rPr>
          <w:rFonts w:ascii="Arial" w:cs="Arial" w:eastAsia="Arial" w:hAnsi="Arial"/>
          <w:sz w:val="18"/>
          <w:szCs w:val="18"/>
          <w:color w:val="auto"/>
        </w:rPr>
        <w:t>Cash payments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64</w:t>
        <w:tab/>
        <w: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-121920</wp:posOffset>
            </wp:positionV>
            <wp:extent cx="555498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179705"/>
                    </a:xfrm>
                    <a:prstGeom prst="rect">
                      <a:avLst/>
                    </a:prstGeom>
                    <a:noFill/>
                  </pic:spPr>
                </pic:pic>
              </a:graphicData>
            </a:graphic>
          </wp:anchor>
        </w:drawing>
      </w:r>
    </w:p>
    <w:p>
      <w:pPr>
        <w:spacing w:after="0" w:line="3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Undiscounted maturities of operating lease payments as March 31, 2021 are summarized as follows:</w:t>
      </w:r>
    </w:p>
    <w:p>
      <w:pPr>
        <w:spacing w:after="0" w:line="266"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2021(Remainder of the year)</w:t>
            </w:r>
          </w:p>
        </w:tc>
        <w:tc>
          <w:tcPr>
            <w:tcW w:w="720" w:type="dxa"/>
            <w:vAlign w:val="bottom"/>
            <w:gridSpan w:val="2"/>
            <w:shd w:val="clear" w:color="auto" w:fill="CCEEFF"/>
          </w:tcPr>
          <w:p>
            <w:pPr>
              <w:jc w:val="right"/>
              <w:ind w:right="58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21"/>
                <w:szCs w:val="21"/>
                <w:color w:val="auto"/>
              </w:rPr>
            </w:pPr>
          </w:p>
        </w:tc>
      </w:tr>
      <w:tr>
        <w:trPr>
          <w:trHeight w:val="203"/>
        </w:trPr>
        <w:tc>
          <w:tcPr>
            <w:tcW w:w="70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949</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r>
      <w:tr>
        <w:trPr>
          <w:trHeight w:val="216"/>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lease liability balance</w:t>
            </w:r>
          </w:p>
        </w:tc>
        <w:tc>
          <w:tcPr>
            <w:tcW w:w="2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8" w:right="339" w:bottom="420" w:gutter="0" w:footer="0" w:header="0"/>
        </w:sectPr>
      </w:pPr>
    </w:p>
    <w:p>
      <w:pPr>
        <w:spacing w:after="0" w:line="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Leases recorded on the balance sheet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-127635</wp:posOffset>
            </wp:positionV>
            <wp:extent cx="55549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4980" cy="14541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Operating lease right of 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31750</wp:posOffset>
            </wp:positionV>
            <wp:extent cx="55549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4980" cy="154305"/>
                    </a:xfrm>
                    <a:prstGeom prst="rect">
                      <a:avLst/>
                    </a:prstGeom>
                    <a:noFill/>
                  </pic:spPr>
                </pic:pic>
              </a:graphicData>
            </a:graphic>
          </wp:anchor>
        </w:drawing>
      </w:r>
    </w:p>
    <w:p>
      <w:pPr>
        <w:spacing w:after="0" w:line="2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Operating lease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-130810</wp:posOffset>
            </wp:positionV>
            <wp:extent cx="55549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498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Operating lease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22860</wp:posOffset>
            </wp:positionV>
            <wp:extent cx="55549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As of</w:t>
            </w:r>
          </w:p>
        </w:tc>
      </w:tr>
      <w:tr>
        <w:trPr>
          <w:trHeight w:val="237"/>
        </w:trPr>
        <w:tc>
          <w:tcPr>
            <w:tcW w:w="12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rPr>
              <w:t>As of March 31,</w:t>
            </w:r>
          </w:p>
        </w:tc>
        <w:tc>
          <w:tcPr>
            <w:tcW w:w="16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December 31,</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459"/>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ind w:left="1120"/>
              <w:spacing w:after="0"/>
              <w:rPr>
                <w:sz w:val="20"/>
                <w:szCs w:val="20"/>
                <w:color w:val="auto"/>
              </w:rPr>
            </w:pPr>
            <w:r>
              <w:rPr>
                <w:rFonts w:ascii="Arial" w:cs="Arial" w:eastAsia="Arial" w:hAnsi="Arial"/>
                <w:sz w:val="18"/>
                <w:szCs w:val="18"/>
                <w:color w:val="auto"/>
              </w:rPr>
              <w:t>725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120" w:type="dxa"/>
            <w:vAlign w:val="bottom"/>
          </w:tcPr>
          <w:p>
            <w:pPr>
              <w:spacing w:after="0"/>
              <w:rPr>
                <w:sz w:val="24"/>
                <w:szCs w:val="24"/>
                <w:color w:val="auto"/>
              </w:rPr>
            </w:pPr>
          </w:p>
        </w:tc>
        <w:tc>
          <w:tcPr>
            <w:tcW w:w="1640" w:type="dxa"/>
            <w:vAlign w:val="bottom"/>
            <w:gridSpan w:val="2"/>
          </w:tcPr>
          <w:p>
            <w:pPr>
              <w:ind w:left="112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7"/>
        </w:trPr>
        <w:tc>
          <w:tcPr>
            <w:tcW w:w="120" w:type="dxa"/>
            <w:vAlign w:val="bottom"/>
          </w:tcPr>
          <w:p>
            <w:pPr>
              <w:spacing w:after="0"/>
              <w:rPr>
                <w:sz w:val="20"/>
                <w:szCs w:val="20"/>
                <w:color w:val="auto"/>
              </w:rPr>
            </w:pPr>
          </w:p>
        </w:tc>
        <w:tc>
          <w:tcPr>
            <w:tcW w:w="1640" w:type="dxa"/>
            <w:vAlign w:val="bottom"/>
            <w:gridSpan w:val="2"/>
          </w:tcPr>
          <w:p>
            <w:pPr>
              <w:ind w:left="1120"/>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79"/>
              </w:rPr>
              <w:t>738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5715</wp:posOffset>
            </wp:positionV>
            <wp:extent cx="115760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5760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560"/>
          </w:cols>
          <w:pgMar w:left="320" w:top="688" w:right="339" w:bottom="42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weighted average remaining lease term (in years)</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c>
          <w:tcPr>
            <w:tcW w:w="124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Operating leases weighted average discount rate</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c>
          <w:tcPr>
            <w:tcW w:w="1240" w:type="dxa"/>
            <w:vAlign w:val="bottom"/>
          </w:tcPr>
          <w:p>
            <w:pPr>
              <w:spacing w:after="0"/>
              <w:rPr>
                <w:sz w:val="20"/>
                <w:szCs w:val="20"/>
                <w:color w:val="auto"/>
              </w:rPr>
            </w:pPr>
          </w:p>
        </w:tc>
      </w:tr>
      <w:tr>
        <w:trPr>
          <w:trHeight w:val="425"/>
        </w:trPr>
        <w:tc>
          <w:tcPr>
            <w:tcW w:w="12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color w:val="auto"/>
              </w:rPr>
              <w:t>10</w:t>
            </w:r>
          </w:p>
        </w:tc>
        <w:tc>
          <w:tcPr>
            <w:tcW w:w="2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42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Microbot Israel has received grants from the Israeli Innovation Authority (“IIA”) for participation in research and development since 2013 through March 31, 2021 totaling approximately $1,500. In return, the Company is obligated to pay royalties amounting to 3%-3.5% of its future sales from commercialization of the funded research and development, up to the amount of the grants received.</w:t>
      </w:r>
    </w:p>
    <w:p>
      <w:pPr>
        <w:spacing w:after="0" w:line="165"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payment of royalties with respect to 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6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May 25, 2018, Microbot delivered an Exercise Notice to CardioSert Ltd., notifying it that Microbot elected to exercise the option to acquire the Technology owned by CardioSert and therefore made an additional cash payment of $250 and 6,738 shares of common stock estimated at $74.</w:t>
      </w:r>
    </w:p>
    <w:p>
      <w:pPr>
        <w:spacing w:after="0" w:line="184"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2"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(or approximately US$12.40, based on an exchange rate of NIS3.215 to the dollar) covering up to 60 consulting hours per month.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ind w:left="980"/>
        <w:spacing w:after="0" w:line="268" w:lineRule="auto"/>
        <w:rPr>
          <w:sz w:val="20"/>
          <w:szCs w:val="20"/>
          <w:color w:val="auto"/>
        </w:rPr>
      </w:pPr>
      <w:r>
        <w:rPr>
          <w:rFonts w:ascii="Arial" w:cs="Arial" w:eastAsia="Arial" w:hAnsi="Arial"/>
          <w:sz w:val="17"/>
          <w:szCs w:val="17"/>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 The complaint seeks rescission of the SPA and return of the Plaintiffs’ $6,750 purchase price with respect to the Financing. The Company filed a Motion to Dismiss on March 16, 2020, which was denied by decision and order entered on February 17, 2021. On March 18, 2021, the Company filed a notice of appeal of the denial of the Motion to Dismiss. At this time no estimation of the potential outcome of the litigation can be made.</w:t>
      </w:r>
    </w:p>
    <w:p>
      <w:pPr>
        <w:spacing w:after="0" w:line="186"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Company’s management is unable to assess the likelihood that it would be successful in any trial with respect to the SPA or the Financing, having previously lost the Sabby lawsuit. Accordingly, no assurance can be given that if the Company goes to trial and ultimately loses, or if the Company decides to settle at any time, such an adverse outcome would not be material to the Company’s consolidated financial position.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amount of profits was estimated in the complaint to be approximately $468.</w:t>
      </w:r>
    </w:p>
    <w:p>
      <w:pPr>
        <w:spacing w:after="0" w:line="171"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Several motions were filed during 2019 and 2020. On December 18, 2020, the Magistrate Judge issued a Report &amp; Recommendation, which recommended that: (i) judgment of $485 be entered in the Company’s favor on its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7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On March 30, 2021, the Court issued an Order adopting the Magistrate Judge’s Report &amp; Recommendation; and on March 31, 2021, the Clerk entered Judgement against Joseph Mona and in favor of the Company in the amount of $484,614.30. On April 27, 2021, Mona filed an appeal of the Court’s Judgment, which is pending before the U.S. Court of Appeals for the Second Circuit. the Company intends to oppose the appeal.</w:t>
      </w:r>
    </w:p>
    <w:p>
      <w:pPr>
        <w:spacing w:after="0" w:line="187"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On May 3, 2021, the Company obtained a writ of execution to enforce the Judgment against Mona, given Mona’s failure to post a bond or other security in the full amount of the Judgment pending the appeal as required by the Federal Rules of Civil Procedure. On May 7, 2021, the Company filed a motion to permit the registration of the Judgment in districts outside the Southern District of New York in which Mona may have assets available to satisfy the Judgment.</w:t>
      </w:r>
    </w:p>
    <w:p>
      <w:pPr>
        <w:spacing w:after="0" w:line="187" w:lineRule="exact"/>
        <w:rPr>
          <w:sz w:val="20"/>
          <w:szCs w:val="20"/>
          <w:color w:val="auto"/>
        </w:rPr>
      </w:pPr>
    </w:p>
    <w:p>
      <w:pPr>
        <w:jc w:val="both"/>
        <w:ind w:left="980" w:right="20"/>
        <w:spacing w:after="0" w:line="286" w:lineRule="auto"/>
        <w:rPr>
          <w:sz w:val="20"/>
          <w:szCs w:val="20"/>
          <w:color w:val="auto"/>
        </w:rPr>
      </w:pPr>
      <w:r>
        <w:rPr>
          <w:rFonts w:ascii="Arial" w:cs="Arial" w:eastAsia="Arial" w:hAnsi="Arial"/>
          <w:sz w:val="17"/>
          <w:szCs w:val="17"/>
          <w:color w:val="auto"/>
        </w:rPr>
        <w:t>On May 7, 2021, Mona filed a motion seeking permission to file a proposed Amended Counterclaim to the extent permitted by the Magistrate’s Report &amp; Recommendation as adopted by the Court’s Order. the Company intends to file an opposition to Mona’s motion to amend the Counterclaim on or before May 31, 2021 (in accordance with the schedule set by the Court’s Order).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of March 31, 2021, and December 31, 2020, the Company had 7,108,133 shares of common stock issued and outstanding, respectively.</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February 1, 2021, the Company granted to Mr. Harel Gadot, the Company’s Chairman of the Board, President and CEO, options to purchase an aggregate of 190,000 shares of the Company’s common stock, at an exercise price per share of $8.48. The stock options vest over a period of 2 years as outlined in the option agreements. As a result, the Company recognized compensation expenses for the three months ended March 31, 2021 in the total amount of $118 included in general and administrative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7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2020.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2020.</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(including certain CardioSert assets), are comprised of proprietary innovative technologies. Using the ViRob platform, Microbot is currently developing the Self Cleaning Shunt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42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when used with its “One &amp; Done” capabilities, which would be based in part on the CardioSert platform or possibly other guidewire/microcatheter technologies.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CardioSert technology or possibly other guidewire/microcatheter technologies,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when integrated into the LIBERTY device, may drastically reduce procedure time and costs while enhancing the operator experience.</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continuing our feasibility animal trials with respect to the LIBERTY device, and are expecting a design freeze in the fourth quarter of 2021, pre-submission to the FDA in the first quarter of 2022, clinical trials to commence in the third quarter of 2022, and submission to the FDA in the fourth quarter of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and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key components of Microbot’s results of operations for the three months ended March 31, 2021 and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Quarter Ended March 31,</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Increase/</w:t>
            </w:r>
          </w:p>
        </w:tc>
      </w:tr>
      <w:tr>
        <w:trPr>
          <w:trHeight w:val="223"/>
        </w:trPr>
        <w:tc>
          <w:tcPr>
            <w:tcW w:w="4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(Decrease)</w:t>
            </w: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1,273</w:t>
            </w:r>
          </w:p>
        </w:tc>
        <w:tc>
          <w:tcPr>
            <w:tcW w:w="8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1,472</w:t>
            </w: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Microbot’s research and development expenses were approximately $1,119,000 for the three 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2021, compared to approximately $691,000 for the same period in 2020. The increase in research and development expenses of approximately $428,000 in 2021 was primarily due to increases in the payroll due to new hires, and increases relating to professional services, materials and intellectual property with respect to the LIBERTY device. Microbot expects its research and development expenses to continue to increase over time as Microbot advances its development programs and begins pre-clinical and clinical trials for its product candidates.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approximately $1,273,000 for the three months ended March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approximately $1,472,000 for the same period in 2020. The decrease in general and administrative expenses of approximately $199,000 in 2021 was primarily due to a decrease in bonus expenses paid to our chief executive officer and a decrease in travel expenses offset by increases in salaries and related expenses. Microbot believes its general and administrative expenses may increase over time as it advances its programs, increases its headcount and operating activities and incurs expenses associated with being a public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i w:val="1"/>
          <w:iCs w:val="1"/>
          <w:color w:val="auto"/>
        </w:rPr>
        <w:t>Financing Expenses</w:t>
      </w:r>
      <w:r>
        <w:rPr>
          <w:rFonts w:ascii="Arial" w:cs="Arial" w:eastAsia="Arial" w:hAnsi="Arial"/>
          <w:sz w:val="17"/>
          <w:szCs w:val="17"/>
          <w:color w:val="auto"/>
        </w:rPr>
        <w:t>. Financing income were approximately $4,000 for the three months ended March 31, 2021, compared to finance expenses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$42,000 for the same period in 2020. The decrease in financial expenses for the three months ended March 31, 2021 was primarily due to the interest paid in relation to Microbot’s litigation for the three months ended March 31, 2020 not recurring during the same period of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incurred losses since inception and negative cash flows from operating activities for all periods presented. As of March 31, 2021, Microbot had a net working capital of approximately $21,932,000, consisting primarily of cash and cash equivalents and marketable securities. This compares to net working capital of approximately $23,908,000 as of December 31, 2020. Microbot anticipates that it will continue to incur net losses for the foreseeable future as it continues research and development efforts of its product candidates, hires additional staff, including clinical, scientific, operational, financial and management personnel, and continues to incur costs associated with being a public company.</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Microbot has funded its operations through the issuance of capital stock, grants from the Israeli Innovation Authority, and convertible debt. Since inception (November 2010) through March 31, 2021, Microbot has raised net cash proceeds of approximately $54,770,000, and incurred a total cumulative loss of approximately $46,668,000. Microbot returned $3,375,000 (before interest) of such proceeds as a result of an adverse outcome in a litigation that concluded in the first quarter of 2020, and is now subject to an additional lawsuit seeking the return of an additional $6,750,000 of such proceeds.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Israel obtained from the Israeli Innovation Authority (“IIA”) grants for participation in research and development for the years 2013 through March 31, 2021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believes that its net cash will be sufficient to fund its operations for at least 24 months and fund operations necessary to continue development activities of the SCS, LIBERTY and TipCAT. However, in the event we are unsuccessful in our current litigation with Empery and Hudson Bay, pursuant to which they are seeking the return of $6,750,000 in proceeds we received from them in a 2017 stock offering, we may have funds for less than 24 months.</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its existing cash and possibly additional grants from the Israeli Innovation Authority. Microbot intends to also raise capital through future issuances of debt and/or equity securities, including registered offerings under its existing Registration Statement on Form S-3 for up to $75 million of securities, which it may draw down from time to time. These issuances may be opportunistic and even if the Company has enough funds at such time for operations for more than 12-24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20" w:type="dxa"/>
            <w:vAlign w:val="bottom"/>
            <w:gridSpan w:val="4"/>
          </w:tcPr>
          <w:p>
            <w:pPr>
              <w:spacing w:after="0"/>
              <w:rPr>
                <w:sz w:val="20"/>
                <w:szCs w:val="20"/>
                <w:color w:val="auto"/>
              </w:rPr>
            </w:pPr>
            <w:r>
              <w:rPr>
                <w:rFonts w:ascii="Arial" w:cs="Arial" w:eastAsia="Arial" w:hAnsi="Arial"/>
                <w:sz w:val="18"/>
                <w:szCs w:val="18"/>
                <w:color w:val="auto"/>
                <w:w w:val="95"/>
              </w:rPr>
              <w:t>The following table provides a summary of the net cash flow activity for each of the periods set forth below (in thousands):</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7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710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gridSpan w:val="2"/>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Pr>
          <w:p>
            <w:pPr>
              <w:spacing w:after="0"/>
              <w:rPr>
                <w:sz w:val="18"/>
                <w:szCs w:val="18"/>
                <w:color w:val="auto"/>
              </w:rPr>
            </w:pPr>
          </w:p>
        </w:tc>
      </w:tr>
      <w:tr>
        <w:trPr>
          <w:trHeight w:val="24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4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r>
      <w:tr>
        <w:trPr>
          <w:trHeight w:val="217"/>
        </w:trPr>
        <w:tc>
          <w:tcPr>
            <w:tcW w:w="7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Decrease in cash and cash equivalents and restricted cash</w:t>
            </w:r>
          </w:p>
        </w:tc>
        <w:tc>
          <w:tcPr>
            <w:tcW w:w="42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from operating activities for the three months ended March 31, 2021 was approximately $1,994,000, calculated by adjusting net loss from operations by approximately $394,000 to eliminate non-cash and expense items not involving cash flows such as depreciation and share based compensation expense, as well as other changes in current assets and liabilities resulting in non-cash adjustments in the consolidated statements of operations. Cash used in operating activities for the three months ended March 31, 2020 was approximately $2,346,000, similarly adjusted by approximately $141,000.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flows from investing activities for the three months ended March 31, 2021 was approximately $265,000, compared to approximately $2,253,000 for the three months ended March 31, 2020, which consisted of proceeds from marketable securities of $2,521,000 offset by investing in a convertible loan in the amount of $200,000.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from financing activities of nil for the three months ended March 31, 2021 compared to approximately $3,375,000 for the three months ended March 31, 2020 consisted of repayment of shareholders investments relating to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March 31, 2021 and December 31, 2020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2021. Based on that review and evaluation, the Chief Executive Officer and Chief Financial Officer, along with the management of the Company, have determined that as of March 31, 2021,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filed a Motion to Dismiss on March 16, 2020, which Motion was denied by decision and order entered on February 17, 2021. On March 18, 2021, we filed a notice of appeal of the denial of the Motion to Dismiss. At this time no estimation of the potential outcome of the litigation can be made, and management is unable to assess the likelihood that we will succeed at trial with respect to the SPA or the Financing, having previously lost another lawsuit with respect to the Financing.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6, 2020, we filed a motion for judgment on the pleadings with respect to our 16(b) claim against Mona, together with a motion to dismiss Mona’s 10(b) counterclaim.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17, 2020, the Court issued a Memorandum Decision &amp; Order that, among other things, granted Alliance’s summary judgment motion. Our Section 16(b) claim against Mona remained pending following the Court’s dismissal of the 16(b) claim against Alliance.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2020, the Magistrate Judge issued a Report &amp; Recommendation, which recommended that: (i) judgment of $484,614.30 be entered in our favor on our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30, 2021, the Court issued an Order adopting the Magistrate Judge’s Report &amp; Recommendation; and on March 31, 2021, the Clerk entered Judgement against Joseph Mona and in favor of Microbot in the amount of $484,614.30. On April 27, 2021, Mona filed an appeal of the Court’s Judgment, which is pending before the U.S. Court of Appeals for the Second Circuit. Microbot intends to oppose the appeal.</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3, 2021, Microbot obtained a writ of execution to enforce the Judgment against Mona, given Mona’s failure to post a bond or other security in the full amount of the Judgment pending the appeal as required by the Federal Rules of Civil Procedure. On May 7, 2021, Microbot filed a motion to permit the registration of the Judgment in districts outside the Southern District of New York in which Mona may have assets available to satisfy the Judgment.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7, 2021, Mona filed a motion seeking permission to file a proposed Amended Counterclaim to the extent permitted by the Magistrate’s Report &amp; Recommendation as adopted by the Court’s Order. Microbot intends to file an opposition to Mona’s motion to amend the Counterclaim on or before May 31, 2021 (in accordance with the schedule set by the Court’s Order).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24">
        <w:r>
          <w:rPr>
            <w:rFonts w:ascii="Arial" w:cs="Arial" w:eastAsia="Arial" w:hAnsi="Arial"/>
            <w:sz w:val="16"/>
            <w:szCs w:val="16"/>
            <w:u w:val="single" w:color="auto"/>
            <w:color w:val="0000EE"/>
          </w:rPr>
          <w:t>By-Laws, as amended</w:t>
        </w:r>
      </w:hyperlink>
    </w:p>
    <w:p>
      <w:pPr>
        <w:spacing w:after="0" w:line="23"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40">
        <w:r>
          <w:rPr>
            <w:rFonts w:ascii="Arial" w:cs="Arial" w:eastAsia="Arial" w:hAnsi="Arial"/>
            <w:sz w:val="16"/>
            <w:szCs w:val="16"/>
            <w:u w:val="single" w:color="auto"/>
            <w:color w:val="0000EE"/>
          </w:rPr>
          <w:t>Employment Agreement with Simon Sharon (incorporated by reference to the Company’s Form 8-K filed with the SEC on April 7, 2021)</w:t>
        </w:r>
      </w:hyperlink>
    </w:p>
    <w:p>
      <w:pPr>
        <w:spacing w:after="0" w:line="9" w:lineRule="exact"/>
        <w:rPr>
          <w:sz w:val="20"/>
          <w:szCs w:val="20"/>
          <w:color w:val="auto"/>
        </w:rPr>
      </w:pPr>
    </w:p>
    <w:p>
      <w:pPr>
        <w:jc w:val="both"/>
        <w:ind w:left="800" w:hanging="795"/>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41">
        <w:r>
          <w:rPr>
            <w:rFonts w:ascii="Arial" w:cs="Arial" w:eastAsia="Arial" w:hAnsi="Arial"/>
            <w:sz w:val="18"/>
            <w:szCs w:val="18"/>
            <w:u w:val="single" w:color="auto"/>
            <w:color w:val="0000EE"/>
          </w:rPr>
          <w:t>First Amendment to Employment Agreement with Simon Sharon (incorporated by reference to the Company’s Form 8-K filed with the SEC on</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April 22, 2021)</w:t>
        </w:r>
      </w:hyperlink>
    </w:p>
    <w:p>
      <w:pPr>
        <w:spacing w:after="0" w:line="1"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35">
        <w:r>
          <w:rPr>
            <w:rFonts w:ascii="Arial" w:cs="Arial" w:eastAsia="Arial" w:hAnsi="Arial"/>
            <w:sz w:val="16"/>
            <w:szCs w:val="16"/>
            <w:u w:val="single" w:color="auto"/>
            <w:color w:val="0000EE"/>
          </w:rPr>
          <w:t>Certification of Harel Gadot, Chairman, President and Chief Executive Officer</w:t>
        </w:r>
      </w:hyperlink>
    </w:p>
    <w:p>
      <w:pPr>
        <w:spacing w:after="0" w:line="9" w:lineRule="exact"/>
        <w:rPr>
          <w:sz w:val="20"/>
          <w:szCs w:val="20"/>
          <w:color w:val="auto"/>
        </w:rPr>
      </w:pPr>
    </w:p>
    <w:p>
      <w:pPr>
        <w:spacing w:after="0"/>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36">
        <w:r>
          <w:rPr>
            <w:rFonts w:ascii="Arial" w:cs="Arial" w:eastAsia="Arial" w:hAnsi="Arial"/>
            <w:sz w:val="17"/>
            <w:szCs w:val="17"/>
            <w:u w:val="single" w:color="auto"/>
            <w:color w:val="0000EE"/>
          </w:rPr>
          <w:t>Certification of David Ben Naim, Chief Financial Officer</w:t>
        </w:r>
      </w:hyperlink>
    </w:p>
    <w:p>
      <w:pPr>
        <w:spacing w:after="0" w:line="9" w:lineRule="exact"/>
        <w:rPr>
          <w:sz w:val="20"/>
          <w:szCs w:val="20"/>
          <w:color w:val="auto"/>
        </w:rPr>
      </w:pPr>
    </w:p>
    <w:p>
      <w:pPr>
        <w:jc w:val="both"/>
        <w:ind w:left="800" w:hanging="795"/>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37">
        <w:r>
          <w:rPr>
            <w:rFonts w:ascii="Arial" w:cs="Arial" w:eastAsia="Arial" w:hAnsi="Arial"/>
            <w:sz w:val="18"/>
            <w:szCs w:val="18"/>
            <w:u w:val="single" w:color="auto"/>
            <w:color w:val="0000EE"/>
          </w:rPr>
          <w:t>Certification of Harel Gadot, Chairman, President and Chief Executive Officer, pursuant to 18 U.S.C. Section 1350, as adopted pursuant to</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Section 906 of the Sarbanes-Oxley Act of 2002</w:t>
        </w:r>
      </w:hyperlink>
    </w:p>
    <w:p>
      <w:pPr>
        <w:spacing w:after="0" w:line="1" w:lineRule="exact"/>
        <w:rPr>
          <w:sz w:val="20"/>
          <w:szCs w:val="20"/>
          <w:color w:val="auto"/>
        </w:rPr>
      </w:pPr>
    </w:p>
    <w:p>
      <w:pPr>
        <w:jc w:val="both"/>
        <w:ind w:left="800" w:right="20" w:hanging="795"/>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38">
        <w:r>
          <w:rPr>
            <w:rFonts w:ascii="Arial" w:cs="Arial" w:eastAsia="Arial" w:hAnsi="Arial"/>
            <w:sz w:val="18"/>
            <w:szCs w:val="18"/>
            <w:u w:val="single" w:color="auto"/>
            <w:color w:val="0000EE"/>
          </w:rPr>
          <w:t>Certification of David Ben Naim, Chief Financial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Sarbanes-Oxley Act of 2002</w:t>
        </w:r>
      </w:hyperlink>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XBRL Instance.</w:t>
      </w:r>
    </w:p>
    <w:p>
      <w:pPr>
        <w:sectPr>
          <w:pgSz w:w="11900" w:h="16882" w:orient="portrait"/>
          <w:cols w:equalWidth="0" w:num="1">
            <w:col w:w="11240"/>
          </w:cols>
          <w:pgMar w:left="320" w:top="692" w:right="3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3100" w:type="dxa"/>
            <w:vAlign w:val="bottom"/>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3100" w:type="dxa"/>
            <w:vAlign w:val="bottom"/>
          </w:tcPr>
          <w:p>
            <w:pPr>
              <w:ind w:left="60"/>
              <w:spacing w:after="0"/>
              <w:rPr>
                <w:sz w:val="20"/>
                <w:szCs w:val="20"/>
                <w:color w:val="auto"/>
              </w:rPr>
            </w:pPr>
            <w:r>
              <w:rPr>
                <w:rFonts w:ascii="Arial" w:cs="Arial" w:eastAsia="Arial" w:hAnsi="Arial"/>
                <w:sz w:val="18"/>
                <w:szCs w:val="18"/>
                <w:color w:val="auto"/>
                <w:w w:val="94"/>
              </w:rPr>
              <w:t>XBRL Taxonomy Extension Calculation.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3100" w:type="dxa"/>
            <w:vAlign w:val="bottom"/>
          </w:tcPr>
          <w:p>
            <w:pPr>
              <w:ind w:left="60"/>
              <w:spacing w:after="0"/>
              <w:rPr>
                <w:sz w:val="20"/>
                <w:szCs w:val="20"/>
                <w:color w:val="auto"/>
              </w:rPr>
            </w:pPr>
            <w:r>
              <w:rPr>
                <w:rFonts w:ascii="Arial" w:cs="Arial" w:eastAsia="Arial" w:hAnsi="Arial"/>
                <w:sz w:val="18"/>
                <w:szCs w:val="18"/>
                <w:color w:val="auto"/>
                <w:w w:val="98"/>
              </w:rPr>
              <w:t>XBRL Taxonomy Extension Definition.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3100" w:type="dxa"/>
            <w:vAlign w:val="bottom"/>
          </w:tcPr>
          <w:p>
            <w:pPr>
              <w:ind w:left="60"/>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3100" w:type="dxa"/>
            <w:vAlign w:val="bottom"/>
          </w:tcPr>
          <w:p>
            <w:pPr>
              <w:ind w:left="60"/>
              <w:spacing w:after="0"/>
              <w:rPr>
                <w:sz w:val="20"/>
                <w:szCs w:val="20"/>
                <w:color w:val="auto"/>
              </w:rPr>
            </w:pPr>
            <w:r>
              <w:rPr>
                <w:rFonts w:ascii="Arial" w:cs="Arial" w:eastAsia="Arial" w:hAnsi="Arial"/>
                <w:sz w:val="18"/>
                <w:szCs w:val="18"/>
                <w:color w:val="auto"/>
                <w:w w:val="91"/>
              </w:rPr>
              <w:t>XBRL Taxonomy Extension Presentation.</w:t>
            </w:r>
          </w:p>
        </w:tc>
      </w:tr>
    </w:tbl>
    <w:p>
      <w:pPr>
        <w:spacing w:after="0" w:line="20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2021.</w:t>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[Amended as of May 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LAW, CERTIFICATE OF INCORPORATION AND BY-LAWS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 These by-laws are subject to the certificate of incorporation of the corporation. In these by-laws, references to law, the certificate of incorporation and by-laws mean the law, the provisions of the certificate of incorporation and the by-laws as from time to time in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2. STOCKHOLDERS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2.1. Annual Meeting. The annual meeting of stockholders shall be held at 10:00 a.m. on the second Tuesday in May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and stated in the notice of the meeting, at which the stockholders shall elect members of the board of directors and transact such other business as may be required by law or these by-laws or as may properly come before the meeting.</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2.2. Special Meetings. A special meeting of the stockholders may be called at any time by the chairman of the board, if any, the president or the board of directors. A special meeting of the stockholders shall be called by the secretary, or in the case of the death, absence, incapacity or refusal of the secretary, by an assistant secretary or some other officer, upon application of a majority of the directors. Any such application shall state the purpose or purposes of the proposed meeting. Any such call shall state the place, date, hour, and purposes of the meeting.</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2.3. Place of Meeting. All meetings of the stockholders for the election of directors or for any other purpose shall be held at such place within or without the State of Delaware as may be determined from time to time by the president, the board of directors or such other persons as may be authorized by the board of directors. Any adjourned session of any meeting of the stockholders shall be held at the place designated at the time of adjournment.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2.4. Notice of Meetings. Except as otherwise provided by law, a written notice of each meeting of stockholders stating the place, day and hour thereof and, in the case of a special meeting, the purposes for which the meeting is called, shall be given not less than ten nor more than sixty days before the meeting, to each stockholder entitled to vote thereat, and to each stockholder who, by law, by the certificate of incorporation or by these by-laws, is entitled to notice, by leaving such notice with him or at his residence or usual place of business, or by depositing it in the United States mail, postage prepaid, and addressed to such stockholder at his address as it appears in the records of the corporation. Business transacted at any special meeting shall be limited to the purpose or purposes thereof stated in the notice of such meeting. Such notice shall be given by the secretary, or by an officer or person designated by the board of directors, or in the case of a special meeting by the secretary or the officer calling the meeting. As to any adjourned session of any meeting of stockholders, notice of the adjourned meeting need not be given if the time and place thereof are announced at the meeting at which the adjournment was taken except that if the adjournment is for more than thirty days or if after the adjournment a new record date is set for the adjourned session, notice of any such adjourned session of the meeting shall be given in the manner heretofore described. No notice of any meeting of stockholders or any adjourned session thereof need be given to a stockholder if a written waiver of notice, executed before or after the meeting or such adjourned session by such stockholder, is filed with the records of the meeting or if the stockholder attends such meeting without objecting at the beginning of the meeting to the transaction of any business because the meeting is not lawfully called or convened. Neither the business to be transacted at, nor the purpose of, any meeting of the stockholders or any adjourned session thereof need be specified in any written waiver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7"/>
          <w:szCs w:val="17"/>
          <w:color w:val="auto"/>
        </w:rPr>
        <w:t>2.5. Quorum of Stockholders. At any meeting of the stockholders a quorum as to any matter shall consist of a majority of the votes entitled to be cast on the matter, except where a larger quorum is required by law, by the certificate of incorporation or by these by-laws. Any meeting may be adjourned from time to time by a majority of the votes properly cast upon the question, whether or not a quorum is present. If a quorum is present at an original meeting, a quorum need not be present at an adjourned session of that meeting.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any corporation to vote stock, including but not limited to its own stock, held by it in a fiduciary capacity.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2.6. Action by Vote. When a quorum is present at any meeting,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2.7. Action without Meetings. Unless otherwise provided in the certificate of incorporation and except as otherwise provided herein, any action required or permitted to be taken by stockholders for or in connection with any corporate action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by hand or certified or registered mail, return receipt requested, to its principal place of business or to an officer or agent of the corporation having custody of the book in which proceedings of meetings of stockholders are recorded. Each such written consent shall bear the date of signature of each stockholder who signs the consent. No written consent shall be effective to take the corporate action referred to therein unless written consents signed by a number of stockholders sufficient to take such action are delivered to the corporation in the manner specified in this paragraph within sixty days of the earliest dated consent so delivered.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action is taken by consent of stockholders and in accordance with the foregoing, there shall be filed with the records of the meetings of stockholders the writing or writings comprising such consent.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action is taken by less than unanimous consent of stockholders, prompt notice of the taking of such action without a meeting shall be given to those who have not consented in writing and a certificate signed and attested to by the secretary that such notice was given shall be filed with the records of the meetings of stockholders.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the action which is consented to is such as would have required the filing of a certificate under any provision of the General Corporation Law of the State of Delaware, if such action had been voted upon by the stockholders at a meeting thereof, the certificate filed under such provision shall state, in lieu of any statement required by such provision concerning a vote of stockholders, that written consent has been given under Section 228 of said General Corporation Law and that written notice has been given as provided in such Section 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2.8. No Action by Writing. Notwithstanding Section 2.7 of these by-laws, if at any time this corporation shall have a class of stock registered pursuant to the provisions of the Securities Exchange Act of 1934 (the “Securities Exchange Act”), and for so long as such class is so registered, any action which is required to be taken at any annual or special meeting of the stockholders or which may be taken at such a meeting may be taken only by vote at such a meeting, and not by a written consent or otherwise.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2.9. Proxy Representation.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The delivery of a proxy on behalf of a stockholder consistent with telephonic or electronically transmitted instructions obtained pursuant to procedures of the corporation reasonably designed to verify that such instructions have been authorized by such stockholder shall constitute execution and delivery of the proxy by or on behalf of the stockholder.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be,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2.10. Inspectors. The directors or the person presiding at the meeting shall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shall determine the number of shares of stock outstanding and the voting power of each, the shares of stock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determine and retain for a reasonable period a record of the disposition of any challenges made to any determination by the inspectors, certify their determination of the number of shares represented at the meeting, and their count of all votes and ballots, and do such acts as are proper to conduct the election or vote with fairness to all stockholders. The inspectors may appoint and retain other persons or entities to assist the inspectors in the performance of the duties of the inspectors. On request of the person presiding at the meeting, the inspectors shall make a report in writing of any challenge, question or matter determined by them and execute a certificate of any fact found by them.</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2.11. List of Stockholders. The secretary shall prepare and make, at least ten days before every meeting of stockholders, a complete list of the stockholders entitled to vote at such meeting, arranged in alphabetical order and showing the address of each stockholder and the number of shares registered in his name. The stock ledger shall be the only evidence as to who are stockholders entitled to examine such list or to vote in person or by proxy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Section 3. BOARD OF DIRECTORS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3.1. Number. Except as otherwise provided in this Section 3.1, the number of directors which shall constitute the whole board shall not be less than three nor more than seven in number. Thereafter, within the foregoing limits, the stockholders at the annual meeting shall determine the number of directors and shall elect the number of directors as determined. Within the foregoing limits, the number of directors may be increased at any time or from time to time by the stockholders or by the directors by vote of a majority of the directors then in office. The number of directors may be decreased to any number permitted by the foregoing at any time either by the stockholders or by the directors by vote of a majority of the directors then in office, but only to eliminate vacancies existing by reason of the death, resignation or removal of one or more directors. Directors need not be stockholders.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Notwithstanding the foregoing, if at any time this corporation shall have a class of stock registered pursuant to the provisions of the Securities Exchange Act, and for so long as such class is so registered, the following provisions shall govern the number and election of directors. The number of directors which shall constitute the whole board shall not be less than three nor more than fifteen in number. Thereafter, within the foregoing limits, the number of directors shall be fixed by resolution of the board of directors. Within the foregoing limits, the number of directors may be increased at any time or from time to time by the directors by vote of a majority of the directors then in office. The number of directors may be decreased to any number permitted by the foregoing at any time by the directors by vote of a majority of the directors then in office, but only to eliminate vacancies existing by reason of the death, resignation or removal of one or more directors. Directors need not be stockholders.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directors, other than those who may be elected by the holders of any class or series of preferred stock voting separately by class or series, shall be classified, with respect to the duration of the term for which they severally hold office, into three classes, designated Class I, Class II, and Class III, which shall be as nearly equal in number as possible and as provided by resolution of the board of directors. Each initial director in Class I shall hold office for a term expiring at the first annual meeting of stockholders; each initial director of Class II shall hold office for a term expiring at the second annual meeting of stockholders; and each initial director of Class III shall hold office for a term expiring at the third annual meeting of stockholders. The initial membership of each class shall be determined by vote of a majority of the directors then in office. Each director shall serve until his successor is duly elected and qualified or until his earlier death, resignation, removal or disqualification. At each annual meeting of stockholders, the stockholders shall elect the successors to the class of directors whose term expires at that meeting to hold office for a term expiring at the annual meeting of stockholders held in the third year following the year of their election and until their successors have been duly elected and qualified or until their earlier death, resignation, removal or disqualification.</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board of directors shall increase or decrease the number of directors in one or more classes as may be appropriate whenever it increases or decreases the number of directors pursuant to this Section 3.1, in order to ensure that the three classes shall be as nearly equal in number as possible.</w:t>
      </w:r>
    </w:p>
    <w:p>
      <w:pPr>
        <w:spacing w:after="0" w:line="1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3.2. Notification of Nominations. Subject to the rights of the holders of any class or series of preferred stock voting separately by class or series, nominations for the election of directors may be made by the board of directors or by any stockholder entitled to vote for the election of directors as specified in this Section 3.2. A stockholder entitled to vote for the election of directors at a meeting may nominate persons for election as directors by giving timely notice thereof in proper written form to the secretary accompanied by a petition signed by at least 100 record holders of capital stock of the corporation which shows the class and number of shares held by each person and which represent in the aggregate 1% or more of the outstanding shares entitled to vote in the election of directors. To be timely, notice shall be delivered to or mailed and received at the principal executive offices not less than 60 days nor more than 90 days prior to the meeting; provided, however, that in the event that less than 70 days’ notice or prior public disclosure of the date of the meeting is given or made to the stockholders, to be timely, notice by the stockholder must be received at the principal executive offices not later than the close of business on the tenth day following the day on which such notice of the date of the meeting was mailed or such public disclosure was made. To be in proper written form, a stockholder’s notice shall set forth in writing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including, without limitation, such person’s written consent to being named in the proxy statement as a nominee and to serving as a director if elected and (ii) as to the stockholder giving the notice (x) the name and address, as they appear on the corporation’s books, of such stockholder and (y) the class and number of shares or the corporation which are beneficially owned by such stockholder. At the request of the board of directors, any person nominated by the board of directors for election as a director shall furnish to the secretary the information required to be set forth in a stockholder’s notice of nomination which pertains to the nominee. In the event that a stockholder seeks to nominate one or more directors, the secretary shall appoint one or more inspectors to determine whether a stockholder has complied with this Section 3.2. If the inspectors shall determine that a stockholder has not complied with this Section 3.2, the inspectors shall direct the chairman of the meeting to declare to the meeting that a nomination was not made in accordance with the procedures prescribed by the by-laws, and the chairman shall so declare to the meeting and the defective nomination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3.3. Powers. The business and affairs of the corporation shall be managed by or under the direction of the board of directors who shall have and may exercise all the powers of the corporation and do all such lawful acts and things as are not by law, the certificate of incorporation or these by-laws directed or required to be exercised or done by the stockholders.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3.4. Vacancies. Vacancies and any newly created directorships resulting from any increase in the number of directors shall be filled only by a majority of the directors then in office, although less than a quorum, or by a sole remaining director. Stockholders shall have no power to fill any vacancies or newly created directorships. When one or more directors shall resign from the board,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3.5. Committees.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3.6. Regular Meetings. Regular meetings of the board of directors may be held without call or notice at such places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stockholders.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3.7. Special Meetings. Special meetings of the board of directors may be held at any time and at any place within or without the State of Delaware designated in the notice of the meeting, when called by the chairman of the board, if any, the president, or by one-third or more in number of the directors, reasonable notice thereof being given to each director by the secretary or by the chairman of the board, if any, the president or any one of the directors calling the meeting.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3.8. Notice. It shall be reasonable and sufficient notice to a director to send notice by mail at least forty-eight hours or by telegram at least twenty-four hours before the meeting addressed to him at his usual or last known business or residence address or to give notice to him in person or by telephone, facsimile transmission or electronic transmission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3.9. Quorum.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3.10. Action by Vote. Except as may be otherwise provided by law, by the certificate of incorporation or by these by-laws, when a quorum is present at any meeting the vote of a majority of the directors present shall be the act of the board of directors.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3.11. Action Without a Meeting. Any action required or permitted to be taken at any meeting of the board of directors or a committee thereof may be taken without a meeting if all the members of the board or of such committee, as the case may be, consent thereto in writing or by electronic transmission, and such writing or writings or electronic transmission or transmissions are filed with the records of the meetings of the board or of such committee. Such consent shall be treated for all purposes as the act of the board or of such committee, as the case may be.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3.12. Participation in Meetings by Conference Telephone. Members of the board of directors, or any committee designated by such board, may participate in a meeting of such board or committee by means of conference telephone or similar communications equipment by means of which all persons participating in the meeting can hear each other or by any other means permitted by law. Such participation shall constitute presence in person at such meeting.</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3.13. Compensation. In the discretion of the board of directors, each director may be paid such fees for his services as director and be reimbursed for his reasonable expenses incurred in the performance of his duties as director as the board of directors from time to time may determine. Nothing contained in this section shall be construed to preclude any director from serving the corporation in any other capacity and receiving reasonable compensation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3.14. Interested Directors and Officers.</w:t>
      </w:r>
    </w:p>
    <w:p>
      <w:pPr>
        <w:spacing w:after="0" w:line="225" w:lineRule="exact"/>
        <w:rPr>
          <w:sz w:val="20"/>
          <w:szCs w:val="20"/>
          <w:color w:val="auto"/>
        </w:rPr>
      </w:pPr>
    </w:p>
    <w:p>
      <w:pPr>
        <w:jc w:val="both"/>
        <w:ind w:firstLine="8"/>
        <w:spacing w:after="0" w:line="301" w:lineRule="auto"/>
        <w:tabs>
          <w:tab w:leader="none" w:pos="256"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57" w:lineRule="exact"/>
        <w:rPr>
          <w:sz w:val="20"/>
          <w:szCs w:val="20"/>
          <w:color w:val="auto"/>
        </w:rPr>
      </w:pPr>
    </w:p>
    <w:p>
      <w:pPr>
        <w:jc w:val="both"/>
        <w:ind w:firstLine="8"/>
        <w:spacing w:after="0" w:line="263" w:lineRule="auto"/>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83" w:lineRule="exact"/>
        <w:rPr>
          <w:rFonts w:ascii="Arial" w:cs="Arial" w:eastAsia="Arial" w:hAnsi="Arial"/>
          <w:sz w:val="18"/>
          <w:szCs w:val="18"/>
          <w:color w:val="auto"/>
        </w:rPr>
      </w:pPr>
    </w:p>
    <w:p>
      <w:pPr>
        <w:ind w:firstLine="8"/>
        <w:spacing w:after="0" w:line="277"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70" w:lineRule="exact"/>
        <w:rPr>
          <w:rFonts w:ascii="Arial" w:cs="Arial" w:eastAsia="Arial" w:hAnsi="Arial"/>
          <w:sz w:val="18"/>
          <w:szCs w:val="18"/>
          <w:color w:val="auto"/>
        </w:rPr>
      </w:pPr>
    </w:p>
    <w:p>
      <w:pPr>
        <w:ind w:firstLine="8"/>
        <w:spacing w:after="0" w:line="277" w:lineRule="auto"/>
        <w:tabs>
          <w:tab w:leader="none" w:pos="27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170" w:lineRule="exact"/>
        <w:rPr>
          <w:sz w:val="20"/>
          <w:szCs w:val="20"/>
          <w:color w:val="auto"/>
        </w:rPr>
      </w:pPr>
    </w:p>
    <w:p>
      <w:pPr>
        <w:ind w:firstLine="8"/>
        <w:spacing w:after="0" w:line="277" w:lineRule="auto"/>
        <w:tabs>
          <w:tab w:leader="none" w:pos="25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4. OFFICERS AND AGENTS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4.1. Enumeration; Qualification. The officers of the corporation shall be a president, a treasurer, a secretary and such other officers, if any, as the board of directors from time to time may in its discretion elect or appoint including without limitation a chairman of the board, one or more vice presidents and a controller. The corporation may also have such agents, if any, as the board of directors from time to time may in its discretion choose.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4.2. Powers.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4.3. Election. The officers may be elected by the board of directors at their first meeting following the annual meeting of the stockholders or at any other time. At any time or from time to time the directors may delegate to any officer their power to elect or appoint any other officer or any agents.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4.4. Tenure. Each officer shall hold office until the first meeting of the board of directors following the next annual meeting of the stockholders and until his respective successor is chosen and qualified unless a shorter period shall have been specified by the terms of his election or appointment, or in each case until he sooner dies, resigns, is removed or becomes disqualified. Each agent shall retain his authority at the pleasure of the directors, or the officer by whom he was appointed or by the officer who then holds agent appointive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311" w:lineRule="auto"/>
        <w:rPr>
          <w:sz w:val="20"/>
          <w:szCs w:val="20"/>
          <w:color w:val="auto"/>
        </w:rPr>
      </w:pPr>
      <w:r>
        <w:rPr>
          <w:rFonts w:ascii="Arial" w:cs="Arial" w:eastAsia="Arial" w:hAnsi="Arial"/>
          <w:sz w:val="16"/>
          <w:szCs w:val="16"/>
          <w:color w:val="auto"/>
        </w:rPr>
        <w:t>4.5. Chairman of the Board of Directors, President and Vice President. The chairman of the board, if any, shall have such duties and powers as shall be designated from time to time by the board of directors. Unless the board of directors otherwise specifies, the chairman of the board, or if there is none the chief executive officer, shall preside, or designate the person who shall preside, at all meetings of the stockholders and of the board of directors.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Unless the board of directors otherwise specifies, the president shall be the chief executive officer and shall have direct charge of all business operations of the corporation and, subject to the control of the directors, shall have general charge and supervision of the business of the corporation.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vice presidents shall have such duties and powers as shall be set forth in these by-laws or as shall be designated from time to time by the board of directors or by the president.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4.6. Treasurer and Assistant Treasurers. Unless the board of directors otherwise specifies, the treasurer shall be the chief financial officer of the corporation and shall be in charge of its funds and valuable papers, and shall have such other duties and powers as may be designated from time to time by the board of directors or by the president. If no controller is elected, the treasurer shall, unless the board of directors otherwise specifies, also have the duties and powers of the controller.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Any assistant treasurers shall have such duties and powers as shall be designated from time to time by the board of directors, the president or the treasurer.</w:t>
      </w:r>
    </w:p>
    <w:p>
      <w:pPr>
        <w:spacing w:after="0" w:line="24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4.7. Controller and Assistant Controllers. If a controller is elected, he shall, unless the board of directors otherwise specifies, be the chief accounting officer of the corporation and be in charge of its books of account and accounting records, and of its accounting procedures. He shall have such other duties and powers as may be designated from time to time by the board of directors, the president or the treasurer.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assistant controller shall have such duties and powers as shall be designated from time to time by the board of directors, the president, the treasurer or the controller.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4.8. Secretary and Assistant Secretaries. The secretary shall record all proceedings of the stockholders, of the board of directors and of committees of the board of directors in a book or series of books to be kept therefor and shall file therein all actions by written consent of stockholders or directors. In the absence of the secretary from any meeting, an assistant secretary, or if there be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He shall have such other duties and powers as may from time to time be designated by the board of directors or the president.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Any assistant secretaries shall have such duties and powers as shall be designated from time to time by the board of directors, the president or the secretary.</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4.9. Action with Respect to Securities of Other Corporations. Unless otherwise directed by the Board of Directors, the Chief Executive Officer, the President or any officer of the corporation authorized by the Board of Directors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Section 5. RESIGNATIONS AND REMOVALS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director or officer may resign at any time by delivering his resignation in writing to the chairman of the board, if any, the president, or the secretary or to a meeting of the board of directors. Such resignation shall be effective upon receipt unless specified to be effective at some other time, and without in either case the necessity of its being accepted unless the resignation shall so state. Any director or the entire board of directors may be removed, with or without cause, by the holders of a majority of the shares then entitled to vote at an election of directors, except as follows: (1) unless the Certificate of Incorporation otherwise provides, if the Corporation has a classified board as provided in Section 141(d) of the DGCL, stockholders may effect such removal only for cause; or (2) in the case of the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be classes of directors, at an election of the class of directors of which such director is a part. In case the board of directors or any one or more directors be so removed, new directors may be elected at the same time for the unexpired portion of the full term of the director or directors so removed. The board of directors may at any time remove any officer either with or without cause. The board of directors may at any time terminate or modify the authority of any agent. No director or officer resigning and (except where a right to receive compensation shall be expressly provided in a duly authorized written agreement with the corporation) no director or officer removed shall have any right to any compensation as such director or officer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Section 6. VACANCIES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office of the president or the treasurer or the secretary becomes vacant, the directors may elect a successor by vote of a majority of the directors then in office. If the office of any other officer becomes vacant, any person or body empowered to elect or appoint that officer may choose a successor. Each such successor shall hold office for the unexpired term, and in the case of the president, the treasurer and the secretary until his successor is chosen and qualified or in each case until he sooner dies, resigns, is removed or becomes disqualified. Any vacancy of a directorship shall be filled as specified in Section 3.4 of these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7. CAPITAL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7.1. Stock Certificates.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chairman or vice chairman of the board, if any, or the president or a vice president and by the treasurer or an assistant treasurer or by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7.2. Loss of Certificates. In the case of the alleged theft, loss, destruction or mutilation of a certificate of stock, a duplicate certificate may be issued in place thereof, upon such terms, including receipt of a bond sufficient to indemnify the corporation against any claim on account thereof, as the board of directors may prescribe.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8. TRANSFER OF SHARES OF STOCK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8.1. Transfer on Books. Subject to the restrictions, if any, stated or noted on the stock certificate,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 shall be the duty of each stockholder to notify the corporation of his post office address.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8.2. Record Date and Closing Transfer Books.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such record date is fixed by the board of directors,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payment, exercise or other action. If no such record date is fixed, the record date for determining stockholders for any such purpose shall be at the close of business on the day on which the board of directors adopts the resolution relating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Section 9. CORPORATE SEAL</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9.1. Subject to alteration by the directors, the seal of the corporation shall consist of a flat-faced circular die with the word “Delaware” and the name of the corporation cut or engraved thereon, together with such other words, dates or images as may be approved from time to time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Section 10. EXECUTION OF PAPERS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10.1. Authority to Sign. Except as the board of directors may generally or in particular cases authorize the execution thereof in some other manner, all deeds, leases, transfers, contracts, bonds, notes, checks, drafts or other obligations made, accepted or endorsed by the corporation shall be signed by the chairman of the board, if any, the chief executive officer, president, a vice president, the corporate secretary, or the treasurer.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10.2. Electronic Records. Any records maintained by the corporation in the regular course of its business, including its stock ledger, books of account, and minute books, may be kept on, or by means of, or be in the form of, any storage device or method, provided that records so kept can be converted into clearly legible paper form within a reasonable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10.3. Electronic Signatures. In addition to the provisions for use of facsimile and/or electronic signatures elsewhere specifically authorized in these by-laws, both facsimile and electronic signatures of any officer or officers of the corporation may be used whenever and as authorized by the Board of Directors or a committee thereof.</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10.4. Official Records. 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Section 11. INTRA-PARTY DISPUTES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11.1 Forum.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employee, contractor, or affiliate of the corporation to the corporation or to the corporation’s stockholders, (iii) any action asserting a claim arising pursuant to any provision of the Delaware General Corporation Law or pursuant to any other law applicable to the corporation, or (iv) any action asserting a claim governed by the internal affairs doctrine (any such action (i) – (iv), above, an “intra-partes action”), shall be a state or federal court located within the state of Delaware, in all cases subject to the court’s having personal jurisdiction over the indispensable parties named as defendants.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11.2. Consent. Any person or entity purchasing or otherwise acquiring or holding any interest in shares of capital stock of the corporation shall be deemed to have notice of, and to have consented to, the provisions of these Amended and Restated By-laws.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 FISCAL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12.1. The fiscal year of the corporation shall end on the 31st of December.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 AMENDMENTS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13.1. These by-laws may be adopted, amended or repealed by vote of a majority of the directors then in office or by vote of 80% of the stock outstanding and entitled to vote. Any by-law, whether adopted, amended or repealed by the stockholders or directors, may be amended or reinstated by the stockholders or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March 31, 2021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17, 2021</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March 31, 2021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17, 2021</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40" Type="http://schemas.openxmlformats.org/officeDocument/2006/relationships/hyperlink" Target="https://www.sec.gov/Archives/edgar/data/883975/000149315221008148/ex10-1.htm" TargetMode="External"/><Relationship Id="rId41" Type="http://schemas.openxmlformats.org/officeDocument/2006/relationships/hyperlink" Target="https://www.sec.gov/Archives/edgar/data/883975/00014931522100946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2021-05-17T14:48:13Z</dcterms:created>
  <dcterms:modified xsi:type="dcterms:W3CDTF">2021-05-17T14:48:13Z</dcterms:modified>
</cp:coreProperties>
</file>