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333-217076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142875</wp:posOffset>
            </wp:positionV>
            <wp:extent cx="258127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1275" cy="943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900,901 Shares of Common Stock</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offering 900,901 shares of our common stock, par value $0.01 per share, to certain institutional and accredited investors at an offering price of $11.10 per share, pursuant to this prospectus supplement and the accompanying prospectus.</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and trades on The Nasdaq Capital Market under the symbol “MBOT.” The last reported sale price of our common stock on The Nasdaq Capital Market on December 27, 2019 was $11.10 per share.</w:t>
      </w:r>
    </w:p>
    <w:p>
      <w:pPr>
        <w:spacing w:after="0" w:line="170"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shares or to arrange for the purchase or sale of any specific number or dollar amount of such shares. There is no required minimum number of shares of our common stock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Placement agent’s fees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0.777</w:t>
            </w:r>
          </w:p>
        </w:tc>
        <w:tc>
          <w:tcPr>
            <w:tcW w:w="160" w:type="dxa"/>
            <w:vAlign w:val="bottom"/>
          </w:tcPr>
          <w:p>
            <w:pPr>
              <w:spacing w:after="0"/>
              <w:rPr>
                <w:sz w:val="18"/>
                <w:szCs w:val="18"/>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700,000.08</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 (2)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10.323</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9,300,001.02</w:t>
            </w:r>
          </w:p>
        </w:tc>
      </w:tr>
    </w:tbl>
    <w:p>
      <w:pPr>
        <w:spacing w:after="0" w:line="202" w:lineRule="exact"/>
        <w:rPr>
          <w:sz w:val="24"/>
          <w:szCs w:val="24"/>
          <w:color w:val="auto"/>
        </w:rPr>
      </w:pPr>
    </w:p>
    <w:p>
      <w:pPr>
        <w:jc w:val="both"/>
        <w:ind w:left="340" w:hanging="332"/>
        <w:spacing w:after="0" w:line="31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we have agreed to pay the placement agent for certain of its expenses and to issue warrants to purchase shares of common stock to the placement agent or its designees. Neither the placement agent warrants nor the shares of our common stock issuable upon exercise of the placement agent warrants are being registered hereby. See “Plan of Distribution” beginning on page S-13 of this prospectus supplement for more information.</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Does not include proceeds from the exercise of the warrants to be issued to the placement agent in cash, if any.</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be made on or about December 31, 2019, subject to satisfaction of customary closing conditions.</w:t>
      </w:r>
    </w:p>
    <w:p>
      <w:pPr>
        <w:spacing w:after="0" w:line="166"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S-7 of this prospectus supplement and the risk factors incorporated by reference into this prospectus supplement and the accompanying base prospectus.</w:t>
      </w:r>
    </w:p>
    <w:p>
      <w:pPr>
        <w:spacing w:after="0" w:line="169"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2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have applied to list the shares offered hereby on The Nasdaq Capital Market.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December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4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4"/>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ABOUT THIS PROSPECTUS SUPPLEMENT</w:t>
              </w:r>
            </w:hyperlink>
          </w:p>
        </w:tc>
        <w:tc>
          <w:tcPr>
            <w:tcW w:w="71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PROSPECTUS SUPPLEMENT SUMMARY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THE OFFERING</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0000EE"/>
            </w:tcBorders>
            <w:gridSpan w:val="4"/>
          </w:tcPr>
          <w:p>
            <w:pPr>
              <w:spacing w:after="0" w:line="176" w:lineRule="exact"/>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RISK FACTORS</w:t>
              </w:r>
            </w:hyperlink>
          </w:p>
        </w:tc>
        <w:tc>
          <w:tcPr>
            <w:tcW w:w="940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5"/>
              </w:rPr>
              <w:t>S-7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FORWARD-LOOKING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0000EE"/>
            </w:tcBorders>
            <w:gridSpan w:val="14"/>
          </w:tcPr>
          <w:p>
            <w:pPr>
              <w:spacing w:after="0" w:line="17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USE OF PROCEEDS</w:t>
              </w:r>
            </w:hyperlink>
          </w:p>
        </w:tc>
        <w:tc>
          <w:tcPr>
            <w:tcW w:w="75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DILUTION</w:t>
              </w:r>
            </w:hyperlink>
          </w:p>
        </w:tc>
        <w:tc>
          <w:tcPr>
            <w:tcW w:w="986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PLAN OF DISTRIBUTION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LEGAL MATTERS</w:t>
              </w:r>
            </w:hyperlink>
          </w:p>
        </w:tc>
        <w:tc>
          <w:tcPr>
            <w:tcW w:w="922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INCORPORATION OF CERTAIN DOCUMENTS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4"/>
            <w:shd w:val="clear" w:color="auto" w:fill="CCEEFF"/>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b w:val="1"/>
                <w:bCs w:val="1"/>
                <w:color w:val="0000EE"/>
                <w:w w:val="97"/>
              </w:rPr>
            </w:pPr>
            <w:hyperlink w:anchor="page20">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21"/>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USE OF PROCEEDS</w:t>
              </w:r>
            </w:hyperlink>
          </w:p>
        </w:tc>
        <w:tc>
          <w:tcPr>
            <w:tcW w:w="594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COMMON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DESCRIPTION OF PREFERRED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DESCRIPTION OF WARRANTS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DESCRIPTION OF DEBT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DESCRIPTION OF RIGHTS</w:t>
              </w:r>
            </w:hyperlink>
          </w:p>
        </w:tc>
        <w:tc>
          <w:tcPr>
            <w:tcW w:w="84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DESCRIPTION OF PURCHASE CONTRACTS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UNITS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Borders>
              <w:top w:val="single" w:sz="8" w:color="0000EE"/>
            </w:tcBorders>
            <w:gridSpan w:val="7"/>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LEGAL MATTERS</w:t>
              </w:r>
            </w:hyperlink>
          </w:p>
        </w:tc>
        <w:tc>
          <w:tcPr>
            <w:tcW w:w="864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5"/>
              </w:rPr>
            </w:pPr>
            <w:hyperlink w:anchor="page41">
              <w:r>
                <w:rPr>
                  <w:rFonts w:ascii="Arial" w:cs="Arial" w:eastAsia="Arial" w:hAnsi="Arial"/>
                  <w:sz w:val="18"/>
                  <w:szCs w:val="18"/>
                  <w:b w:val="1"/>
                  <w:bCs w:val="1"/>
                  <w:color w:val="0000EE"/>
                  <w:w w:val="95"/>
                </w:rPr>
                <w:t>EXPERTS</w:t>
              </w:r>
            </w:hyperlink>
          </w:p>
        </w:tc>
        <w:tc>
          <w:tcPr>
            <w:tcW w:w="994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registration statement on Form S-3 (File No. 333-217076) utilizing a shelf registration process relating to the securities described in this prospectus supplement was initially filed with the Securities and Exchange Commission, or the SEC, on March 31, 2017 and was declared effective on April 14, 2017.</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TipCAT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CardioSert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global patent portfolio of 35 patents issued/allowed and 16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September 10, 2019, we announced that the operational effectiveness of the SCS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was validated in a broader follow-up in-vitro lab study and demonstrated the device’s capability to prevent shunt occlusion under the parameters of that study. In the follow-up study, which commenced in July 2019</w:t>
      </w:r>
    </w:p>
    <w:p>
      <w:pPr>
        <w:jc w:val="both"/>
        <w:spacing w:after="0" w:line="205" w:lineRule="auto"/>
        <w:rPr>
          <w:sz w:val="20"/>
          <w:szCs w:val="20"/>
          <w:color w:val="auto"/>
        </w:rPr>
      </w:pPr>
      <w:r>
        <w:rPr>
          <w:rFonts w:ascii="Arial" w:cs="Arial" w:eastAsia="Arial" w:hAnsi="Arial"/>
          <w:sz w:val="18"/>
          <w:szCs w:val="18"/>
          <w:color w:val="auto"/>
        </w:rPr>
        <w:t>and concluded on August 14, 2019, human brain glioblastoma cells were used in order to assess performance of the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 a test system with accelerated cell growth rate, accumulation and obstruction rates. The study demonstrated:</w:t>
      </w:r>
    </w:p>
    <w:p>
      <w:pPr>
        <w:spacing w:after="0" w:line="18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Significant cell growth and accumulation in a non-operating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as well as a standard of care surgical shunt.</w:t>
      </w:r>
    </w:p>
    <w:p>
      <w:pPr>
        <w:spacing w:after="0" w:line="82" w:lineRule="exact"/>
        <w:rPr>
          <w:rFonts w:ascii="Arial" w:cs="Arial" w:eastAsia="Arial" w:hAnsi="Arial"/>
          <w:sz w:val="36"/>
          <w:szCs w:val="36"/>
          <w:color w:val="auto"/>
          <w:vertAlign w:val="superscript"/>
        </w:rPr>
      </w:pPr>
    </w:p>
    <w:p>
      <w:pPr>
        <w:ind w:left="340" w:hanging="332"/>
        <w:spacing w:after="0" w:line="204" w:lineRule="auto"/>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A significant inhibition in cell growth in daily (5-10 minutes) or weekly (up to 2 hours over the week) operating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with little cell attachment on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and on the opening where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operates.</w:t>
      </w:r>
    </w:p>
    <w:p>
      <w:pPr>
        <w:spacing w:after="0" w:line="80"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SCS™ devices in preventing cells blockage as compare to standard of care surgical shunts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10, 2019, as approved at our 2019 annual meeting of stockholders, we filed a Certificate of Amendment to our Restated Certificate of Incorporation with the Secretary of State of the State of Delaware to effect a reduction in the authorized number of shares of capital stock we are authorized to issue from 221,000,000 to 61,000,000, including a reduction in the number of authorized shares of our common stock from 220,000,000 to 60,000,000.</w:t>
      </w:r>
    </w:p>
    <w:p>
      <w:pPr>
        <w:spacing w:after="0" w:line="150"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On December 23, 2019, we announced the revealing of LIBERTY</w:t>
      </w:r>
      <w:r>
        <w:rPr>
          <w:rFonts w:ascii="Arial" w:cs="Arial" w:eastAsia="Arial" w:hAnsi="Arial"/>
          <w:sz w:val="26"/>
          <w:szCs w:val="26"/>
          <w:color w:val="auto"/>
          <w:vertAlign w:val="superscript"/>
        </w:rPr>
        <w:t>TM</w:t>
      </w:r>
      <w:r>
        <w:rPr>
          <w:rFonts w:ascii="Arial" w:cs="Arial" w:eastAsia="Arial" w:hAnsi="Arial"/>
          <w:sz w:val="16"/>
          <w:szCs w:val="16"/>
          <w:color w:val="auto"/>
        </w:rPr>
        <w:t>, which we believe is the world’s first fully disposable robotic system for use in neurovascular, cardiovascular and peripheral vascular procedures. The LIBERTY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robotic system features a unique compact design with the capability to be operated remotely, reduce radiation exposure and physical strain to the physician, as well as the potential to eliminate the use of multiple consumables</w:t>
      </w:r>
    </w:p>
    <w:p>
      <w:pPr>
        <w:jc w:val="both"/>
        <w:spacing w:after="0" w:line="205" w:lineRule="auto"/>
        <w:rPr>
          <w:sz w:val="20"/>
          <w:szCs w:val="20"/>
          <w:color w:val="auto"/>
        </w:rPr>
      </w:pPr>
      <w:r>
        <w:rPr>
          <w:rFonts w:ascii="Arial" w:cs="Arial" w:eastAsia="Arial" w:hAnsi="Arial"/>
          <w:sz w:val="18"/>
          <w:szCs w:val="18"/>
          <w:color w:val="auto"/>
        </w:rPr>
        <w:t>through its “One &amp; Done” capabilities. We intend to publicly display and demonstrate LIBERTY</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to investors, journalists and healthcare industry leaders on Monday, January 13, 2020, in San Francisco.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6"/>
          <w:szCs w:val="16"/>
          <w:color w:val="auto"/>
        </w:rPr>
        <w:t>On December 27, 2019, we closed on a registered direct offering of 912,858 shares of our common stock at a purchase price of $10.50 per share for total gross proceeds of approximately $9.59 million, before deducting placement agent fees and offering expenses (the “First December Offering”). The shares were sold pursuant to a Securities Purchase Agreement, dated December 25, 2019, by and between us and certain accredited institutional investors.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30, 2019, we closed on a registered direct offering of 952,383 shares of our common stock at a purchase price of $10.50 per share for total gross proceeds of approximately $10.0 million, before deducting placement agent fees and offering expenses (the “Second December Offering”). The shares were sold pursuant to a Securities Purchase Agreement, dated December 27, 2019, by and between us and certain accredited institutional investors.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 and this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to raise significant additional capital to support our operations.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 and our future profitability is uncertain.</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commercializing our product candidates will depend on receipt of marketing approvals or clearances from the FDA and other applicable regulatory authorities.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you purchase our securities in this offering, you will incur immediate and substantial dilution.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jc w:val="both"/>
        <w:ind w:right="20"/>
        <w:spacing w:after="0" w:line="286" w:lineRule="auto"/>
        <w:rPr>
          <w:sz w:val="20"/>
          <w:szCs w:val="20"/>
          <w:color w:val="auto"/>
        </w:rPr>
      </w:pPr>
      <w:r>
        <w:rPr>
          <w:rFonts w:ascii="Arial" w:cs="Arial" w:eastAsia="Arial" w:hAnsi="Arial"/>
          <w:sz w:val="17"/>
          <w:szCs w:val="17"/>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executive offices are located at 25 Recreation Park Drive, Unit 108, Hingham, MA 02043. The telephone number at our principal executive office is (781) 875-3605. Our website address is </w:t>
      </w:r>
      <w:r>
        <w:rPr>
          <w:rFonts w:ascii="Arial" w:cs="Arial" w:eastAsia="Arial" w:hAnsi="Arial"/>
          <w:sz w:val="18"/>
          <w:szCs w:val="18"/>
          <w:i w:val="1"/>
          <w:iCs w:val="1"/>
          <w:color w:val="auto"/>
        </w:rPr>
        <w:t>www.microbotmedical.com</w:t>
      </w:r>
      <w:r>
        <w:rPr>
          <w:rFonts w:ascii="Arial" w:cs="Arial" w:eastAsia="Arial" w:hAnsi="Arial"/>
          <w:sz w:val="18"/>
          <w:szCs w:val="18"/>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 in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Common Stock Outstanding Before This Offering</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900,901 shares of our common stock, par value $0.01 per share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$11.10 per share</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6,284,727 shares</w:t>
      </w:r>
      <w:r>
        <w:rPr>
          <w:rFonts w:ascii="Arial" w:cs="Arial" w:eastAsia="Arial" w:hAnsi="Arial"/>
          <w:sz w:val="30"/>
          <w:szCs w:val="30"/>
          <w:color w:val="auto"/>
          <w:vertAlign w:val="superscript"/>
        </w:rPr>
        <w:t>(1)</w:t>
      </w:r>
    </w:p>
    <w:p>
      <w:pPr>
        <w:spacing w:after="0" w:line="12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7,185,628 shares</w:t>
      </w:r>
      <w:r>
        <w:rPr>
          <w:rFonts w:ascii="Arial" w:cs="Arial" w:eastAsia="Arial" w:hAnsi="Arial"/>
          <w:sz w:val="30"/>
          <w:szCs w:val="30"/>
          <w:color w:val="auto"/>
          <w:vertAlign w:val="superscript"/>
        </w:rPr>
        <w:t>(1)</w:t>
      </w:r>
    </w:p>
    <w:p>
      <w:pPr>
        <w:spacing w:after="0" w:line="124" w:lineRule="exact"/>
        <w:rPr>
          <w:sz w:val="20"/>
          <w:szCs w:val="20"/>
          <w:color w:val="auto"/>
        </w:rPr>
      </w:pPr>
    </w:p>
    <w:p>
      <w:pPr>
        <w:jc w:val="both"/>
        <w:ind w:left="800"/>
        <w:spacing w:after="0" w:line="286" w:lineRule="auto"/>
        <w:rPr>
          <w:sz w:val="20"/>
          <w:szCs w:val="20"/>
          <w:color w:val="auto"/>
        </w:rPr>
      </w:pPr>
      <w:r>
        <w:rPr>
          <w:rFonts w:ascii="Arial" w:cs="Arial" w:eastAsia="Arial" w:hAnsi="Arial"/>
          <w:sz w:val="16"/>
          <w:szCs w:val="16"/>
          <w:color w:val="auto"/>
        </w:rPr>
        <w:t>We currently intend to use the net proceeds from this offering for the continuous development and regulatory activities for our SCS device for the treatment of hydrocephalus and NPH; continue the development of our LIBERTY robotic system, including its expansion through addition of complementary assets to it either through internal development, in-license or acquisitions; expand and develop additional applications deriving from our existing IP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 See “Use of Proceeds” on page S-11.</w:t>
      </w:r>
    </w:p>
    <w:p>
      <w:pPr>
        <w:spacing w:after="0" w:line="169" w:lineRule="exact"/>
        <w:rPr>
          <w:sz w:val="20"/>
          <w:szCs w:val="20"/>
          <w:color w:val="auto"/>
        </w:rPr>
      </w:pPr>
    </w:p>
    <w:p>
      <w:pPr>
        <w:sectPr>
          <w:pgSz w:w="11900" w:h="16838" w:orient="portrait"/>
          <w:cols w:equalWidth="0" w:num="2">
            <w:col w:w="4300" w:space="720"/>
            <w:col w:w="6400"/>
          </w:cols>
          <w:pgMar w:left="240" w:top="661" w:right="239" w:bottom="1440" w:gutter="0" w:footer="0" w:header="0"/>
        </w:sectPr>
      </w:pPr>
    </w:p>
    <w:p>
      <w:pPr>
        <w:spacing w:after="0"/>
        <w:tabs>
          <w:tab w:leader="none" w:pos="58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securities involves a high degree of risk. Before you decide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to invest in our common stock, you should carefully read this prospectus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supplement in its entirety and carefully consider the risks and uncertainties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described in “Risk Factors” beginning on page S-7 of this prospectus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supplement, beginning on page 3 of the accompanying base prospectus and</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 our Annual Report on Form 10-K for the fiscal year ended December 31,</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2018, as such risk factors may be amended, updated or modified periodically</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 our reports filed with the SEC, and the financial data and related notes and</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reports incorporated by reference herein and therein.</w:t>
      </w:r>
    </w:p>
    <w:p>
      <w:pPr>
        <w:spacing w:after="0" w:line="2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Nasdaq Capital Market Symbol</w:t>
      </w:r>
      <w:r>
        <w:rPr>
          <w:sz w:val="20"/>
          <w:szCs w:val="20"/>
          <w:color w:val="auto"/>
        </w:rPr>
        <w:tab/>
      </w:r>
      <w:r>
        <w:rPr>
          <w:rFonts w:ascii="Arial" w:cs="Arial" w:eastAsia="Arial" w:hAnsi="Arial"/>
          <w:sz w:val="17"/>
          <w:szCs w:val="17"/>
          <w:color w:val="auto"/>
        </w:rPr>
        <w:t>MBOT</w:t>
      </w:r>
    </w:p>
    <w:p>
      <w:pPr>
        <w:spacing w:after="0" w:line="225"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of our common stock to be outstanding after this offering is based on 6,284,727 shares of common stock outstanding as of December 30, 2019, and excludes, as of December 30, 2019:</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374,693 shares of our common stock issuable upon the exercise of outstanding stock options, with exercise prices ranging from $0 to $15.75 and having a weighted-average exercise price of $11.5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249,025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3,598 shares of our common stock issuable upon the exercise of outstanding warrants, with exercise prices ranging from approximately $40.5 to $2,754 per share and having a weighted-average exercise price of $428.1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64,767 shares of our common stock issuable upon the exercise of outstanding warrants, at exercise prices ranging from $8.125 to $12.50;</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45,643 shares of our common stock issuable upon the exercise of outstanding warrants, at an exercise price of $13.125 per share;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47,619 shares of our common stock issuable upon the exercise of outstanding warrants, at an exercise price of $13.125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shares of common stock outstanding as of December 30, 2019 also exclude up to 45,045 shares of common stock issuable upon exercise, at an exercise price of $13.875, of the warrants to be issued to the placement agent as compensation in connection with this offering as described under “Plan of Distribution.”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Investing in our securities involves a high degree of risk. You should consider carefully the additional risks described below, together with all of the other information included or incorporated by reference in this prospectus, including the risks and uncertainties discussed under “Risk Factors” in our Annual Report on Form 10-K for the fiscal year ended December 31, 2018 filed with the Securities and Exchange Commission, or SEC, on April 1, 2019 and in our subsequent reports filed with the SEC,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resulting in a loss of all or part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sold in this offering, you will incur immediate dilution.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you purchase shares of our common stock in this offering, you will experience immediate dilution in the pro forma as adjusted net tangible book value per share after giving effect to the registered direct offering we consummated on December 27, 2019, the registered direct offering we consummated on December 30, 2019 and this offering, based on the offering price of $11.10 and a net tangible book value of $6,403,000 as of September 30, 2019, because the price that you pay will be greater than the $4.6554 pro forma as adjusted net tangible book value per share of the common stock that you acquire.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 and our use of proceeds from this offering.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named as the defendant in a lawsuit, which we refer to as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we breached multiple representations and warranties contained in the Securities Purchase Agreement (the “SPA”) related to our June 8, 2017 equity financing (the “Financing”) of which the Plaintiffs participated. The complaint sought rescission of the SPA and return of the Plaintiffs’ $3,375,000 purchase price with respect to the Financing, and damages in an amount to be determined at trial, but alleged to exceed $1.0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 trial was held on February 11, 2019. On February 28, 2019, the Court issued a Decision and Order After Trial to rescind the SPA. The rescission would require the Plaintiffs to transfer back to us the shares they purchased in the Financing, and for us to return to Plaintiffs their purchase price of $3,375,000.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27, 2019, we filed a Notice of Appeal and an Undertaking to stay execution of the judgment pending appeal.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New York law, in order to move forward with the appeal and to stay the lower court’s judgment, we placed approximately $4,200,000 in escrow with a surety bonding agent on March 26, 2019 in accordance with provisions set forth in the judgment from the Matter, which represents the judgment amount, plus interest and the fee to the bonding company.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the claims are without merit and have been and intend to continue to defend the action vigorously. However, no assurance can be given that any adverse outcome would not be material to our consolidated financial position. Additionally, in the event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of our securities or other dilution of our equity, which may adversely affect the market price of our common stock.</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2019, we had cash and cash equivalents of approximately $3.5 million. Based on our cash balance and recurring losses since inception and inadequacy of existing capital resources to fund planned operations during the next 12 months, we will require significant additional funding to continue operations. We received net proceeds of approximately $8.5 million from the First December Offering and approximately $8.99 million from the Second December Offering and estimate that we will receive net proceeds of approximately $8.99 million from the sale of the securities offered by us in this offering, after deducting the placement agent fees and estimated offering expenses payable by us and excluding any proceeds we may receive upon exercise of the warrants being issued to the placement agent.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6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capital requirements and needs for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and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or otherwise secure the manufacture of, sufficient amounts of our product candidates for our preclinical studies and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find and develop applications for our technologies for other neurosurgical conditions besides hydrocephalus;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development and other research and development plans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regulatory pathways for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and timing of submissions to and decisions made by the U.S. Food and Drug Administration and other regulatory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the experience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keep management and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capacities and performance of our suppliers, manufacturers and other third parties over whom we have limited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of our competitors and success of competing products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with respect to future growth and investments in our infrastructure, and our ability to effectively manage any such growth;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size and potential growth of the markets for any of our product candidates, and our ability to capture share in or impact the size of those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any litigation in which we or any of our officers or directors may be involved, including with respect to the Matter;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government regulation and regulatory developments, and our ability and the ability of the third parties with whom we engage to comply with applicable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future planned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achieve and maintain effective internal control over financial reporting in accordance with Section 404 of the Sarbanes-Oxley Act;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maintain and successfully enforce adequate patent and other intellectual property protection of any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Given these uncertainties, you should not place undue reliance on these forward-looking statements.</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net proceeds to us from the sale of our common stock in this offering, if any, will be approximately $8.99 million after deducting the placement agent fees and estimated offering expenses payable by us and excluding any proceeds we may receive upon exercise of the warrants being issued to the placement agent.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intend to use the net proceeds from this offering for the continuous development and regulatory activities for our SCS device for the treatment of hydrocephalus and NPH; continue the development of our LIBERTY robotic system, including its expansion through addition of complementary assets to it either through internal development, in-license or acquisitions; expand and develop additional applications deriving from our existing IP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2019 was approximately $6,403,000, or $1.4864 per share, based on 4,307,666 shares of our common stock outstanding at September 30, 2019.</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 forma net tangible book value as of September 30, 2019, was approximately $23,941,229, or approximately $3.8784 per share, on a pro forma basis to give effect to (i) the registered direct offering of 912,858 shares of common stock at the offering price of $10.50 per share that closed on December 27, 2019, after deducting the placement agent’s fees and estimated offering expenses payable by us and (ii) the registered direct offering of 952,383 shares of common stock at the offering price of $10.50 per share that closed on December 30, 2019, after deducting the placement agent’s fees and estimated offering expenses payable by us.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giving effect to the issuance and sale in this offering of 900,901 shares of common stock at the offering price of $11.10 per share, after deducting the estimated placement agent’s fees and estimated offering expenses payable by us, our pro forma as adjusted net tangible book value on September 30, 2019, would have been approximately $32,931,229, or $4.6554 per share. This represents an immediate increase in the net tangible book value of $0.7770 per share attributable to this offering and an immediate dilution of $6.4446 per share to the new investors in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300" w:type="dxa"/>
            <w:vAlign w:val="bottom"/>
          </w:tcPr>
          <w:p>
            <w:pPr>
              <w:ind w:left="640"/>
              <w:spacing w:after="0"/>
              <w:rPr>
                <w:sz w:val="20"/>
                <w:szCs w:val="20"/>
                <w:color w:val="auto"/>
              </w:rPr>
            </w:pPr>
            <w:r>
              <w:rPr>
                <w:rFonts w:ascii="Arial" w:cs="Arial" w:eastAsia="Arial" w:hAnsi="Arial"/>
                <w:sz w:val="18"/>
                <w:szCs w:val="18"/>
                <w:color w:val="auto"/>
              </w:rPr>
              <w:t>The following table illustrates the immediate dilution to the new investors:</w:t>
            </w:r>
          </w:p>
        </w:tc>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Historical net tangible book value per share on September 30, 2019</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net tangible book value per share on September 30, 2019</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the pro forma net tangible book value per share attributable to this offering</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 forma as adjusted net tangible book value per share as of September 30, 2019, after giving effect to this offering</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the investor in this offering</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discussion and table are based on 4,307,666 and 6,172,907 and 7,073,808 actual, pro forma and pro forma as adjusted shares of common stock outstanding as of September 30, 2019, respectively, and exclude, as of that date:</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427,441 shares of our common stock issuable upon the exercise of outstanding stock options, with exercise prices ranging from $0 to $15.75 and having a weighted-average exercise price of $11.5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196,277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3,598 shares of our common stock issuable upon the exercise of outstanding warrants, with exercise prices ranging from approximately $40.5 to $2,754 per share and having a weighted-average exercise price of $428.1 per share;</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250,000 shares of our common stock issuable upon the exercise of outstanding warrants, at an exercise price per share of $10.00, of which 125,000 were exercised on a “net exercise” or “cashless” basis into 61,677 shares of common stock on December 24, 2019 and the remaining 125,000 were exercised on a “net exercise” or “cashless” basis into 50,143 shares of common stock on December 26, 2019;</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64,767 shares of our common stock issuable upon the exercise of outstanding warrants, at exercise prices ranging from $8.125 to $12.50;</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45,643 shares of our common stock issuable upon the exercise of outstanding warrants, at an exercise price of $13.125 per share;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47,619 shares of our common stock issuable upon the exercise of outstanding warrants, at an exercise price of $13.125 per share.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above illustration of dilution per share to investors participating in this offering also assumes no exercise of (i) the warrants to purchase up to 45,045 shares of common stock at an exercise price of $13.875 issued to the placement agent as compensation in connection with this offering as described under “Plan of Distribution,” and (ii) any other options or warrants to purchase shares of our common stock. The exercise of any such securities may increase dilution to purchasers in this offering. In addition, depending on market conditions, our capital requirements and strategic considerations, it is likely that we will need to pursue additional equity or convertible debt financings in the near term. Also, we may issue equity or convertible debt securities for other purposes, including, among others, stock splits, acquiring other businesses or assets or in connection with strategic alliances, attracting and retaining employees with equity compensation, anti-takeover purposes or other transactions. To the extent we raise additional capital or pursue any of these other purposes through the sale of equity or convertible debt securities, the issuance of these securities could result in further dilution to our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engaged H.C. Wainwright &amp; Co., LLC, or Wainwright or the placement agent, to act as our exclusive placement agent to solicit offers to purchase the shares of our common stock offered by this prospectus supplement and the accompanying base prospectus. Wainwright is not purchasing or selling any such shares, nor is it required to arrange for the purchase and sale of any specific number or dollar amount of such shares, other than to use its “reasonable best efforts” to arrange for the sale of such shares by us. Therefore, we may not sell all of the shares of our common stock being offered. The terms of this offering were subject to market conditions and negotiations between us, Wainwright and the prospective investors. Wainwright will have no authority to bind us by virtue of the engagement letter. We have entered into a securities purchase agreement directly with certain institutional and accredited investors who have agreed to purchase shares of our common stock in this offering. We will only sell to investors who have entered into a securities purchase agreement.</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take place on or about December 31, 2019, subject to satisfaction of certain conditions.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agreed to pay the placement agent a total cash fee equal to 7.0% of the aggregate gross proceeds of this offering, and we have also agreed to pay the placement agent a management fee equal to 1.0% of the aggregate gross proceeds of this offering, non-accountable expenses of $125,000 and $10,000 for clearing expenses. In addition, we have agreed to issue to the placement agent, at the closing of this offering, warrants to purchase 5% of the number of shares of our common stock sold in this offering (warrants to purchase up to 45,045 shares of our common stock). Such warrants will have an exercise price equal to 125% of the offering price per share ($13.875 per share) and shall be exercisable commencing the 6-month anniversary of the issuance date and having a term of three and one-half (3.5) years. Neither the placement agent’s warrants nor the shares of our common stock issuable upon exercise thereof are being registered hereby. Pursuant to Rule 5110(g) of the Financial Industry Regulatory Authority, or FINRA, the placement agent’s warrants and any shares issued upon exercise thereof will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in this offering, except: (i) the transfer of any security by operation of law or by reason of our reorganization; (ii) the transfer of any security to any FINRA member firm participating in the offering and the officers or partners thereof, if all securities so transferred remain subject to the lock-up restriction set forth above for the remainder of the time period; (iii) the transfer of any security if the aggregate amount of our securities held by the placement agent or related persons do not exceed 1% of the securities being offered; (iv) the transfer of any security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granted the placement agent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agreed to pay the placement agent a tail fee equal to the cash and warrant compensation in this offering if any investor which the placement agent contacted or introduced us to during the term of the placement agent’s engagement (other than certain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December 24, 2019, entered into between us and the placement agent, which has a four-month term.</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estimate the total expenses of this offering paid or payable by us will be approximately $1,010,000. After deducting the fees due to the placement agent and our estimated expenses in connection with this offering, we expect the net proceeds from this offering will be approximately $8.99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both"/>
        <w:ind w:firstLine="648"/>
        <w:spacing w:after="0" w:line="272" w:lineRule="auto"/>
        <w:rPr>
          <w:sz w:val="20"/>
          <w:szCs w:val="20"/>
          <w:color w:val="auto"/>
        </w:rPr>
      </w:pPr>
      <w:r>
        <w:rPr>
          <w:rFonts w:ascii="Arial" w:cs="Arial" w:eastAsia="Arial" w:hAnsi="Arial"/>
          <w:sz w:val="17"/>
          <w:szCs w:val="17"/>
          <w:color w:val="auto"/>
        </w:rPr>
        <w:t>The placement agent may be deemed to be an underwriter within the meaning of Section 2(a)(11) of the Securities Act, and any commissions received by it and any profit realized on the sale of our shares of common stock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agreed to indemnify the placement agent against certain liabilities, including liabilities under the Securities Act and liabilities arising from breaches of representations and warranties contained in our engagement letter with the placement agent. We have also agreed to contribute to payments the placement agent may be required to make in respect of such liabilities.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will indemnify the purchaser of shares of our common stock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Wainwright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Wainwright for any further services.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placement agent acted as our placement agent in connection with (i) our registered direct offering that was consummated on December 27, 2019, for which it received compensation, including a cash fee equal to 7.0% of the gross proceeds received by the Company from the sale of securities in such offering, a management fee equal to 1.0% of such gross proceeds, non-accountable expenses of $125,000 for such offering, $10,000 for clearing expenses and warrants to purchase up to 45,643 shares of our common stock with an exercise price of $13.125 per share and (ii) our registered direct offering that was consummated on December 30, 2019, for which it received compensation, including a cash fee equal to 7.0% of the gross proceeds received by the Company from the sale of securities in such offering, a management fee equal to 1.0% of such gross proceeds, non-accountable expenses of $125,000 for such offering, $10,000 for clearing expenses and warrants to purchase up to 47,619 shares of our common stock with an exercise price of $13.125 per share.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shares being offered under this prospectus supplement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of Microbot Medical Inc. as of December 31, 2018,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filed with the SEC on April 1, 2019;</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2019, June 30, 2019 and September 30, 2019, filed with the SEC on May 15, 2019, August 14, 2019, and November 14,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August 9, 2019;</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reports on Form 8-K and any amendments thereto on Form 8-K/A, filed with the SEC on January 14, 2019, January 16, 2019, January 17, 2019, January 25, 2019, February 5, 2019, March 1, 2019, September 11, 2019, December 27, 2019 and December 30, 2019 (in each case, except for information contained therein which is furnished rather than filed);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154940</wp:posOffset>
            </wp:positionV>
            <wp:extent cx="2581275" cy="943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8127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common stock is listed on The NASDAQ Capital Market under the symbol “MBOT.” On March 30, 2017, the last reported sale price of our common stock on The NASDAQ Capital Market was $5.87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3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April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6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b w:val="1"/>
                <w:bCs w:val="1"/>
                <w:color w:val="0000EE"/>
                <w:w w:val="97"/>
              </w:rPr>
            </w:pPr>
            <w:hyperlink w:anchor="page20">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17"/>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USE OF PROCEEDS</w:t>
              </w:r>
            </w:hyperlink>
          </w:p>
        </w:tc>
        <w:tc>
          <w:tcPr>
            <w:tcW w:w="59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PLAN OF DISTRIBUTION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COMMON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DESCRIPTION OF PREFERRED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2"/>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DESCRIPTION OF WARRANTS</w:t>
              </w:r>
            </w:hyperlink>
          </w:p>
        </w:tc>
        <w:tc>
          <w:tcPr>
            <w:tcW w:w="74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DESCRIPTION OF DEBT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RIGHTS</w:t>
              </w:r>
            </w:hyperlink>
          </w:p>
        </w:tc>
        <w:tc>
          <w:tcPr>
            <w:tcW w:w="756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DESCRIPTION OF PURCHASE CONTRACTS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Borders>
              <w:top w:val="single" w:sz="8" w:color="0000EE"/>
            </w:tcBorders>
            <w:gridSpan w:val="13"/>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UNITS</w:t>
              </w:r>
            </w:hyperlink>
          </w:p>
        </w:tc>
        <w:tc>
          <w:tcPr>
            <w:tcW w:w="70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LEGAL MATTERS</w:t>
              </w:r>
            </w:hyperlink>
          </w:p>
        </w:tc>
        <w:tc>
          <w:tcPr>
            <w:tcW w:w="92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INCORPORATION OF DOCUMENTS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utilizing a “shelf” registration process. Under this shelf process, we may sell different types of securities described in this prospectus, either individually or in units, in one or more offerings, up to a total value of $75,000,000. This prospectus provides you with a general description of the securities we may offer. Each time we offer securities, we will provide a prospectus supplement that will contain specific information about the terms of that offering.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both this prospectus and any prospectus supplement, including all documents incorporated herein by reference, together with additional information described under the headings “Where You Can Find More Information” and “Incorporation of Documents by Reference.”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does not contain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is not permitted. The information contained in this prospectus is accurate only as of the date of this prospectus, regardless of the time of delivery of this prospectus or the time of any sale of our securities. Our business, financial condition, results of operations, and prospects may have changed since such date.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allocated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3,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conditions, as well as adversely affect the value of an investment in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currently developing our first two product candidates: the Self Cleaning Shunt, or SCS, for the treatment of hydrocephalus and Normal Pressure Hydrocephalus, or NPH; and TipCAT, a self-propelling, semi-disposable endoscope that is being developed initially for use in colonoscopy procedures. Our product candidates are being designed to bring greater functionality to conventional medical devices and to reduce the known risks associated with such devices. We are currently planning to complete pre-clinical studies required for regulatory submission for both product candidates within the next 24 months.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Microbot currently holds an intellectual property portfolio that comprises nine patent families, which include nine patents granted in the United States, twelve patents granted outside the United States, and 15 patent applications pending worldwide. We have an exclusive license to key components of our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2016 as described under the caption “Incorporation of Documents by Reference” on page 22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Our principal executive offices are located at 25 Recreation Park Drive, Unit 108, Hingham, Massachusetts 02043. Microbot also has a principal executive office at 5 Hamada Street,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Yokneam, Israel. Our telephone number is (908) 938-5561.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both"/>
        <w:ind w:firstLine="648"/>
        <w:spacing w:after="0" w:line="312"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and preferred stock, various series of debt securities and/or warrants,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of 1933, or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and other general corporate purposes, which may include, but are not limited to, working capital, intellectual property protection and enforcement, capital expenditures, repayment of indebtedness, investments, acquisitions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 Additional information on the use of proceeds from the sale of securities offered by this prospectus may be set forth in the prospectus supplement relating to that offering.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securities in any of the ways described below, including any combination thereof:</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one or more agents;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directly to purchasers or to a single purchaser.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distribution of the securities may be effected from time to time in one or more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the underwriters, dealers or agents named in the prospectus supplement are underwriters, dealers or agents in connection with the securities being offered.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the prospectus supplement, and the prospectus supplement will set forth any commissions we pay for solicitation of these contracts.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Agents, underwriters and other third parties described above may be entitled to indemnification by us against certain civil liabilities, including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The prospectus supplement will identify any remarketing firm and describe the terms of its agreement, if any, with us and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the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Shares of our common stock sold pursuant to the registration statement of which the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development or maintenance of trading markets for, any of the securities.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persons participating in this offering may engage in transactions that stabilize, maintain or otherwise affect the price of the securities. This may include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220,000,000 shares of common stock, par value $0.01 per share. As of March 31, 2017 we had 27,251,333 shares of common stock issued and outstanding and approximately 245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have authority to issue 1,000,000 shares of preferred stock, par value $0.01 per share. As of March 31, 2017 we had 9,736 shares of Series A Convertible Preferred Stock issued and outstanding. As of the date of this prospectus, no other shares of our preferred stock were outstanding or designated.</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16, 2016, we filed the Certificate of Designation of Preferences, Rights and Limitations of Series A Convertible Preferred Stock, or the Series A Certificate of Designation, with the Secretary of State of the State of Delaware, establishing and designating the series A preferred stock. Each share of series A preferred stock is convertible, at any time at the option of the holder thereof, into 1,000 shares of common stock, subject to certain adjustments and subject to the ownership limitation described below. The series A preferred stock has no sinking provisions, dividend rights, liquidation preference or other preferences over Common Stock and has no voting rights except as provided in the Series A Certificate of Designation or as otherwise required by law.</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series A preferred stock contains limitations that prevent the holder from acquiring shares upon conversion of shares of series A preferred stock that would result in the number of shares beneficially owned by the holder and its affiliates exceeding 4.99% of the total number of shares of our common stock then issued and outstanding, which limitation may be increased to 9.99% at the option of the holder. In addition, upon certain changes in control of Microbot, holders of shares of series A preferred stock can elect to receive, subject to certain limitations and assumptions, securities in a successor entity equal to the value of the holders’ series A preferred stock, or if holders of common stock are given a choice of cash or property, then cash or property equal to the value of the holder’s outstanding series A preferred stock.</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March 31, 2017 we had 9,736 shares of Series A Convertible Preferred Stock issued and outstanding and no shares of series A preferred stock are available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identity of the warrant agent for the warrants and of any other depositaries, execution or paying agents, transfer agents, registrars or other agents;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the common stock, preferred stock and/or debt securities will be separately transferable;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2017, we had outstanding: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9,279 shares of our common stock at an exercise price of $2.70 per share, which are exercisable through March 14, 2018;</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41,116 shares of our common stock at an exercise price of $2.70 per share, which are exercisable through March 14, 2022;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10,139 shares of our common stock at an exercise price of $91.80 per share, which are exercisable through April 30, 2020;</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57,814 shares of our common stock at an exercise price of $194.40 per share, which are exercisable through October 7, 2018;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2,718 shares of our common stock at an exercise price of $183.60 per share, which are exercisable through April 9,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923" w:gutter="0" w:footer="0" w:header="0"/>
        </w:sectPr>
      </w:pPr>
    </w:p>
    <w:bookmarkStart w:id="31" w:name="page32"/>
    <w:bookmarkEnd w:id="31"/>
    <w:p>
      <w:pPr>
        <w:jc w:val="both"/>
        <w:ind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ind w:firstLine="648"/>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contracts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Delaware General Corporation Law against all expense, liability and loss (including attorneys’ fees, judgments, fines, ERISA excise taxes or penalties and amounts paid in settlement) reasonably incurred or suffered by such.</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Section 102(b)(7) of the Delaware General Corporation Law, Article Ninth of our restated certificate of incorporation eliminates the liability of a director to us or our stockholders for monetary damages for such a breach of fiduciary duty as a director, except for liabilities arising:</w:t>
      </w:r>
    </w:p>
    <w:p>
      <w:pPr>
        <w:spacing w:after="0" w:line="14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any breach of the director’s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48"/>
        <w:spacing w:after="0" w:line="264" w:lineRule="auto"/>
        <w:rPr>
          <w:sz w:val="20"/>
          <w:szCs w:val="20"/>
          <w:color w:val="auto"/>
        </w:rPr>
      </w:pPr>
      <w:r>
        <w:rPr>
          <w:rFonts w:ascii="Arial" w:cs="Arial" w:eastAsia="Arial" w:hAnsi="Arial"/>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2016, have been audited by Brightman Almagor Zohar &amp; Co., a Member of Deloitte Touche Tohmatsu Limited,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21, 2017;</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Reports on Form 8-K and Form 8-K/A, filed with the SEC (except for the information furnished under Items 2.02 or 7.01 and the exhibits furnished thereto) on: January 4, 2017; January 4, 2017; January 5, 2017; January 6, 2017; January 30, 2017; February 2, 2017; February 6, 2017; February 7, 2017; February 24, 2017; and March 15, 2017;</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2489835</wp:posOffset>
            </wp:positionH>
            <wp:positionV relativeFrom="page">
              <wp:posOffset>431800</wp:posOffset>
            </wp:positionV>
            <wp:extent cx="2581275" cy="943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58127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PROSPECTUS SUPPLEMENT</w:t>
      </w:r>
    </w:p>
    <w:p>
      <w:pPr>
        <w:spacing w:after="0" w:line="23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900,901 Shares of Common Stock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2019-12-31T07:16:54Z</dcterms:created>
  <dcterms:modified xsi:type="dcterms:W3CDTF">2019-12-31T07:16:54Z</dcterms:modified>
</cp:coreProperties>
</file>