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2025</w:t>
      </w:r>
    </w:p>
    <w:p>
      <w:pPr>
        <w:spacing w:after="0" w:line="20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April 1, 2025, Microbot Medical Inc. (the “Company”) issued a press release announcing that data from the Company’s ACCESS-PVI trial will be presented by Francois Cornelis, MD, PhD, FCIRSE, Memorial Sloan Kettering Cancer Center, Department of Radiology. This is the first time data from the study will be presented via a podium presentation, to take place on Wednesday, April 2, 2025 at 11:33am CT. The Company also reaffirms that it expects the FDA’s decision with respect to 510(K) clearance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current second quarter.</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REMINDER</w:t>
      </w:r>
      <w:r>
        <w:rPr>
          <w:rFonts w:ascii="Times New Roman" w:cs="Times New Roman" w:eastAsia="Times New Roman" w:hAnsi="Times New Roman"/>
          <w:sz w:val="18"/>
          <w:szCs w:val="18"/>
          <w:b w:val="1"/>
          <w:bCs w:val="1"/>
          <w:color w:val="auto"/>
        </w:rPr>
        <w:t>: Microbot Medical Announces Data from the Company’s ACCESS-PVI trial will be Presented via Podium Presentation at Society of Interventional Radiology Annual Meeting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Reaffirms Expected Timing of FDA Decision With Respect to 510(K) Clearance of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During the Current Second Quarter</w:t>
      </w:r>
    </w:p>
    <w:p>
      <w:pPr>
        <w:spacing w:after="0" w:line="1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BRAINTREE, Mass., April 1,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providing this reminder that data from the Company’s ACCESS-PVI trial will be presented by Francois Cornelis, MD, PhD, FCIRSE, Memorial Sloan Kettering Cancer Center, Department of Radiology. This is the first time data from the study will be presented via a podium presentation, to take place on Wednesday, April 2, 11:33am CT.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ACCESS-PVI trial, a prospective, multicenter, single-arm trial evaluating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patients undergoing peripheral vascular interventions.</w:t>
      </w:r>
    </w:p>
    <w:p>
      <w:pPr>
        <w:spacing w:after="0" w:line="1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conjunction with the data presentation, members of the Company’s executive and clinical teams have been meeting with SIR attendees. The Company reaffirms that it expects the FDA’s decision with respect to 510(K) clearance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current second quarter.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timely grant 510(k) clearance to</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if at all, uncertainty resulting from political, social and geopolitical conditions, particularly any changes in personnel or processes or procedures at the FDA,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2025-04-01T07:44:01Z</dcterms:created>
  <dcterms:modified xsi:type="dcterms:W3CDTF">2025-04-01T07:44:01Z</dcterms:modified>
</cp:coreProperties>
</file>