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13, 2025</w:t>
      </w:r>
    </w:p>
    <w:p>
      <w:pPr>
        <w:spacing w:after="0" w:line="229"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216"/>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Mikayla K. Kolahifar, J.D.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ind w:right="-19"/>
        <w:spacing w:after="0" w:line="192" w:lineRule="auto"/>
        <w:rPr>
          <w:sz w:val="20"/>
          <w:szCs w:val="20"/>
          <w:color w:val="auto"/>
        </w:rPr>
      </w:pPr>
      <w:r>
        <w:rPr>
          <w:rFonts w:ascii="Times New Roman" w:cs="Times New Roman" w:eastAsia="Times New Roman" w:hAnsi="Times New Roman"/>
          <w:sz w:val="18"/>
          <w:szCs w:val="18"/>
          <w:b w:val="1"/>
          <w:bCs w:val="1"/>
          <w:color w:val="auto"/>
        </w:rPr>
        <w:t>East Tower,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Uniondale, New York 11556-1425</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From time to time after the effective date of this registration statement, as determined by the Registrant.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17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7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41" w:right="339" w:bottom="0" w:gutter="0" w:footer="0" w:header="0"/>
        </w:sectPr>
      </w:pPr>
    </w:p>
    <w:bookmarkStart w:id="1" w:name="page2"/>
    <w:bookmarkEnd w:id="1"/>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OCTOBER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128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14,688,572 Shares of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14,688,572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9.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October 10, 2025, the last reported closing price of our common stock on the Nasdaq Capital Market was $2.92.</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6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rPr>
              <w:t>, 2025.</w:t>
            </w:r>
          </w:p>
        </w:tc>
      </w:tr>
      <w:tr>
        <w:trPr>
          <w:trHeight w:val="432"/>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89"/>
        </w:trPr>
        <w:tc>
          <w:tcPr>
            <w:tcW w:w="236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ABOUT THIS PROSPECTUS</w:t>
            </w:r>
          </w:p>
        </w:tc>
        <w:tc>
          <w:tcPr>
            <w:tcW w:w="824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9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CAPITAL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904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55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506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6, and the consolidated financial statements and related notes and the other information included or incorporated by reference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have developed the first-ever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U.S. Food and Drug Administration 510(k) Clearance</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On September 8, 2025, we announced that the U.S. Food and Drug Administration (“FDA”) has granted 510(k) clearance for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System, the first FDA cleared single-use, remotely operated robotic system for peripheral endovascular procedures. The FDA clearance positions</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us to commercialize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U.S., with the goal of transforming the field to enable accessibility to advanced robotics without the traditional constraints of capital equipment and a dedicated infrastructure. With FDA clearance, we expect to complete the final commercial activities that were contingent on marketing clearance, positioning us to commence commercialization, penetrate the approximately 2.5 million annual U.S. peripheral vascular procedures, and pursue entry into global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First Japanese Patent</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October 1, 2025, we announced that the Japanese Patent Office has granted the Company its first patent in Japan, covering the core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technology, such as a compact robotic device for driving and manipulating movement of at least one elongate surgical tool.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U.S. Patent for a Modular Robotic Surgical System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20, 2025, we announced that the United States Patent and Trademark Office has granted us a patent, covering a modular robotic surgical system which includes a base and a plurality of tool-receiver unites arranged as separate unites and independently and interchangeably attachable to the base.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Patent in China for the Robotic Manipulation of a Surgical Tool Handle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17, 2025, we announced that the China National Intellectual Property Administration has granted us a critical patent in China, a key step in our global intellectual property expansion strategy. The patent covers the robotic manipulation of a surgical tool handle.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and the Iranian regime, are on-going as of the date of this prospectus, although there have been temporary cease fires and lulls in military operations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decreasing international regard for Israeli-based companies in certain quarters, including as a result of the Israeli government’s on-going campaign against the Palestinians in Gaza and the West Bank;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boycotts of Israel and Israeli-based companies, which may adversely affect our ability to do business in certain jurisdictions or with certain industry groups, among others.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In addition, we are also monitoring how negative international reaction to the events in Gaza, the West Bank and elsewhere in the Middle East could create a corresponding negative perception of companies based in Israel, which if broad enough, could negatively impact our business.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4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FDA-cleared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single-use design with the capability to be operated remotely, reduce radiation exposure and physical strain to the physician, as well as the potential to reduce the use of consumables.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 when compared to other robotic systems.</w:t>
      </w:r>
    </w:p>
    <w:p>
      <w:pPr>
        <w:spacing w:after="0" w:line="20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been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right="2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our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(“over-the-wire”)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A remote control designed to be intuitive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2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Our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510(k) clearance with the FDA.</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ultimately allowing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09"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03" w:lineRule="exact"/>
        <w:rPr>
          <w:sz w:val="20"/>
          <w:szCs w:val="20"/>
          <w:color w:val="auto"/>
        </w:rPr>
      </w:pPr>
    </w:p>
    <w:p>
      <w:pPr>
        <w:ind w:right="1060"/>
        <w:spacing w:after="0" w:line="338" w:lineRule="auto"/>
        <w:rPr>
          <w:sz w:val="20"/>
          <w:szCs w:val="20"/>
          <w:color w:val="auto"/>
        </w:rPr>
      </w:pPr>
      <w:r>
        <w:rPr>
          <w:rFonts w:ascii="Times New Roman" w:cs="Times New Roman" w:eastAsia="Times New Roman" w:hAnsi="Times New Roman"/>
          <w:sz w:val="18"/>
          <w:szCs w:val="18"/>
          <w:color w:val="auto"/>
        </w:rPr>
        <w:t>On September 8, 2025, we announced that the FDA has granted 510(k) clearance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t>
      </w: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175 Derby St., Bld. 27, Hingham, MA 02043. Microbot also has an executive office at 6 Hayozma Street, Yokneam Ilit, Israel 2069815.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 and uncertainties. Before deciding to invest in our securities, you should carefully consider the factors described under “Risk Factors” beginning on page 6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14,688,572 shares of our common stock, as follows:</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13,989,115 shares of our common stock issuable to certain of the selling stockholders upon the exercise of outstanding Series J preferred investment options at an exercise price per share of $4.50;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10,362 shares of our common stock issuable to certain of the selling stockholders upon the exercise of outstanding 2½ year preferred investment options, at an exercise price per share of $1.875;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31,429 shares of our common stock issuable to certain of the selling stockholders upon the exercise of outstanding 2½ year preferred investment options,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235,131 shares of our common stock issuable to certain of the selling stockholders upon the exercise of outstanding 2½ year preferred investment options, at an exercise price per share of $2.625;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422,535 shares of our common stock issuable to certain of the selling stockholders upon the exercise of outstanding 2½ year preferred investment options, at an exercise price per share of $2.6625.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14,688,572 shares</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67,158,044 shares</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81,846,616 shares</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October 10,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14,688,572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14,688,572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$64.8 million in gross proceeds if all of the 14,688,572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of which this prospectus forms a part, to satisfy registration rights we granted to the selling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any future applications or products; uncertainty as to whether the regulatory authorities other than the FDA will clear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any other of our proposed</w:t>
      </w:r>
    </w:p>
    <w:p>
      <w:pPr>
        <w:spacing w:after="0" w:line="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products for commercialization and sale or if the FDA will clear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device for other uses;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w:t>
      </w:r>
    </w:p>
    <w:p>
      <w:pPr>
        <w:jc w:val="both"/>
        <w:spacing w:after="0" w:line="231" w:lineRule="auto"/>
        <w:rPr>
          <w:sz w:val="20"/>
          <w:szCs w:val="20"/>
          <w:color w:val="auto"/>
        </w:rPr>
      </w:pPr>
      <w:r>
        <w:rPr>
          <w:rFonts w:ascii="Times New Roman" w:cs="Times New Roman" w:eastAsia="Times New Roman" w:hAnsi="Times New Roman"/>
          <w:sz w:val="18"/>
          <w:szCs w:val="18"/>
          <w:color w:val="auto"/>
        </w:rPr>
        <w:t>uncertainty regarding the validity and enforceability of the patents underlying our proposed products; the uncertainty whether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any other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and neighboring countries, such as employees of Microbot and its vendors and business partners being called to active military duty; and other risks to which we are subject.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and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14,688,572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$64.8 million in gross proceeds if all of the 14,688,572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9.</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67,158,044 shares of our common stock outstanding as of October 10,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Owned After Sale of All</w:t>
            </w: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8"/>
                <w:szCs w:val="18"/>
                <w:color w:val="auto"/>
              </w:rPr>
            </w:pPr>
          </w:p>
        </w:tc>
        <w:tc>
          <w:tcPr>
            <w:tcW w:w="29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320" w:type="dxa"/>
            <w:vAlign w:val="bottom"/>
          </w:tcPr>
          <w:p>
            <w:pPr>
              <w:spacing w:after="0"/>
              <w:rPr>
                <w:sz w:val="18"/>
                <w:szCs w:val="18"/>
                <w:color w:val="auto"/>
              </w:rPr>
            </w:pPr>
          </w:p>
        </w:tc>
        <w:tc>
          <w:tcPr>
            <w:tcW w:w="29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Stock Pursuant to this</w:t>
            </w:r>
          </w:p>
        </w:tc>
      </w:tr>
      <w:tr>
        <w:trPr>
          <w:trHeight w:val="252"/>
        </w:trPr>
        <w:tc>
          <w:tcPr>
            <w:tcW w:w="3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320" w:type="dxa"/>
            <w:vAlign w:val="bottom"/>
          </w:tcPr>
          <w:p>
            <w:pPr>
              <w:spacing w:after="0"/>
              <w:rPr>
                <w:sz w:val="21"/>
                <w:szCs w:val="21"/>
                <w:color w:val="auto"/>
              </w:rPr>
            </w:pPr>
          </w:p>
        </w:tc>
        <w:tc>
          <w:tcPr>
            <w:tcW w:w="29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187"/>
        </w:trPr>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Before Any</w:t>
            </w:r>
          </w:p>
        </w:tc>
        <w:tc>
          <w:tcPr>
            <w:tcW w:w="860" w:type="dxa"/>
            <w:vAlign w:val="bottom"/>
          </w:tcPr>
          <w:p>
            <w:pPr>
              <w:ind w:left="40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Stock</w:t>
            </w:r>
          </w:p>
        </w:tc>
        <w:tc>
          <w:tcPr>
            <w:tcW w:w="320" w:type="dxa"/>
            <w:vAlign w:val="bottom"/>
          </w:tcPr>
          <w:p>
            <w:pPr>
              <w:spacing w:after="0"/>
              <w:rPr>
                <w:sz w:val="16"/>
                <w:szCs w:val="16"/>
                <w:color w:val="auto"/>
              </w:rPr>
            </w:pPr>
          </w:p>
        </w:tc>
        <w:tc>
          <w:tcPr>
            <w:tcW w:w="15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33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3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60" w:type="dxa"/>
            <w:vAlign w:val="bottom"/>
            <w:tcBorders>
              <w:bottom w:val="single" w:sz="8" w:color="CCEEFF"/>
            </w:tcBorders>
          </w:tcPr>
          <w:p>
            <w:pPr>
              <w:spacing w:after="0"/>
              <w:rPr>
                <w:sz w:val="20"/>
                <w:szCs w:val="20"/>
                <w:color w:val="auto"/>
              </w:rPr>
            </w:pPr>
          </w:p>
        </w:tc>
      </w:tr>
      <w:tr>
        <w:trPr>
          <w:trHeight w:val="250"/>
        </w:trPr>
        <w:tc>
          <w:tcPr>
            <w:tcW w:w="33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Intracoastal Capital</w:t>
            </w:r>
            <w:r>
              <w:rPr>
                <w:rFonts w:ascii="Times New Roman" w:cs="Times New Roman" w:eastAsia="Times New Roman" w:hAnsi="Times New Roman"/>
                <w:sz w:val="28"/>
                <w:szCs w:val="28"/>
                <w:color w:val="auto"/>
                <w:vertAlign w:val="superscript"/>
              </w:rPr>
              <w:t>(1)</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6,002,185</w:t>
            </w:r>
          </w:p>
        </w:tc>
        <w:tc>
          <w:tcPr>
            <w:tcW w:w="8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6,002,185</w:t>
            </w:r>
          </w:p>
        </w:tc>
        <w:tc>
          <w:tcPr>
            <w:tcW w:w="1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CVI Investments, Inc </w:t>
            </w:r>
            <w:r>
              <w:rPr>
                <w:rFonts w:ascii="Times New Roman" w:cs="Times New Roman" w:eastAsia="Times New Roman" w:hAnsi="Times New Roman"/>
                <w:sz w:val="29"/>
                <w:szCs w:val="29"/>
                <w:color w:val="auto"/>
                <w:vertAlign w:val="superscript"/>
              </w:rPr>
              <w:t>(2)(3)</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7,143,700</w:t>
            </w:r>
          </w:p>
        </w:tc>
        <w:tc>
          <w:tcPr>
            <w:tcW w:w="8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5,680,358</w:t>
            </w: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1,463,342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r>
      <w:tr>
        <w:trPr>
          <w:trHeight w:val="257"/>
        </w:trPr>
        <w:tc>
          <w:tcPr>
            <w:tcW w:w="35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Stuywater Capital LLC</w:t>
            </w:r>
            <w:r>
              <w:rPr>
                <w:rFonts w:ascii="Times New Roman" w:cs="Times New Roman" w:eastAsia="Times New Roman" w:hAnsi="Times New Roman"/>
                <w:sz w:val="29"/>
                <w:szCs w:val="29"/>
                <w:color w:val="auto"/>
                <w:vertAlign w:val="superscript"/>
              </w:rPr>
              <w:t>(3)(4)</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4,589,012</w:t>
            </w:r>
          </w:p>
        </w:tc>
        <w:tc>
          <w:tcPr>
            <w:tcW w:w="8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2,306,572</w:t>
            </w:r>
          </w:p>
        </w:tc>
        <w:tc>
          <w:tcPr>
            <w:tcW w:w="1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2,282,440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r>
      <w:tr>
        <w:trPr>
          <w:trHeight w:val="257"/>
        </w:trPr>
        <w:tc>
          <w:tcPr>
            <w:tcW w:w="3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(5)(6)</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849,883</w:t>
            </w:r>
          </w:p>
        </w:tc>
        <w:tc>
          <w:tcPr>
            <w:tcW w:w="8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220,329</w:t>
            </w: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629,554</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5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(5)(7)</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1,565,600</w:t>
            </w:r>
          </w:p>
        </w:tc>
        <w:tc>
          <w:tcPr>
            <w:tcW w:w="8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448,527</w:t>
            </w:r>
          </w:p>
        </w:tc>
        <w:tc>
          <w:tcPr>
            <w:tcW w:w="1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1,117,073</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r>
        <w:trPr>
          <w:trHeight w:val="257"/>
        </w:trPr>
        <w:tc>
          <w:tcPr>
            <w:tcW w:w="3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(5)(8)</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81,665</w:t>
            </w:r>
          </w:p>
        </w:tc>
        <w:tc>
          <w:tcPr>
            <w:tcW w:w="860" w:type="dxa"/>
            <w:vAlign w:val="bottom"/>
          </w:tcPr>
          <w:p>
            <w:pPr>
              <w:spacing w:after="0"/>
              <w:rPr>
                <w:sz w:val="22"/>
                <w:szCs w:val="22"/>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58,058</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5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(5)</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26,981</w:t>
            </w:r>
          </w:p>
        </w:tc>
        <w:tc>
          <w:tcPr>
            <w:tcW w:w="8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19,986</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(9)</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14,688,572</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5,680,358 shares of our common stock underlying our Series J preferred investment options and (b) 1,463,342 shares of our common stock, in each case as of October 6, 2025. Heights Capital Management, Inc. (“Heights”), the authorized agent of CVI Investments, Inc. (“CVI”), has discretionary authority to vote and dispose of the shares held by CVI and may be deemed to be the beneficial owner of these shares. Martin Kobinger, in his capacity as Investment Manager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S-3 of which this prospectus forms a part.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2,282,440 shares of our common stock, and an aggregate of 2,306,572 shares of our common stock underlying warrants or preferred investment options beneficially owned by the selling stockholder. Noam Rubenstein, the sole member of Stuywater Capital LLC (“Stuywater”), has sole voting control and investment discretion over the securities reported herein that are held by Stuywater. As a result, he may be deemed to have beneficial ownership (as determined under Section 13(d) of the Securities Exchange Act of 1934, as amended) of the securities reported herein that are held by Stuywater. The options are subject to a beneficial ownership limitation of 4.99%, which restricts the selling stockholder from exercising that portion of the options that would result in the selling stockholder and its affiliates owning, after exercise, a number of shares of common stock in excess of the beneficial ownership limitation. The address of Stuywater is 430 Park Avenue, 3rd Floor, New York, New York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(“Wainwright”),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during the fiscal year ending December 31, 2025.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2,282,440 shares of our common stock, and an aggregate of 2,306,572 shares of our common stock underlying warrants or preferred investment options, beneficially owned by Mr. Rubenstein through Stuywater Capital LLC, which are subject to a beneficial ownership limitation of 4.99%.</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209,648 shares of our common stock, and an aggregate of 1,355,952 shares of our common stock underlying warrants or preferred investment options beneficially owned by the selling stockholder. Includes 61,704 shares of our common stock underlying preferred investment options that are directly held by Augustus Trading LLC, of which Michael Vasinkevich is the managing member and may be deemed to have beneficial ownership over such shares.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3,247 shares of our common stock underlying preferred investment options that are directly held by Wilson Drive Holdings LLC, of which Craig Schwabe is the managing member and may be deemed to have beneficial ownership over such shares.</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or 9.99% beneficial ownership limitation that the selling stockholders may be subject to.</w:t>
      </w:r>
    </w:p>
    <w:p>
      <w:pPr>
        <w:sectPr>
          <w:pgSz w:w="11900" w:h="16882" w:orient="portrait"/>
          <w:cols w:equalWidth="0" w:num="1">
            <w:col w:w="11240"/>
          </w:cols>
          <w:pgMar w:left="320" w:top="657" w:right="339" w:bottom="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If the selling stockholders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dealers or underwriters, and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Delaware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120,000,000 shares of common stock, par value $0.01, of which 67,158,044 shares were issued and outstanding as of October 10,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120,000,000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10, 2025, we had:</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3,014,365 shares of our common stock issuable upon the exercise of outstanding stock options granted to employees, directors and consultants, with exercise prices ranging from approximately $0.005 to $15.75 and having a weighted-average exercise price of $4.2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2,678,798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10,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placement agent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placement agent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placement agent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placement agent warrants expiring in June 2028,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placement agent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28,102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71,750 shares of our common stock issuable upon the exercise of outstanding placement agent preferred investment options expiring in January 2027,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109,478 shares of our common stock issuable upon the exercise of outstanding placement agent preferred investment options expiring in June 2027, at an exercise price per share of $2.6625;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upon the exercise of outstanding placement agent preferred investment options expiring in July 2030,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10,362 shares of our common stock issuable upon the exercise of outstanding placement agent preferred investment options expiring in March 2028,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31,429 shares of our common stock issuable upon the exercise of outstanding placement agent preferred investment options expiring in March 2028, at an exercise price per share of $2.1875;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138,906 shares of our common stock issuable upon the exercise of outstanding placement agent preferred investment options expiring in March 2028, at an exercise price per share of $2.625;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422,535 shares of our common stock issuable upon the exercise of outstanding placement agent preferred investment options expiring in March 2028, at an exercise price per share of $2.6625;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13,989,115 shares of our common stock issuable upon the exercise of outstanding series J preferred investment options expiring between March 2028 and April 2028, at an exercise price per share of $4.50;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96,224 shares of our common stock issuable upon the exercise of outstanding placement agent preferred investment options expiring in April 2028, at an exercise price per share of $2.625;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53,758 shares of our common stock issuable to the selling stockholders upon the exercise of outstanding 5½ year preferred investment options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146,306 shares of our common stock issuable to the selling stockholders upon the exercise of outstanding 2 year preferred investment options,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368,572 shares of our common stock issuable to the selling stockholders upon the exercise of outstanding 2 year preferred investment options,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143,723 shares of our common stock issuable to the selling stockholders upon the exercise of outstanding 2 year preferred investment options, at an exercise price per share of $2.625;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187,794 shares of our common stock issuable to the selling stockholders upon the exercise of outstanding 2 year preferred investment options, at an exercise price per share of $2.6625.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S-3 of which this prospectus forms a part, are underlying our: 13,989,115 Series J preferred investment options at a price per share of $4.50; 10,362 placement agent preferred investment options at an exercise price per share of $1.875; 31,429 placement agent preferred investment options at an exercise price per share of $2.1875; 235,131 placement agent preferred investment options at an exercise price per share of $2.625; and 422,535 placement agent preferred investment options at an exercise price per share of $2.6625.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to,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Nine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The validity of the shares being offered under this prospectus by us will be passed upon for us by Ruskin Moscou Faltischek, P.C., Uniondale, New York.</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25, 2025;</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w:t>
      </w:r>
      <w:hyperlink r:id="rId35">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6">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we filed with the SEC on March 14, 2025 and August 12, 2025;</w:t>
      </w: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7">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January 7, 2025</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February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February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February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 xml:space="preserve">February 12,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February 25,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April 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April 15,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April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April 23,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June 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June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June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July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July 30,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August 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August 20,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August 25,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9">
        <w:r>
          <w:rPr>
            <w:rFonts w:ascii="Times New Roman" w:cs="Times New Roman" w:eastAsia="Times New Roman" w:hAnsi="Times New Roman"/>
            <w:sz w:val="18"/>
            <w:szCs w:val="18"/>
            <w:u w:val="single" w:color="auto"/>
            <w:color w:val="0000EE"/>
          </w:rPr>
          <w:t>August 27,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September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1">
        <w:r>
          <w:rPr>
            <w:rFonts w:ascii="Times New Roman" w:cs="Times New Roman" w:eastAsia="Times New Roman" w:hAnsi="Times New Roman"/>
            <w:sz w:val="18"/>
            <w:szCs w:val="18"/>
            <w:u w:val="single" w:color="auto"/>
            <w:color w:val="0000EE"/>
          </w:rPr>
          <w:t>September 16,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2">
        <w:r>
          <w:rPr>
            <w:rFonts w:ascii="Times New Roman" w:cs="Times New Roman" w:eastAsia="Times New Roman" w:hAnsi="Times New Roman"/>
            <w:sz w:val="18"/>
            <w:szCs w:val="18"/>
            <w:u w:val="single" w:color="auto"/>
            <w:color w:val="0000EE"/>
          </w:rPr>
          <w:t>September 19,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October 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4">
        <w:r>
          <w:rPr>
            <w:rFonts w:ascii="Times New Roman" w:cs="Times New Roman" w:eastAsia="Times New Roman" w:hAnsi="Times New Roman"/>
            <w:sz w:val="18"/>
            <w:szCs w:val="18"/>
            <w:u w:val="single" w:color="auto"/>
            <w:color w:val="0000EE"/>
          </w:rPr>
          <w:t>October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5">
        <w:r>
          <w:rPr>
            <w:rFonts w:ascii="Times New Roman" w:cs="Times New Roman" w:eastAsia="Times New Roman" w:hAnsi="Times New Roman"/>
            <w:sz w:val="18"/>
            <w:szCs w:val="18"/>
            <w:u w:val="single" w:color="auto"/>
            <w:color w:val="0000EE"/>
          </w:rPr>
          <w:t xml:space="preserve">October 7, 2025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for information contained therein which is furnished rather than filed);</w:t>
      </w:r>
    </w:p>
    <w:p>
      <w:pPr>
        <w:spacing w:after="0" w:line="1" w:lineRule="exact"/>
        <w:rPr>
          <w:rFonts w:ascii="Times New Roman" w:cs="Times New Roman" w:eastAsia="Times New Roman" w:hAnsi="Times New Roman"/>
          <w:sz w:val="18"/>
          <w:szCs w:val="18"/>
          <w:color w:val="0000EE"/>
        </w:rPr>
      </w:pP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6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August 3, 1998, under the Exchange Act, including any amendment or report filed for the purpose of updating such description; and</w:t>
      </w:r>
    </w:p>
    <w:p>
      <w:pPr>
        <w:jc w:val="both"/>
        <w:ind w:left="660" w:hanging="328"/>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in connection with the sale and distribution of the securities being registered, all of which are being borne by 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6,592.60</w:t>
            </w:r>
          </w:p>
        </w:tc>
        <w:tc>
          <w:tcPr>
            <w:tcW w:w="8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80" w:type="dxa"/>
            <w:vAlign w:val="bottom"/>
            <w:shd w:val="clear" w:color="auto" w:fill="CCEEFF"/>
          </w:tcPr>
          <w:p>
            <w:pPr>
              <w:spacing w:after="0"/>
              <w:rPr>
                <w:sz w:val="18"/>
                <w:szCs w:val="18"/>
                <w:color w:val="auto"/>
              </w:rPr>
            </w:pPr>
          </w:p>
        </w:tc>
      </w:tr>
      <w:tr>
        <w:trPr>
          <w:trHeight w:val="229"/>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3,407.40</w:t>
            </w:r>
          </w:p>
        </w:tc>
        <w:tc>
          <w:tcPr>
            <w:tcW w:w="80" w:type="dxa"/>
            <w:vAlign w:val="bottom"/>
            <w:tcBorders>
              <w:bottom w:val="single" w:sz="8" w:color="CCEEFF"/>
            </w:tcBorders>
          </w:tcPr>
          <w:p>
            <w:pPr>
              <w:spacing w:after="0"/>
              <w:rPr>
                <w:sz w:val="19"/>
                <w:szCs w:val="19"/>
                <w:color w:val="auto"/>
              </w:rPr>
            </w:pPr>
          </w:p>
        </w:tc>
      </w:tr>
      <w:tr>
        <w:trPr>
          <w:trHeight w:val="223"/>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he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to this registration statement, which Exhibit Index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1"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29"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firstLine="316"/>
        <w:spacing w:after="0" w:line="282" w:lineRule="auto"/>
        <w:tabs>
          <w:tab w:leader="none" w:pos="9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both"/>
        <w:ind w:left="328" w:firstLine="644"/>
        <w:spacing w:after="0" w:line="253" w:lineRule="auto"/>
        <w:tabs>
          <w:tab w:leader="none" w:pos="1243"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jc w:val="both"/>
        <w:ind w:left="8" w:firstLine="316"/>
        <w:spacing w:after="0" w:line="261" w:lineRule="auto"/>
        <w:tabs>
          <w:tab w:leader="none" w:pos="58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Times New Roman" w:cs="Times New Roman" w:eastAsia="Times New Roman" w:hAnsi="Times New Roman"/>
          <w:sz w:val="18"/>
          <w:szCs w:val="18"/>
          <w:color w:val="auto"/>
        </w:rPr>
      </w:pPr>
    </w:p>
    <w:p>
      <w:pPr>
        <w:ind w:left="1188" w:hanging="216"/>
        <w:spacing w:after="0"/>
        <w:tabs>
          <w:tab w:leader="none" w:pos="118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206" w:lineRule="exact"/>
        <w:rPr>
          <w:rFonts w:ascii="Times New Roman" w:cs="Times New Roman" w:eastAsia="Times New Roman" w:hAnsi="Times New Roman"/>
          <w:sz w:val="18"/>
          <w:szCs w:val="18"/>
          <w:color w:val="auto"/>
        </w:rPr>
      </w:pPr>
    </w:p>
    <w:p>
      <w:pPr>
        <w:ind w:left="328" w:right="20" w:firstLine="644"/>
        <w:spacing w:after="0" w:line="282" w:lineRule="auto"/>
        <w:tabs>
          <w:tab w:leader="none" w:pos="1231"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328" w:firstLine="644"/>
        <w:spacing w:after="0" w:line="282" w:lineRule="auto"/>
        <w:tabs>
          <w:tab w:leader="none" w:pos="131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268" w:hanging="296"/>
        <w:spacing w:after="0"/>
        <w:tabs>
          <w:tab w:leader="none" w:pos="126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8" w:hanging="8"/>
        <w:spacing w:after="0" w:line="258" w:lineRule="auto"/>
        <w:tabs>
          <w:tab w:leader="none" w:pos="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8" w:hanging="8"/>
        <w:spacing w:after="0" w:line="255" w:lineRule="auto"/>
        <w:tabs>
          <w:tab w:leader="none" w:pos="2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Hingham, State of Massachusetts, on the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2025.</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Harel Gadot and Rachel Vaknin and each of them such person’s true and lawful attorney-in-fact and agent, for such person and in such person’s name, place, and stead, in any and all capacities, to sign any and all amendments, including post-effective amendments, to this registration statement or any registration statement relating to this offering to be effective upon filing pursuant to Rule 462(b) under the Securities Act of 1933,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such person might or could do in person, hereby ratifying and confirming all that said attorney-in-fact and agent or such person’s substitute or substitutes, may lawfully do or cause to be done by virtue hereof.</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220" w:type="dxa"/>
            <w:vAlign w:val="bottom"/>
          </w:tcPr>
          <w:p>
            <w:pPr>
              <w:spacing w:after="0"/>
              <w:rPr>
                <w:sz w:val="24"/>
                <w:szCs w:val="24"/>
                <w:color w:val="auto"/>
              </w:rPr>
            </w:pPr>
          </w:p>
        </w:tc>
        <w:tc>
          <w:tcPr>
            <w:tcW w:w="5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13,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220" w:type="dxa"/>
            <w:vAlign w:val="bottom"/>
          </w:tcPr>
          <w:p>
            <w:pPr>
              <w:spacing w:after="0"/>
              <w:rPr>
                <w:sz w:val="20"/>
                <w:szCs w:val="20"/>
                <w:color w:val="auto"/>
              </w:rPr>
            </w:pPr>
          </w:p>
        </w:tc>
        <w:tc>
          <w:tcPr>
            <w:tcW w:w="5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13,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220" w:type="dxa"/>
            <w:vAlign w:val="bottom"/>
          </w:tcPr>
          <w:p>
            <w:pPr>
              <w:spacing w:after="0"/>
              <w:rPr>
                <w:sz w:val="20"/>
                <w:szCs w:val="20"/>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Tal Wenderow</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13,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J. Wilson</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13,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J. Wilson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Prattipati Laxminarain</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13,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Burell</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13,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Martin Madden</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13,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Aileen Stockburger</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13,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ind w:left="2100"/>
              <w:spacing w:after="0"/>
              <w:rPr>
                <w:sz w:val="20"/>
                <w:szCs w:val="20"/>
                <w:color w:val="auto"/>
              </w:rPr>
            </w:pPr>
            <w:r>
              <w:rPr>
                <w:rFonts w:ascii="Times New Roman" w:cs="Times New Roman" w:eastAsia="Times New Roman" w:hAnsi="Times New Roman"/>
                <w:sz w:val="18"/>
                <w:szCs w:val="18"/>
                <w:color w:val="auto"/>
              </w:rPr>
              <w:t>II-4</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22"/>
          </w:tcPr>
          <w:p>
            <w:pPr>
              <w:spacing w:after="0" w:line="169"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6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fiscal year ended December 31, 2006 and filed on March 15, 2007).</w:t>
              </w:r>
            </w:hyperlink>
          </w:p>
        </w:tc>
        <w:tc>
          <w:tcPr>
            <w:tcW w:w="526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Report on Form 8-K filed on November 29, 2016).</w:t>
              </w:r>
            </w:hyperlink>
          </w:p>
        </w:tc>
        <w:tc>
          <w:tcPr>
            <w:tcW w:w="6480" w:type="dxa"/>
            <w:vAlign w:val="bottom"/>
            <w:gridSpan w:val="1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76">
              <w:r>
                <w:rPr>
                  <w:rFonts w:ascii="Times New Roman" w:cs="Times New Roman" w:eastAsia="Times New Roman" w:hAnsi="Times New Roman"/>
                  <w:sz w:val="18"/>
                  <w:szCs w:val="18"/>
                  <w:color w:val="0000EE"/>
                  <w:w w:val="94"/>
                </w:rPr>
                <w:t>2016).</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94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4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Report on Form 8-K filed on May 3, 2021).</w:t>
              </w:r>
            </w:hyperlink>
          </w:p>
        </w:tc>
        <w:tc>
          <w:tcPr>
            <w:tcW w:w="6980" w:type="dxa"/>
            <w:vAlign w:val="bottom"/>
            <w:gridSpan w:val="1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Amendment to Section 2.5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Report on Form 8-K filed on April 15, 2025).</w:t>
              </w:r>
            </w:hyperlink>
          </w:p>
        </w:tc>
        <w:tc>
          <w:tcPr>
            <w:tcW w:w="6860" w:type="dxa"/>
            <w:vAlign w:val="bottom"/>
            <w:gridSpan w:val="1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Certificate of Amendment to Certificate of Incorporation (incorporated by reference to the Company’s Current Report on Form 8-K filed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June 11, 2025).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ended December 31, 2019).</w:t>
              </w:r>
            </w:hyperlink>
          </w:p>
        </w:tc>
        <w:tc>
          <w:tcPr>
            <w:tcW w:w="8140" w:type="dxa"/>
            <w:vAlign w:val="bottom"/>
            <w:gridSpan w:val="1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Wainwright Warrant (incorporated by reference to the Registrant’s Current Report on Form 8-K filed on October 25, 2022).</w:t>
              </w:r>
            </w:hyperlink>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Form of Wainwright Warrant (incorporated by reference to the Registrant’s Current Report on Form 8-K filed on May 23, 2023).</w:t>
              </w:r>
            </w:hyperlink>
          </w:p>
        </w:tc>
        <w:tc>
          <w:tcPr>
            <w:tcW w:w="240" w:type="dxa"/>
            <w:vAlign w:val="bottom"/>
            <w:tcBorders>
              <w:top w:val="single" w:sz="8" w:color="0000EE"/>
            </w:tcBorders>
            <w:gridSpan w:val="2"/>
          </w:tcPr>
          <w:p>
            <w:pPr>
              <w:spacing w:after="0"/>
              <w:rPr>
                <w:sz w:val="17"/>
                <w:szCs w:val="17"/>
                <w:color w:val="auto"/>
              </w:rPr>
            </w:pPr>
          </w:p>
        </w:tc>
        <w:tc>
          <w:tcPr>
            <w:tcW w:w="62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9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Form of Wainwright Warrant (incorporated by reference to the Registrant’s Current Report on Form 8-K filed on May 24, 2023).</w:t>
              </w:r>
            </w:hyperlink>
          </w:p>
        </w:tc>
        <w:tc>
          <w:tcPr>
            <w:tcW w:w="8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Warrant Amendment Agreement (incorporated by reference to the Registrant’s Current Report on Form 8-K filed on May 24,</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86">
              <w:r>
                <w:rPr>
                  <w:rFonts w:ascii="Times New Roman" w:cs="Times New Roman" w:eastAsia="Times New Roman" w:hAnsi="Times New Roman"/>
                  <w:sz w:val="18"/>
                  <w:szCs w:val="18"/>
                  <w:color w:val="0000EE"/>
                  <w:w w:val="94"/>
                </w:rPr>
                <w:t>2023).</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Wainwright Warrant (incorporated by reference to the Registrant’s Current Report on Form 8-K filed on June 6,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9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Form of Wainwright Warrant (incorporated by reference to the Registrant’s Current Report on Form 8-K filed on June 28, 2023).</w:t>
              </w:r>
            </w:hyperlink>
          </w:p>
        </w:tc>
        <w:tc>
          <w:tcPr>
            <w:tcW w:w="8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89">
              <w:r>
                <w:rPr>
                  <w:rFonts w:ascii="Times New Roman" w:cs="Times New Roman" w:eastAsia="Times New Roman" w:hAnsi="Times New Roman"/>
                  <w:sz w:val="18"/>
                  <w:szCs w:val="18"/>
                  <w:color w:val="0000EE"/>
                  <w:w w:val="94"/>
                </w:rPr>
                <w:t>2024).</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Placement Agent Investment Option (incorporated by reference to the Registrant’s Current Report on Form 8-K filed on June 4,</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90">
              <w:r>
                <w:rPr>
                  <w:rFonts w:ascii="Times New Roman" w:cs="Times New Roman" w:eastAsia="Times New Roman" w:hAnsi="Times New Roman"/>
                  <w:sz w:val="18"/>
                  <w:szCs w:val="18"/>
                  <w:color w:val="0000EE"/>
                  <w:w w:val="94"/>
                </w:rPr>
                <w:t>2024).</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7,</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91">
              <w:r>
                <w:rPr>
                  <w:rFonts w:ascii="Times New Roman" w:cs="Times New Roman" w:eastAsia="Times New Roman" w:hAnsi="Times New Roman"/>
                  <w:sz w:val="18"/>
                  <w:szCs w:val="18"/>
                  <w:color w:val="0000EE"/>
                  <w:w w:val="94"/>
                </w:rPr>
                <w:t>2025).</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92">
              <w:r>
                <w:rPr>
                  <w:rFonts w:ascii="Times New Roman" w:cs="Times New Roman" w:eastAsia="Times New Roman" w:hAnsi="Times New Roman"/>
                  <w:sz w:val="18"/>
                  <w:szCs w:val="18"/>
                  <w:color w:val="0000EE"/>
                  <w:w w:val="97"/>
                </w:rPr>
                <w:t>10, 2025).</w:t>
              </w:r>
            </w:hyperlink>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Form of Series J Preferred Investment Option (incorporated by reference to the Registrant’s Current Report on Form 8-K filed on September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93">
              <w:r>
                <w:rPr>
                  <w:rFonts w:ascii="Times New Roman" w:cs="Times New Roman" w:eastAsia="Times New Roman" w:hAnsi="Times New Roman"/>
                  <w:sz w:val="18"/>
                  <w:szCs w:val="18"/>
                  <w:color w:val="0000EE"/>
                  <w:w w:val="97"/>
                </w:rPr>
                <w:t>16, 2025).</w:t>
              </w:r>
            </w:hyperlink>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Placement Agent Investment Option (incorporated by reference to the Registrant’s Current Report on Form 8-K filed on February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94">
              <w:r>
                <w:rPr>
                  <w:rFonts w:ascii="Times New Roman" w:cs="Times New Roman" w:eastAsia="Times New Roman" w:hAnsi="Times New Roman"/>
                  <w:sz w:val="18"/>
                  <w:szCs w:val="18"/>
                  <w:color w:val="0000EE"/>
                  <w:w w:val="95"/>
                </w:rPr>
                <w:t>11, 2025).</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Placement Agent Investment Option (incorporated by reference to the Registrant’s Current Report on Form 8-K filed on September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95">
              <w:r>
                <w:rPr>
                  <w:rFonts w:ascii="Times New Roman" w:cs="Times New Roman" w:eastAsia="Times New Roman" w:hAnsi="Times New Roman"/>
                  <w:sz w:val="18"/>
                  <w:szCs w:val="18"/>
                  <w:color w:val="0000EE"/>
                  <w:w w:val="97"/>
                </w:rPr>
                <w:t>16, 2025).</w:t>
              </w:r>
            </w:hyperlink>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3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Ruskin Moscou Faltischek, P.C.</w:t>
            </w:r>
          </w:p>
        </w:tc>
        <w:tc>
          <w:tcPr>
            <w:tcW w:w="7000" w:type="dxa"/>
            <w:vAlign w:val="bottom"/>
            <w:gridSpan w:val="1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Consent of Ruskin Moscou Faltischek, P.C. (contained in Exhibit 5.1).</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gridSpan w:val="1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7"/>
                <w:szCs w:val="17"/>
                <w:color w:val="auto"/>
              </w:rPr>
            </w:pPr>
          </w:p>
        </w:tc>
        <w:tc>
          <w:tcPr>
            <w:tcW w:w="61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Brightman Almagor Zohar &amp; Co., a firm in the Deloitte Global Network.</w:t>
            </w:r>
          </w:p>
        </w:tc>
        <w:tc>
          <w:tcPr>
            <w:tcW w:w="404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hereto).</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100" w:hanging="1092"/>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7">
                      <a:extLst>
                        <a:ext uri="{28A0092B-C50C-407E-A947-70E740481C1C}"/>
                      </a:extLst>
                    </a:blip>
                    <a:srcRect/>
                    <a:stretch>
                      <a:fillRect/>
                    </a:stretch>
                  </pic:blipFill>
                  <pic:spPr bwMode="auto">
                    <a:xfrm>
                      <a:off x="0" y="0"/>
                      <a:ext cx="25717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 Derby St. Bld.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Hingham, MA 02043</w:t>
      </w:r>
    </w:p>
    <w:p>
      <w:pPr>
        <w:spacing w:after="0" w:line="207"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counsel for Microbot Medical Inc. (the “Company”) in connection with the preparation and filing of that certain Registration Statement on Form S-3 (the “Registration Statement”) filed on the date hereof with the Securities and Exchange Commission (the “SEC”) under the Securities Act of 1933, as amended, with respect to the registration of the resale of an aggregate of up to 14,668,572 shares (the “Shares”) of the Company’s common stock, $0.01 par value per share, issuable upon the exercise in full of outstanding investment options of the Company (the “Options”).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are being registered on behalf of certain persons or entities identified in the Registration Statement. The offering of the Shares will be as set forth in the prospectus contained in the Registration Statement, and as supplemented by one or more supplements to the prospectus (the “Prospectus”).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counsel to the Company, we have examined the originals or copies of such documents, corporate records and other instruments and undertaken such further inquiry as we have deemed necessary or appropriate for purposes of this opinion, including, but not limited to, the Registration Statement, corporate resolutions authorizing the issuance of the Shares and the Certificate of Incorporation and Bylaws of the Company, including amendments thereto. In such examination, we have assumed the following: (a) the authenticity of original documents and the genuineness of all signatures; (b) the legal capacity of all natural persons, the accuracy and completeness of all documents submitted to us; (c) the conformity to the originals of all documents submitted to us as copies; (d) the genuineness of all signatures contained in the records, documents, instruments and certificates we have reviewed; and (e) the truth, accuracy and completeness of the information, representations and warranties contained in the records, documents, instruments and certificates we have reviewed. This opinion letter is given, and all statements herein are made, in the context of the foregoing.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that the Shares, when issued upon exercise of the Options in accordance with the terms thereof, are or will be duly and validly authorized,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October 13,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set forth herein is as of the date hereof. We assume no obligation to advise you of changes that may hereafter be brought to our attention. We are members of the Bar of the State of New York. We do not express any opinion concerning the laws of any jurisdiction other than (i) the State of New York, (ii) the Federal laws of the United States and (iii) the Delaware General Corporation Law. Our opinion is based on statutory laws and judicial decisions that are in effect on the date hereof, and we do not opine with respect to any law, regulation, rule or governmental policy that may be enacted or adopted after the date hereof, nor do we assume any responsibility to advise you of future changes in our opinion. We do not express an opinion on any matters other than those expressly set forth in this letter.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opinion is expressed herein with respect to the qualification of the Shares under the securities or blue sky laws of any state or any foreign jurisdiction.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use and filing of this opinion as an exhibit to the Registration Statement as filed with the Securities and Exchange Commission and to the reference to our firm under the heading “Legal Matters” in the Prospectus and the Registration Statement. In giving this consent, we do not admit that we are within the category of persons whose consent is required under Section 7 of the Act or the rules and regulations of the Securities and Exchange Commission promulgated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Ruskin Moscou Faltischek PC</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RUSKIN MOSCOU FALTISCHEK,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9">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March 25, 2025, relating to the financial statements of Microbot Medical Inc. appearing in the Annual Report on Form 10-K of Microbot Medical Inc. for the year ended December 31, 2024.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Calculation</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Rule or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Carry</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300" w:type="dxa"/>
            <w:vAlign w:val="bottom"/>
          </w:tcPr>
          <w:p>
            <w:pPr>
              <w:spacing w:after="0"/>
              <w:rPr>
                <w:sz w:val="22"/>
                <w:szCs w:val="22"/>
                <w:color w:val="auto"/>
              </w:rPr>
            </w:pPr>
          </w:p>
        </w:tc>
        <w:tc>
          <w:tcPr>
            <w:tcW w:w="1060" w:type="dxa"/>
            <w:vAlign w:val="bottom"/>
            <w:gridSpan w:val="3"/>
          </w:tcPr>
          <w:p>
            <w:pPr>
              <w:jc w:val="center"/>
              <w:ind w:right="160"/>
              <w:spacing w:after="0" w:line="256" w:lineRule="exact"/>
              <w:rPr>
                <w:sz w:val="20"/>
                <w:szCs w:val="20"/>
                <w:color w:val="auto"/>
              </w:rPr>
            </w:pPr>
            <w:r>
              <w:rPr>
                <w:rFonts w:ascii="Times New Roman" w:cs="Times New Roman" w:eastAsia="Times New Roman" w:hAnsi="Times New Roman"/>
                <w:sz w:val="18"/>
                <w:szCs w:val="18"/>
                <w:b w:val="1"/>
                <w:bCs w:val="1"/>
                <w:color w:val="auto"/>
                <w:w w:val="93"/>
              </w:rPr>
              <w:t>Per Unit</w:t>
            </w:r>
            <w:r>
              <w:rPr>
                <w:rFonts w:ascii="Times New Roman" w:cs="Times New Roman" w:eastAsia="Times New Roman" w:hAnsi="Times New Roman"/>
                <w:sz w:val="29"/>
                <w:szCs w:val="29"/>
                <w:b w:val="1"/>
                <w:bCs w:val="1"/>
                <w:color w:val="auto"/>
                <w:w w:val="93"/>
                <w:vertAlign w:val="superscript"/>
              </w:rPr>
              <w:t>(2)</w:t>
            </w:r>
          </w:p>
        </w:tc>
        <w:tc>
          <w:tcPr>
            <w:tcW w:w="140" w:type="dxa"/>
            <w:vAlign w:val="bottom"/>
          </w:tcPr>
          <w:p>
            <w:pPr>
              <w:spacing w:after="0"/>
              <w:rPr>
                <w:sz w:val="22"/>
                <w:szCs w:val="22"/>
                <w:color w:val="auto"/>
              </w:rPr>
            </w:pPr>
          </w:p>
        </w:tc>
        <w:tc>
          <w:tcPr>
            <w:tcW w:w="1460" w:type="dxa"/>
            <w:vAlign w:val="bottom"/>
            <w:gridSpan w:val="2"/>
          </w:tcPr>
          <w:p>
            <w:pPr>
              <w:jc w:val="center"/>
              <w:ind w:right="300"/>
              <w:spacing w:after="0" w:line="256" w:lineRule="exact"/>
              <w:rPr>
                <w:sz w:val="20"/>
                <w:szCs w:val="20"/>
                <w:color w:val="auto"/>
              </w:rPr>
            </w:pPr>
            <w:r>
              <w:rPr>
                <w:rFonts w:ascii="Times New Roman" w:cs="Times New Roman" w:eastAsia="Times New Roman" w:hAnsi="Times New Roman"/>
                <w:sz w:val="18"/>
                <w:szCs w:val="18"/>
                <w:b w:val="1"/>
                <w:bCs w:val="1"/>
                <w:color w:val="auto"/>
                <w:w w:val="89"/>
              </w:rPr>
              <w:t>Price</w:t>
            </w:r>
            <w:r>
              <w:rPr>
                <w:rFonts w:ascii="Times New Roman" w:cs="Times New Roman" w:eastAsia="Times New Roman" w:hAnsi="Times New Roman"/>
                <w:sz w:val="29"/>
                <w:szCs w:val="29"/>
                <w:b w:val="1"/>
                <w:bCs w:val="1"/>
                <w:color w:val="auto"/>
                <w:w w:val="89"/>
                <w:vertAlign w:val="superscript"/>
              </w:rPr>
              <w:t>(1)</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80" w:type="dxa"/>
            <w:vAlign w:val="bottom"/>
          </w:tcPr>
          <w:p>
            <w:pPr>
              <w:spacing w:after="0"/>
              <w:rPr>
                <w:sz w:val="22"/>
                <w:szCs w:val="22"/>
                <w:color w:val="auto"/>
              </w:rPr>
            </w:pPr>
          </w:p>
        </w:tc>
        <w:tc>
          <w:tcPr>
            <w:tcW w:w="880" w:type="dxa"/>
            <w:vAlign w:val="bottom"/>
            <w:gridSpan w:val="2"/>
          </w:tcPr>
          <w:p>
            <w:pPr>
              <w:jc w:val="center"/>
              <w:ind w:right="280"/>
              <w:spacing w:after="0" w:line="256" w:lineRule="exact"/>
              <w:rPr>
                <w:sz w:val="20"/>
                <w:szCs w:val="20"/>
                <w:color w:val="auto"/>
              </w:rPr>
            </w:pPr>
            <w:r>
              <w:rPr>
                <w:rFonts w:ascii="Times New Roman" w:cs="Times New Roman" w:eastAsia="Times New Roman" w:hAnsi="Times New Roman"/>
                <w:sz w:val="18"/>
                <w:szCs w:val="18"/>
                <w:b w:val="1"/>
                <w:bCs w:val="1"/>
                <w:color w:val="auto"/>
                <w:w w:val="88"/>
              </w:rPr>
              <w:t>Fee</w:t>
            </w:r>
            <w:r>
              <w:rPr>
                <w:rFonts w:ascii="Times New Roman" w:cs="Times New Roman" w:eastAsia="Times New Roman" w:hAnsi="Times New Roman"/>
                <w:sz w:val="29"/>
                <w:szCs w:val="29"/>
                <w:b w:val="1"/>
                <w:bCs w:val="1"/>
                <w:color w:val="auto"/>
                <w:w w:val="88"/>
                <w:vertAlign w:val="superscript"/>
              </w:rPr>
              <w:t>(2)</w:t>
            </w:r>
          </w:p>
        </w:tc>
        <w:tc>
          <w:tcPr>
            <w:tcW w:w="0" w:type="dxa"/>
            <w:vAlign w:val="bottom"/>
          </w:tcPr>
          <w:p>
            <w:pPr>
              <w:spacing w:after="0"/>
              <w:rPr>
                <w:sz w:val="1"/>
                <w:szCs w:val="1"/>
                <w:color w:val="auto"/>
              </w:rPr>
            </w:pPr>
          </w:p>
        </w:tc>
      </w:tr>
      <w:tr>
        <w:trPr>
          <w:trHeight w:val="191"/>
        </w:trPr>
        <w:tc>
          <w:tcPr>
            <w:tcW w:w="1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Common</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Stock, $0.01</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to be</w:t>
            </w: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par value per</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w:t>
            </w:r>
          </w:p>
        </w:tc>
        <w:tc>
          <w:tcPr>
            <w:tcW w:w="8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Equity</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center"/>
              <w:ind w:right="220"/>
              <w:spacing w:after="0" w:line="270" w:lineRule="exact"/>
              <w:rPr>
                <w:sz w:val="20"/>
                <w:szCs w:val="20"/>
                <w:color w:val="auto"/>
              </w:rPr>
            </w:pPr>
            <w:r>
              <w:rPr>
                <w:rFonts w:ascii="Times New Roman" w:cs="Times New Roman" w:eastAsia="Times New Roman" w:hAnsi="Times New Roman"/>
                <w:sz w:val="18"/>
                <w:szCs w:val="18"/>
                <w:color w:val="auto"/>
                <w:w w:val="89"/>
              </w:rPr>
              <w:t>share</w:t>
            </w:r>
            <w:r>
              <w:rPr>
                <w:rFonts w:ascii="Times New Roman" w:cs="Times New Roman" w:eastAsia="Times New Roman" w:hAnsi="Times New Roman"/>
                <w:sz w:val="29"/>
                <w:szCs w:val="29"/>
                <w:color w:val="auto"/>
                <w:w w:val="89"/>
                <w:vertAlign w:val="superscript"/>
              </w:rPr>
              <w:t>(3)</w:t>
            </w:r>
          </w:p>
        </w:tc>
        <w:tc>
          <w:tcPr>
            <w:tcW w:w="12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457(c)</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14,688,572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1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$ 47,737,859.00</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0.00013810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6,592.60</w:t>
            </w:r>
          </w:p>
        </w:tc>
        <w:tc>
          <w:tcPr>
            <w:tcW w:w="0" w:type="dxa"/>
            <w:vAlign w:val="bottom"/>
          </w:tcPr>
          <w:p>
            <w:pPr>
              <w:spacing w:after="0"/>
              <w:rPr>
                <w:sz w:val="1"/>
                <w:szCs w:val="1"/>
                <w:color w:val="auto"/>
              </w:rPr>
            </w:pPr>
          </w:p>
        </w:tc>
      </w:tr>
      <w:tr>
        <w:trPr>
          <w:trHeight w:val="198"/>
        </w:trPr>
        <w:tc>
          <w:tcPr>
            <w:tcW w:w="1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Fees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Previously</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Paid</w:t>
            </w:r>
          </w:p>
        </w:tc>
        <w:tc>
          <w:tcPr>
            <w:tcW w:w="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Carry</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8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920" w:type="dxa"/>
            <w:vAlign w:val="bottom"/>
            <w:gridSpan w:val="6"/>
            <w:shd w:val="clear" w:color="auto" w:fill="CCEEFF"/>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$ 47,737,859.00</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0.00013810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6,592.60</w:t>
            </w:r>
          </w:p>
        </w:tc>
        <w:tc>
          <w:tcPr>
            <w:tcW w:w="0" w:type="dxa"/>
            <w:vAlign w:val="bottom"/>
          </w:tcPr>
          <w:p>
            <w:pPr>
              <w:spacing w:after="0"/>
              <w:rPr>
                <w:sz w:val="1"/>
                <w:szCs w:val="1"/>
                <w:color w:val="auto"/>
              </w:rPr>
            </w:pPr>
          </w:p>
        </w:tc>
      </w:tr>
      <w:tr>
        <w:trPr>
          <w:trHeight w:val="210"/>
        </w:trPr>
        <w:tc>
          <w:tcPr>
            <w:tcW w:w="1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this registration statement shall also cover any additional shares of the registrant’s securities that become issuable by reason of any share splits, share dividends or similar transactions.</w:t>
      </w:r>
    </w:p>
    <w:p>
      <w:pPr>
        <w:ind w:left="340" w:hanging="332"/>
        <w:spacing w:after="0" w:line="25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solely for purposes of calculating the registration fee, based on the average of the high and low prices of the Registrant’s common stock as reported on the Nasdaq Capital Market on October 7, 2025 ($3.25 per share of common stock).</w:t>
      </w: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aggregate of 14,688,572 shares of the Registrant’s common stock issuable upon the exercise of outstanding warrants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4">
    <w:nsid w:val="25E45D32"/>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5">
    <w:nsid w:val="519B500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6">
    <w:nsid w:val="431BD7B7"/>
    <w:multiLevelType w:val="hybridMultilevel"/>
    <w:lvl w:ilvl="0">
      <w:lvlJc w:val="left"/>
      <w:lvlText w:val="(%1)"/>
      <w:numFmt w:val="lowerLetter"/>
      <w:start w:val="5"/>
    </w:lvl>
  </w:abstractNum>
  <w:abstractNum w:abstractNumId="17">
    <w:nsid w:val="3F2DBA31"/>
    <w:multiLevelType w:val="hybridMultilevel"/>
    <w:lvl w:ilvl="0">
      <w:lvlJc w:val="left"/>
      <w:lvlText w:val="%1"/>
      <w:numFmt w:val="decimal"/>
      <w:start w:val="107"/>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67" Type="http://schemas.openxmlformats.org/officeDocument/2006/relationships/image" Target="media/image27.png"/><Relationship Id="rId68" Type="http://schemas.openxmlformats.org/officeDocument/2006/relationships/image" Target="media/image28.png"/><Relationship Id="rId69" Type="http://schemas.openxmlformats.org/officeDocument/2006/relationships/image" Target="media/image29.png"/><Relationship Id="rId70" Type="http://schemas.openxmlformats.org/officeDocument/2006/relationships/image" Target="media/image30.png"/><Relationship Id="rId71" Type="http://schemas.openxmlformats.org/officeDocument/2006/relationships/image" Target="media/image31.png"/><Relationship Id="rId96" Type="http://schemas.openxmlformats.org/officeDocument/2006/relationships/image" Target="media/image32.png"/><Relationship Id="rId97" Type="http://schemas.openxmlformats.org/officeDocument/2006/relationships/image" Target="media/image33.jpeg"/><Relationship Id="rId98" Type="http://schemas.openxmlformats.org/officeDocument/2006/relationships/image" Target="media/image34.png"/><Relationship Id="rId99" Type="http://schemas.openxmlformats.org/officeDocument/2006/relationships/image" Target="media/image35.png"/><Relationship Id="rId100" Type="http://schemas.openxmlformats.org/officeDocument/2006/relationships/image" Target="media/image36.png"/><Relationship Id="rId101" Type="http://schemas.openxmlformats.org/officeDocument/2006/relationships/image" Target="media/image37.png"/><Relationship Id="rId102" Type="http://schemas.openxmlformats.org/officeDocument/2006/relationships/image" Target="media/image38.png"/><Relationship Id="rId34" Type="http://schemas.openxmlformats.org/officeDocument/2006/relationships/hyperlink" Target="https://www.sec.gov/Archives/edgar/data/883975/000164117225000614/form10-k.htm" TargetMode="External"/><Relationship Id="rId35" Type="http://schemas.openxmlformats.org/officeDocument/2006/relationships/hyperlink" Target="https://www.sec.gov/Archives/edgar/data/883975/000164117225010277/form10-q.htm" TargetMode="External"/><Relationship Id="rId36" Type="http://schemas.openxmlformats.org/officeDocument/2006/relationships/hyperlink" Target="https://www.sec.gov/Archives/edgar/data/883975/000164117225023206/form10-q.htm" TargetMode="External"/><Relationship Id="rId37" Type="http://schemas.openxmlformats.org/officeDocument/2006/relationships/hyperlink" Target="https://www.sec.gov/Archives/edgar/data/883975/000149315225000366/form8-k.htm" TargetMode="External"/><Relationship Id="rId38" Type="http://schemas.openxmlformats.org/officeDocument/2006/relationships/hyperlink" Target="https://www.sec.gov/Archives/edgar/data/883975/000149315225001133/form8-k.htm" TargetMode="External"/><Relationship Id="rId39" Type="http://schemas.openxmlformats.org/officeDocument/2006/relationships/hyperlink" Target="https://www.sec.gov/Archives/edgar/data/883975/000149315225001559/form8-k.htm" TargetMode="External"/><Relationship Id="rId40" Type="http://schemas.openxmlformats.org/officeDocument/2006/relationships/hyperlink" Target="https://www.sec.gov/Archives/edgar/data/883975/000149315225003582/form8-k.htm" TargetMode="External"/><Relationship Id="rId41" Type="http://schemas.openxmlformats.org/officeDocument/2006/relationships/hyperlink" Target="https://www.sec.gov/Archives/edgar/data/883975/000149315225003818/form8-k.htm" TargetMode="External"/><Relationship Id="rId42" Type="http://schemas.openxmlformats.org/officeDocument/2006/relationships/hyperlink" Target="https://www.sec.gov/Archives/edgar/data/883975/000149315225005410/form8-k.htm" TargetMode="External"/><Relationship Id="rId43" Type="http://schemas.openxmlformats.org/officeDocument/2006/relationships/hyperlink" Target="https://www.sec.gov/Archives/edgar/data/883975/000149315225005489/form8-k.htm" TargetMode="External"/><Relationship Id="rId44" Type="http://schemas.openxmlformats.org/officeDocument/2006/relationships/hyperlink" Target="https://www.sec.gov/Archives/edgar/data/883975/000149315225005820/form8-k.htm" TargetMode="External"/><Relationship Id="rId45" Type="http://schemas.openxmlformats.org/officeDocument/2006/relationships/hyperlink" Target="https://www.sec.gov/Archives/edgar/data/883975/000149315225005967/form8-k.htm" TargetMode="External"/><Relationship Id="rId46" Type="http://schemas.openxmlformats.org/officeDocument/2006/relationships/hyperlink" Target="https://www.sec.gov/Archives/edgar/data/883975/000149315225008140/form8-k.htm" TargetMode="External"/><Relationship Id="rId47" Type="http://schemas.openxmlformats.org/officeDocument/2006/relationships/hyperlink" Target="https://www.sec.gov/Archives/edgar/data/883975/000164117225003335/form8-k.htm" TargetMode="External"/><Relationship Id="rId48" Type="http://schemas.openxmlformats.org/officeDocument/2006/relationships/hyperlink" Target="https://www.sec.gov/Archives/edgar/data/883975/000164117225004707/form8-k.htm" TargetMode="External"/><Relationship Id="rId49" Type="http://schemas.openxmlformats.org/officeDocument/2006/relationships/hyperlink" Target="https://www.sec.gov/Archives/edgar/data/883975/000164117225005289/form8-k.htm" TargetMode="External"/><Relationship Id="rId50" Type="http://schemas.openxmlformats.org/officeDocument/2006/relationships/hyperlink" Target="https://www.sec.gov/Archives/edgar/data/883975/000164117225005780/form8-k.htm" TargetMode="External"/><Relationship Id="rId51" Type="http://schemas.openxmlformats.org/officeDocument/2006/relationships/hyperlink" Target="https://www.sec.gov/Archives/edgar/data/883975/000164117225014242/form8-k.htm" TargetMode="External"/><Relationship Id="rId52" Type="http://schemas.openxmlformats.org/officeDocument/2006/relationships/hyperlink" Target="https://www.sec.gov/Archives/edgar/data/883975/000164117225014622/form8-k.htm" TargetMode="External"/><Relationship Id="rId53" Type="http://schemas.openxmlformats.org/officeDocument/2006/relationships/hyperlink" Target="https://www.sec.gov/Archives/edgar/data/883975/000164117225015345/form8-k.htm" TargetMode="External"/><Relationship Id="rId54" Type="http://schemas.openxmlformats.org/officeDocument/2006/relationships/hyperlink" Target="https://www.sec.gov/Archives/edgar/data/883975/000164117225020076/form8-k.htm" TargetMode="External"/><Relationship Id="rId55" Type="http://schemas.openxmlformats.org/officeDocument/2006/relationships/hyperlink" Target="https://www.sec.gov/Archives/edgar/data/883975/000164117225021486/form8-k.htm" TargetMode="External"/><Relationship Id="rId56" Type="http://schemas.openxmlformats.org/officeDocument/2006/relationships/hyperlink" Target="https://www.sec.gov/Archives/edgar/data/883975/000164117225022151/form8-k.htm" TargetMode="External"/><Relationship Id="rId57" Type="http://schemas.openxmlformats.org/officeDocument/2006/relationships/hyperlink" Target="https://www.sec.gov/Archives/edgar/data/883975/000164117225024927/form8-k.htm" TargetMode="External"/><Relationship Id="rId58" Type="http://schemas.openxmlformats.org/officeDocument/2006/relationships/hyperlink" Target="https://www.sec.gov/Archives/edgar/data/883975/000164117225025390/form8-k.htm" TargetMode="External"/><Relationship Id="rId59" Type="http://schemas.openxmlformats.org/officeDocument/2006/relationships/hyperlink" Target="https://www.sec.gov/Archives/edgar/data/883975/000164117225025709/form8-k.htm" TargetMode="External"/><Relationship Id="rId60" Type="http://schemas.openxmlformats.org/officeDocument/2006/relationships/hyperlink" Target="https://www.sec.gov/Archives/edgar/data/883975/000164117225026815/form8-k.htm" TargetMode="External"/><Relationship Id="rId61" Type="http://schemas.openxmlformats.org/officeDocument/2006/relationships/hyperlink" Target="https://www.sec.gov/Archives/edgar/data/883975/000149315225013743/form8-k.htm" TargetMode="External"/><Relationship Id="rId62" Type="http://schemas.openxmlformats.org/officeDocument/2006/relationships/hyperlink" Target="https://www.sec.gov/Archives/edgar/data/883975/000149315225014263/form8-k.htm" TargetMode="External"/><Relationship Id="rId63" Type="http://schemas.openxmlformats.org/officeDocument/2006/relationships/hyperlink" Target="https://www.sec.gov/Archives/edgar/data/883975/000149315225016484/form8-k.htm" TargetMode="External"/><Relationship Id="rId64" Type="http://schemas.openxmlformats.org/officeDocument/2006/relationships/hyperlink" Target="https://www.sec.gov/Archives/edgar/data/883975/000149315225016866/form8-k.htm" TargetMode="External"/><Relationship Id="rId65" Type="http://schemas.openxmlformats.org/officeDocument/2006/relationships/hyperlink" Target="https://www.sec.gov/Archives/edgar/data/883975/000149315225017212/form8-k.htm" TargetMode="External"/><Relationship Id="rId66" Type="http://schemas.openxmlformats.org/officeDocument/2006/relationships/hyperlink" Target="https://www.sec.gov/Archives/edgar/data/883975/0001047469-98-029068.txt" TargetMode="External"/><Relationship Id="rId72" Type="http://schemas.openxmlformats.org/officeDocument/2006/relationships/hyperlink" Target="https://www.sec.gov/Archives/edgar/data/883975/000119312516682077/d161430dex21.htm" TargetMode="External"/><Relationship Id="rId73" Type="http://schemas.openxmlformats.org/officeDocument/2006/relationships/hyperlink" Target="https://www.sec.gov/Archives/edgar/data/883975/000095013407005808/f27726exv3w1.htm" TargetMode="External"/><Relationship Id="rId74" Type="http://schemas.openxmlformats.org/officeDocument/2006/relationships/hyperlink" Target="https://www.sec.gov/Archives/edgar/data/883975/000119312516779597/d296933dex31.htm" TargetMode="External"/><Relationship Id="rId75" Type="http://schemas.openxmlformats.org/officeDocument/2006/relationships/hyperlink" Target="https://www.sec.gov/Archives/edgar/data/883975/000149315218012872/ex3-1.htm" TargetMode="External"/><Relationship Id="rId76" Type="http://schemas.openxmlformats.org/officeDocument/2006/relationships/hyperlink" Target="https://www.sec.gov/Archives/edgar/data/883975/000129993316002374/exhibit1.htm" TargetMode="External"/><Relationship Id="rId77" Type="http://schemas.openxmlformats.org/officeDocument/2006/relationships/hyperlink" Target="https://www.sec.gov/Archives/edgar/data/883975/000149315218017395/ex3-1.htm" TargetMode="External"/><Relationship Id="rId78" Type="http://schemas.openxmlformats.org/officeDocument/2006/relationships/hyperlink" Target="https://www.sec.gov/Archives/edgar/data/883975/000149315219013998/ex3-1.htm" TargetMode="External"/><Relationship Id="rId79" Type="http://schemas.openxmlformats.org/officeDocument/2006/relationships/hyperlink" Target="https://www.sec.gov/Archives/edgar/data/883975/000149315221010347/ex3-1.htm" TargetMode="External"/><Relationship Id="rId80" Type="http://schemas.openxmlformats.org/officeDocument/2006/relationships/hyperlink" Target="https://www.sec.gov/Archives/edgar/data/883975/000164117225004707/ex3-1.htm" TargetMode="External"/><Relationship Id="rId81" Type="http://schemas.openxmlformats.org/officeDocument/2006/relationships/hyperlink" Target="https://www.sec.gov/Archives/edgar/data/883975/000164117225014622/ex3-1.htm" TargetMode="External"/><Relationship Id="rId82" Type="http://schemas.openxmlformats.org/officeDocument/2006/relationships/hyperlink" Target="https://www.sec.gov/Archives/edgar/data/883975/000149315220006338/ex4-10.htm" TargetMode="External"/><Relationship Id="rId83" Type="http://schemas.openxmlformats.org/officeDocument/2006/relationships/hyperlink" Target="https://www.sec.gov/Archives/edgar/data/883975/000149315222029541/ex4-4.htm" TargetMode="External"/><Relationship Id="rId84" Type="http://schemas.openxmlformats.org/officeDocument/2006/relationships/hyperlink" Target="https://www.sec.gov/Archives/edgar/data/883975/000149315223018718/ex4-1.htm" TargetMode="External"/><Relationship Id="rId85" Type="http://schemas.openxmlformats.org/officeDocument/2006/relationships/hyperlink" Target="https://www.sec.gov/Archives/edgar/data/883975/000149315223018932/ex4-2.htm" TargetMode="External"/><Relationship Id="rId86" Type="http://schemas.openxmlformats.org/officeDocument/2006/relationships/hyperlink" Target="https://www.sec.gov/Archives/edgar/data/883975/000149315223018932/ex10-2.htm" TargetMode="External"/><Relationship Id="rId87" Type="http://schemas.openxmlformats.org/officeDocument/2006/relationships/hyperlink" Target="https://www.sec.gov/Archives/edgar/data/883975/000149315223020309/ex4-2.htm" TargetMode="External"/><Relationship Id="rId88" Type="http://schemas.openxmlformats.org/officeDocument/2006/relationships/hyperlink" Target="https://www.sec.gov/Archives/edgar/data/883975/000149315223022814/ex4-2.htm" TargetMode="External"/><Relationship Id="rId89" Type="http://schemas.openxmlformats.org/officeDocument/2006/relationships/hyperlink" Target="https://www.sec.gov/Archives/edgar/data/883975/000149315224000109/ex4-2.htm" TargetMode="External"/><Relationship Id="rId90" Type="http://schemas.openxmlformats.org/officeDocument/2006/relationships/hyperlink" Target="https://www.sec.gov/Archives/edgar/data/883975/000149315224022560/ex4-2.htm" TargetMode="External"/><Relationship Id="rId91" Type="http://schemas.openxmlformats.org/officeDocument/2006/relationships/hyperlink" Target="https://www.sec.gov/Archives/edgar/data/883975/000149315225001133/ex4-2.htm" TargetMode="External"/><Relationship Id="rId92" Type="http://schemas.openxmlformats.org/officeDocument/2006/relationships/hyperlink" Target="https://www.sec.gov/Archives/edgar/data/883975/000149315225001559/ex4-2.htm" TargetMode="External"/><Relationship Id="rId93" Type="http://schemas.openxmlformats.org/officeDocument/2006/relationships/hyperlink" Target="https://www.sec.gov/Archives/edgar/data/883975/000149315225013743/ex4-1.htm" TargetMode="External"/><Relationship Id="rId94" Type="http://schemas.openxmlformats.org/officeDocument/2006/relationships/hyperlink" Target="https://www.sec.gov/Archives/edgar/data/883975/000149315225005820/ex4-2.htm" TargetMode="External"/><Relationship Id="rId95" Type="http://schemas.openxmlformats.org/officeDocument/2006/relationships/hyperlink" Target="https://www.sec.gov/Archives/edgar/data/883975/000149315225013743/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2025-10-14T05:29:39Z</dcterms:created>
  <dcterms:modified xsi:type="dcterms:W3CDTF">2025-10-14T05:29:39Z</dcterms:modified>
</cp:coreProperties>
</file>