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29,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2760" w:type="dxa"/>
            <w:vAlign w:val="bottom"/>
          </w:tcPr>
          <w:p>
            <w:pPr>
              <w:spacing w:after="0"/>
              <w:rPr>
                <w:sz w:val="24"/>
                <w:szCs w:val="24"/>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760" w:type="dxa"/>
            <w:vAlign w:val="bottom"/>
          </w:tcPr>
          <w:p>
            <w:pPr>
              <w:spacing w:after="0"/>
              <w:rPr>
                <w:sz w:val="24"/>
                <w:szCs w:val="24"/>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29, 2023, Microbot Medical Inc., a Delaware corporation (the “Company”), entered into a preferred investment option exercise inducement offer letter (the “Inducement Letter”) with certain holders (the “Holders”) of existing (i) preferred investment options to purchase 1,022,495 shares of the Company’s common stock at an exercise price of $2.20 per share, issued on October 25, 2022, as amended on May 24, 2023, (ii) preferred investment options to purchase 350,878 shares of the Company’s common stock at an exercise price of $2.075 per share, issued on June 6, 2023, and (iii) preferred investment options to purchase 312,309 shares of the Company’s common stock at an exercise price of $3.19 per share issued on June 26, 2023 (together, the “Existing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preferred investment options (the “Inducement Investment Options”) having terms as described below, to purchase up to 1,685,682 shares of the Company’s common stock (the “Inducement Investment Option Shares”). The Company expects to receive aggregate gross proceeds of approximately $2.73 million from the exercise of the Existing Investment Options by the Holders and the sale of the Inducement Investment Options, before deducting placement agent fees and other offering expenses payable by the Company.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engaged H.C. Wainwright &amp; Co., LLC (“Wainwright”) to act as its exclusive placement agent in connection with the transactions summarized above pursuant to an engagement letter, dated October 24, 2023 (the “Engagement Letter”) and will pay Wainwright a cash fee equal to 7.0% of the gross proceeds received from the exercise of the Existing Investment Options as well as a management fee equal to 1.0% of the gross proceeds from the exercise of the Existing Investment Options. The Company also agreed to pay Wainwright up to $60,000 for non-accountable expenses, and $15,950 for clearing fees. The Company also agreed to issue to Wainwright or its designees preferred investment options (the “Placement Agent Investment Options,” and such shares of common stock issuable thereunder, the “Placement Agent Investment Option Shares”) to purchase up to 84,284 shares of common stock which will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(as defined below).</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expects to use the net proceeds of these transactions for general corporate and working capital purposes. The closing of the transactions contemplated pursuant to the Inducement Letter is expected to occur on or about January 3, 2024 (the “Closing Date”), subject to satisfaction of customary closing conditions.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resale of the shares of the Company’s common stock issuable upon exercise of the Existing Investment Options are registered pursuant to an existing registration statement on Form S-1 (File No. 333-273207), as amended on July 14, 2023, and declared effective by the SEC on July 17, 2023.</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also agreed to file a registration statement on Form S-3 (or other appropriate form, including on Form S-1, if the Company is not then S-3 eligible) covering the resale of the Investment Option Shares issuable upon the exercise of the Inducement Investment Options (the “Resale Registration Statement”), within 30 days of the date of the Inducement Letter, and to use commercially reasonable efforts to have such Resale Registration Statement declared effective by the SEC within 90 days following the date of the Inducement Letter. In the Inducement Letter, the Company agreed not to issue any shares of common stock or common stock equivalents or to file any other registration statement with the SEC (in each case, subject to certain exceptions) until 10 trading days after the Closing Date. The Company also agreed not to effect or agree to effect any variable rate transaction (as defined in the Inducement Letter) until six (6) months after the Closing Date (subject to certain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b w:val="1"/>
          <w:bCs w:val="1"/>
          <w:color w:val="auto"/>
        </w:rPr>
        <w:t>Inducement Investment Option Terms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Inducement Investment Options is not complete and is subject to, and qualified in its entirety by, the provisions of the Inducement Investment Options, the form of which is filed as Exhibit 4.1 to this Current Report on Form 8-K and is incorporated herein by reference. The following description of the Inducement Investment Options is qualified in its entirety by reference to such exhibit.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Duration and Exercise Price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Inducement Investment Option will have an exercise price equal to $1.50 per share. The Inducement Investment Options will be immediately exercisable from the date of issuance until five and one-half (5.5) years following the date of issuance. The exercise price and number of shares of common stock issuable upon exercise is subject to appropriate adjustment in the event of stock dividends, stock splits, subsequent rights offerings, pro rate distributions, reorganizations, a Fundamental Transaction (as defined in the Inducement Investment Options) or similar events affecting our common stock and the exercise price.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Inducement Investment Options will be exercisable, at the option of each holder, in whole or in part, by delivering to the Company a duly executed exercise notice accompanied by payment in full for the number of shares of our common stock purchased upon such exercise (except in the case of a cashless exercise as discussed below). A holder (together with its affiliates) may not exercise any portion of such holder’s Inducement Investment Options to the extent that the holder would own more than 4.99% (or, 9.99% at the election of the holder prior to issuance) of the outstanding common stock immediately after exercise, except that upon at least 61 days’ prior notice from the holder to the Company, the holder may increase the amount of ownership of outstanding stock after exercising the holder’s Inducement Investment Options up to 9.99% of the number of shares of the Company’s common stock outstanding immediately after giving effect to the exercise, as such percentage ownership is determined in accordance with the terms of the Inducement Investment Options.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Cashless Exercise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at the time a holder exercises its Inducement Investment Options, a registration statement registering the resale of the Inducement Investment Option Shares by the holder under the Securities Act (as defined herein)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Inducement Investment Options.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Trading Market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the Inducement Investment Options, and the Company does not expect an active trading market to develop. The Company does not intend to apply to list the Inducement Investment Options on any securities exchange or other trading market. Without a trading market, the liquidity of the Inducement Investment Options will be extremely limited.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Rights as a Stockholder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Inducement Investment Options or by virtue of the holder’s ownership of shares of the Company’s common stock, such holder of Inducement Investment Options does not have the rights or privileges of a holder of the Company’s common stock, including any voting rights, until such holder exercises such holder’s Inducement Investment Options. The Inducement Investment Options will provide that the holders of the Inducement Investment Options have the right to participate in distributions or dividends paid on the Company’s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660"/>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at any time the Inducement Investment Options are outstanding, the Company, either directly or indirectly, in one or more related transactions effects a Fundamental Transaction (as defined in the Inducement Investment Options), a holder of Inducement Investment Options will be entitled to receive, upon exercise of the Inducement Investment Options, the kind and amount of securities, cash or other property that such holder would have received had they exercised the Inducement Investment Options immediately prior to the Fundamental Transaction. As an alternative, and at the Holder’s option in the event of a Fundamental Transaction, exercisable at any time concurrently with, or within 30 days after, the consummation of the Fundamental Transaction (or, if later, the date of the public announcement of the applicable fundamental transaction), the Company shall purchase the unexercised portion of the Inducement Investment Option from the holder by paying to the holder an amount of cash equal to the Black Scholes Value (as defined in the Inducement Investment Option) of the remaining unexercised portion of the Inducement Investment Option on the date of the consummation of such Fundamental Transaction.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Waivers and Amendments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Inducement Investment Options may be modified or amended, or the provisions of the Inducement Investment Options waived with the Company’s and the holder’s written consent.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forms of Inducement Letter, Inducement Investment Option and Placement Agent Investment Option are attached as Exhibits 10.1, 4.1, and 4.2, respectively. The description of the terms of each of the Inducement Letter, the Inducement Investment Option and the Placement Agent Investment Option is not intended to be complete and is qualified in its entirety by reference to such exhibits. The Inducement Letter contains customary representations, warranties and covenants by the Company which were made only for the purposes of such agreements and as of specific dates, were solely for the benefit of the parties to such agreements and may be subject to limitations agreed upon by the contracting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issued the Inducement Investment Options and the Placement Agent Investment Options pursuant to the exemption from the registration requirements of the Securities Act of 1933, as amended (the “Securities Act”), available under Section 4(a)(2). Neither the issuance of the Inducement Investment Options, the Placement Agent Investment Options nor the Inducement Investment Option Shares or the Placement Agent Investment Option Shares have been registered under the Securities Act and such securities may not be offered or sold in the United States absent registration or an exemption from registration under the Securities Act and any applicable state securities laws. The description of each of the Inducement Investment Options and the Placement Agent Investment Options under Item 1.01 of this Form 8-K is incorporated by reference herein.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any exhibit attached hereto is an offer to sell or the solicitation of an offer to buy securities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40" w:type="dxa"/>
            <w:vAlign w:val="bottom"/>
            <w:tcBorders>
              <w:top w:val="single" w:sz="8" w:color="auto"/>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Form of Inducement Investment Option</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32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Placement Agent Investment Option</w:t>
            </w:r>
          </w:p>
        </w:tc>
        <w:tc>
          <w:tcPr>
            <w:tcW w:w="688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9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Inducement Letter</w:t>
            </w:r>
          </w:p>
        </w:tc>
        <w:tc>
          <w:tcPr>
            <w:tcW w:w="818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41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of the Company, dated December 29, 2023</w:t>
            </w:r>
          </w:p>
        </w:tc>
        <w:tc>
          <w:tcPr>
            <w:tcW w:w="6020" w:type="dxa"/>
            <w:vAlign w:val="bottom"/>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9"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E PREFERRED INVESTMENT OPTION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 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January 3,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January 3, 2024</w:t>
      </w:r>
    </w:p>
    <w:p>
      <w:pPr>
        <w:spacing w:after="0" w:line="200" w:lineRule="exact"/>
        <w:rPr>
          <w:sz w:val="20"/>
          <w:szCs w:val="20"/>
          <w:color w:val="auto"/>
        </w:rPr>
      </w:pPr>
    </w:p>
    <w:p>
      <w:pPr>
        <w:sectPr>
          <w:pgSz w:w="11900" w:h="16838" w:orient="portrait"/>
          <w:cols w:equalWidth="0" w:num="2">
            <w:col w:w="4900" w:space="720"/>
            <w:col w:w="5620"/>
          </w:cols>
          <w:pgMar w:left="320" w:top="333" w:right="33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SERIES E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July 3, 2029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shares (as subject to adjustment 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 Common Stock under this Preferred Investment Option shall be equal to the Exercise Price, as defined in Section 2(b).</w:t>
      </w:r>
    </w:p>
    <w:p>
      <w:pPr>
        <w:spacing w:after="0" w:line="1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Preferred Investment Option, the following terms have the meanings indicated in this Section 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Preferred Investment Options then outstanding and reasonably acceptable to the Company, the fees and expenses of which shall be paid by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means that certain letter agreement between the initial Holder hereof and the Company, dated as of December 29, 2023, pursuant to which such initial Holder agreed to exercise one or more preferred investment options and the Company agreed to issue to the initial Holder this Preferred Investment Option.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Oprion</w:t>
      </w:r>
      <w:r>
        <w:rPr>
          <w:rFonts w:ascii="Times New Roman" w:cs="Times New Roman" w:eastAsia="Times New Roman" w:hAnsi="Times New Roman"/>
          <w:sz w:val="18"/>
          <w:szCs w:val="18"/>
          <w:color w:val="auto"/>
        </w:rPr>
        <w:t>” means this Preferred Investment Option and other Preferred Investment Options issued by the Company pursuant to the Letter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with offices located at Meidinger Tower, 462 South 4th Street, Louisville, KY 40202, and any successor transfer agent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Preferred Investment Options then outstanding and reasonably acceptable to the Company, the fees and expenses of which shall be paid by the Company.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5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Preferred Investment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ind w:left="-460" w:right="20" w:firstLine="644"/>
        <w:spacing w:after="0" w:line="286" w:lineRule="auto"/>
        <w:tabs>
          <w:tab w:leader="none" w:pos="39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$1.50</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ind w:left="620" w:hanging="436"/>
        <w:spacing w:after="0" w:line="253" w:lineRule="auto"/>
        <w:tabs>
          <w:tab w:leader="none" w:pos="4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57" w:right="339"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8"/>
          <w:szCs w:val="18"/>
          <w:color w:val="auto"/>
        </w:rPr>
        <w:t>(B) = the Exercise Price of this Preferred Investment Option, as adjusted hereunder; and</w:t>
      </w:r>
    </w:p>
    <w:p>
      <w:pPr>
        <w:spacing w:after="0" w:line="225" w:lineRule="exact"/>
        <w:rPr>
          <w:sz w:val="20"/>
          <w:szCs w:val="20"/>
          <w:color w:val="auto"/>
        </w:rPr>
      </w:pPr>
    </w:p>
    <w:p>
      <w:pPr>
        <w:ind w:left="1080" w:hanging="436"/>
        <w:spacing w:after="0" w:line="266" w:lineRule="auto"/>
        <w:tabs>
          <w:tab w:leader="none" w:pos="92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holding period of the Preferred Investment Option Shares being issued may be tacked on to the holding period of this Preferred Investment Option. The Company agrees not to take any position contrary to this Section 2(c).</w:t>
      </w:r>
    </w:p>
    <w:p>
      <w:pPr>
        <w:spacing w:after="0" w:line="176" w:lineRule="exact"/>
        <w:rPr>
          <w:sz w:val="20"/>
          <w:szCs w:val="20"/>
          <w:color w:val="auto"/>
        </w:rPr>
      </w:pPr>
    </w:p>
    <w:p>
      <w:pPr>
        <w:ind w:left="840" w:hanging="196"/>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332"/>
        <w:spacing w:after="0" w:line="251"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Preferred Investment Option Shares subject to such notice(s) by 4:00 p.m. (New York City time) on the Initial Exercise Date and the Initial Exercise Date shall be the Preferred Investment Option Share Delivery Date for purposes hereunder, provided that payment of the aggregate Exercise Price (other than in the case of a cashless exercise) is received by such Preferred Investment Option Share Delivery Date.</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 w:name="page11"/>
    <w:bookmarkEnd w:id="10"/>
    <w:p>
      <w:pPr>
        <w:jc w:val="both"/>
        <w:ind w:left="840" w:firstLine="640"/>
        <w:spacing w:after="0" w:line="256" w:lineRule="auto"/>
        <w:tabs>
          <w:tab w:leader="none" w:pos="167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3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0"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1" w:name="page12"/>
    <w:bookmarkEnd w:id="11"/>
    <w:p>
      <w:pPr>
        <w:jc w:val="both"/>
        <w:ind w:left="1300" w:firstLine="640"/>
        <w:spacing w:after="0" w:line="253" w:lineRule="auto"/>
        <w:tabs>
          <w:tab w:leader="none" w:pos="217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rFonts w:ascii="Times New Roman" w:cs="Times New Roman" w:eastAsia="Times New Roman" w:hAnsi="Times New Roman"/>
          <w:sz w:val="18"/>
          <w:szCs w:val="18"/>
          <w:color w:val="auto"/>
        </w:rPr>
      </w:pPr>
    </w:p>
    <w:p>
      <w:pPr>
        <w:ind w:left="1300" w:firstLine="640"/>
        <w:spacing w:after="0" w:line="282" w:lineRule="auto"/>
        <w:tabs>
          <w:tab w:leader="none" w:pos="222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83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3" w:name="page14"/>
    <w:bookmarkEnd w:id="13"/>
    <w:p>
      <w:pPr>
        <w:jc w:val="both"/>
        <w:ind w:left="4" w:firstLine="644"/>
        <w:spacing w:after="0" w:line="266" w:lineRule="auto"/>
        <w:tabs>
          <w:tab w:leader="none" w:pos="84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Preferred Investment Option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exercised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w:t>
      </w:r>
    </w:p>
    <w:p>
      <w:pPr>
        <w:spacing w:after="0" w:line="200" w:lineRule="exact"/>
        <w:rPr>
          <w:rFonts w:ascii="Times New Roman" w:cs="Times New Roman" w:eastAsia="Times New Roman" w:hAnsi="Times New Roman"/>
          <w:sz w:val="17"/>
          <w:szCs w:val="17"/>
          <w:color w:val="auto"/>
        </w:rPr>
      </w:pPr>
    </w:p>
    <w:p>
      <w:pPr>
        <w:spacing w:after="0" w:line="221"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2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and the Letter Agreement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Letter Agreement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Letter Agreement with the same effect as if the Company and such Successor Entity or Successor Entities, jointly and severally, had been named as the Company herein.</w:t>
      </w:r>
    </w:p>
    <w:p>
      <w:pPr>
        <w:spacing w:after="0" w:line="18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933" w:gutter="0" w:footer="0" w:header="0"/>
        </w:sectPr>
      </w:pPr>
    </w:p>
    <w:bookmarkStart w:id="14" w:name="page15"/>
    <w:bookmarkEnd w:id="14"/>
    <w:p>
      <w:pPr>
        <w:jc w:val="both"/>
        <w:ind w:left="-460" w:firstLine="644"/>
        <w:spacing w:after="0" w:line="266" w:lineRule="auto"/>
        <w:tabs>
          <w:tab w:leader="none" w:pos="3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0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rFonts w:ascii="Times New Roman" w:cs="Times New Roman" w:eastAsia="Times New Roman" w:hAnsi="Times New Roman"/>
          <w:sz w:val="18"/>
          <w:szCs w:val="18"/>
          <w:color w:val="auto"/>
        </w:rPr>
      </w:pPr>
    </w:p>
    <w:p>
      <w:pPr>
        <w:jc w:val="both"/>
        <w:ind w:firstLine="644"/>
        <w:spacing w:after="0" w:line="254" w:lineRule="auto"/>
        <w:tabs>
          <w:tab w:leader="none" w:pos="8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5" w:lineRule="auto"/>
        <w:tabs>
          <w:tab w:leader="none" w:pos="8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provides to the Company an opinion of counsel in form and substance reasonably satisfactory to the Company to the effect that the transfer of this Preferred Investment Option does not require registration under the Securities Act.</w:t>
      </w:r>
    </w:p>
    <w:p>
      <w:pPr>
        <w:spacing w:after="0" w:line="188"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7" w:name="page18"/>
    <w:bookmarkEnd w:id="17"/>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left="-460" w:firstLine="644"/>
        <w:spacing w:after="0" w:line="252" w:lineRule="auto"/>
        <w:tabs>
          <w:tab w:leader="none" w:pos="3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Preferred Investment Option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Preferred Investment Option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Preferred Investment Option,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8" w:name="page19"/>
    <w:bookmarkEnd w:id="18"/>
    <w:p>
      <w:pPr>
        <w:jc w:val="both"/>
        <w:ind w:left="-460" w:firstLine="644"/>
        <w:spacing w:after="0" w:line="266" w:lineRule="auto"/>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288 Grove Street, Suite 388, Braintree, MA 02184, Attention: ___________, email address: ___________,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9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9" w:name="page20"/>
    <w:bookmarkEnd w:id="19"/>
    <w:p>
      <w:pPr>
        <w:jc w:val="both"/>
        <w:ind w:firstLine="644"/>
        <w:spacing w:after="0" w:line="261" w:lineRule="auto"/>
        <w:tabs>
          <w:tab w:leader="none" w:pos="8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8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20" w:name="page21"/>
    <w:bookmarkEnd w:id="20"/>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sz w:val="20"/>
          <w:szCs w:val="20"/>
          <w:color w:val="auto"/>
        </w:rPr>
      </w:pPr>
    </w:p>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PREFERRED INVESTMENT OPTION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 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January 3,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January 3, 2024</w:t>
      </w:r>
    </w:p>
    <w:p>
      <w:pPr>
        <w:spacing w:after="0" w:line="200" w:lineRule="exact"/>
        <w:rPr>
          <w:sz w:val="20"/>
          <w:szCs w:val="20"/>
          <w:color w:val="auto"/>
        </w:rPr>
      </w:pPr>
    </w:p>
    <w:p>
      <w:pPr>
        <w:sectPr>
          <w:pgSz w:w="11900" w:h="16838" w:orient="portrait"/>
          <w:cols w:equalWidth="0" w:num="2">
            <w:col w:w="4900" w:space="720"/>
            <w:col w:w="5620"/>
          </w:cols>
          <w:pgMar w:left="320" w:top="333" w:right="33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SERIES E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July 3, 2029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shares (as subject to adjustment 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 Common Stock under this Preferred Investment Option shall be equal to the Exercise Price, as defined in Section 2(b).This Preferred Investment Option is issued pursuant to that certain engagement letter, dated as of October 24, 2023, by and between the Company and H.C. Wainwright &amp; Co., LLC (the “</w:t>
      </w:r>
      <w:r>
        <w:rPr>
          <w:rFonts w:ascii="Times New Roman" w:cs="Times New Roman" w:eastAsia="Times New Roman" w:hAnsi="Times New Roman"/>
          <w:sz w:val="18"/>
          <w:szCs w:val="18"/>
          <w:u w:val="single" w:color="auto"/>
          <w:color w:val="auto"/>
        </w:rPr>
        <w:t>Engagement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Preferred Investment Option, the following terms have the meanings indicated in this Section 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Preferred Investment Options then outstanding and reasonably acceptable to the Company, the fees and expenses of which shall be paid by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Oprion</w:t>
      </w:r>
      <w:r>
        <w:rPr>
          <w:rFonts w:ascii="Times New Roman" w:cs="Times New Roman" w:eastAsia="Times New Roman" w:hAnsi="Times New Roman"/>
          <w:sz w:val="18"/>
          <w:szCs w:val="18"/>
          <w:color w:val="auto"/>
        </w:rPr>
        <w:t>” means this Preferred Investment Option and other Preferred Investment Options issued by the Company pursuant to the Engagement Letter.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with offices located at Meidinger Tower, 462 South 4th Street, Louisville, KY 40202, and any successor transfer agent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Preferred Investment Options then outstanding and reasonably acceptable to the Company, the fees and expenses of which shall be paid by the Company.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5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Preferred Investment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ind w:left="-460" w:firstLine="644"/>
        <w:spacing w:after="0" w:line="286" w:lineRule="auto"/>
        <w:tabs>
          <w:tab w:leader="none" w:pos="3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7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ind w:left="620" w:hanging="436"/>
        <w:spacing w:after="0" w:line="253" w:lineRule="auto"/>
        <w:tabs>
          <w:tab w:leader="none" w:pos="4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57" w:right="339"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8"/>
          <w:szCs w:val="18"/>
          <w:color w:val="auto"/>
        </w:rPr>
        <w:t>(B) = the Exercise Price of this Preferred Investment Option, as adjusted hereunder; and</w:t>
      </w:r>
    </w:p>
    <w:p>
      <w:pPr>
        <w:spacing w:after="0" w:line="225" w:lineRule="exact"/>
        <w:rPr>
          <w:sz w:val="20"/>
          <w:szCs w:val="20"/>
          <w:color w:val="auto"/>
        </w:rPr>
      </w:pPr>
    </w:p>
    <w:p>
      <w:pPr>
        <w:ind w:left="1080" w:hanging="436"/>
        <w:spacing w:after="0" w:line="266" w:lineRule="auto"/>
        <w:tabs>
          <w:tab w:leader="none" w:pos="9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holding period of the Preferred Investment Option Shares being issued may be tacked on to the holding period of this Preferred Investment Option. The Company agrees not to take any position contrary to this Section 2(c).</w:t>
      </w:r>
    </w:p>
    <w:p>
      <w:pPr>
        <w:spacing w:after="0" w:line="176" w:lineRule="exact"/>
        <w:rPr>
          <w:sz w:val="20"/>
          <w:szCs w:val="20"/>
          <w:color w:val="auto"/>
        </w:rPr>
      </w:pPr>
    </w:p>
    <w:p>
      <w:pPr>
        <w:ind w:left="840" w:hanging="196"/>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332"/>
        <w:spacing w:after="0" w:line="251"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Preferred Investment Option Shares subject to such notice(s) by 4:00 p.m. (New York City time) on the Initial Exercise Date and the Initial Exercise Date shall be the Preferred Investment Option Share Delivery Date for purposes hereunder, provided that payment of the aggregate Exercise Price (other than in the case of a cashless exercise) is received by such Preferred Investment Option Share Delivery Date.</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8" w:name="page29"/>
    <w:bookmarkEnd w:id="28"/>
    <w:p>
      <w:pPr>
        <w:jc w:val="both"/>
        <w:ind w:left="840" w:firstLine="640"/>
        <w:spacing w:after="0" w:line="256" w:lineRule="auto"/>
        <w:tabs>
          <w:tab w:leader="none" w:pos="167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3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0"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9" w:name="page30"/>
    <w:bookmarkEnd w:id="29"/>
    <w:p>
      <w:pPr>
        <w:jc w:val="both"/>
        <w:ind w:left="1300" w:firstLine="640"/>
        <w:spacing w:after="0" w:line="253" w:lineRule="auto"/>
        <w:tabs>
          <w:tab w:leader="none" w:pos="217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rFonts w:ascii="Times New Roman" w:cs="Times New Roman" w:eastAsia="Times New Roman" w:hAnsi="Times New Roman"/>
          <w:sz w:val="18"/>
          <w:szCs w:val="18"/>
          <w:color w:val="auto"/>
        </w:rPr>
      </w:pPr>
    </w:p>
    <w:p>
      <w:pPr>
        <w:ind w:left="1300" w:firstLine="640"/>
        <w:spacing w:after="0" w:line="282" w:lineRule="auto"/>
        <w:tabs>
          <w:tab w:leader="none" w:pos="222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1" w:lineRule="exact"/>
        <w:rPr>
          <w:rFonts w:ascii="Times New Roman" w:cs="Times New Roman" w:eastAsia="Times New Roman" w:hAnsi="Times New Roman"/>
          <w:sz w:val="18"/>
          <w:szCs w:val="18"/>
          <w:color w:val="auto"/>
        </w:rPr>
      </w:pPr>
    </w:p>
    <w:p>
      <w:pPr>
        <w:jc w:val="both"/>
        <w:ind w:firstLine="644"/>
        <w:spacing w:after="0" w:line="251" w:lineRule="auto"/>
        <w:tabs>
          <w:tab w:leader="none" w:pos="8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1" w:name="page32"/>
    <w:bookmarkEnd w:id="31"/>
    <w:p>
      <w:pPr>
        <w:jc w:val="both"/>
        <w:ind w:left="4" w:firstLine="644"/>
        <w:spacing w:after="0" w:line="266" w:lineRule="auto"/>
        <w:tabs>
          <w:tab w:leader="none" w:pos="84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Preferred Investment Option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exercised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w:t>
      </w:r>
    </w:p>
    <w:p>
      <w:pPr>
        <w:spacing w:after="0" w:line="200" w:lineRule="exact"/>
        <w:rPr>
          <w:rFonts w:ascii="Times New Roman" w:cs="Times New Roman" w:eastAsia="Times New Roman" w:hAnsi="Times New Roman"/>
          <w:sz w:val="17"/>
          <w:szCs w:val="17"/>
          <w:color w:val="auto"/>
        </w:rPr>
      </w:pPr>
    </w:p>
    <w:p>
      <w:pPr>
        <w:spacing w:after="0" w:line="221"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2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with the same effect as if the Company and such Successor Entity or Successor Entities, jointly and severally, had been named as the Company herein.</w:t>
      </w:r>
    </w:p>
    <w:p>
      <w:pPr>
        <w:spacing w:after="0" w:line="18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149" w:gutter="0" w:footer="0" w:header="0"/>
        </w:sectPr>
      </w:pPr>
    </w:p>
    <w:bookmarkStart w:id="32" w:name="page33"/>
    <w:bookmarkEnd w:id="32"/>
    <w:p>
      <w:pPr>
        <w:jc w:val="both"/>
        <w:ind w:left="-460" w:firstLine="644"/>
        <w:spacing w:after="0" w:line="266" w:lineRule="auto"/>
        <w:tabs>
          <w:tab w:leader="none" w:pos="3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0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rFonts w:ascii="Times New Roman" w:cs="Times New Roman" w:eastAsia="Times New Roman" w:hAnsi="Times New Roman"/>
          <w:sz w:val="18"/>
          <w:szCs w:val="18"/>
          <w:color w:val="auto"/>
        </w:rPr>
      </w:pPr>
    </w:p>
    <w:p>
      <w:pPr>
        <w:jc w:val="both"/>
        <w:ind w:firstLine="644"/>
        <w:spacing w:after="0" w:line="254" w:lineRule="auto"/>
        <w:tabs>
          <w:tab w:leader="none" w:pos="8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5" w:lineRule="auto"/>
        <w:tabs>
          <w:tab w:leader="none" w:pos="8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provides to the Company an opinion of counsel in form and substance reasonably satisfactory to the Company to the effect that the transfer of this Preferred Investment Option does not require registration under the Securities Act.</w:t>
      </w:r>
    </w:p>
    <w:p>
      <w:pPr>
        <w:spacing w:after="0" w:line="188"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5" w:name="page36"/>
    <w:bookmarkEnd w:id="35"/>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left="-460" w:firstLine="644"/>
        <w:spacing w:after="0" w:line="252" w:lineRule="auto"/>
        <w:tabs>
          <w:tab w:leader="none" w:pos="3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Preferred Investment Option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Preferred Investment Option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Preferred Investment Option,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36" w:name="page37"/>
    <w:bookmarkEnd w:id="36"/>
    <w:p>
      <w:pPr>
        <w:jc w:val="both"/>
        <w:ind w:left="-460" w:firstLine="644"/>
        <w:spacing w:after="0" w:line="266" w:lineRule="auto"/>
        <w:tabs>
          <w:tab w:leader="none" w:pos="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288 Grove Street, Suite 388, Braintree, MA 02184, Attention: ___________, email address: ___________,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9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37" w:name="page38"/>
    <w:bookmarkEnd w:id="37"/>
    <w:p>
      <w:pPr>
        <w:jc w:val="both"/>
        <w:ind w:firstLine="644"/>
        <w:spacing w:after="0" w:line="261" w:lineRule="auto"/>
        <w:tabs>
          <w:tab w:leader="none" w:pos="87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87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8" w:name="page39"/>
    <w:bookmarkEnd w:id="38"/>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sz w:val="20"/>
          <w:szCs w:val="20"/>
          <w:color w:val="auto"/>
        </w:rPr>
      </w:pPr>
    </w:p>
    <w:p>
      <w:pPr>
        <w:ind w:left="1560" w:hanging="256"/>
        <w:spacing w:after="0"/>
        <w:tabs>
          <w:tab w:leader="none" w:pos="1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29,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Preferred Investment Options Issued in October 2022 and June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Inducement Offer to Exercise Preferred Investment Options Issued in October 2022 and June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Holder:</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Microbot Medical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pleased to offer to you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or similar terminology) the opportunity to receive (a) new preferred investment options to purchase shares of the Company’s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(b) a reduction in the Exercise Price (as defined in the respective Existing Preferred Investment Options) of the preferred investment options to purchase an aggregate of [___] shares of Common Stock held by you in consideration for exercising for cash all of the Company’s [(i) Series A preferred investment options to purchase an aggregate of [___] shares of Common Stock, issued to you on October 25, 2022, as amended on May 24, 2023 (at an amended exercise price of $2.20 per share), [(ii) Series C preferred investment options to purchase an aggregate of [___] shares of Common Stock, issued to you on June 6, 2023 (at an original exercise price of $2.075 per share) and [(iii) Series D preferred investment options to purchase an aggregate of [___] shares of Common Stock, issued to you on June 26, 2023 (at an original exercise price of $3.19 per share) (clauses (i) through (iii) collectively, the “</w:t>
      </w:r>
      <w:r>
        <w:rPr>
          <w:rFonts w:ascii="Times New Roman" w:cs="Times New Roman" w:eastAsia="Times New Roman" w:hAnsi="Times New Roman"/>
          <w:sz w:val="18"/>
          <w:szCs w:val="18"/>
          <w:u w:val="single" w:color="auto"/>
          <w:color w:val="auto"/>
        </w:rPr>
        <w:t>Existing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Investment Options</w:t>
      </w:r>
      <w:r>
        <w:rPr>
          <w:rFonts w:ascii="Times New Roman" w:cs="Times New Roman" w:eastAsia="Times New Roman" w:hAnsi="Times New Roman"/>
          <w:sz w:val="18"/>
          <w:szCs w:val="18"/>
          <w:color w:val="auto"/>
        </w:rPr>
        <w:t>”)], as set forth on the signature page hereto. The issuance and/or resale of the shares of Common Stock underlying the Existing Preferred Investment Options (the “</w:t>
      </w:r>
      <w:r>
        <w:rPr>
          <w:rFonts w:ascii="Times New Roman" w:cs="Times New Roman" w:eastAsia="Times New Roman" w:hAnsi="Times New Roman"/>
          <w:sz w:val="18"/>
          <w:szCs w:val="18"/>
          <w:u w:val="single" w:color="auto"/>
          <w:color w:val="auto"/>
        </w:rPr>
        <w:t>Existing Preferred Investment Option Shares</w:t>
      </w:r>
      <w:r>
        <w:rPr>
          <w:rFonts w:ascii="Times New Roman" w:cs="Times New Roman" w:eastAsia="Times New Roman" w:hAnsi="Times New Roman"/>
          <w:sz w:val="18"/>
          <w:szCs w:val="18"/>
          <w:color w:val="auto"/>
        </w:rPr>
        <w:t>”) have been registered pursuant to the registration statement on Form S-1 (File No. 333-273207)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is currently effective and, upon exercise of the Existing Preferred Investment Options pursuant to this letter agreement, will be effective for the issuance and resale of the Existing Preferred Investment Option Shares, as applicable. Capitalized terms not otherwise defined herein shall have the meanings set forth in the New Preferred Investment Options (as defined herein).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desires to reduce the Exercise Price (as defined in the respective Existing Preferred Investment Options) of the Existing Preferred Investment Options to $1.62 per share (the “</w:t>
      </w:r>
      <w:r>
        <w:rPr>
          <w:rFonts w:ascii="Times New Roman" w:cs="Times New Roman" w:eastAsia="Times New Roman" w:hAnsi="Times New Roman"/>
          <w:sz w:val="18"/>
          <w:szCs w:val="18"/>
          <w:u w:val="single" w:color="auto"/>
          <w:color w:val="auto"/>
        </w:rPr>
        <w:t>Reduced Exercise Price</w:t>
      </w:r>
      <w:r>
        <w:rPr>
          <w:rFonts w:ascii="Times New Roman" w:cs="Times New Roman" w:eastAsia="Times New Roman" w:hAnsi="Times New Roman"/>
          <w:sz w:val="18"/>
          <w:szCs w:val="18"/>
          <w:color w:val="auto"/>
        </w:rPr>
        <w:t>”). In consideration for cash exercising in full all of the Existing Preferred Investment Options held by Holder as set forth on the Holder’s signature page hereto (the “</w:t>
      </w:r>
      <w:r>
        <w:rPr>
          <w:rFonts w:ascii="Times New Roman" w:cs="Times New Roman" w:eastAsia="Times New Roman" w:hAnsi="Times New Roman"/>
          <w:sz w:val="18"/>
          <w:szCs w:val="18"/>
          <w:u w:val="single" w:color="auto"/>
          <w:color w:val="auto"/>
        </w:rPr>
        <w:t>Warrant Exercise</w:t>
      </w:r>
      <w:r>
        <w:rPr>
          <w:rFonts w:ascii="Times New Roman" w:cs="Times New Roman" w:eastAsia="Times New Roman" w:hAnsi="Times New Roman"/>
          <w:sz w:val="18"/>
          <w:szCs w:val="18"/>
          <w:color w:val="auto"/>
        </w:rPr>
        <w:t>”) at the Reduced Exercise Price on or before the Execution Time (as defined below), the Company hereby offers to sell and issue you:</w:t>
      </w:r>
    </w:p>
    <w:p>
      <w:pPr>
        <w:spacing w:after="0" w:line="180" w:lineRule="exact"/>
        <w:rPr>
          <w:sz w:val="20"/>
          <w:szCs w:val="20"/>
          <w:color w:val="auto"/>
        </w:rPr>
      </w:pPr>
    </w:p>
    <w:p>
      <w:pPr>
        <w:jc w:val="both"/>
        <w:ind w:left="340" w:firstLine="640"/>
        <w:spacing w:after="0" w:line="256" w:lineRule="auto"/>
        <w:tabs>
          <w:tab w:leader="none" w:pos="12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series E preferred investment options (the “</w:t>
      </w:r>
      <w:r>
        <w:rPr>
          <w:rFonts w:ascii="Times New Roman" w:cs="Times New Roman" w:eastAsia="Times New Roman" w:hAnsi="Times New Roman"/>
          <w:sz w:val="18"/>
          <w:szCs w:val="18"/>
          <w:u w:val="single" w:color="auto"/>
          <w:color w:val="auto"/>
        </w:rPr>
        <w:t>New Series E Preferred Investment Options</w:t>
      </w:r>
      <w:r>
        <w:rPr>
          <w:rFonts w:ascii="Times New Roman" w:cs="Times New Roman" w:eastAsia="Times New Roman" w:hAnsi="Times New Roman"/>
          <w:sz w:val="18"/>
          <w:szCs w:val="18"/>
          <w:color w:val="auto"/>
        </w:rPr>
        <w:t>”) pursuant to an unregistered transaction in compliance with Section 4(a)(2) of the Securities Act of 1933, as amended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to purchase up to [____] shares of Common Stock (the “</w:t>
      </w:r>
      <w:r>
        <w:rPr>
          <w:rFonts w:ascii="Times New Roman" w:cs="Times New Roman" w:eastAsia="Times New Roman" w:hAnsi="Times New Roman"/>
          <w:sz w:val="18"/>
          <w:szCs w:val="18"/>
          <w:u w:val="single" w:color="auto"/>
          <w:color w:val="auto"/>
        </w:rPr>
        <w:t>New Preferred Investment Option Shares</w:t>
      </w:r>
      <w:r>
        <w:rPr>
          <w:rFonts w:ascii="Times New Roman" w:cs="Times New Roman" w:eastAsia="Times New Roman" w:hAnsi="Times New Roman"/>
          <w:sz w:val="18"/>
          <w:szCs w:val="18"/>
          <w:color w:val="auto"/>
        </w:rPr>
        <w:t xml:space="preserve">”), which New Series E Preferred Investment Options shall have an exercise price per share equal to $1.50, subject to adjustment as provided in the New Preferred Investment Options, will be exercisable at any time on or after the date of issuance and have a term of exercise of five and one-half (5.5) years from the date of issuance, which New Preferred Investment Options shall be substantially in the form as set forth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both"/>
        <w:ind w:left="340" w:firstLine="640"/>
        <w:spacing w:after="0" w:line="252" w:lineRule="auto"/>
        <w:tabs>
          <w:tab w:leader="none" w:pos="125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Preferred Investment Option certificate(s) will be delivered at Closing (as defined below), and such New Preferred Investment Options, together with any underlying shares of Common Stock issued upon exercise of the New Preferred Investment Options, will, unless and until their sales are registered under the Securities Act, contain customary restrictive legends and other language typical for a restricted warrant and restricted shares. Notwithstanding anything herein to the contrary, in the event that any Warrant Exercise would otherwise cause the Holder to exceed the beneficial ownership limitations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set forth in Section 2(e) of the Existing Preferred Investment Options (or, if applicable and at the Holder’s election, 9.99%), the Company shall only issue such number of Existing Preferred Investment Option Shares to the Holder that would not cause the Holder to exceed the maximum number of Existing Preferred Investment Option Shares permitted thereunder, as directed by the Holder, with the balance to be held in abeyance until notice from the Holder that the balance (or portion thereof) may be issued in compliance with such limitations, which abeyance shall be evidenced through the Existing Preferred Investment Options which shall be deemed prepaid thereafter (including the cash payment in full of the exercise price), and exercised pursuant to a Notice of Exercise in the Existing Preferred Investment Options (provided no additional exercise price shall be due and payable). The parties hereby agree that the Beneficial Ownership Limitation for purposes of the Existing Preferred Investment Options is as set forth on the Holder’s signature page hereto. For the avoidance of doubt, the determination of which portion of the Existing Preferred Investment Option is exercisable shall be in the sole discretion of the Holder, and the submission of a Notice of Exercise shall be deemed to be the Holder’s determination of whether an Existing Preferred Investment Option is exercisable (in relation to other securities owned by the Holder together with any Affiliates and Attribution Parties (as such terms are defined in the Existing Preferred Investment Options) and of which portion of an Existing Preferred Investment Option is exercisable, in each case subject to the Beneficial Ownership Limitation, and the Company shall have no obligation to verify or confirm the accuracy of such determination and shall have no liability for exercises of an Existing Preferred Investment Option that are in non-compliance with the Beneficial Ownership Limitation.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Expressly subject to the paragraph immediately following this paragraph below, Holder may accept this offer by signing this letter agreement below, with such acceptance constituting Holder’s exercise in full of the Existing Preferred Investment Options for an aggregate exercise price set forth on the Holder’s signature page hereto (the “</w:t>
      </w:r>
      <w:r>
        <w:rPr>
          <w:rFonts w:ascii="Times New Roman" w:cs="Times New Roman" w:eastAsia="Times New Roman" w:hAnsi="Times New Roman"/>
          <w:sz w:val="18"/>
          <w:szCs w:val="18"/>
          <w:u w:val="single" w:color="auto"/>
          <w:color w:val="auto"/>
        </w:rPr>
        <w:t>Warrant Exercise Price</w:t>
      </w:r>
      <w:r>
        <w:rPr>
          <w:rFonts w:ascii="Times New Roman" w:cs="Times New Roman" w:eastAsia="Times New Roman" w:hAnsi="Times New Roman"/>
          <w:sz w:val="18"/>
          <w:szCs w:val="18"/>
          <w:color w:val="auto"/>
        </w:rPr>
        <w:t>”) on or before 12:30 a.m., Eastern Time, on December 29, 2023 (the “</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Additionally, the Company agrees to the representations, warranties and covenants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Holder represents and warrants that, as of the date hereof it is, and on each date on which it exercises any New Preferred Investment Options it will be, an “accredited investor” as defined in Rule 501 of Regulation D promulgated under the Securities Act, and agrees that the New Preferred Investment Options will contain restrictive legends when issued, and neither the New Preferred Investment Options nor the shares of Common Stock issuable upon exercise of the New Preferred Investment Options will be registered under the Securities Act, except as provided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Also, Holder represents and warrants that it is acquiring the New Preferred Investment Options as principal for its own account and has no direct or indirect arrangement or understandings with any other persons to distribute or regarding the distribution of the New Preferred Investment Options or the New Preferred Investment Option Shares (this representation is not limiting Holder’s right to sell the New Preferred Investment Option Shares pursuant to an effective registration statement under the Securities Act or otherwise in compliance with applicable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 understands that the issuance of the New Preferred Investment Options and the New Preferred Investment Option Shares are not, and may never be, registered under the Securities Act, or the securities laws of any state and, accordingly, each certificate, if any, representing such securities shall bear a legend substantially similar to the following:</w:t>
      </w:r>
    </w:p>
    <w:p>
      <w:pPr>
        <w:spacing w:after="0" w:line="176"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color w:val="auto"/>
        </w:rPr>
        <w:t>“THE OFFER AND SALE OF THIS SECURITY HAS NOT BEEN REGISTERED WITH THE SECURITIES AND EXCHANGE COMMISSION OR THE SECURITIES COMMISSION OF ANY STATE IN RELIANCE UPON AN EXEMPTION FROM REGISTRATION UNDER THE SECURITIES ACT OF 1933, AS AMENDED (THE “SECURITIES ACT”), AND, ACCORDINGLY, THIS SECURITY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Certificates evidencing the New Preferred Investment Option Shares shall not contain any legend (including the legend set forth above), (i) while a registration statement covering the resale of such New Preferred Investment Option Shares is effective under the Securities Act, (ii) following any sale of such New Preferred Investment Option Shares pursuant to Rule 144 under the Securities Act, (iii) if such New Preferred Investment Option Shares are eligible for sale under Rule 144 (assuming cashless exercise of the New Preferred Investment Options), without the requirement for the Company to be in compliance with the current public information required under Rule 144 as to such New Preferred Investment Option Shares and without volume or manner-of-sale restrictions, (iv) if such New Preferred Investment Option Shares may be sold under Rule 144 (assuming cashless exercise of the New Preferred Investment Options) and the Company is then in compliance with the current public information required under Rule 144 as to such New Preferred Investment Option Shares, or (v) if such legend is not required under applicable requirements of the Securities Act (including judicial interpretations and pronouncements issued by the staff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and the earliest of clauses (i) through (v), the “</w:t>
      </w:r>
      <w:r>
        <w:rPr>
          <w:rFonts w:ascii="Times New Roman" w:cs="Times New Roman" w:eastAsia="Times New Roman" w:hAnsi="Times New Roman"/>
          <w:sz w:val="18"/>
          <w:szCs w:val="18"/>
          <w:u w:val="single" w:color="auto"/>
          <w:color w:val="auto"/>
        </w:rPr>
        <w:t>Delegend Date</w:t>
      </w:r>
      <w:r>
        <w:rPr>
          <w:rFonts w:ascii="Times New Roman" w:cs="Times New Roman" w:eastAsia="Times New Roman" w:hAnsi="Times New Roman"/>
          <w:sz w:val="18"/>
          <w:szCs w:val="18"/>
          <w:color w:val="auto"/>
        </w:rPr>
        <w:t>”)). The Company shall cause its counsel to issue a legal opinion to the Transfer Agent promptly after the Delegend Date if required by the Company and/or the Transfer Agent to effect the removal of the legend hereunder, or at the request of the Holder, which opinion shall be in form and substance reasonably acceptable to the Holder. From and after the Delegend Date, such New Preferred Investment Option Shares shall be issuable free of all legends. The Company agrees that following the Delegend Date or at such time as such legend is no longer required under this Section, it will, no later than two (2) Trading Days following the delivery by the Holder to the Company or the Transfer Agent of a certificate representing the New Preferred Investment Option Shares issued with a restrictive legend, along with such certificate(s) or other documentation reasonably requested by the Company’s counsel and/or the Transfer Agent (within one (1) Trading Day following the delivery by the Holder to the Company or the Transfer Agent of a certificate representing the New Preferred Investment Option Shares, which request shall include the form of representation letter requested by this sentence), including a customary representation letter, in form and substance reasonably acceptable to the Company’s counsel and/or the Transfer Agent (such second</w:t>
      </w:r>
    </w:p>
    <w:p>
      <w:pPr>
        <w:spacing w:after="0" w:line="10"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the Holder a certificate representing such shares that is free from all restrictive and other legends or, at the request of the Holder shall credit the account of the Holder’s prime broker with the Depository Trust Company System as directed by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Holder’s other available remedies, the Company shall pay to a Holder, in cash, (i) as partial liquidated damages and not as a penalty, for each $1,000 of New Preferred Investment Option Shares (based on the VWAP of the Common Stock on the date such New Preferred Investment Option Shares are submitted to the Transfer Agent) delivered for removal of the restrictive legend,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the Holder by the Legend Removal Date a certificate representing the New Preferred Investment Option Shares that is free from all restrictive and other legends and (b) if after the Legend Removal Date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that the Holder anticipated receiving from the Company without any restrictive legend, then, an amount equal to the excess of the Holder’s total purchase price (including brokerage commissions and other out-of-pocket expenses, if any) for the shares of Common Stock so purchased (including brokerage commissions and other out-of-pocket expenses, if any) over the product of (A) such number of New Preferred Investment Option Shares that the Company was required to deliver to the Holder by the Legend Removal Date and for which the Holder was required to purchase shares to timely satisfy delivery requirements, multiplied by (B) the weighted average price at which the Holder sold that number of shares of Common Stock.</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this offer is accepted and the transaction documents are executed by the Execution Time, then as promptly as possible following the Execution Time, but in any event no later than 8:00 a.m., Eastern Time, on the date hereof, the Company shall issue a press release disclosing the material terms of the transactions contemplated hereby and shall file a Current Report on Form 8-K with the Commission disclosing all material terms of the transactions contemplated hereunder, including the filing with the Commission of this letter agreement as an exhibit thereto within the time required by the Exchange Act. From and after the dissemination of such press release, the Company represents to you that it shall have publicly disclosed all material, non-public information delivered to you by the Company, or any of its respective officers, directors, employees or agents in connection with the transactions contemplated hereunder. In addition, effective upon the dissemination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you and your Affiliates on the other hand, shall terminate. The Company represents, warrants and covenants that, upon acceptance of this offer, the Existing Preferred Investment Option Shares shall be issued at Closing free of any legends or restrictions on resale by Holder.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stamp taxes and other taxes and duties levied in connection with the delivery of any Exiting Preferred Investment Option Shares. This Agreement shall be governed by the laws of the State of New York without regard to the principles of conflict of law.</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later than the second (2nd) Trading Day following the date hereof, the closing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occur at such location as the parties shall mutually agree. Unless otherwise directed by H.C. Wainwright &amp; Co., LLC (the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settlement of the Existing Preferred Investment Option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(as defined below), the Company shall issue the Existing Preferred Investment Option Shares registered in the Holder’s name and address provided to the Company in writing and released by the Transfer Agent directly to the account(s) at the Placement Agent identified by the Holder; upon receipt of such Existing Preferred Investment Option Shares, the Placement Agent shall promptly electronically deliver such Existing Preferred Investment Option Shares to the Holder, and payment therefor shall concurrently be made to the Company by the Placement Agent (or its clearing firm) by wire transfer to the Company). The date of the Closing of the Warrant Exercise shall be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ind w:left="45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[Holder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Existing Preferred Investment Options: 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Warrant  Exercise  Price  at  the  Reduced  Exercise  Price  being  exercised  contemporaneously  with  signing  this  letter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6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Existing Preferred Investment Options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Series E Preferred Investment Options: _______________ (100% coverage)</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New Preferred Investment Options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Instructions: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[Holder signature page to MBOT Inducement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Representations, Warranties and Covenants of the Company</w:t>
      </w:r>
      <w:r>
        <w:rPr>
          <w:rFonts w:ascii="Times New Roman" w:cs="Times New Roman" w:eastAsia="Times New Roman" w:hAnsi="Times New Roman"/>
          <w:sz w:val="18"/>
          <w:szCs w:val="18"/>
          <w:color w:val="auto"/>
        </w:rPr>
        <w:t>. The Company hereby makes the following representations and warranties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7" w:lineRule="exact"/>
        <w:rPr>
          <w:sz w:val="20"/>
          <w:szCs w:val="20"/>
          <w:color w:val="auto"/>
        </w:rPr>
      </w:pPr>
    </w:p>
    <w:p>
      <w:pPr>
        <w:jc w:val="both"/>
        <w:ind w:left="340" w:hanging="332"/>
        <w:spacing w:after="0" w:line="255"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As of their respective dates, the SEC Reports complied in all material respects with the requirements of the Exchange Act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is not currently an issuer identified in Rule 144(i) under the Securities Act.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letter agreement and otherwise to carry out its obligations hereunder. The execution and delivery of this letter agreement by the Company and the consummation by the Company of the transactions contemplated hereby have been duly authorized by all necessary action on the part of the Company and no further action is required by the Company, its board of directors or its stockholders in connection herewith. This letter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letter agreement by the Company and the consummation by the Company of the transactions contemplated 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liens, claims, security interests, other encumbrances or defects upon any of the properties or assets of the Company in connection with, or give to others any rights of termination, amendment, acceleration or cancellation (with or without notice, lapse of time or both) of, any material agreement, credit facility, debt or other material instrument (evidencing Company debt or otherwise) or other material understanding to which such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could not have or reasonably be expected to result in a material adverse effect upon the business, prospects, properties, operations, condition (financial or otherwise) or results of operations of the Company, taken as a whole, or in its ability to perform its obligations under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both"/>
        <w:ind w:left="332" w:hanging="332"/>
        <w:spacing w:after="0" w:line="256" w:lineRule="auto"/>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Obligations</w:t>
      </w:r>
      <w:r>
        <w:rPr>
          <w:rFonts w:ascii="Times New Roman" w:cs="Times New Roman" w:eastAsia="Times New Roman" w:hAnsi="Times New Roman"/>
          <w:sz w:val="18"/>
          <w:szCs w:val="18"/>
          <w:color w:val="auto"/>
        </w:rPr>
        <w:t>. As soon as reasonably practicable (and in any event within 30 calendar days of the date of this letter agreement), the Company shall file a registration statement on Form S-3 (or other appropriate form, including on Form S-1, if the Company is not then S-3 eligible) providing for the resale of the New Preferred Investment Option Shares by the holders of the New Preferred Investment Options (the “</w:t>
      </w:r>
      <w:r>
        <w:rPr>
          <w:rFonts w:ascii="Times New Roman" w:cs="Times New Roman" w:eastAsia="Times New Roman" w:hAnsi="Times New Roman"/>
          <w:sz w:val="18"/>
          <w:szCs w:val="18"/>
          <w:u w:val="single" w:color="auto"/>
          <w:color w:val="auto"/>
        </w:rPr>
        <w:t>Resale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shall use commercially reasonable efforts to cause the Resale Registration Statement to become effective within ninety (90) calendar days following the date hereof and to keep the Resale Registration Statement effective at all times until no holder of the New Preferred Investment Options owns any New Preferred Investment Options or New Preferred Investment Option Shares.</w:t>
      </w:r>
    </w:p>
    <w:p>
      <w:pPr>
        <w:spacing w:after="0" w:line="18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The transactions contemplated under this letter agreement comply with all the rules and regulations of the Nasdaq Capital Market.</w:t>
      </w:r>
    </w:p>
    <w:p>
      <w:pPr>
        <w:spacing w:after="0" w:line="225" w:lineRule="exact"/>
        <w:rPr>
          <w:rFonts w:ascii="Times New Roman" w:cs="Times New Roman" w:eastAsia="Times New Roman" w:hAnsi="Times New Roman"/>
          <w:sz w:val="18"/>
          <w:szCs w:val="18"/>
          <w:color w:val="auto"/>
        </w:rPr>
      </w:pPr>
    </w:p>
    <w:p>
      <w:pPr>
        <w:jc w:val="both"/>
        <w:ind w:left="332" w:hanging="332"/>
        <w:spacing w:after="0" w:line="256" w:lineRule="auto"/>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this letter agreement, other than: (i) the filings required pursuant to this letter agreement, (ii) application(s) or notice to each applicable Trading Market for the listing of the New Preferred Investment Option Shares for trading thereon in the time and manner required thereby, (iii) the filing of Form D with the Commission and (iv) such filings as are required to be made under applicable state securities laws.</w:t>
      </w:r>
    </w:p>
    <w:p>
      <w:pPr>
        <w:spacing w:after="0" w:line="187" w:lineRule="exact"/>
        <w:rPr>
          <w:rFonts w:ascii="Times New Roman" w:cs="Times New Roman" w:eastAsia="Times New Roman" w:hAnsi="Times New Roman"/>
          <w:sz w:val="18"/>
          <w:szCs w:val="18"/>
          <w:color w:val="auto"/>
        </w:rPr>
      </w:pPr>
    </w:p>
    <w:p>
      <w:pPr>
        <w:jc w:val="both"/>
        <w:ind w:left="332" w:hanging="332"/>
        <w:spacing w:after="0" w:line="253" w:lineRule="auto"/>
        <w:tabs>
          <w:tab w:leader="none" w:pos="3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commercially reasonable efforts to maintain the listing or quotation of the Common Stock on the Trading Market on which it is currently listed, and concurrently with the Closing, the Company shall apply to list or quote all of the New Preferred Investment Option Shares on such Trading Market and promptly secure the listing of all of the New Preferred Investment Option Shares on such Trading Market. The Company further agrees, if the Company applies to have the Common Stock traded on any other Trading Market, it will then include in such application all of the New Preferred Investment Option Shares, and will take such other action as is necessary to cause all of the New Preferred Investment Option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49" w:name="page50"/>
    <w:bookmarkEnd w:id="49"/>
    <w:p>
      <w:pPr>
        <w:ind w:left="332" w:hanging="332"/>
        <w:spacing w:after="0"/>
        <w:tabs>
          <w:tab w:leader="none" w:pos="33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2" w:firstLine="644"/>
        <w:spacing w:after="0" w:line="251" w:lineRule="auto"/>
        <w:tabs>
          <w:tab w:leader="none" w:pos="151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ten (10) Trading Days after the Closing Date, neither the Company nor any Subsidiary shall (A) issue, enter into any agreement to issue or announce the issuance or proposed issuance of any Common Stock or Common Stock Equivalents or (B) file any registration statement or any amendment or supplement to any existing registration statement (other than (x) the Resale Registration Statement referred to herein or (y) a registration statement on Form S-8 in connection with any employee benefit plan). Notwithstanding the foregoing, this Section (h)(i) shall not apply in respect of an Exempt Issuance. “</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directors or consultants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provided that such shares of Common Stock or options issued to consultants of the Company are issued as “restricted securities” (as defined in Rule 144) and carry no registration rights that require or permit the filing of any registration statement in connection therewith during the prohibition period in this Section (h)(i), (b) preferred investment options to the Placement Agent in connection with the transactions pursuant to this letter agreement (the “</w:t>
      </w:r>
      <w:r>
        <w:rPr>
          <w:rFonts w:ascii="Times New Roman" w:cs="Times New Roman" w:eastAsia="Times New Roman" w:hAnsi="Times New Roman"/>
          <w:sz w:val="18"/>
          <w:szCs w:val="18"/>
          <w:u w:val="single" w:color="auto"/>
          <w:color w:val="auto"/>
        </w:rPr>
        <w:t>Placement Agent Preferred Investment Options</w:t>
      </w:r>
      <w:r>
        <w:rPr>
          <w:rFonts w:ascii="Times New Roman" w:cs="Times New Roman" w:eastAsia="Times New Roman" w:hAnsi="Times New Roman"/>
          <w:sz w:val="18"/>
          <w:szCs w:val="18"/>
          <w:color w:val="auto"/>
        </w:rPr>
        <w:t>”) and any shares of Common Stock upon exercise of the Placement Agent Preferred Investment Options and the shares of Common Stock issuable upon the exercise or exchange of or conversion of any securities issued hereunder and/or other securities exercisable or exchangeable for or convertible into shares of Common Stock issued and outstanding on the date of this letter agreement, provided that such securities have not been amended since the date of this letter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this Section (h)(i),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 for purposes of this Section (h)(i).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50" w:name="page51"/>
    <w:bookmarkEnd w:id="50"/>
    <w:p>
      <w:pPr>
        <w:jc w:val="both"/>
        <w:ind w:left="652" w:firstLine="644"/>
        <w:spacing w:after="0" w:line="252" w:lineRule="auto"/>
        <w:tabs>
          <w:tab w:leader="none" w:pos="156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six (6) months following the Closing Date, the Company shall be prohibited from effecting or entering into an agreement to effect any issuance by the Company nor any Subsidiary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following the expiration of the restrictive period set forth in Section (h)(i) above, the entry into and/or issuance of shares of Common Stock in an “at the market” offering with the Placement Agent as sales agent shall not be deemed a Variable Rate Transaction. The Holder shall be entitled to obtain injunctive relief against the Company to preclude any such issuance, which remedy shall be in addition to any right to collect damages.</w:t>
      </w:r>
    </w:p>
    <w:p>
      <w:pPr>
        <w:spacing w:after="0" w:line="197" w:lineRule="exact"/>
        <w:rPr>
          <w:rFonts w:ascii="Times New Roman" w:cs="Times New Roman" w:eastAsia="Times New Roman" w:hAnsi="Times New Roman"/>
          <w:sz w:val="18"/>
          <w:szCs w:val="18"/>
          <w:color w:val="auto"/>
        </w:rPr>
      </w:pPr>
    </w:p>
    <w:p>
      <w:pPr>
        <w:jc w:val="both"/>
        <w:ind w:left="332" w:hanging="332"/>
        <w:spacing w:after="0" w:line="258" w:lineRule="auto"/>
        <w:tabs>
          <w:tab w:leader="none" w:pos="3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If required, the Company agrees to timely file a Form D with respect to the New Preferred Investment Options and New Preferred Investment Option Shares as required under Regulation D and to provide a copy thereof, promptly upon request of any Purchaser. The Company shall take such action as the Company shall reasonably determine is necessary in order to obtain an exemption for, or to qualify the New Preferred Investment Options and New Preferred Investment Option Shares for, sale to the Holder at Closing under applicable securities or “Blue Sky” laws of the states of the United States, and shall provide evidence of such actions promptly upon request of any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51" w:name="page52"/>
    <w:bookmarkEnd w:id="51"/>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ind w:left="340" w:right="120"/>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Announces Exercise of Outstanding Preferred Investment Options for $2.73 Million in Gross Proceeds Priced At-the-Market Under Nasdaq Rules</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BRAINTREE, Mass., Dec. 29, 2023 —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today announced the entry into a definitive agreement for the immediate exercise of certain outstanding preferred investment options to purchase up to an aggregate of 1,685,682 shares of common stock, having exercise prices ranging from $2.075 to $3.19 per share, issued by Microbot in October 2022 and June 2023, at a reduced exercise price of $1.62 per share. The shares of common stock issuable upon exercise of the preferred investment options are registered pursuant to an effective resale registration statement on Form S-1 (File No. 333-273207). The closing of the offering is expected to occur on or about January 3, 2024, subject to satisfaction of customary closing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for the immediate exercise of the preferred investment options for cash, Microbot will issue new unregistered series E preferred investment options to purchase up to 1,685,682 shares of common stock. The new series E preferred investment options will have an exercise price of $1.50 per share, will be exercisable immediately upon issuance and have a term equal to five and one-half years from the date of issuance.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gross proceeds to the Company from the exercise of the preferred investment options are expected to be approximately $2.73 million, prior to deducting placement agent fees and offering expenses. The Company intends to use the net proceeds from the offering for the continued development,</w:t>
      </w: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commercialization and regulatory activities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new series E preferred investment options described above were offered in a private placement pursuant to an applicable exemption from the registration requirements of the Securities Act of 1933, as amended (the “1933 Act”), and, along with the shares of common stock issuable upon exercise, have not been registered under the 1933 Act, and may not be offered or sold in the United States absent registration with the Securities and Exchange Commission (“SEC”) or an applicable exemption from such registration requirements. Microbot has agreed to file a registration statement with the SEC covering the resale of the shares of common stock issuable upon exercise of the new series E preferred investment options.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the securities in this offering,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jc w:val="both"/>
        <w:spacing w:after="0" w:line="204"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The Company 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 is available at http://</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timing and completion of the offering; the satisfaction of customary closing conditions related to the offering and the intended use of proceeds therefrom, as well as market and other conditions, risks inherent in the development and/or commercialization of potential products, including LIBERTY, the outcome of its studies to evaluate LIBERTY, whether the Company’s core business focus program and cost reduction plan are sufficient to enable the Company to continue to focus on its LIBERTY technology while it stabilizes its financial condition and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disruptions resulting from new and ongoing hostilities between Israel and the Palestinians, such as employees of Microbot and its vendors and business partners being called to active military duty,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 disclaims any intent or obligation to update these forward-looking statements, except as required by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+972-(0)52-3044404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lowerLetter"/>
      <w:start w:val="4"/>
    </w:lvl>
  </w:abstractNum>
  <w:abstractNum w:abstractNumId="2">
    <w:nsid w:val="54E49EB4"/>
    <w:multiLevelType w:val="hybridMultilevel"/>
    <w:lvl w:ilvl="0">
      <w:lvlJc w:val="left"/>
      <w:lvlText w:val="%1)"/>
      <w:numFmt w:val="lowerLetter"/>
      <w:start w:val="1"/>
    </w:lvl>
  </w:abstractNum>
  <w:abstractNum w:abstractNumId="3">
    <w:nsid w:val="71F32454"/>
    <w:multiLevelType w:val="hybridMultilevel"/>
    <w:lvl w:ilvl="0">
      <w:lvlJc w:val="left"/>
      <w:lvlText w:val="%1)"/>
      <w:numFmt w:val="lowerLetter"/>
      <w:start w:val="2"/>
    </w:lvl>
  </w:abstractNum>
  <w:abstractNum w:abstractNumId="4">
    <w:nsid w:val="2CA88611"/>
    <w:multiLevelType w:val="hybridMultilevel"/>
    <w:lvl w:ilvl="0">
      <w:lvlJc w:val="left"/>
      <w:lvlText w:val="(%1)"/>
      <w:numFmt w:val="upperLetter"/>
      <w:start w:val="1"/>
    </w:lvl>
  </w:abstractNum>
  <w:abstractNum w:abstractNumId="5">
    <w:nsid w:val="836C40E"/>
    <w:multiLevelType w:val="hybridMultilevel"/>
    <w:lvl w:ilvl="0">
      <w:lvlJc w:val="left"/>
      <w:lvlText w:val="(%1)"/>
      <w:numFmt w:val="upperLetter"/>
      <w:start w:val="24"/>
    </w:lvl>
  </w:abstractNum>
  <w:abstractNum w:abstractNumId="6">
    <w:nsid w:val="2901D82"/>
    <w:multiLevelType w:val="hybridMultilevel"/>
    <w:lvl w:ilvl="0">
      <w:lvlJc w:val="left"/>
      <w:lvlText w:val="%1)"/>
      <w:numFmt w:val="lowerLetter"/>
      <w:start w:val="4"/>
    </w:lvl>
    <w:lvl w:ilvl="1">
      <w:lvlJc w:val="left"/>
      <w:lvlText w:val="%2."/>
      <w:numFmt w:val="lowerRoman"/>
      <w:start w:val="1"/>
    </w:lvl>
  </w:abstractNum>
  <w:abstractNum w:abstractNumId="7">
    <w:nsid w:val="3A95F874"/>
    <w:multiLevelType w:val="hybridMultilevel"/>
    <w:lvl w:ilvl="0">
      <w:lvlJc w:val="left"/>
      <w:lvlText w:val="%1"/>
      <w:numFmt w:val="lowerRoman"/>
      <w:start w:val="1"/>
    </w:lvl>
    <w:lvl w:ilvl="1">
      <w:lvlJc w:val="left"/>
      <w:lvlText w:val="%2."/>
      <w:numFmt w:val="lowerRoman"/>
      <w:start w:val="2"/>
    </w:lvl>
  </w:abstractNum>
  <w:abstractNum w:abstractNumId="8">
    <w:nsid w:val="8138641"/>
    <w:multiLevelType w:val="hybridMultilevel"/>
    <w:lvl w:ilvl="0">
      <w:lvlJc w:val="left"/>
      <w:lvlText w:val="(%1)"/>
      <w:numFmt w:val="lowerRoman"/>
      <w:start w:val="10"/>
    </w:lvl>
    <w:lvl w:ilvl="1">
      <w:lvlJc w:val="left"/>
      <w:lvlText w:val="%2."/>
      <w:numFmt w:val="lowerRoman"/>
      <w:start w:val="5"/>
    </w:lvl>
  </w:abstractNum>
  <w:abstractNum w:abstractNumId="9">
    <w:nsid w:val="1E7FF521"/>
    <w:multiLevelType w:val="hybridMultilevel"/>
    <w:lvl w:ilvl="0">
      <w:lvlJc w:val="left"/>
      <w:lvlText w:val="%1"/>
      <w:numFmt w:val="lowerLetter"/>
      <w:start w:val="1"/>
    </w:lvl>
    <w:lvl w:ilvl="1">
      <w:lvlJc w:val="left"/>
      <w:lvlText w:val="%2."/>
      <w:numFmt w:val="lowerRoman"/>
      <w:start w:val="6"/>
    </w:lvl>
  </w:abstractNum>
  <w:abstractNum w:abstractNumId="10">
    <w:nsid w:val="7C3DBD3D"/>
    <w:multiLevelType w:val="hybridMultilevel"/>
    <w:lvl w:ilvl="0">
      <w:lvlJc w:val="left"/>
      <w:lvlText w:val="%1)"/>
      <w:numFmt w:val="lowerLetter"/>
      <w:start w:val="5"/>
    </w:lvl>
    <w:lvl w:ilvl="1">
      <w:lvlJc w:val="left"/>
      <w:lvlText w:val="%2"/>
      <w:numFmt w:val="lowerRoman"/>
      <w:start w:val="1"/>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1"/>
      <w:numFmt w:val="lowerRoman"/>
      <w:start w:val="1"/>
    </w:lvl>
    <w:lvl w:ilvl="1">
      <w:lvlJc w:val="left"/>
      <w:lvlText w:val="%2)"/>
      <w:numFmt w:val="lowerLetter"/>
      <w:start w:val="4"/>
    </w:lvl>
  </w:abstractNum>
  <w:abstractNum w:abstractNumId="13">
    <w:nsid w:val="22221A70"/>
    <w:multiLevelType w:val="hybridMultilevel"/>
    <w:lvl w:ilvl="0">
      <w:lvlJc w:val="left"/>
      <w:lvlText w:val="(%1)"/>
      <w:numFmt w:val="lowerRoman"/>
      <w:start w:val="1"/>
    </w:lvl>
    <w:lvl w:ilvl="1">
      <w:lvlJc w:val="left"/>
      <w:lvlText w:val="%2"/>
      <w:numFmt w:val="lowerLetter"/>
      <w:start w:val="1"/>
    </w:lvl>
  </w:abstractNum>
  <w:abstractNum w:abstractNumId="14">
    <w:nsid w:val="4516DDE9"/>
    <w:multiLevelType w:val="hybridMultilevel"/>
    <w:lvl w:ilvl="0">
      <w:lvlJc w:val="left"/>
      <w:lvlText w:val="%1)"/>
      <w:numFmt w:val="lowerLetter"/>
      <w:start w:val="5"/>
    </w:lvl>
    <w:lvl w:ilvl="1">
      <w:lvlJc w:val="left"/>
      <w:lvlText w:val="%2."/>
      <w:numFmt w:val="lowerRoman"/>
      <w:start w:val="1"/>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1)"/>
      <w:numFmt w:val="lowerLetter"/>
      <w:start w:val="1"/>
    </w:lvl>
  </w:abstractNum>
  <w:abstractNum w:abstractNumId="17">
    <w:nsid w:val="419AC241"/>
    <w:multiLevelType w:val="hybridMultilevel"/>
    <w:lvl w:ilvl="0">
      <w:lvlJc w:val="left"/>
      <w:lvlText w:val="%1)"/>
      <w:numFmt w:val="lowerLetter"/>
      <w:start w:val="5"/>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1)"/>
      <w:numFmt w:val="lowerLetter"/>
      <w:start w:val="4"/>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3"/>
    </w:lvl>
  </w:abstractNum>
  <w:abstractNum w:abstractNumId="22">
    <w:nsid w:val="77465F01"/>
    <w:multiLevelType w:val="hybridMultilevel"/>
    <w:lvl w:ilvl="0">
      <w:lvlJc w:val="left"/>
      <w:lvlText w:val="(%1)"/>
      <w:numFmt w:val="decimal"/>
      <w:start w:val="4"/>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lowerLetter"/>
      <w:start w:val="2"/>
    </w:lvl>
  </w:abstractNum>
  <w:abstractNum w:abstractNumId="25">
    <w:nsid w:val="2463B9EA"/>
    <w:multiLevelType w:val="hybridMultilevel"/>
    <w:lvl w:ilvl="0">
      <w:lvlJc w:val="left"/>
      <w:lvlText w:val="(%1)"/>
      <w:numFmt w:val="upperLetter"/>
      <w:start w:val="1"/>
    </w:lvl>
  </w:abstractNum>
  <w:abstractNum w:abstractNumId="26">
    <w:nsid w:val="5E884ADC"/>
    <w:multiLevelType w:val="hybridMultilevel"/>
    <w:lvl w:ilvl="0">
      <w:lvlJc w:val="left"/>
      <w:lvlText w:val="(%1)"/>
      <w:numFmt w:val="upperLetter"/>
      <w:start w:val="24"/>
    </w:lvl>
  </w:abstractNum>
  <w:abstractNum w:abstractNumId="27">
    <w:nsid w:val="51EAD36B"/>
    <w:multiLevelType w:val="hybridMultilevel"/>
    <w:lvl w:ilvl="0">
      <w:lvlJc w:val="left"/>
      <w:lvlText w:val="%1)"/>
      <w:numFmt w:val="lowerLetter"/>
      <w:start w:val="4"/>
    </w:lvl>
    <w:lvl w:ilvl="1">
      <w:lvlJc w:val="left"/>
      <w:lvlText w:val="%2."/>
      <w:numFmt w:val="lowerRoman"/>
      <w:start w:val="1"/>
    </w:lvl>
  </w:abstractNum>
  <w:abstractNum w:abstractNumId="28">
    <w:nsid w:val="2D517796"/>
    <w:multiLevelType w:val="hybridMultilevel"/>
    <w:lvl w:ilvl="0">
      <w:lvlJc w:val="left"/>
      <w:lvlText w:val="%1"/>
      <w:numFmt w:val="lowerRoman"/>
      <w:start w:val="1"/>
    </w:lvl>
    <w:lvl w:ilvl="1">
      <w:lvlJc w:val="left"/>
      <w:lvlText w:val="%2."/>
      <w:numFmt w:val="lowerRoman"/>
      <w:start w:val="2"/>
    </w:lvl>
  </w:abstractNum>
  <w:abstractNum w:abstractNumId="29">
    <w:nsid w:val="580BD78F"/>
    <w:multiLevelType w:val="hybridMultilevel"/>
    <w:lvl w:ilvl="0">
      <w:lvlJc w:val="left"/>
      <w:lvlText w:val="(%1)"/>
      <w:numFmt w:val="lowerRoman"/>
      <w:start w:val="10"/>
    </w:lvl>
    <w:lvl w:ilvl="1">
      <w:lvlJc w:val="left"/>
      <w:lvlText w:val="%2."/>
      <w:numFmt w:val="lowerRoman"/>
      <w:start w:val="5"/>
    </w:lvl>
  </w:abstractNum>
  <w:abstractNum w:abstractNumId="30">
    <w:nsid w:val="153EA438"/>
    <w:multiLevelType w:val="hybridMultilevel"/>
    <w:lvl w:ilvl="0">
      <w:lvlJc w:val="left"/>
      <w:lvlText w:val="%1"/>
      <w:numFmt w:val="lowerLetter"/>
      <w:start w:val="1"/>
    </w:lvl>
    <w:lvl w:ilvl="1">
      <w:lvlJc w:val="left"/>
      <w:lvlText w:val="%2."/>
      <w:numFmt w:val="lowerRoman"/>
      <w:start w:val="6"/>
    </w:lvl>
  </w:abstractNum>
  <w:abstractNum w:abstractNumId="31">
    <w:nsid w:val="3855585C"/>
    <w:multiLevelType w:val="hybridMultilevel"/>
    <w:lvl w:ilvl="0">
      <w:lvlJc w:val="left"/>
      <w:lvlText w:val="%1)"/>
      <w:numFmt w:val="lowerLetter"/>
      <w:start w:val="5"/>
    </w:lvl>
    <w:lvl w:ilvl="1">
      <w:lvlJc w:val="left"/>
      <w:lvlText w:val="%2"/>
      <w:numFmt w:val="lowerRoman"/>
      <w:start w:val="1"/>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lowerRoman"/>
      <w:start w:val="1"/>
    </w:lvl>
    <w:lvl w:ilvl="1">
      <w:lvlJc w:val="left"/>
      <w:lvlText w:val="%2)"/>
      <w:numFmt w:val="lowerLetter"/>
      <w:start w:val="4"/>
    </w:lvl>
  </w:abstractNum>
  <w:abstractNum w:abstractNumId="34">
    <w:nsid w:val="2A487CB0"/>
    <w:multiLevelType w:val="hybridMultilevel"/>
    <w:lvl w:ilvl="0">
      <w:lvlJc w:val="left"/>
      <w:lvlText w:val="(%1)"/>
      <w:numFmt w:val="lowerRoman"/>
      <w:start w:val="1"/>
    </w:lvl>
    <w:lvl w:ilvl="1">
      <w:lvlJc w:val="left"/>
      <w:lvlText w:val="%2"/>
      <w:numFmt w:val="lowerLetter"/>
      <w:start w:val="1"/>
    </w:lvl>
  </w:abstractNum>
  <w:abstractNum w:abstractNumId="35">
    <w:nsid w:val="1D4ED43B"/>
    <w:multiLevelType w:val="hybridMultilevel"/>
    <w:lvl w:ilvl="0">
      <w:lvlJc w:val="left"/>
      <w:lvlText w:val="%1)"/>
      <w:numFmt w:val="lowerLetter"/>
      <w:start w:val="5"/>
    </w:lvl>
    <w:lvl w:ilvl="1">
      <w:lvlJc w:val="left"/>
      <w:lvlText w:val="%2."/>
      <w:numFmt w:val="lowerRoman"/>
      <w:start w:val="1"/>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5"/>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4"/>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3"/>
    </w:lvl>
  </w:abstractNum>
  <w:abstractNum w:abstractNumId="43">
    <w:nsid w:val="38437FDB"/>
    <w:multiLevelType w:val="hybridMultilevel"/>
    <w:lvl w:ilvl="0">
      <w:lvlJc w:val="left"/>
      <w:lvlText w:val="(%1)"/>
      <w:numFmt w:val="decimal"/>
      <w:start w:val="4"/>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lowerLetter"/>
      <w:start w:val="2"/>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lowerLetter"/>
      <w:start w:val="4"/>
    </w:lvl>
  </w:abstractNum>
  <w:abstractNum w:abstractNumId="48">
    <w:nsid w:val="749ABB43"/>
    <w:multiLevelType w:val="hybridMultilevel"/>
    <w:lvl w:ilvl="0">
      <w:lvlJc w:val="left"/>
      <w:lvlText w:val="%1)"/>
      <w:numFmt w:val="lowerLetter"/>
      <w:start w:val="8"/>
    </w:lvl>
    <w:lvl w:ilvl="1">
      <w:lvlJc w:val="left"/>
      <w:lvlText w:val="(%2)"/>
      <w:numFmt w:val="lowerRoman"/>
      <w:start w:val="1"/>
    </w:lvl>
  </w:abstractNum>
  <w:abstractNum w:abstractNumId="49">
    <w:nsid w:val="3DC240FB"/>
    <w:multiLevelType w:val="hybridMultilevel"/>
    <w:lvl w:ilvl="0">
      <w:lvlJc w:val="left"/>
      <w:lvlText w:val="%1"/>
      <w:numFmt w:val="lowerRoman"/>
      <w:start w:val="1"/>
    </w:lvl>
    <w:lvl w:ilvl="1">
      <w:lvlJc w:val="left"/>
      <w:lvlText w:val="(%2)"/>
      <w:numFmt w:val="lowerRoman"/>
      <w:start w:val="2"/>
    </w:lvl>
  </w:abstractNum>
  <w:abstractNum w:abstractNumId="50">
    <w:nsid w:val="1BA026FA"/>
    <w:multiLevelType w:val="hybridMultilevel"/>
    <w:lvl w:ilvl="0">
      <w:lvlJc w:val="left"/>
      <w:lvlText w:val="%1)"/>
      <w:numFmt w:val="lowerRoman"/>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2024-01-02T16:06:19Z</dcterms:created>
  <dcterms:modified xsi:type="dcterms:W3CDTF">2024-01-02T16:06:19Z</dcterms:modified>
</cp:coreProperties>
</file>