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25,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19"/>
                <w:szCs w:val="19"/>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18"/>
          <w:szCs w:val="18"/>
          <w:color w:val="auto"/>
        </w:rPr>
        <w:t>On February 25, 2025, Microbot Medical Inc. (the “Company”) issued a press release announcing that its research collaboration with Corewell Health™ demonstrates the feasibility of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between separate and remote facilities in a coronary</w:t>
      </w:r>
    </w:p>
    <w:p>
      <w:pPr>
        <w:spacing w:after="0" w:line="1"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8"/>
          <w:szCs w:val="18"/>
          <w:color w:val="auto"/>
        </w:rPr>
        <w:t>simulation model. The project assesses the feasibility of using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perform simulated cardiovascular interventional procedures across two sites within the Corewell Health™ system located 5 miles apart. The research has been accepted for presentation at the Cardiovascular Research Technologies (CRT) annual meeting, being held from March 8-11, 2025, in Washington D.C., and will be published in the Journal of the American College of Cardiology (JACC) Interventions online edition.</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05" w:lineRule="auto"/>
        <w:rPr>
          <w:sz w:val="20"/>
          <w:szCs w:val="20"/>
          <w:color w:val="auto"/>
        </w:rPr>
      </w:pPr>
      <w:r>
        <w:rPr>
          <w:rFonts w:ascii="Times New Roman" w:cs="Times New Roman" w:eastAsia="Times New Roman" w:hAnsi="Times New Roman"/>
          <w:sz w:val="18"/>
          <w:szCs w:val="18"/>
          <w:color w:val="auto"/>
        </w:rPr>
        <w:t>On February 25, 2025, the Company announced that its research collaboration with Corewell Health™ demonstrates the feasibility of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between separate and remote facilities in a coronary simulation model. The project assesses the feasibility of using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perform simulated cardiovascular interventional procedures across two sites within the Corewell Health™ system located 5 miles</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apart. The telesurgery feature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still under development and is not covered under the Company’s pending 510(k) premarket submission with the U.S. Food and Drug Administration.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 and product development.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164465</wp:posOffset>
            </wp:positionV>
            <wp:extent cx="1714500" cy="848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left="340" w:right="180"/>
        <w:spacing w:after="0" w:line="218" w:lineRule="auto"/>
        <w:rPr>
          <w:sz w:val="20"/>
          <w:szCs w:val="20"/>
          <w:color w:val="auto"/>
        </w:rPr>
      </w:pPr>
      <w:r>
        <w:rPr>
          <w:rFonts w:ascii="Times New Roman" w:cs="Times New Roman" w:eastAsia="Times New Roman" w:hAnsi="Times New Roman"/>
          <w:sz w:val="18"/>
          <w:szCs w:val="18"/>
          <w:b w:val="1"/>
          <w:bCs w:val="1"/>
          <w:color w:val="auto"/>
        </w:rPr>
        <w:t>Robotic Telesurgery Data from Collaboration with Corewell Health</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Accepted for Presentation at the Cardiovascular Research Technologies Annual Meeting</w:t>
      </w:r>
    </w:p>
    <w:p>
      <w:pPr>
        <w:spacing w:after="0" w:line="200" w:lineRule="exact"/>
        <w:rPr>
          <w:sz w:val="20"/>
          <w:szCs w:val="20"/>
          <w:color w:val="auto"/>
        </w:rPr>
      </w:pPr>
    </w:p>
    <w:p>
      <w:pPr>
        <w:jc w:val="center"/>
        <w:ind w:left="340" w:right="200"/>
        <w:spacing w:after="0" w:line="217" w:lineRule="auto"/>
        <w:rPr>
          <w:sz w:val="20"/>
          <w:szCs w:val="20"/>
          <w:color w:val="auto"/>
        </w:rPr>
      </w:pPr>
      <w:r>
        <w:rPr>
          <w:rFonts w:ascii="Times New Roman" w:cs="Times New Roman" w:eastAsia="Times New Roman" w:hAnsi="Times New Roman"/>
          <w:sz w:val="18"/>
          <w:szCs w:val="18"/>
          <w:i w:val="1"/>
          <w:iCs w:val="1"/>
          <w:color w:val="auto"/>
        </w:rPr>
        <w:t>Research Collaboration demonstrates the feasibility of using the LIBERTY</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Endovascular Robotic System between separate and remote facilities in a coronary simulation model</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b w:val="1"/>
          <w:bCs w:val="1"/>
          <w:color w:val="auto"/>
        </w:rPr>
        <w:t xml:space="preserve">BRAINTREE, Mass., February 25, 2025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today announced its collaboration with Corewell Health™ has reached another meaningful milestone. Under a collaboration agreement, Microbot</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Corewell Health™ are working together to advance robotic telesurgery for endovascular applications. Led by Ryan Madder, M.D., Section Chief of Interventional Cardiology and Director of the Cardiac Cath Lab at Corewell Health™ in Grand Rapids, Michigan, the project assesses the</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feasibility of using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perform simulated cardiovascular interventional procedures across two sites within the Corewell Health™ system located 5 miles apart. The research has been accepted for presentation at the Cardiovascular Research Technologies (CRT) annual meeting, being held from March 8-11, 2025, in Washington D.C., and will be published in the Journal of the American College of Cardiology (JACC) Interventions online edition.</w:t>
      </w:r>
    </w:p>
    <w:p>
      <w:pPr>
        <w:spacing w:after="0" w:line="194" w:lineRule="exact"/>
        <w:rPr>
          <w:sz w:val="20"/>
          <w:szCs w:val="20"/>
          <w:color w:val="auto"/>
        </w:rPr>
      </w:pPr>
    </w:p>
    <w:p>
      <w:pPr>
        <w:ind w:left="66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Abstract/Presentation Title</w:t>
      </w:r>
      <w:r>
        <w:rPr>
          <w:rFonts w:ascii="Times New Roman" w:cs="Times New Roman" w:eastAsia="Times New Roman" w:hAnsi="Times New Roman"/>
          <w:sz w:val="18"/>
          <w:szCs w:val="18"/>
          <w:color w:val="auto"/>
        </w:rPr>
        <w:t>: Feasibility of Telerobotic Coronary Artery Wiring Using A Novel Miniaturized Robotic System: A Pre-clinical 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Vivo Study</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Presenter: </w:t>
      </w:r>
      <w:r>
        <w:rPr>
          <w:rFonts w:ascii="Times New Roman" w:cs="Times New Roman" w:eastAsia="Times New Roman" w:hAnsi="Times New Roman"/>
          <w:sz w:val="18"/>
          <w:szCs w:val="18"/>
          <w:color w:val="auto"/>
        </w:rPr>
        <w:t>Trisha Gomez, MD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Presentation Date/Time</w:t>
      </w:r>
      <w:r>
        <w:rPr>
          <w:rFonts w:ascii="Times New Roman" w:cs="Times New Roman" w:eastAsia="Times New Roman" w:hAnsi="Times New Roman"/>
          <w:sz w:val="18"/>
          <w:szCs w:val="18"/>
          <w:color w:val="auto"/>
        </w:rPr>
        <w:t>: Monday, March 10, 2025, 4:12-4:20pm 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Location: </w:t>
      </w:r>
      <w:r>
        <w:rPr>
          <w:rFonts w:ascii="Times New Roman" w:cs="Times New Roman" w:eastAsia="Times New Roman" w:hAnsi="Times New Roman"/>
          <w:sz w:val="18"/>
          <w:szCs w:val="18"/>
          <w:color w:val="auto"/>
        </w:rPr>
        <w:t>Theater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“In this study,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functioned well in a telerobotic setting. The system’s small footprint and disposable design create a multitude of exciting possibilities for future telerobotic endovascular procedures,” commented Dr. Madder.</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“We’re excited that this groundbreaking research, led by Dr. Madder and the Corewell Health team, has been selected for presentation, which we believe reflects the importance of integrating telesurgery in the future of healthcare,” commented Harel Gadot, Chairman, CEO and President. “Incorporating</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telesurgery capabilities is an important part of our long-term strategy for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we are pleased to demonstrate its feasibility. We believe that robotic telesurgery will increase access to high quality healthcare for patients in remote locations in the US and around the world.”</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Cardiovascular Research Technologies (CRT) is a leading educational forum on new cardiovascular technology and procedures for physicians and health-care professionals. CRT provides a forum for exemplary education for interventional cardiologists, general cardiologists, cardiothoracic and vascular surgeons, catheterization laboratory managers, nurses and technologists, scientists and those with an interest in cardiovascular medicine.</w:t>
      </w:r>
    </w:p>
    <w:p>
      <w:pPr>
        <w:spacing w:after="0" w:line="179"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telesurgery feature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still under development at Microbot and is not covered under its pending 510(k) premarket submission with the U.S. Food and Drug Administration.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r>
        <w:rPr>
          <w:rFonts w:ascii="Times New Roman" w:cs="Times New Roman" w:eastAsia="Times New Roman" w:hAnsi="Times New Roman"/>
          <w:sz w:val="29"/>
          <w:szCs w:val="29"/>
          <w:color w:val="auto"/>
          <w:vertAlign w:val="superscript"/>
        </w:rPr>
        <w: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pre-commercial stage medical technology company with a vision to improve the quality of care for millions of patients and providers globally. The Company has developed the world’s first single-use, fully disposable endovascular robotic system, which aims to eliminate traditional barriers to accessing advanced robotic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about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Company’s need for and ability to obtain additional working capital to continue its transition to a</w:t>
      </w:r>
    </w:p>
    <w:p>
      <w:pPr>
        <w:spacing w:after="0" w:line="5"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commercially focused company, market conditions, risks inherent in the development and/or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including its potential telesurgery feature, uncertainty in the results of regulatory pathways and regulatory approvals, including whether the FDA</w:t>
      </w:r>
    </w:p>
    <w:p>
      <w:pPr>
        <w:spacing w:after="0" w:line="2"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will grant 510(k) clearance to commercially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in the United States, disruptions resulting from new and ongoing hostilities between Israel and the Palestinians and other neighboring countries, and 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Securities and Exchange Commission (SEC), which are available on the SEC’s web site at www.sec.gov.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Contact: </w:t>
      </w: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2025-02-25T07:46:19Z</dcterms:created>
  <dcterms:modified xsi:type="dcterms:W3CDTF">2025-02-25T07:46:19Z</dcterms:modified>
</cp:coreProperties>
</file>