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4,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2836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Harel Gadot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President and Chairman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Stephen E. Fox,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Ruskin Moscou Faltischek,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1425 RXR Plaza</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East Tower</w:t>
      </w:r>
    </w:p>
    <w:p>
      <w:pPr>
        <w:jc w:val="center"/>
        <w:spacing w:after="0"/>
        <w:rPr>
          <w:sz w:val="20"/>
          <w:szCs w:val="20"/>
          <w:color w:val="auto"/>
        </w:rPr>
      </w:pPr>
      <w:r>
        <w:rPr>
          <w:rFonts w:ascii="Times New Roman" w:cs="Times New Roman" w:eastAsia="Times New Roman" w:hAnsi="Times New Roman"/>
          <w:sz w:val="18"/>
          <w:szCs w:val="18"/>
          <w:b w:val="1"/>
          <w:bCs w:val="1"/>
          <w:color w:val="auto"/>
        </w:rPr>
        <w:t>Uniondale, NY 11556</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(516) 663-6600</w:t>
      </w:r>
    </w:p>
    <w:p>
      <w:pPr>
        <w:spacing w:after="0" w:line="20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the effective date of this registration statement.</w:t>
      </w:r>
    </w:p>
    <w:p>
      <w:pPr>
        <w:spacing w:after="0" w:line="229" w:lineRule="exact"/>
        <w:rPr>
          <w:sz w:val="24"/>
          <w:szCs w:val="24"/>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1" w:right="339" w:bottom="294"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441" w:right="339" w:bottom="294" w:gutter="0" w:footer="0" w:header="0"/>
          <w:type w:val="continuous"/>
        </w:sectPr>
      </w:pPr>
    </w:p>
    <w:p>
      <w:pPr>
        <w:spacing w:after="0" w:line="1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441" w:right="339" w:bottom="294"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February 4,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156845</wp:posOffset>
            </wp:positionV>
            <wp:extent cx="1929130" cy="7461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913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15,966,530 Shares of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relates to the resale or other disposition from time to time of up to 15,966,530 shares of our common stock, $0.01 par value per share, by the selling stockholders named in this prospectus, including their transferees, pledgees, donees or successors, that may be issued upon the exercise of outstanding preferred investment options held by the selling stockholders.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does not cover the issuance of the shares underlying the preferred investment options to the selling stockholders upon their exercise. We are not selling any shares of common stock under this prospectus and will not receive any of the proceeds from the sale of shares of common stock by the selling stockholders.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registration of the shares covered by this prospectus does not mean that the selling stockholders will actually exercise outstanding preferred investment options held by them or offer or resell any of these shares once issued to them. The selling stockholders may resell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67.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resale of shares of our common stock in this offering.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ticker symbol “MBOT.” On January 31, 2025, the last reported closing price of our common stock on the Nasdaq Capital Market was $1.84.</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You should review carefully the risks and uncertainties described under the heading “Risk Factors” beginning on page 11 of this prospectus, and under similar headings in any amendments or supplements to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414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820" w:type="dxa"/>
            <w:vAlign w:val="bottom"/>
          </w:tcPr>
          <w:p>
            <w:pPr>
              <w:jc w:val="right"/>
              <w:ind w:right="4050"/>
              <w:spacing w:after="0"/>
              <w:rPr>
                <w:sz w:val="20"/>
                <w:szCs w:val="20"/>
                <w:color w:val="auto"/>
              </w:rPr>
            </w:pPr>
            <w:r>
              <w:rPr>
                <w:rFonts w:ascii="Times New Roman" w:cs="Times New Roman" w:eastAsia="Times New Roman" w:hAnsi="Times New Roman"/>
                <w:sz w:val="18"/>
                <w:szCs w:val="18"/>
                <w:color w:val="auto"/>
              </w:rPr>
              <w:t>, 2025.</w:t>
            </w:r>
          </w:p>
        </w:tc>
      </w:tr>
      <w:tr>
        <w:trPr>
          <w:trHeight w:val="432"/>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3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RISK FACTOR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50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COMMON STOCK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176"/>
        </w:trPr>
        <w:tc>
          <w:tcPr>
            <w:tcW w:w="892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6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BUSINESS</w:t>
            </w:r>
          </w:p>
        </w:tc>
        <w:tc>
          <w:tcPr>
            <w:tcW w:w="97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BOARD OF DIRECTORS AND MANAGEMENT</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814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386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STOCKHOLDERS</w:t>
            </w:r>
          </w:p>
        </w:tc>
        <w:tc>
          <w:tcPr>
            <w:tcW w:w="838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72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432"/>
        </w:trPr>
        <w:tc>
          <w:tcPr>
            <w:tcW w:w="7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2180" w:type="dxa"/>
            <w:vAlign w:val="bottom"/>
            <w:tcBorders>
              <w:top w:val="single" w:sz="8" w:color="CCEEFF"/>
              <w:bottom w:val="single" w:sz="8" w:color="auto"/>
            </w:tcBorders>
          </w:tcPr>
          <w:p>
            <w:pPr>
              <w:spacing w:after="0"/>
              <w:rPr>
                <w:sz w:val="24"/>
                <w:szCs w:val="24"/>
                <w:color w:val="auto"/>
              </w:rPr>
            </w:pPr>
          </w:p>
        </w:tc>
        <w:tc>
          <w:tcPr>
            <w:tcW w:w="16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in this prospectus and any prospectus supplement that we may authorize to be provided to you. We have not, and the selling stockholders have not, authorized anyone to provide you with different information. No dealer, salesperson or other person is authorized to give any information or to represent anything not contained in this prospectus or any prospectus supplement that we may authorize to be provided to you. If anyone provides you with different or inconsistent information, you should not rely on it. You should assume that the information in this prospectus and any prospectus supplement is accurate only as of the date on the cover of the document, regardless of the time of delivery of this prospectus or any prospectus supplement or any sale of a security. Our business, financial condition, results of operations and prospects may have changed since those dates.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urge you to carefully read this prospectus and any prospectus supplement, together with the information as described under the heading “Where You Can Find More Information.”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the terms “we,” “us,” “our,” the “Company” and “Microbot” refer to Microbot Medical Inc., including our directly and indirectly wholly owned subsidiary. Unless the context otherwise requires, the historical business, financial statements and operations of Microbot include Microbot Medical Ltd., an Israeli corporation (“Microbot Israel”) which became a wholly-owned subsidiary of the Company on November 28, 2016.</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own or have rights to various U.S. federal trademark registrations and applications, and unregistered trademarks and servicemarks, including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All other trade names, trademarks and service marks appearing in this prospectus are the property of their respective owners. We have assumed that the reader understands that all such terms are source-indicating. Accordingly, such terms, when first mentioned in this prospectus, appear with the trade name, trademark or service mark notice and then throughout the remainder of this prospectus without trade name, trademark or service mark notices for convenience only and should not be construed as being used in a descriptive or generic sense.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 A more thorough discussion of these and other risks are listed under the section entitled “Risk Factors” commencing on page 11.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Financial Position and Need for Additional Capital</w:t>
      </w:r>
    </w:p>
    <w:p>
      <w:pPr>
        <w:spacing w:after="0" w:line="229" w:lineRule="exact"/>
        <w:rPr>
          <w:sz w:val="20"/>
          <w:szCs w:val="20"/>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a limited operating history outside of being a research and development-stage company, which may make it difficult to evaluate the prospects for the Company’s future viability.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will need additional funding. If Microbot is unable to raise capital when needed, it could be forced to delay, reduce or eliminate its product development programs or commercialization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and Commercialization of Microbot’s Product Candidates</w:t>
      </w:r>
    </w:p>
    <w:p>
      <w:pPr>
        <w:spacing w:after="0" w:line="229"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animal studies, clinical trials or procedures relating to product candidates under development or that we may develop could have a material adverse effect on our prospects.</w:t>
      </w:r>
    </w:p>
    <w:p>
      <w:pPr>
        <w:spacing w:after="0" w:line="165" w:lineRule="exact"/>
        <w:rPr>
          <w:rFonts w:ascii="Times New Roman" w:cs="Times New Roman" w:eastAsia="Times New Roman" w:hAnsi="Times New Roman"/>
          <w:sz w:val="18"/>
          <w:szCs w:val="18"/>
          <w:color w:val="auto"/>
        </w:rPr>
      </w:pPr>
    </w:p>
    <w:p>
      <w:pPr>
        <w:jc w:val="both"/>
        <w:ind w:left="340" w:hanging="332"/>
        <w:spacing w:after="0" w:line="186" w:lineRule="auto"/>
        <w:tabs>
          <w:tab w:leader="none" w:pos="34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Microbot’s business depends heavily on the success of its sole lead product candidate,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If Microbot is unable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experiences significant delays in doing so, Microbot’s business will be materially harmed.</w:t>
      </w:r>
    </w:p>
    <w:p>
      <w:pPr>
        <w:spacing w:after="0" w:line="201" w:lineRule="exact"/>
        <w:rPr>
          <w:rFonts w:ascii="Times New Roman" w:cs="Times New Roman" w:eastAsia="Times New Roman" w:hAnsi="Times New Roman"/>
          <w:sz w:val="36"/>
          <w:szCs w:val="36"/>
          <w:color w:val="auto"/>
          <w:vertAlign w:val="superscript"/>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Microbot’s research and development efforts are uncertain and there can be no assurance of the commercial success of Microbot’s product candidates.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may not meet its development and commercialization objectives in a timely manner or at all.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ability to expand its technology platforms for other uses may be limited.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2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this time, Microbot does not know the extent of all of the clinical trial or data submissions that the FDA will require it to submit in support of its future marketing applications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creates uncertainty for Microbot as well as the possibility of increased product development costs and time to market.</w:t>
      </w:r>
    </w:p>
    <w:p>
      <w:pPr>
        <w:spacing w:after="0" w:line="200" w:lineRule="exact"/>
        <w:rPr>
          <w:rFonts w:ascii="Times New Roman" w:cs="Times New Roman" w:eastAsia="Times New Roman" w:hAnsi="Times New Roman"/>
          <w:sz w:val="18"/>
          <w:szCs w:val="18"/>
          <w:color w:val="auto"/>
        </w:rPr>
      </w:pPr>
    </w:p>
    <w:p>
      <w:pPr>
        <w:jc w:val="both"/>
        <w:ind w:left="340" w:right="20" w:hanging="332"/>
        <w:spacing w:after="0" w:line="27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returned certain of its technology, originally acquired from CardioSert and part of its One &amp; Done® feature, as a result of the triggering of a buy-back clause, which may adversely affect our ability to develop and commercialize, or materially delay the development and commercialization of, our 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feature.</w:t>
      </w:r>
    </w:p>
    <w:p>
      <w:pPr>
        <w:spacing w:after="0" w:line="44"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spacing w:after="0" w:line="165" w:lineRule="exact"/>
        <w:rPr>
          <w:rFonts w:ascii="Times New Roman" w:cs="Times New Roman" w:eastAsia="Times New Roman" w:hAnsi="Times New Roman"/>
          <w:sz w:val="18"/>
          <w:szCs w:val="18"/>
          <w:color w:val="auto"/>
        </w:rPr>
      </w:pPr>
    </w:p>
    <w:p>
      <w:pPr>
        <w:jc w:val="both"/>
        <w:ind w:left="340" w:hanging="332"/>
        <w:spacing w:after="0" w:line="186" w:lineRule="auto"/>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If the commercial opportunity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such other products will be adversely affected and Microbot’s business will suffer.</w:t>
      </w:r>
    </w:p>
    <w:p>
      <w:pPr>
        <w:spacing w:after="0" w:line="205" w:lineRule="exact"/>
        <w:rPr>
          <w:rFonts w:ascii="Times New Roman" w:cs="Times New Roman" w:eastAsia="Times New Roman" w:hAnsi="Times New Roman"/>
          <w:sz w:val="36"/>
          <w:szCs w:val="36"/>
          <w:color w:val="auto"/>
          <w:vertAlign w:val="superscript"/>
        </w:rPr>
      </w:pPr>
    </w:p>
    <w:p>
      <w:pPr>
        <w:ind w:left="340" w:hanging="332"/>
        <w:spacing w:after="0" w:line="188" w:lineRule="auto"/>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Customers will be unlikely to buy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unless Microbot can demonstrate that they can be produced for sale to consumers at attractive prices.</w:t>
      </w:r>
    </w:p>
    <w:p>
      <w:pPr>
        <w:spacing w:after="0" w:line="198" w:lineRule="exact"/>
        <w:rPr>
          <w:rFonts w:ascii="Times New Roman" w:cs="Times New Roman" w:eastAsia="Times New Roman" w:hAnsi="Times New Roman"/>
          <w:sz w:val="36"/>
          <w:szCs w:val="36"/>
          <w:color w:val="auto"/>
          <w:vertAlign w:val="superscript"/>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relied on, and intends to continue to rely on, third-party manufacturers to produce its product candidates.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Microbot’s product candidates are not considered to be a safe and effective alternative to existing technologies, Microbot will not be commercially successful.</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may be subject to penalties and may be precluded from marketing its product candidates if Microbot fails to comply with extensive governmental regulations.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65" w:lineRule="exact"/>
        <w:rPr>
          <w:rFonts w:ascii="Times New Roman" w:cs="Times New Roman" w:eastAsia="Times New Roman" w:hAnsi="Times New Roman"/>
          <w:sz w:val="18"/>
          <w:szCs w:val="18"/>
          <w:color w:val="auto"/>
        </w:rPr>
      </w:pPr>
    </w:p>
    <w:p>
      <w:pPr>
        <w:ind w:left="340" w:hanging="332"/>
        <w:spacing w:after="0" w:line="188" w:lineRule="auto"/>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Clinical outcome studies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may not provide sufficient data to make Microbot’s product candidates the standard of care.</w:t>
      </w:r>
    </w:p>
    <w:p>
      <w:pPr>
        <w:spacing w:after="0" w:line="198" w:lineRule="exact"/>
        <w:rPr>
          <w:rFonts w:ascii="Times New Roman" w:cs="Times New Roman" w:eastAsia="Times New Roman" w:hAnsi="Times New Roman"/>
          <w:sz w:val="36"/>
          <w:szCs w:val="36"/>
          <w:color w:val="auto"/>
          <w:vertAlign w:val="superscript"/>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products may in the future be subject to mandatory product recalls that could harm its reputation, business and financial results.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could be exposed to significant liability claims if Microbot is unable to obtain insurance at acceptable costs and adequate levels or otherwise protect itself against potential product liability claims.</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fails to retain certain of its key personnel and attract and retain additional qualified personnel, Microbot might not be able to pursue its growth strategy effectively.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International Business</w:t>
      </w:r>
    </w:p>
    <w:p>
      <w:pPr>
        <w:spacing w:after="0" w:line="229" w:lineRule="exact"/>
        <w:rPr>
          <w:sz w:val="20"/>
          <w:szCs w:val="20"/>
          <w:color w:val="auto"/>
        </w:rPr>
      </w:pPr>
    </w:p>
    <w:p>
      <w:pPr>
        <w:ind w:left="340" w:right="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fails to obtain regulatory clearances in other countries for its product candidates under development, Microbot will not be able to commercialize these product candidates in those countries.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operations in international markets involve inherent risks that Microbot may not be able to control.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Intellectual Property</w:t>
      </w:r>
    </w:p>
    <w:p>
      <w:pPr>
        <w:spacing w:after="0" w:line="229" w:lineRule="exact"/>
        <w:rPr>
          <w:sz w:val="20"/>
          <w:szCs w:val="20"/>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and infringement claims could cause Microbot to incur significant expenses or prevent Microbot from selling certain of its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in Israel</w:t>
      </w:r>
    </w:p>
    <w:p>
      <w:pPr>
        <w:spacing w:after="0" w:line="229" w:lineRule="exact"/>
        <w:rPr>
          <w:sz w:val="20"/>
          <w:szCs w:val="20"/>
          <w:color w:val="auto"/>
        </w:rPr>
      </w:pPr>
    </w:p>
    <w:p>
      <w:pPr>
        <w:ind w:left="340" w:right="2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historical risks relating to our operations in Israel are being exacerbated by the current military actions and operations, and related activities, that commenced with the surprise attack on the State of Israel on October 7, 2023.</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facilities located in Israel, and therefore, political conditions in Israel may affect Microbot’s operations and results.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relations could limit Microbot’s ability to sell or buy internationally.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Israel’s economy may become unstable.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between the U.S. dollar and the NIS currencies may negatively affect Microbot’s operating costs.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and other benefits provided by Israeli government programs may be terminated or reduced in the future and the terms of such funding may have a significant impact on future corporate decisions.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Microbot’s employees are obligated to perform military reserve duty in Israel.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9"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upon exercise of outstanding warrants and options could cause immediate and substantial dilution to existing stockholders.</w:t>
      </w:r>
    </w:p>
    <w:p>
      <w:pPr>
        <w:spacing w:after="0" w:line="225"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this offering contained elsewhere in this prospectus. Because it is only a summary, it does not contain all of the information that you should consider before investing in shares of our securities and it is qualified in its entirety by, and should be read in conjunction with, the more detailed information appearing elsewhere in this prospectus. Before you decide to invest in our securities, you should read the entire prospectus carefully, including “Risk Factors” beginning on page 11, and the consolidated financial statements and related notes and the other information included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clinical-stage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are developing the first 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in the peripheral vasculature. It is designed to eliminate the need for extensive capital equipment requiring dedicated Cath-lab rooms as well as dedicated staff.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Offerings and Concurrent Private Placements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6, 2025, we entered into a securities purchase agreement with investors, pursuant to which we agreed to issue and sell, in a registered direct offering priced at-the-market under the rules of The Nasdaq Stock Market, an aggregate of 4,000,001 shares of our common stock at an offering price of $1.75 per share. In a concurrent private placement, we agreed to issue to the same investors series G preferred investment options to purchase up to 8,000,002 shares of our common stock at an exercise price of $1.75 per share. Each series G preferred investment option was exercisable immediately and expires two years from the initial exercise date. The offerings closed on January 7, 2025, and we raised approximately $7.0 million in aggregate gross proceeds from such offerings, before deducting placement agent fees and expenses and related offering expenses. We also issued at closing to the placement agent or its designees, warrants to purchase 200,000 shares of our common stock, which were exercisable immediately, expire two years from issuance, and have an exercise price of $2.1875 per share.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7, 2025, we entered into a securities purchase agreement with investors, pursuant to which we agreed to issue and sell, in a registered direct offering priced at-the-market under the rules of The Nasdaq Stock Market, an aggregate of 3,788,550 shares of our common stock at an offering price of $2.27 per share. In a concurrent private placement, we agreed to issue to the same investors series H preferred investment options to purchase up to 7,577,100 shares of our common stock at an exercise price of $2.10 per share. Each series H preferred investment option was exercisable immediately and expires two years from the initial exercise date. The offerings closed on January 10, 2025, and we raised approximately $8.6 million in aggregate gross proceeds from such offerings, before deducting placement agent fees and expenses and related offering expenses. We also issued at closing to the placement agent or its designees, warrants to purchase 189,428 shares of our common stock, which were exercisable immediately, expire two years from issuance, and have an exercise price of $2.8375 per share.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10, 2021, we entered into an At-the-Market Offering Agreement, as amended on July 1, 2024 (the “ATM Agreement”) with Wainwright as sales agent, in connection with an “at the market offering” under which we may offer and sell, from time to time in our sole discretion, shares of our common stock having an aggregate offering price of up to $4,819,905 at market prices or as otherwise agreed with Wainwright. The compensation to Wainwright for sales of the shares is a placement fee of 3.0% of the gross sales price of the shares of common stock sold pursuant to the ATM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entering into the ATM Agreement, on July 1, 2024, we filed with the SEC a prospectus supplement relating to the offer, issuance and sale of up to $4,819,905 of our shares of common stock pursuant to the ATM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January 7, 2025, we issued and sold an aggregate of 4,276,486 shares of our common stock pursuant to the ATM Agreement, for total gross proceeds of $4,819,278 before deducting aggregate placement fees of $144,578 and other offering expenses. Accordingly, we are no longer selling any further shares of our common stock under the ATM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7, 2025, after taking into account the issuance of all of the shares sold under the ATM Agreement and all of the shares sold to the investors in the January 2025 Offerings (excluding shares underlying the series G preferred investment options), we had 24,242,120 shares of our common stock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510(k) Premarket Notification Submission</w:t>
      </w:r>
    </w:p>
    <w:p>
      <w:pPr>
        <w:spacing w:after="0" w:line="22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are on-going as of the date of this prospectus, although a cease fire with Hamas was declared on January 15, 2025 and there is currently a ceasefire with Hezbollah in Lebanon.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considered various ongoing risks relating to the military operations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As of the date of this prospectus, we have determined that there have not been any materially adverse effects on our business or operations, but we continue to monitor the situation, as any collapse of the cease-fire with Hamas or Hezbollah or any future escalation or change could result in a material adverse effect on the ability of our Israeli office to support the Company’s clinical and regulatory activities. We do not have any specific contingency plans in the event of any such escalation or change.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January 13, 2020, Microbot unveiled what it believes is the world’s first fully disposable robotic system for use in endovascular interventional procedures, such as cardiovascular, peripheral and neurovascular. The LIBERTY® Endovascular Robotic Surgical System features a unique compact design with the capability to be operated remotely, reduce radiation exposure and physical strain to the physician, reduce the risk of cross contamination, as</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well as the potential to eliminate the use of multiple consumables when used with its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 or possibly other guidewire/microcatheter technologies.</w:t>
      </w:r>
    </w:p>
    <w:p>
      <w:pPr>
        <w:spacing w:after="0" w:line="20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and is intended for the remote delivery and manipulation of guidewires and catheters, and remote manipulation of guide catheters to facilitate navigation to anatomical targets in the peripheral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its current version includes the peripheral interventional radiology market, with future versions expected to include the Interventional Cardiology and Interventional Neuroradiology markets.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8"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1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Can be made compatible with Microbot’s NitiLoop’s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or possibly other guidewire/microcatheter technologies, that combines guidewire and microcatheter into a single device.</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microcatheter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 2023, we announced that the LIBERTY®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202"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17"/>
          <w:szCs w:val="17"/>
          <w:color w:val="auto"/>
        </w:rPr>
        <w:t>In October 2023, we announced the successful initial outcomes from our pivotal preclinical study with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to</w:t>
      </w:r>
    </w:p>
    <w:p>
      <w:pPr>
        <w:jc w:val="both"/>
        <w:spacing w:after="0" w:line="227" w:lineRule="auto"/>
        <w:rPr>
          <w:sz w:val="20"/>
          <w:szCs w:val="20"/>
          <w:color w:val="auto"/>
        </w:rPr>
      </w:pPr>
      <w:r>
        <w:rPr>
          <w:rFonts w:ascii="Times New Roman" w:cs="Times New Roman" w:eastAsia="Times New Roman" w:hAnsi="Times New Roman"/>
          <w:sz w:val="18"/>
          <w:szCs w:val="18"/>
          <w:color w:val="auto"/>
        </w:rPr>
        <w:t>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Investigational Device Exemption (“IDE”) submission to the FDA to commence human clinical study.</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29, 2024, the Company submitted an Investigational Device Exemption (IDE) application with the FDA, in order to commence its pivotal clinical trial in humans. On June 3, 2024, we announced that we received the FDA’s approval to proceed with our pivotal human clinical trial as part of our</w:t>
      </w:r>
    </w:p>
    <w:p>
      <w:pPr>
        <w:jc w:val="both"/>
        <w:spacing w:after="0" w:line="209" w:lineRule="auto"/>
        <w:rPr>
          <w:sz w:val="20"/>
          <w:szCs w:val="20"/>
          <w:color w:val="auto"/>
        </w:rPr>
      </w:pPr>
      <w:r>
        <w:rPr>
          <w:rFonts w:ascii="Times New Roman" w:cs="Times New Roman" w:eastAsia="Times New Roman" w:hAnsi="Times New Roman"/>
          <w:sz w:val="18"/>
          <w:szCs w:val="18"/>
          <w:color w:val="auto"/>
        </w:rPr>
        <w:t>IDE application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Since then, Brigham and Women’s Hospital, Boston, Massachusetts, Baptist Hospital of Miami, which includes Miami Cardiac &amp; Vascular Institute and Miami Cancer Institute, and Memorial Sloan Kettering Cancer Center, New</w:t>
      </w:r>
    </w:p>
    <w:p>
      <w:pPr>
        <w:spacing w:after="0" w:line="2"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York, have each enrolled in the clinical trial as part of the IDE for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Since then, in October 2024, the Company has successfully completed enrollment and follow up for all patients in its human clinical trial.</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announced that is has successfully completed all biocompatibility tests, as required by its Investigational Device Exemption (IDE) application and received full approval for the IDE study from the FDA.</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August 13, 2024, we announced that we received ISO 13485:2016 certification for our quality management system. Receiving ISO 13485 certification indicates that a company has developed and implemented robust policies and procedures for the development and manufacture of regulated medical products. This is a certification ensuring compliance with the Quality Management System (QMS) requirements of the EU Medical Devices Regulation</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(MDR 2017/745) and supporting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We anticipate CE Mark approval in the second half of 2026. However, we can give no assurance that we will meet this or any other projected milestones, if ever. In addition, in view of the recent revision published by the U.S. Food &amp; Drug Administration (FDA) regarding the quality system management regulation and its incorporation by reference of the ISO 13485 standard, we believe it will help streamline our transition into this revised FDA regulation.</w:t>
      </w:r>
    </w:p>
    <w:p>
      <w:pPr>
        <w:spacing w:after="0" w:line="20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w:t>
      </w:r>
    </w:p>
    <w:p>
      <w:pPr>
        <w:jc w:val="both"/>
        <w:spacing w:after="0" w:line="221" w:lineRule="auto"/>
        <w:rPr>
          <w:sz w:val="20"/>
          <w:szCs w:val="20"/>
          <w:color w:val="auto"/>
        </w:rPr>
      </w:pPr>
      <w:r>
        <w:rPr>
          <w:rFonts w:ascii="Times New Roman" w:cs="Times New Roman" w:eastAsia="Times New Roman" w:hAnsi="Times New Roman"/>
          <w:sz w:val="18"/>
          <w:szCs w:val="18"/>
          <w:color w:val="auto"/>
        </w:rPr>
        <w:t>exploring the feasibility of integrating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with an imaging system to create an autonomous robotic system for endovascular procedures. See “Risk Factors-Risks Relating to the Development and Commercialization of Microbot’s Product Candidates” below.</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w:t>
      </w:r>
    </w:p>
    <w:p>
      <w:pPr>
        <w:spacing w:after="0" w:line="1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feature.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 address is 288 Grove Street, Suite 388, Braintree, MA 02184. Microbot also has an executive office at 6 Hayozma Street, Yokneam,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the selling stockholders identified in this prospectus of up to 15,966,530 shares of our common stock, as follows:</w:t>
      </w:r>
    </w:p>
    <w:p>
      <w:pPr>
        <w:spacing w:after="0" w:line="225"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8,000,002 shares of our common stock issuable to certain of the selling stockholders upon the exercise of outstanding series G preferred investment options expiring in January 2027, at an exercise price per share of $1.75;</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shares of our common stock issuable to certain of the selling stockholders upon the exercise of outstanding preferred investment options expiring in January 2027, at an exercise price per share of $2.1875;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7,577,100 shares of our common stock issuable to certain of the selling stockholders upon the exercise of outstanding series H preferred investment options expiring in January 2027, at an exercise price per share of $2.10;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189,428 shares of our common stock issuable to certain of the selling stockholders upon the exercise of outstanding preferred investment options expiring in January 2027, at an exercise price per share of $2.8375.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offered by the selling stockholders</w:t>
            </w:r>
          </w:p>
        </w:tc>
        <w:tc>
          <w:tcPr>
            <w:tcW w:w="4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15,966,530 shares</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before the offering (1)</w:t>
            </w:r>
          </w:p>
        </w:tc>
        <w:tc>
          <w:tcPr>
            <w:tcW w:w="4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28,641,187 shares</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to be outstanding after the offering (2)</w:t>
            </w:r>
          </w:p>
        </w:tc>
        <w:tc>
          <w:tcPr>
            <w:tcW w:w="4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44,607,717 shares</w:t>
            </w: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4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MBOT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number of shares outstanding as of January 31, 2025.</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of all of the 15,966,530 options held by the selling stockholders, the underlying shares of which are being registered pursuant to the registration statement of which this prospectus forms a part. Does not include the exercise of any other options or warrants that may be outstanding or issuable.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15,966,530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$30.9 million in gross proceeds if all of the 15,966,530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paid dividends on our capital stock and do not anticipate paying any dividends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Please read the information contained under the heading “Risk Factors” beginning on page 11 of this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prospectus contain forward-looking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prospectus or in other reports, press releases or other statements issued from time to time. Additional factors that may cause such a difference are set forth elsewhere in this prospectus. Forward-looking statements speak only as of the date of this report. We do not undertake any obligation to publicly update any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Financial Position and Need for Additional Capital</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5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has incurred significant operating losses since its inception and expects to incur significant losses for the foreseeable future as Microbot continues its preclinical and clinical development programs for its existing product candidates, primarily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its research and development of any other future product candidates; and all other work necessary to obtain regulatory clearances or approvals for its product candidates in the United States and other markets. In the future, Microbot intends to continue conducting micro-robotics research and development;</w:t>
      </w:r>
    </w:p>
    <w:p>
      <w:pPr>
        <w:jc w:val="both"/>
        <w:spacing w:after="0" w:line="227" w:lineRule="auto"/>
        <w:rPr>
          <w:sz w:val="20"/>
          <w:szCs w:val="20"/>
          <w:color w:val="auto"/>
        </w:rPr>
      </w:pPr>
      <w:r>
        <w:rPr>
          <w:rFonts w:ascii="Times New Roman" w:cs="Times New Roman" w:eastAsia="Times New Roman" w:hAnsi="Times New Roman"/>
          <w:sz w:val="18"/>
          <w:szCs w:val="18"/>
          <w:color w:val="auto"/>
        </w:rPr>
        <w:t>performing necessary animal and clinical testing; working towards medical device regulatory compliance; and, if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future product candidates are approved or cleared for commercial distribution, engaging in appropriate sales and marketing activities that, together with anticipated general and administrative expenses, will likely result in Microbot incurring further significant losses for the foreseeable future.</w:t>
      </w:r>
    </w:p>
    <w:p>
      <w:pPr>
        <w:spacing w:after="0" w:line="19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Microbot is a development-stage medical device company and currently generates no revenue from product sales, and may never be able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future product candidates. Microbot does not currently have the required approvals or</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clearances to market or test in humans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future product candidates and Microbot may never receive them. Microbot does not anticipate generating significant revenues until it can successfully develop, commercialize and sell products derived from its product pipeline, of which Microbot can give no assurance. Even if Microbot or any of its future development partners succeed in commercializing any of its product candidates, Microbot may never generate revenues significant enough to achieve profitability.</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research and development programs and/or day-to-day operations. Furthermore, there can be no assurance that profitability, if achieved, can be sustained on an ongoing basis.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has a limited operating history outside of being a research and development-stage company, which may make it difficult to evaluate the prospects for the Company’s future viability.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 has a limited operating history upon which an evaluation of its business plan or performance and prospects can be made. The business and prospects of Microbot must be considered in the 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Microbot’s operations to date have been limited to organizing the company, entering into licensing arrangements to initially obtain rights to its technologies, developing and securing its technologies, raising capital, developing regulatory and reimbursement strategies for its product candidates, preparing for preclinical and clinical trials of product candidates from time to time and, most recently, commencing pre-commercialization planning for the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Microbot has not yet demonstrated its ability to successfully complete development of any product candidate, obtain marketing clearance or approval, manufacture a commercial-scale product or arrange for a third-party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will need additional funding. If Microbot is unable to raise capital when needed, it could be forced to delay, reduce or eliminate its product development programs or commercialization efforts.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Microbot has funded its operations primarily through offerings of debt and equity securities and grants. Microbot does not know when, or if, it will generate any revenue, but does not expect to generate significant revenue unless and until it obtains regulatory clearance or approval of and commercializes one of its current or future product candidates. It is anticipated that the Company will continue to incur losses for the foreseeable future, and that losses will increase as it continues the development of, and seeks regulatory review of, its product candidates, and begins to commercialize any approved or cleared products following a successful regulatory review.</w:t>
      </w:r>
    </w:p>
    <w:p>
      <w:pPr>
        <w:spacing w:after="0" w:line="18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Microbot expects the research and development expenses of the Company to continue to increase substantially in future periods as it potentially conducts clinical trials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especially if it initiates additional research programs for future applications and product candidates. This is the case even with the Company’s past suspension and termination of the research and development programs relating to</w:t>
      </w:r>
    </w:p>
    <w:p>
      <w:pPr>
        <w:spacing w:after="0" w:line="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SCS device, 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other programs. In addition, if the Company obtains marketing clearance or approval for any of its product candidates, it expects to incur significant commercialization expenses related to product manufacturing, marketing and sales. Furthermore, Microbot incurs substantial costs associated with operating as a public company in the United States. Accordingly, the Company will likely need to obtain substantial additional funding in connection with its continuing operations through its projected profitability, of which it can give no assurance of success. If the Company is unable to raise capital when needed or on attractive terms, it could be forced to delay, reduce or eliminate its research and development programs or any future commercialization efforts, in which case it may be unable to meet its obligations or fully implement its business plan, if at all.</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both"/>
        <w:spacing w:after="0" w:line="226" w:lineRule="auto"/>
        <w:rPr>
          <w:sz w:val="20"/>
          <w:szCs w:val="20"/>
          <w:color w:val="auto"/>
        </w:rPr>
      </w:pPr>
      <w:r>
        <w:rPr>
          <w:rFonts w:ascii="Times New Roman" w:cs="Times New Roman" w:eastAsia="Times New Roman" w:hAnsi="Times New Roman"/>
          <w:sz w:val="18"/>
          <w:szCs w:val="18"/>
          <w:color w:val="auto"/>
        </w:rPr>
        <w:t>The Company intends to continue to opportunistically strengthen its balance sheet by raising additional funds through equity offerings or otherwise in order to meet expected future liquidity needs, including the commercial introduction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Company’s future capital requirements, generally, will depend on many factors, including:</w:t>
      </w:r>
    </w:p>
    <w:p>
      <w:pPr>
        <w:spacing w:after="0" w:line="20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the product candidates’ regulatory reviews, subsequent approvals or clearances, or other regulatory actions;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design, duration and any potential delays of the clinical trials that could be conducted at the FDA’s request using Microbot’s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new and existing businesses, product candidates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maintain, expand and defend the scope of Microbot’s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secure or establish sales, marketing and commercial manufacturing capabilities or arrangements with third parties regarding same;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need and ability to hire additional management and scientific and medical personnel;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operate as a public company 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and Commercialization of Microbot’s Product Candidates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Unsuccessful animal studies, clinical trials or procedures relating to product candidates under development or that we may develop could have a material adverse effect on our prospects.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or perceptions regarding such data, could adversely affect Microbot’s ability to obtain necessary device clearance or approval and the market’s view of Microbot’s future prospects.</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Failure to successfully complete the studies or trials in a timely and cost-effective manner could have a material adverse effect on Microbot’s prospects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product candidates we may identify from time to time.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 The FDA may disagree with our interpretation of the data from our clinical trials, or may find the clinical trial design, conduct or results inadequate to demonstrate safety and effectiveness of the product candidate. The FDA may also require additional preclinical studies or clinical trials which could further delay approval of our product candidates.</w:t>
      </w:r>
    </w:p>
    <w:p>
      <w:pPr>
        <w:spacing w:after="0" w:line="199"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b w:val="1"/>
          <w:bCs w:val="1"/>
          <w:i w:val="1"/>
          <w:iCs w:val="1"/>
          <w:color w:val="auto"/>
        </w:rPr>
        <w:t>Microbot’s business depends heavily on the success of its sole lead product candidate,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If Microbot is unable to commercialize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or experiences significant delays in doing so, Microbot’s business will be materially harmed.</w:t>
      </w:r>
    </w:p>
    <w:p>
      <w:pPr>
        <w:spacing w:after="0" w:line="20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Generally, after all necessary clinical and performance data supporting the safety and effectiveness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or any other product candidate, are collected, Microbot must still obtain FDA clearance or approval to market the system and those regulatory processes can take several months to several years to be completed. Therefore, Microbot’s ability to generate product revenues will not occur for at least the next few years, if at all, and will depend heavily on the successful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or any of</w:t>
      </w:r>
    </w:p>
    <w:p>
      <w:pPr>
        <w:spacing w:after="0" w:line="4"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our other product candidates from time to time. The success of commercializing any of our product candidates, include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will depend on a number of factors, including the following:</w:t>
      </w:r>
    </w:p>
    <w:p>
      <w:pPr>
        <w:spacing w:after="0" w:line="19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animal studies and human clinical trials and the collection of sufficient data to demonstrate that the device is safe and effective for its intended use;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or clearances from the FDA and other applicable regulatory authorities, which we continue to seek;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arrangements with one or more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Microbot’s rights in its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commercial sales, if and when approved, whether alone or in collaboration with other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commercially launched, by the medical community, patients and third-party payors;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existing and competitive products on the market and any new competing products that may enter the market;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quality and an acceptable safety profile of our products following clearance or approval.</w:t>
      </w:r>
    </w:p>
    <w:p>
      <w:pPr>
        <w:spacing w:after="0" w:line="229"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We previously suspended our research and development programs for all of our product candidates and platforms other than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result of, among other things, some of the above factors, and our short and medium term success is no longer tied to multiple product candidates but rather just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If Microbot does not achieve one or more of these factors in a</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timely manner or at all, it could experience significant delays or an inability to successfully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which would materially harm its business.</w:t>
      </w:r>
    </w:p>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Microbot’s research and development efforts are uncertain and there can be no assurance of the commercial success of Microbot’s product candidates.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believes that its success will depend in part on its ability to expand its product offerings and continue to improve its existing product candidates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may not meet its development and commercialization objectives in a timely manner or at all.</w:t>
      </w:r>
    </w:p>
    <w:p>
      <w:pPr>
        <w:spacing w:after="0" w:line="2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Microbot has established internal goals, based upon expectations with respect to its technologies, which Microbot has used to assess its progress toward developing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These goals relate to technology and design improvements as well as to dates for</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achieving specific development, commercialization and results. If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exhibits technical defects or are unable to meet cost or performance goals, Microbot’s commercialization schedule could be delayed and potential purchasers may decline to purchase such products or may opt to pursue alternative products, which would materially harm its business.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Microbot’s ability to expand its technology platforms for other uses may be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has decided to focus on expanding all of its technology platforms for use in segments of the endovascular, cardiovascular and neurosurgery markets. Microbot’s ability to expand its technology platforms for use in such markets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spacing w:after="0" w:line="228" w:lineRule="auto"/>
        <w:rPr>
          <w:sz w:val="20"/>
          <w:szCs w:val="20"/>
          <w:color w:val="auto"/>
        </w:rPr>
      </w:pPr>
      <w:r>
        <w:rPr>
          <w:rFonts w:ascii="Times New Roman" w:cs="Times New Roman" w:eastAsia="Times New Roman" w:hAnsi="Times New Roman"/>
          <w:sz w:val="18"/>
          <w:szCs w:val="18"/>
          <w:b w:val="1"/>
          <w:bCs w:val="1"/>
          <w:i w:val="1"/>
          <w:iCs w:val="1"/>
          <w:color w:val="auto"/>
        </w:rPr>
        <w:t>At this time, Microbot does not know the extent of all of the clinical trial or data submissions that the FDA will require it to submit in support of its future marketing applications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which creates uncertainty for Microbot as well as the possibility of increased product development costs and time to market.</w:t>
      </w: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Microbot has identified a predicate device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it used in its 510(k) application. However, there is no guarantee that the FDA will agree with the Company’s determination or that the FDA would accept the predicate device that Microbot submitted in its 510(k). Furthermore, even though Microbot intends to commence its human trials based on protocols agreed to with the FDA as part of its IDE submission, the FDA also may request additional data in response to a 510(k) or require Microbot to conduct further testing or compile more data in support of its 510(k). It is unclear at this time whether and how various activities initiated or announced by the FDA to modernize the U.S. medical device regulatory system could affect the marketing pathway or timeline for our product candidate, given their nature.</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FDA requires clinical data to be submitted as part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the sponsor of the investigation must also submit and obtain FDA approval of an Investigational Device Exemption, or IDE, application, which we have submitted and are continuing the submission process with the FDA while we commence the approved human trials.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9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Thus, the addition of one or more mandatory clinical trials to the development timeline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would significantly increase the costs associated with developing and commercializing the product and delay the timing of U.S. regulatory authorization. The current uncertainty regarding near-term medical device regulatory changes by the FDA could further affect our development</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plans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depending on their nature, scope and applicability. Microbot and its business, financial condition and operating results could be materially and adversely affected as a result of any such costs, delays or uncertainty.</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Microbot’s returned certain of its technology, originally acquired from CardioSert and part of its One &amp; Done</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feature, as a result of the triggering of a buy-back clause, which may adversely affect our ability to develop and commercialize, or materially delay the development and commercialization of, our One &amp; Done</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feature.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agreement with CardioSert we entered into in January 2018 to acquire its technology, we were required to meet certain commercialization deadlines or CardioSert may terminate the agreement and buy back the technology for $1.00.</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a result of our failure to meet an applicable deadline, and as a result of our May 2023 core-business focus program and cost reduction plan which resulted in our terminating the January 2018 agreement with CardioSert effective as of August 17, 2023 and ceasing development and maintenance of the technology, CardioSert re-acquire the technology for nominal consideration. Such sale may materially adversely affect our ability to develop and</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commercialize, or materially delay the development and commercialization of, our 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feature, as, if and when we restart that feature with our Nitiloop technology.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development-stage, clinical-stage company, Microbot has no prior experience in designing, initiating, conducting and monitoring human clinical trials. Microbot will depend upon its ability and/or the ability of future collaborators, contract research organizations, clinical trial sites and investigators to successfully design, initiate, conduct and monitor such clinical trials.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its product candidates and, consequently, could delay or materially impair its ability to generate revenues from the commercialization of those products.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spacing w:after="0" w:line="16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Our research and development program is dependent on the availability of the component parts that we use to manufacture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packaging. Our business, therefore, could be adversely impacted by factors affecting our suppliers (such as the lack of employees due to military actions, a work stoppage or strike by our suppliers’ employees or the failure of our suppliers to provide materials of the requisite quality).</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Israel-Hamas war and related conflicts, we are currently experiencing delays in the supply for certain components from Israeli-based vendors. We cannot determine with any certainty as to whether these shortages will continue and if so, for how long. Consequently, our operational and development timeline could be adversely affected if we were unable to obtain these components from our suppliers in the quantities or based on the timeline we require. Although we believe in most cases that we could identify alternative suppliers, we can give no assurance that our research and development timelines will not be delayed while we identify and retain replacement suppliers. Accordingly, any material delay in delivery of any component parts or packaging could materially adversely affect our ability to obtain FDA approval and otherwise meet our expected timeframes.</w:t>
      </w:r>
    </w:p>
    <w:p>
      <w:pPr>
        <w:spacing w:after="0" w:line="187"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b w:val="1"/>
          <w:bCs w:val="1"/>
          <w:i w:val="1"/>
          <w:iCs w:val="1"/>
          <w:color w:val="auto"/>
        </w:rPr>
        <w:t>If the commercial opportunity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and such other products will be adversely affected and Microbot’s business will suffer.</w:t>
      </w:r>
    </w:p>
    <w:p>
      <w:pPr>
        <w:spacing w:after="0" w:line="1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size of the commercial opportunities in any of Microbot’s target markets is smaller than it anticipates, Microbot may not be able to achieve profitability and growth. It is difficult to predict the penetration, future growth rate or size of the market for Microbot’s product candidate.</w:t>
      </w:r>
    </w:p>
    <w:p>
      <w:pPr>
        <w:spacing w:after="0" w:line="1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commercial success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 candidates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 candidates. In addition, its competitors may develop new technologies for the same markets Microbot is targeting that are more attractive to medical facilities and physicians. If doctors and other medical professionals do not consider Microbot product candidates to be suitable for application in the procedures we are targeting and an improvement over the use of existing or competing products, Microbot’s business goals will not be realized.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Customers will be unlikely to buy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or any other product candidates unless Microbot can demonstrate that they can be produced for sale to consumers at attractive prices.</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To date, Microbot has focused primarily on research and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first generation versions of other current and former product candidates. Consequently, Microbot has no experience in manufacturing its product candidates, and intends to manufacture its product candidates through third-party manufacturers. Microbot can offer no 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good manufacturing practice (GMP) 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proposed price of Microbot’s product candidates, once approved for sale, will be dependent on material and other manufacturing costs. Microbot cannot offer any assurances that its manufacturing partner will be able manufacture its product candidates at a competitive price or that achieving cost reductions will not cause a reduction in the performance, reliability and longevity of its product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has relied on, and intends to continue to rely on, third-party manufacturers to produce its product candidates.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currently relies, and expects to rely for the foreseeable future, on third-party manufacturers to produce and supply its product candidates, and it expects to rely on third parties to manufacture the commercialized products as well, should they receive the necessary regulatory clearance or approval. Reliance on third-party manufacturers entails risks to which Microbot would not be subject if Microbot manufactured its product candidates or future commercial products itself, including:</w:t>
      </w:r>
    </w:p>
    <w:p>
      <w:pPr>
        <w:spacing w:after="0" w:line="18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internal operational problems or scheduling constraints of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regulatory non-compliance or other violations by the third-party manufacturer that could result in quality assurance;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 parties because of various factors beyond Microbot’s control;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manufacturing agreements by third parties for various reasons beyond Microbot’s control, at a time that is costly or inconvenient to Microbot.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Microbot is not able to maintain its key manufacturing relationships, Microbot may fail to find replacement manufacturers or develop its own manufacturing capabilities, which could delay or impair Microbot’s ability to obtain regulatory clearance or approval for its product candidates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Microbot’s product candidates are not considered to be a safe and effective alternative to existing technologies, Microbot will not be commercially successful.</w:t>
      </w:r>
    </w:p>
    <w:p>
      <w:pPr>
        <w:spacing w:after="0" w:line="16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of our product candidates from time to time rely or are expected to rely on new technologies, and Microbot’s success will depend on acceptance of these technologies by the medical community as safe, clinically effective, cost effective and a preferred device as compared to products of its competitors. Microbot does not have long-term data regarding efficacy, safety and clinical outcomes</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associated with the use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increasingly price sensitive.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may be subject to penalties and may be precluded from marketing its product candidates if Microbot fails to comply with extensive governmental regulations.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 believes that its medical device product candidates will be categorized as Class II devices, which typically require a 510(k) or 510(k) de-novo premarket submission to the FDA. However, the FDA has not made any determination about whether Microbot’s medical product candidates are Class II medical devices and may disagree with that classification. If the FDA determines that Microbot’s product candidates should be reclassified as Class III medical devices, Microbot could be precluded from marketing the devices for clinical use within the United 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current product candidates or products Microbot develops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Microbot’s product offerings are used across diverse healthcare settings, they will be affected to varying degrees by the different payment systems.</w:t>
      </w:r>
    </w:p>
    <w:p>
      <w:pPr>
        <w:spacing w:after="0" w:line="225"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Clinical outcome studies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may not provide sufficient data to make such product candidate the standard of care.</w:t>
      </w:r>
    </w:p>
    <w:p>
      <w:pPr>
        <w:spacing w:after="0" w:line="20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Microbot’s business plan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relies on the broad adoption by surgeons of the product for its planned applications.</w:t>
      </w:r>
    </w:p>
    <w:p>
      <w:pPr>
        <w:spacing w:after="0" w:line="20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Clinical studies may not show an advantage in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based procedures in a timely manner, or at all, and outcome studies have not been designed at this time, and may be too large and too costly for Microbot to conduct. Both situations could prevent broad adoption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materially impact Microbot’s business.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products may in the future be subject to mandatory product recalls that could harm its reputation, business and financial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 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spacing w:after="0" w:line="194" w:lineRule="exact"/>
        <w:rPr>
          <w:sz w:val="20"/>
          <w:szCs w:val="20"/>
          <w:color w:val="auto"/>
        </w:rPr>
      </w:pPr>
    </w:p>
    <w:p>
      <w:pPr>
        <w:ind w:left="5540" w:right="4420" w:hanging="5208"/>
        <w:spacing w:after="0" w:line="532" w:lineRule="auto"/>
        <w:tabs>
          <w:tab w:leader="none" w:pos="66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detention or seizure of Microbot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requests for 510(k) clearance or premarket approval of new products or modified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other types of regulatory authorizations -that have already been granted;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to grant export approval for Microbot products;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anticipates that in the future it is likely that we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 as well as defending Microbot in a lawsuit, will require the dedication of our time and capital, distract management from operating our business, and may harm our reputation and financial results.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could be exposed to significant liability claims if Microbot is unable to obtain insurance at acceptable costs and adequate levels or otherwise protect itself against potential product liability claims.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fails to retain certain of its key personnel and attract and retain additional qualified personnel, Microbot might not be able to pursue its growth strategy effectively.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Microbot is dependent on its senior management, in particular Harel Gadot, Microbot’s Chairman, President and Chief Executive Officer, and Simon Sharon, its General Manager and Chief Technology Officer. Although Microbot believes that its relationship with members of its senior management is positive, there can be no assurance that the services of any of these individuals will continue to be available to Microbot in the future. In particular, as part of our May 2023 cost reduction program, we reduced all executive officers’ salaries by between 30%-50%. Although the salaries of all executives have since been reinstated, we can give no assurance that any of our executives will remain with our company in light of such reductions.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Microbot does not carry, and does not intend to carry, any key person life insurance policies on any of its existing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International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fails to obtain regulatory clearances in other countries for its product candidates under development, Microbot will not be able to commercialize these product candidates in those countries.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for Microbot to market its product candidates in countries other than the United States, it must comply with the safety and quality regulations in such countries.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 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Although we engaged with a leading notified body to secure a CE Mark for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it is not yet certain as to when we will secure the CE Mark, and we cannot be certain that we will be successful in complying with the requirements of the CE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Certificate of Conformity and receiving a CE Mark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product candidates or in continuing to meet the requirements of the Medical Devices Directive in the European Economic Area (EEA).</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Israel’s Medical Devices Law generally requires the registration of all medical products with the Ministry of Health, or MOH, Registrar through the submission of an application to the Ministry of Health Medical Institutions and Devices Licensing Department, or AMAR. If the application includes a certificate issued by a competent authority of a “recognized” country, which includes Australia, Canada, the European Community Member States, Japan or the United States, the registration process is expedited, but is generally still expected to take 6 to 9 months for approval. If certification from a recognized country is not available, the registration process takes significantly longer and a license is rarely issued under such circumstances, as the MOH may require the presentation of significant additional clinical data.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operations in international markets involve inherent risks that Microbot may not be able to control.</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spacing w:after="0" w:line="17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macroeconomic conditions affecting geographies where Microbot intends to do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international borders, including as a result of biohazards or pandemics;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or economic instability in a specific country or region;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 certain foreign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claims on foreign patents, copyrights or trademark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across disparate geographic areas;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enforcing agreements and intellectual property rights through foreign legal systems;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and other regulatory requirements, which affect Microbot’s ability to import or export its product candidates from or to various countries;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legal and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conflict, terrorist activities, natural disasters and medical epidemics;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ability to recruit and retain channel partners in foreign jurisdictions.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Microbot’s financial results may be affected by fluctuations in exchange rates and Microbot’s current currency hedging strategy may not be sufficient to counter such fluctuations.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 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infringement claims could cause Microbot to incur significant expenses or prevent Microbot from selling certain of its product candidates.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Microbot currently holds, through licenses or otherwise, an intellectual property portfolio that includes U.S. and international patents and pending patents, and other patents under development. Microbot intends to continue to seek legal protection, primarily through patents, including the remaining TRDF</w:t>
      </w:r>
    </w:p>
    <w:p>
      <w:pPr>
        <w:jc w:val="both"/>
        <w:spacing w:after="0" w:line="236" w:lineRule="auto"/>
        <w:rPr>
          <w:sz w:val="20"/>
          <w:szCs w:val="20"/>
          <w:color w:val="auto"/>
        </w:rPr>
      </w:pPr>
      <w:r>
        <w:rPr>
          <w:rFonts w:ascii="Times New Roman" w:cs="Times New Roman" w:eastAsia="Times New Roman" w:hAnsi="Times New Roman"/>
          <w:sz w:val="18"/>
          <w:szCs w:val="18"/>
          <w:color w:val="auto"/>
        </w:rPr>
        <w:t>licensed patents that relate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technology,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the first right, but not the obligation, to control the prosecution, maintenance or enforcement of the remaining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remaining TRDF licensed patents, TRDF may elect to do so but may fail to take the steps that are necessary or desirable in order to obtain, maintain and enforce the licensed patents.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long-term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Risks Relating to Operations in Israel </w:t>
      </w:r>
      <w:r>
        <w:rPr>
          <w:rFonts w:ascii="Times New Roman" w:cs="Times New Roman" w:eastAsia="Times New Roman" w:hAnsi="Times New Roman"/>
          <w:sz w:val="18"/>
          <w:szCs w:val="18"/>
          <w:b w:val="1"/>
          <w:bCs w:val="1"/>
          <w:i w:val="1"/>
          <w:iCs w:val="1"/>
          <w:color w:val="auto"/>
        </w:rPr>
        <w:t>Existing and historical risks relating to our operations in Israel are being exacerbated by the current military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actions and operations, and related activities, that commenced with the surprise attack on the State of Israel on October 7, 2023.</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ongoing risks of operating in Israel are being exacerbated as a result of the October 7, 2023 surprise attack by hostile forces from Gaza, which led to Israeli military operation at first in Gaza and then in Lebanon. These include security and economic risks, risks relating to our ability to sell or buy internationally, risk of economic instability, risk of exchange rate fluctuation negatively affecting operating costs, and the risk of employees leaving to perform military service. These military operations and related activities, such as the recent collapse of the Assad regime in Syria and Israel’s subsequent military operations in Syria, and the recent escalation of military operations by and against the Houthis in Yemen, are on-going as of the date of this prospectus, although a cease fire with Hamas was declared on January 15, 2025 and there is currently a ceasefire with Hezbollah in Lebanon.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right="18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collapse of the cease-fire with Hamas or Hezbollah or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has facilities located in Israel, and therefore, political conditions in Israel may affect Microbot’s operations and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Microbot has facilities located in Israel. In addition, one of its seven directors, its General Manager and Chief Technology Officer and its Chief Financial Officer, as well as substantially all of its research and development team and non-management employees, are residents of Israel. Accordingly, political, economic and military conditions in Israel will directly or indirectly affect Microbot’s operations and results. Most recently, for example, the current political situation in Israel where the ruling parties are attempting to implement laws that essentially allow the parliament to enact laws that are preemptively immune to judicial review could adversely affect our business and results of operations. In addition,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including the current armed conflict.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relations could limit Microbot’s ability to sell or buy internationally.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the United States, Europe and elsewhere to reduce trade with Israel. There can be no assurance that restrictive laws, policies or practices directed towards Israel or Israeli businesses will not have an adverse impact on Microbot’s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Israel’s economy may become unstable.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between the U.S. dollar and the NIS currencies may negatively affect Microbot’s operating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Microbot’s expenses are paid in New Israeli Shekels, or NIS, but its financial statements are denominated in U.S. dollars. As a result, Microbot is exposed to the risks that the NIS may appreciate relative to the 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primary expenses paid in NIS that are not linked to the U.S. dollar are employee expenses in Israel and lease payments on its Israeli facility. As Microbot does not hedge against its position in NIS, a change in the value of the NIS compared to the U.S. dollar could increase Microbot’s research and development expenses, labor costs and general and administrative expenses, and as a result, have a negative impact on Microbot’s financial condition.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Funding and other benefits provided by Israeli government programs may be terminated or reduced in the future and the terms of such funding may have a significant impact on future corporate decisions.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Microbot’s research and development efforts from inception until now have been financed in part through such Israeli Innovation Authority royalty bearing grants in an aggregate amount of approximately $1.9 million through September 30, 2024. During 2023 through September 30, 2024, total grants approved from the Israeli Innovation Authority was in the amount of approximately NIS 1.6 million, to further finance the development of the Company’s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Furthermore the Company received approval for a grant from the Ministry of Economy of the State of Israel in the amount of approximately NIS 300,000, to further finance the marketing activities of the LIBERTY</w:t>
      </w:r>
      <w:r>
        <w:rPr>
          <w:rFonts w:ascii="Times New Roman" w:cs="Times New Roman" w:eastAsia="Times New Roman" w:hAnsi="Times New Roman"/>
          <w:sz w:val="29"/>
          <w:szCs w:val="29"/>
          <w:color w:val="auto"/>
          <w:strike w:val="1"/>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as a result of our 2022 agreement with Nitiloop, we took over the liability to repay Nitiloop’s IIA grants in the amount of approximately $925,000.</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such grants Microbot is committed to pay royalties at a rate of between 3% to 3.5% on sales proceeds up to the total amount of grants received, linked to the dollar, plus interest at an annual rate of SOFR, a benchmark interest rate which replaced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 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both"/>
        <w:spacing w:after="0" w:line="255" w:lineRule="auto"/>
        <w:rPr>
          <w:sz w:val="20"/>
          <w:szCs w:val="20"/>
          <w:color w:val="auto"/>
        </w:rPr>
      </w:pPr>
      <w:r>
        <w:rPr>
          <w:rFonts w:ascii="Times New Roman" w:cs="Times New Roman" w:eastAsia="Times New Roman" w:hAnsi="Times New Roman"/>
          <w:sz w:val="18"/>
          <w:szCs w:val="18"/>
          <w:color w:val="auto"/>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Microbot’s employees are obligated to perform military reserve duty in Israel.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non-Israeli judgment against Microbot or its officers and directors.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Securities, Governance and Other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 There can be no assurances that we will be able to comply with the applicable listing standards. In 2018, we effected a 1:15 reverse stock split to address our stock price falling below the minimum share price required by Nasdaq. Failure to again meet applicable Nasdaq continued listing standards could result in a further reverse stock split or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over-the-counter market or on an electronic bulletin board established for unlisted securities such as the OTC Marketplace. In such event, it could become more difficult to dispose of, or obtain accurate price quotations for, our common stock, there would likely also be a reduction in our coverage by securities analysts and the news media, which could cause the price of our common stock to decline further, and it may be more difficult to raise capital on acceptable terms or at all.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cash dividends on our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that we will retain our earnings, if any, for future growth and therefore do not anticipate paying cash dividends on our common stock in the future. Investors seeking cash dividends should not invest in our common stock for that purpose.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Provisions in the Company’s certificate of incorporation and bylaws may delay or prevent an acquisition or a change in management. These provisions include a classified board of directors. In addition, because the Company is incorporated in Delaware, it is governed by the provisions of Section 203 of the Delaware General Corporation Law, which generally prohibits stockholders owning in excess of 15% of outstanding voting stock from merging or combining with the Company unless the Company meets the requirements of such section. Although the Company believes these provisions collectively will provide for an opportunity to receive higher bids by requiring potential acquirers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the Company’s investors, restrict its operations or require it to relinquish rights to its technologies or product candidates.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Until such time, if ever, as the Company can generate substantial product revenues, it expects to finance its cash needs through a combination of equity offerings, including possibly through its existing but currently suspended At-the-Market offering,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 limit, reduce or terminate its product development or future commercialization efforts or grant rights to develop and market product candidates that it would otherwise prefer to develop and market itself.</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w:t>
      </w:r>
    </w:p>
    <w:p>
      <w:pPr>
        <w:jc w:val="both"/>
        <w:spacing w:after="0" w:line="209" w:lineRule="auto"/>
        <w:rPr>
          <w:sz w:val="20"/>
          <w:szCs w:val="20"/>
          <w:color w:val="auto"/>
        </w:rPr>
      </w:pPr>
      <w:r>
        <w:rPr>
          <w:rFonts w:ascii="Times New Roman" w:cs="Times New Roman" w:eastAsia="Times New Roman" w:hAnsi="Times New Roman"/>
          <w:sz w:val="18"/>
          <w:szCs w:val="18"/>
          <w:color w:val="auto"/>
        </w:rPr>
        <w:t>changes. Microbot expects to face competition from many different sources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products that it may from time to time seek to develop or commercialize in the future.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both"/>
        <w:spacing w:after="0" w:line="257" w:lineRule="auto"/>
        <w:rPr>
          <w:sz w:val="20"/>
          <w:szCs w:val="20"/>
          <w:color w:val="auto"/>
        </w:rPr>
      </w:pPr>
      <w:r>
        <w:rPr>
          <w:rFonts w:ascii="Times New Roman" w:cs="Times New Roman" w:eastAsia="Times New Roman" w:hAnsi="Times New Roman"/>
          <w:sz w:val="18"/>
          <w:szCs w:val="18"/>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that Microbot may develop. Many of Microbot’s potential competitors have significantly greater financial resources and expertise in research and development, manufacturing, preclinical and 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strategy in part relies on identifying, acquiring and developing complementary technologies and products, which entails risks which could negatively affect our business, operations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in the past and may again in the future pursue other acquisitions of businesses and technologies. Acquisitions entail numerous risks, including:</w:t>
      </w:r>
    </w:p>
    <w:p>
      <w:pPr>
        <w:spacing w:after="0" w:line="22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of acquired operations, services and products;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expected synergies;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unknown material liabilities of acquired companies;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which could reduce future reported earnings;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funding to properly and adequately develop and commercialize the technologies acquired;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clients or key employees of acquired companies;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to existing stockholders.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Similarly, we could acquire a technology or asset, and later determine that such technology or asset no longer fits in our business strategy or goals or do not have the capital to advance its development or commercialization.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may be volatile.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for our common stock may be volatile and subject to wide fluctuations in response to factors including the following:</w:t>
      </w:r>
    </w:p>
    <w:p>
      <w:pPr>
        <w:spacing w:after="0" w:line="225"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or operational estimates or projections;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markets generally;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acquisitions, strategic partnerships, joint ventures or capital commitments;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United States, Israel or elsewhere.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shares upon exercise of outstanding warrants and options could cause immediate and substantial dilution to existing stockholders.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issuance of shares upon exercise of outstanding warrants and options could result in substantial dilution to the interests of other stockholders since the holders of such securities may ultimately convert and sell the full amount issuable on conversion.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15,966,530 shares of common stock issuable upon the exercise of outstanding options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$30.9 million in gross proceeds if all of the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since November 29, 2016. Prior to that, our common stock was traded under the symbol “STEM.”</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January 31, 2025, there were approximately 117 holders of record of our common stock, and the closing price of our common stock as reported on the NASDAQ Capital Market was $1.84.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and any prospectus supplement contain certain statements that constitute “forward-looking statements” within the meaning of Section 27A of the Securities Act of 1933, as amended,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such statements,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audited and unaudited financial statements and related notes included elsewhere in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clinical-stage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the costs associated with management salaries and benefits, professional fees for accounting, auditing, consulting, legal services, insurance expenses, net of insurance loss recoveries.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expects that its general and administrative expenses will increase over the long-term, even if a period-to-period comparison may show a decrease, as it expands its operating activities,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Significant Judgments and Estimates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Management records and discloses legal contingencies in accordance with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on a recurring basis.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Comparison of Three and </w:t>
      </w:r>
      <w:r>
        <w:rPr>
          <w:rFonts w:ascii="Times New Roman" w:cs="Times New Roman" w:eastAsia="Times New Roman" w:hAnsi="Times New Roman"/>
          <w:sz w:val="18"/>
          <w:szCs w:val="18"/>
          <w:b w:val="1"/>
          <w:bCs w:val="1"/>
          <w:color w:val="auto"/>
        </w:rPr>
        <w:t>Nine</w:t>
      </w:r>
      <w:r>
        <w:rPr>
          <w:rFonts w:ascii="Times New Roman" w:cs="Times New Roman" w:eastAsia="Times New Roman" w:hAnsi="Times New Roman"/>
          <w:sz w:val="18"/>
          <w:szCs w:val="18"/>
          <w:b w:val="1"/>
          <w:bCs w:val="1"/>
          <w:i w:val="1"/>
          <w:iCs w:val="1"/>
          <w:color w:val="auto"/>
        </w:rPr>
        <w:t xml:space="preserve"> Months Ended September 30, 2024 and 2023</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three and nine month periods ended September 30, 2024 and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60" w:type="dxa"/>
            <w:vAlign w:val="bottom"/>
          </w:tcPr>
          <w:p>
            <w:pPr>
              <w:spacing w:after="0"/>
              <w:rPr>
                <w:sz w:val="19"/>
                <w:szCs w:val="19"/>
                <w:color w:val="auto"/>
              </w:rPr>
            </w:pPr>
          </w:p>
        </w:tc>
        <w:tc>
          <w:tcPr>
            <w:tcW w:w="7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4"/>
              </w:rPr>
              <w:t>Change</w:t>
            </w:r>
          </w:p>
        </w:tc>
      </w:tr>
      <w:tr>
        <w:trPr>
          <w:trHeight w:val="210"/>
        </w:trPr>
        <w:tc>
          <w:tcPr>
            <w:tcW w:w="4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2,060</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448</w:t>
            </w: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4,646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4,594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net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3,549</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144</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 net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research and development expenses for the three months ended September 30, 2024 compared to the three months ended September 30, 2023 was primarily due to an increase in clinical study expenses, regulation consultations and payroll expenses, offset by deduction of government grants and a decrease in animal study expenses.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research and development expenses for the nine months ended September 30, 2024 compared to the nine months ended September 30, 2023 was primarily due to the increases in payroll expenses due to the cease of cost reduction plan which was implemented in 2023, an increase in clinical study expenses and increase in regulation expenses, offset by a decrease in stock based compensation expenses, a decrease in animal study expenses and a decrease due to deduction of government grants.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 Expenses, net</w:t>
      </w:r>
      <w:r>
        <w:rPr>
          <w:rFonts w:ascii="Times New Roman" w:cs="Times New Roman" w:eastAsia="Times New Roman" w:hAnsi="Times New Roman"/>
          <w:sz w:val="18"/>
          <w:szCs w:val="18"/>
          <w:color w:val="auto"/>
        </w:rPr>
        <w:t>. The increase in general and administrative expenses for the three months ended September 30,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three months ended September 30, 2023 was primarily due to an increase in payroll expenses due to the cease of cost reduction plan which was implemented in 2023, offset by a decrease in legal expenses.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nine months ended September 30, 2024 compared to the nine-month period ended September 30, 2023 was primarily due to an increase in payroll expenses due to the cease of cost reduction plan which was implemented in 2023 as well as increase in stock based compensation expenses, offset by a decrease in travel expenses and legal expenses.</w:t>
      </w:r>
    </w:p>
    <w:p>
      <w:pPr>
        <w:spacing w:after="0" w:line="17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Financing Income, net</w:t>
      </w:r>
      <w:r>
        <w:rPr>
          <w:rFonts w:ascii="Times New Roman" w:cs="Times New Roman" w:eastAsia="Times New Roman" w:hAnsi="Times New Roman"/>
          <w:sz w:val="18"/>
          <w:szCs w:val="18"/>
          <w:color w:val="auto"/>
        </w:rPr>
        <w:t>. The decrease in financing income, net for the three and nine months ended September 30, 2024 compared to the three and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2023, was primarily due to expenses incurred from changes in exchange rates, partially offset by an increase in interest income.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years ended December 31, 2023 and 2022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net</w:t>
            </w:r>
          </w:p>
        </w:tc>
        <w:tc>
          <w:tcPr>
            <w:tcW w:w="26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(4,131)</w:t>
            </w:r>
          </w:p>
        </w:tc>
        <w:tc>
          <w:tcPr>
            <w:tcW w:w="3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(5,545)</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1,414</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228</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6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legal settlement, net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(1,111)</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(1,111)</w:t>
            </w:r>
          </w:p>
        </w:tc>
      </w:tr>
    </w:tbl>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net. </w:t>
      </w:r>
      <w:r>
        <w:rPr>
          <w:rFonts w:ascii="Times New Roman" w:cs="Times New Roman" w:eastAsia="Times New Roman" w:hAnsi="Times New Roman"/>
          <w:sz w:val="18"/>
          <w:szCs w:val="18"/>
          <w:color w:val="auto"/>
        </w:rPr>
        <w:t>The decrease in research and development expenses of approximately $2.0 million in 2023 as compared to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the Company’s cost reduction plan, which commenced in the second quarter of 2023. The cost reduction plan involved cutting expenses by, among other things, implementing employee terminations, reducing management salaries, eliminating bonus accruals and pausing independent directors’ payments. The Company also reduced costs by decreasing expenses related to subcontractors, advisory board members and patents. Additionally, in comparison to the same period in 2022, the Company incurred expenses in 2022 due to the development of the SCS technology, whereas in 2023, lower expenses were recorded for that project as it was suspended in October 2022 and later terminated. In 2023, government grants were deducted from research and development expenses as the applicable costs are incurred.</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net. The decrease in general and administrative expenses of approximately $1.4 million in 2023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was primarily due to a decrease in the Company’s directors and officers insurance premiums in 2023, combined with execution of the cost reduction plan as described above. Additionally, for the year ended 2023, the Company recorded lower share-based compensation expenses compared to the comparable period in 2022, due to older options becoming fully vested. In 2023, insurance loss recoveries reduced the Company’s general and administrative expenses.</w:t>
      </w:r>
    </w:p>
    <w:p>
      <w:pPr>
        <w:spacing w:after="0" w:line="3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Income, net. </w:t>
      </w:r>
      <w:r>
        <w:rPr>
          <w:rFonts w:ascii="Times New Roman" w:cs="Times New Roman" w:eastAsia="Times New Roman" w:hAnsi="Times New Roman"/>
          <w:sz w:val="18"/>
          <w:szCs w:val="18"/>
          <w:color w:val="auto"/>
        </w:rPr>
        <w:t>Financing income for the year ended December 31, 2023 included income from interest, net, totaling $283,000 and was partially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 by exchange rate losses of $55,000, compared to 2022, which consisted of income from interest, net, totaling $54,000, combined with exchange rate gains of $64,000.</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legal settlement, net. </w:t>
      </w:r>
      <w:r>
        <w:rPr>
          <w:rFonts w:ascii="Times New Roman" w:cs="Times New Roman" w:eastAsia="Times New Roman" w:hAnsi="Times New Roman"/>
          <w:sz w:val="18"/>
          <w:szCs w:val="18"/>
          <w:color w:val="auto"/>
        </w:rPr>
        <w:t>Loss on legal settlement, net for the year ended December 31, 2023 is related to the January 2024 issuance of restricted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to settle the Lawsuit pursuant to the Settlement Agreement. See “Part I-Recent Developments-Settlement of Lawsuit.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date, Microbot has not generated revenues from operations. Microbot has incurred losses since inception and negative cash flows from operating activities for all periods presented. As of September 30, 2024, Microbot had a net working capital of approximately $3.6 million, consisting primarily of cash and cash equivalents and marketable securities. This compares to net working capital of approximately $4.1 million as of December 31, 2023. This does not include or take into account any of the approximately $20.6 million we raised subsequent to September 30, 2024, discussed further below. Microbot anticipates that it will continue to incur net losses for the foreseeable future as it continues research and development efforts and ramps up commercialization of its primary product candidate and continues to incur costs associated with being a public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Microbot has funded its operations through the issuance of capital stock, grants from the Israeli Innovation Authority, and convertible debt. Since inception (November 2010) through January 31, 2025, Microbot has raised cash proceeds of approximately $93.4 million. Since inception (November 2010) through September 30, 2024, Microbot incurred a total cumulative loss of approximately $87.5 million.</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Microbot Israel obtained from the Israeli Innovation Authority (“IIA”) grants for participation in research and development for the years 2013 through September 30, 2024 in the total amount of approximately $1.9 million. This amount includes amounts received of approximately $378,000, which are a portion of an additional grant from the IIA in the amount of approximately NIS 1.6 million (approximately $447,000) approved by the IIA on June 1, 2023,</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On January 4, 2018, Microbot Israel entered into an agreement with CardioSert to acquire certain of its patent-protected technology as well as to assume CardioSert’s grants from the IIA</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in the aggregate amount of approximately $530,000. During the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quarter of 2024, Microbot Israel transferred such technology back to CardioSert, for nominal consideration and, as a result, Microbot Israel’s liability to repay CardioSert’s IIA grants in the aggregate amount of approximately $530,000 was also transferred back to CardioSert.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accordingly, as we have discontinued the CardioSert program and are returning the technology to CardioSert, we do not expect to repay, or have the obligation to repay, the grants relating to that technology. The financial risk is assumed completely by the IIA.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 2023, the Company announced that it received approval for a grant from the Ministry of Economy in the amount of approximately NIS 300,000, which based on an exchange rate on such date of NIS 1.00 = $0.2923, would be approximately $88,000, to further finance the marketing activities of the LIBERTY® Endovascular Robotic Surgical System in the U.S. market. In relation to the Ministry of Economy grant, the Company is obligated to pay royalties amounting to 3% of future sales of the LIBERTY® Endovascular Robotic Surgical System up to the grant amount plus interest.</w:t>
      </w:r>
    </w:p>
    <w:p>
      <w:pPr>
        <w:spacing w:after="0" w:line="18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During the second fiscal quarter of 2023, Microbot commenced a core-business focus program and a cost reduction plan while it sought to raise sufficient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Since then through January 31, 2025, we have raised the following amounts:</w:t>
      </w:r>
    </w:p>
    <w:p>
      <w:pPr>
        <w:spacing w:after="0" w:line="201" w:lineRule="exact"/>
        <w:rPr>
          <w:sz w:val="20"/>
          <w:szCs w:val="20"/>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and June 2023, Microbot raised aggregate gross proceeds of approximately $7.6 million, before fees and expenses of approximately $1.1 million, from investors;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$5.08 million in gross proceeds, before fees and expenses of approximately $661,000, from financing activities through June 30, 2024;</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approximately $4.8 million in gross proceeds, before fees and expenses of $167,292, through our ATM Agreement;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Microbot raised aggregate gross proceeds of approximately $15.6 million, before fees and expenses of approximately $1.4 million, from investors;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Microbot raised approximately 915,000 in gross proceeds from the exercise of outstanding preferred investment options.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both"/>
        <w:spacing w:after="0" w:line="262" w:lineRule="auto"/>
        <w:rPr>
          <w:sz w:val="20"/>
          <w:szCs w:val="20"/>
          <w:color w:val="auto"/>
        </w:rPr>
      </w:pPr>
      <w:r>
        <w:rPr>
          <w:rFonts w:ascii="Times New Roman" w:cs="Times New Roman" w:eastAsia="Times New Roman" w:hAnsi="Times New Roman"/>
          <w:sz w:val="18"/>
          <w:szCs w:val="18"/>
          <w:color w:val="auto"/>
        </w:rPr>
        <w:t>To the extent available, Microbot intends to continue to raise capital through future public and private issuances of debt and/or equity securities, to fund its commercial activities and working capital and general business purposes.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 and will need additional funds to continue the commercialization process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prospectus, management believes we have sufficient funds for our operations for in excess of one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nine-month periods presented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560" w:type="dxa"/>
            <w:vAlign w:val="bottom"/>
            <w:tcBorders>
              <w:bottom w:val="single" w:sz="8" w:color="auto"/>
            </w:tcBorders>
            <w:gridSpan w:val="5"/>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5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4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(984)</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14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5,104</w:t>
            </w:r>
          </w:p>
        </w:tc>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shd w:val="clear" w:color="auto" w:fill="CCEEFF"/>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460" w:type="dxa"/>
            <w:vAlign w:val="bottom"/>
          </w:tcPr>
          <w:p>
            <w:pPr>
              <w:spacing w:after="0"/>
              <w:rPr>
                <w:sz w:val="19"/>
                <w:szCs w:val="19"/>
                <w:color w:val="auto"/>
              </w:rPr>
            </w:pPr>
          </w:p>
        </w:tc>
        <w:tc>
          <w:tcPr>
            <w:tcW w:w="1300" w:type="dxa"/>
            <w:vAlign w:val="bottom"/>
            <w:tcBorders>
              <w:top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300" w:type="dxa"/>
            <w:vAlign w:val="bottom"/>
            <w:tcBorders>
              <w:top w:val="single" w:sz="8" w:color="auto"/>
            </w:tcBorders>
          </w:tcPr>
          <w:p>
            <w:pPr>
              <w:jc w:val="right"/>
              <w:ind w:right="11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net cash flows used in operating activities for the nine months ended September 30, 2024 compared to 2023 was primarily due to ceasing our cost reduction plan which was implemented in 2023, which led to an increase in the net loss in the nine months ended September 30, 2024 as costs again increased.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net cash flows provided by (used in) investing activities for the nine months ended September 30, 2024 compared to 2023 was mainly due to the timing of purchases, sales and maturities of our marketable securities portfolio.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cash flows provided by financing activities for the nine months ended September 30, 2024 compared to 2023 was due to a decrease in net proceeds received from fundraising activities from 2023 to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periods presented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520" w:type="dxa"/>
            <w:vAlign w:val="bottom"/>
            <w:tcBorders>
              <w:bottom w:val="single" w:sz="8" w:color="auto"/>
            </w:tcBorders>
            <w:gridSpan w:val="5"/>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4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9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1,973</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(3,836)</w:t>
            </w:r>
          </w:p>
        </w:tc>
      </w:tr>
      <w:tr>
        <w:trPr>
          <w:trHeight w:val="23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1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6,558</w:t>
            </w:r>
          </w:p>
        </w:tc>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80" w:type="dxa"/>
            <w:vAlign w:val="bottom"/>
            <w:shd w:val="clear" w:color="auto" w:fill="CCEEFF"/>
          </w:tcPr>
          <w:p>
            <w:pPr>
              <w:spacing w:after="0"/>
              <w:rPr>
                <w:sz w:val="19"/>
                <w:szCs w:val="19"/>
                <w:color w:val="auto"/>
              </w:rPr>
            </w:pP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420" w:type="dxa"/>
            <w:vAlign w:val="bottom"/>
          </w:tcPr>
          <w:p>
            <w:pPr>
              <w:spacing w:after="0"/>
              <w:rPr>
                <w:sz w:val="19"/>
                <w:szCs w:val="19"/>
                <w:color w:val="auto"/>
              </w:rPr>
            </w:pPr>
          </w:p>
        </w:tc>
        <w:tc>
          <w:tcPr>
            <w:tcW w:w="1300" w:type="dxa"/>
            <w:vAlign w:val="bottom"/>
            <w:tcBorders>
              <w:top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260" w:type="dxa"/>
            <w:vAlign w:val="bottom"/>
            <w:tcBorders>
              <w:top w:val="single" w:sz="8" w:color="auto"/>
            </w:tcBorders>
          </w:tcPr>
          <w:p>
            <w:pPr>
              <w:jc w:val="right"/>
              <w:ind w:right="109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decrease in 2023 of cash flows used in operating activities compared to 2022 was primarily from a decrease in research and development expenses relating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2023 as a result of the Company’s May 2023 cost reduction plan and core-business focus program.</w:t>
      </w: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flows from investing activities increased in 2023 compared to 2022 by approximately $5.8 million, primarily from the net purchases of marketable securities in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flows from financing activities increased in 2023 by approximately $2.2 million due to increased issuances of common stock and warrants in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cash and cash equivalents as of September 30, 2024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Inflation generally affects Microbot by increasing its research and development expenses. Microbot does not believe that inflation and changing prices had a significant impact on its results of operations for any periods presented herein.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clinical-stage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are developing the first 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in the peripheral vasculature. It is designed to eliminate the need for extensive capital equipment requiring dedicated Cath-lab rooms as well as dedicated staff.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January 13, 2020, Microbot unveiled what it believes is the world’s first fully disposable robotic system for use in endovascular interventional procedures, such as cardiovascular, peripheral and neurovascular.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platform or possibly other guidewire/microcatheter technologies.</w:t>
      </w:r>
    </w:p>
    <w:p>
      <w:pPr>
        <w:spacing w:after="0" w:line="6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&amp; Done® - Can be made compatible with Microbot’s NitiLoop’s NovaCross® products or possibly other guidewire/microcatheter technologies, that combines guidewire and microcatheter into a single device.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potentially reducing the exposure to Hospital Acquired Infections (HAI).</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On May 3, 2023, we announced that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202"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17"/>
          <w:szCs w:val="17"/>
          <w:color w:val="auto"/>
        </w:rPr>
        <w:t>In October 2023, we announced the successful initial outcomes from our pivotal preclinical study with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to</w:t>
      </w:r>
    </w:p>
    <w:p>
      <w:pPr>
        <w:jc w:val="both"/>
        <w:spacing w:after="0" w:line="237" w:lineRule="auto"/>
        <w:rPr>
          <w:sz w:val="20"/>
          <w:szCs w:val="20"/>
          <w:color w:val="auto"/>
        </w:rPr>
      </w:pPr>
      <w:r>
        <w:rPr>
          <w:rFonts w:ascii="Times New Roman" w:cs="Times New Roman" w:eastAsia="Times New Roman" w:hAnsi="Times New Roman"/>
          <w:sz w:val="18"/>
          <w:szCs w:val="18"/>
          <w:color w:val="auto"/>
        </w:rPr>
        <w:t>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On January 29, 2024, the Company submitted an Investigational Device Exemption (IDE) application with the U.S. Food and Drug Administration, in order to commence its pivotal clinical trial in humans, and as of the date of this prospectus, we are continuing our interaction with the FDA regarding our IDE submission process. See “-Recent Developments-FDA Approval to Proceed with Pivotal Human Clinical Trial” above. See also “-Government Regulation-U.S. Regulation-Description of the IDE process” below.</w:t>
      </w:r>
    </w:p>
    <w:p>
      <w:pPr>
        <w:spacing w:after="0" w:line="20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 However, we can give no assurance that we will meet this projected milestone, if ever. See “Risk Factors-Risks Relating to the Development and Commercialization of Microbot’s Product Candidates” above.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Minimally Invasive Robot-Assisted Endovascular Interventions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surgery is expected to grow from $24 billion in 2020 to $42 billion in 2026, representing a CAGR of 9.85%. MIS involves three major categories of devices: surgical, monitoring and visualization, and endoscopy. The market for surgical devices, including ablation, electrosurgery and medical robotic systems, accounts for the largest share of revenue and is also expected to show the highest rate of growth. According to the Society of Robotic Surgery, the U.S. market growth in endoluminal robotic surgery is projected to be 15-25% by 2025.</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Vascular disease is the most common precursor to ischemic heart disease and stroke, which are two of the leading causes of death worldwide. Advances in endovascular intervention in recent years have transformed patient survival rates and post-surgical quality of life. It is estimated that more than three million percutaneous coronary interventions (PCI) and over two million of peripheral vascular interventions are performed annually worldwide. The incidence of stroke in the U.S. alone is estimated at 900,000 cases annually. Compared to open surgery, it has the advantages of faster recovery, reduced need for general anesthesia, reduced blood loss and significantly lower mortality. However, the current practice of endovascular procedures, which virtually has remained unchanged since the introduction of Intervention four decades ago, is limited by a number of factors, including physical strain and exposure to X-Ray radiation of the operator, and involves complex maneuvering of intervention tools, such as guidewires and catheters, to reach target areas in the vasculature. Despite recent advancements in technology and devices, manual procedures are still highly dependent on the technical skills and training of the operator, what makes the access to expert medical centers and advanced emergent treatments, such as endovascular thrombectomy for acute ischemic stroke, geographically limited. In addition, we believe that demand for physicians continues to grow faster than supply.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Endovascular robotic systems are aimed to increase the stability and precision of guidewires and catheters, protecting the physicians from ionizing radiation and physical strain by removing them from the radiation source, helping in closing shortages of skilled physicians and skill gaps and enable tele-interventions (e.g. the Hub &amp; Spoke hospital model).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Today, there are only a few commercially available robotic systems for endovascular interventions. We believe these systems have major drawbacks, such as limited maneuverability, the requirement to exchange and use multiple expensive surgical tools, being cumbersome to set-up and operate, and requiring significant up-front capital expenditures.</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Microbot believes that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coupled with its own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and other off-the-shelf products, it is well-positioned to deliver a value-added endovascular robotic system, with a focus on improving the ease and access and enhancing the safety of endovascular interventions.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Microbot’s goal is to generate sales of its products, once they have received regulatory approval, by establishing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the standard-of-care in the eyes of medical practitioners, patients and medical facilities, as well as getting the support of payors and insurance companies. Microbot believes that it can achieve this objective by working with health care providers and systems to demonstrate the key benefits of its products. Microbot’s strategy includes the following key elements:</w:t>
      </w:r>
    </w:p>
    <w:p>
      <w:pPr>
        <w:spacing w:after="0" w:line="194" w:lineRule="exact"/>
        <w:rPr>
          <w:sz w:val="20"/>
          <w:szCs w:val="20"/>
          <w:color w:val="auto"/>
        </w:rPr>
      </w:pPr>
    </w:p>
    <w:p>
      <w:pPr>
        <w:jc w:val="both"/>
        <w:ind w:left="660" w:hanging="328"/>
        <w:spacing w:after="0" w:line="259"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 to refine existing product candidates and develop additional surgical robotic solutions</w:t>
      </w:r>
      <w:r>
        <w:rPr>
          <w:rFonts w:ascii="Times New Roman" w:cs="Times New Roman" w:eastAsia="Times New Roman" w:hAnsi="Times New Roman"/>
          <w:sz w:val="18"/>
          <w:szCs w:val="18"/>
          <w:color w:val="auto"/>
        </w:rPr>
        <w:t>. As Microbot prepares to bring its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through the support of preclinical and clinical trials, it continues gathering patients, patient and clinical data, and patient and physician feedback post-market. Microbot also expects to continue to innovate in the surgical robotics field by continuing to find ways of using its core technology to solve unmet needs, with the overarching goal of providing a safer, more effective and more efficient surgical environment for patients and physicians.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3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Establish and leverage relationships with key institutions and leading clinicians</w:t>
      </w:r>
      <w:r>
        <w:rPr>
          <w:rFonts w:ascii="Times New Roman" w:cs="Times New Roman" w:eastAsia="Times New Roman" w:hAnsi="Times New Roman"/>
          <w:sz w:val="18"/>
          <w:szCs w:val="18"/>
          <w:color w:val="auto"/>
        </w:rPr>
        <w:t>. Microbot’s objective will be to maintain clinical focus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hospitals and clinics so as to establish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well as possibly other future products, as the standard of care in such institutions for their respective procedures. Microbot also expects to identify Key Opinion Leaders (KOLs) with the relevant specialties (for instance interventional radiology) with the expectation that such clinical focus will accelerate the adoption of its candidate products.</w:t>
      </w:r>
    </w:p>
    <w:p>
      <w:pPr>
        <w:spacing w:after="0" w:line="19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Continuously invest in research and development</w:t>
      </w:r>
      <w:r>
        <w:rPr>
          <w:rFonts w:ascii="Times New Roman" w:cs="Times New Roman" w:eastAsia="Times New Roman" w:hAnsi="Times New Roman"/>
          <w:sz w:val="18"/>
          <w:szCs w:val="18"/>
          <w:color w:val="auto"/>
        </w:rPr>
        <w:t>. Microbot’s most significant expense has historically been research and development,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Microbot expects to continue investing in research and development activities, including expenses it expects to incur to improve on its prototype products in order to respond to clinical data, to develop additional applications using its technologies and to develop future product candidates.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Explore partnerships for the introduction of Microbot’s products</w:t>
      </w:r>
      <w:r>
        <w:rPr>
          <w:rFonts w:ascii="Times New Roman" w:cs="Times New Roman" w:eastAsia="Times New Roman" w:hAnsi="Times New Roman"/>
          <w:sz w:val="18"/>
          <w:szCs w:val="18"/>
          <w:color w:val="auto"/>
        </w:rPr>
        <w:t>. In parallel to its efforts to establish direct sales and marketing capabilities,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Microbot intends to continue its efforts on pursuing collaborations with global medical device companies that have established sales and distribution networks. Microbot will seek to enter collaborations and partnerships with strategic players that offer synergies with Microbot’s product candidates and expertise.</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Seek additional IP and technologies to complement and strengthen Microbot’s current IP portfolio</w:t>
      </w:r>
      <w:r>
        <w:rPr>
          <w:rFonts w:ascii="Times New Roman" w:cs="Times New Roman" w:eastAsia="Times New Roman" w:hAnsi="Times New Roman"/>
          <w:sz w:val="18"/>
          <w:szCs w:val="18"/>
          <w:color w:val="auto"/>
        </w:rPr>
        <w:t>. Microbot intends to continue exploring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technologies, IP and know-how to add to its current portfolio through licensing, mergers and/or acquisitions and to allow Microbot to enter new spaces and strengthen its overall product portfolio.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Competitive Landscape</w:t>
      </w:r>
    </w:p>
    <w:p>
      <w:pPr>
        <w:spacing w:after="0" w:line="1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believe the main competitor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the CorPath GRX vascular robotics system by Corindus Vascular Robotics, a Siemens Healthineers company. To our knowledge, CorPath GRX system is FDA-approved and CE-marked for percutaneous coronary and vascular procedures, is CE-marked for neurovascular interventions and is pending FDA approval for neurovascular interventions. Another competitor is Robocath (CE Marked, NMPA, South Africa for PCI only), and we believe there are many other competitors in the endovascular robotics space. We believe these systems of our competitors that we have identified have drawbacks, such as limited maneuverability, the requirement to exchange and use multiple expensive surgical tools, being cumbersome to set-up and operate, and/or requiring significant upfront capital expenditures. We also expect that we could be competing with other technologies that are in different stages of development, including preclinical, clinical and without CE/FDA approvals, such as LN Robotics (approved in Korea for coronary interventions) Nanoflex Robotics, UAB Inovatyvi medicina and Endoways, of which additional competitive data will be required to better determine their respective positioning in the competitive landscape.</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Microbot’s existing and planned products could also be rendered obsolete or uneconomical by technological advances developed in the future by existing or new competitors. Some of Microbot’s competitors currently have significantly greater resources than Microbot does; have established relationships with healthcare professionals, customers and third-party payors; and have long-term contracts with group purchasing organizations in the United States. In addition, some of Microbot’s competitors have established distributor networks, greater resources for product development, sales and marketing, additional lines of products and the ability to offer financial incentives such as rebates, bundled products or discounts on other product lines that Microbot cannot provide.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core technology is co-owned by Microbot and The Technion Research and Development Foundation Ltd., or TRDF. The NovaCross® device is based on technologies acquired by Microbot from Nitiloop Ltd. Microbot may develop other medical-robotic solutions through internal research and development, to strengthen its intellectual property position, and to continue exploring strategic collaborations and accretive acquisition opportunities. Microbot currently holds an intellectual property portfolio of 16 patents issued/allowed and 59 patent applications pending worldwide. Microbot also holds 11 design patents issued/allowed and 3 design patents pending worldwide. It also has registered</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trademarks in Israel, Europe, UK and the U.S. relating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also has trademarks relating to its proprietary Microbot Medical wordmark and logo registered in the U.S., Israel, Europe, and UK, in addition to having registered trademarks for the “One &amp; Done” wordmark in Israel, Europe, the U.S., UK, and Japan. Microbot also has a registered trademark in the U.S. for the NovaCross trademark.</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relies or intends to rely on intellectual property licensed or developed, including patents, trade secrets, trademarks, technical innovations, laws of unfair competition and various licensing agreements, to provide its future growth, to build its competitive position and to protect its technology. As Microbot continues to expand its intellectual property portfolio, it is critical for Microbot to continue to invest in filing patent applications to protect its technology, inventions, and improvements.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requires its employees and consultants to execute confidentiality agreements in connection with their employment or consulting relationships with Microbot. Microbot also requires its employees and consultants who work on its product candidates to agree to disclose and assign to Microbot all inventions conceived during the term of their service, while using Microbot property, or which relate to Microbot’s business.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applications in the United States and in foreign countries are maintained in secrecy for a period of time after filing, which results in a delay between the filing date of the patent applications and the time when they are published. Patents issued and patent applications filed relating to medical devices are numerous, and there can be no assurance that current and potential competitors and other third parties have not filed or in the future will not file applications for, or have not received or in the future will not receive, patents or obtain additional proprietary rights relating to product candidates, products, devices or processes used or proposed to be used by Microbot. Microbot believes that the technologies it employs in its products and systems do not infringe the valid claims of any third-party patents. There can be no assurance, however, that third parties will not seek to assert that Microbot devices and systems infringe their patents or seek to expand their patent claims to cover aspects of Microbot’s products and systems.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medical device industry in general has been characterized by substantial litigation regarding patents and other intellectual property rights. Any such claims, regardless of their merit, could be time-consuming and expensive to respond to and could divert Microbot’s technical and management personnel. Microbot may be involved in litigation to defend against claims of infringement by other patent holders, to enforce patents issued to Microbot, or to protect Microbot’s trade secrets. If any relevant claims of third-party patents are upheld as valid and enforceable in any litigation or administrative proceeding, Microbot could be prevented from practicing the subject matter claimed in such patents, or would be required to obtain licenses from the patent owners of each such patent, or to redesign Microbot’s products, devices or processes to avoid infringement. There can be no assurance that such licenses would be available or, if available, would be available on terms acceptable to Microbot or that Microbot would be successful in any attempt to redesign products or processes to avoid infringement. Accordingly, an adverse determination in a judicial or administrative proceeding or failure to obtain necessary licenses, could potentially prevent Microbot from manufacturing and selling its products.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Microbot’s issued U.S. patents, which cover Microbot’s product candidates, will expire between 2032 and 2040, not including any patent term adjustments that may be available. Issued patents outside of the United States directed to Microbot’s product candidates will expire between 2032 and 2040.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the Technion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2012, Microbot entered into a license agreement with TRDF, the technology transfer subsidiary of The Technion Institute of Technology, pursuant to which it obtained an exclusive, worldwide, royalty-bearing, sub-licensable license to certain patents and inventions relating to the SCS and TipCAT technology platforms invented by Professor Moshe Shoham, a former director of and an advisor to the Company, and in certain circumstances other TRDF-related persons. During the second and third quarters of 2023, as a result of our core-business focus program and our cost reduction plan, we ceased research and development activities relating to the SCS and TipCat platforms. As a result, we returned intellectual property relating to the SCS (ViRob) and TipCat to TRDF.</w:t>
      </w:r>
    </w:p>
    <w:p>
      <w:pPr>
        <w:spacing w:after="0" w:line="19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was invented by employees of Microbot together with Professor Moshe Shoham of the Technion, in his capacity as a consultant to Microbot, is co-owned by Microbot and TRDF, and the parties established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“Joint Invention” in accordance with the terms of the License Agreement. Once the Joint Invention is established, Microbot will have to pay TRDF royalties of between 1.5% and 3.0% of net sales of products covered by this Joint Invention.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research and development programs are generally pursued by engineers and scientists employed by Microbot in its offices in Israel on a full-time basis or as consultants, or through partnerships with industry leaders in manufacturing and design and researchers in academia. Microbot is also working with subcontractors in developing specific components of its technologies.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objectives of Microbot’s research and development efforts are to continue to introduce incremental enhancements to the capabilities of its candidate products and to advance the development of proposed products.</w:t>
      </w:r>
    </w:p>
    <w:p>
      <w:pPr>
        <w:spacing w:after="0" w:line="1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September 30, 2024 totaling approximately $1.9 million. This includes amounts received of approximately $378,000, which is a portion of an additional grant from the IIA in the amount of approximately NIS 1,620,000 (approximately $447,000)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agreement with Nitiloop, on October 6, 2022, Microbot Israel took over the liability to repay Nitiloop’s IIA grants in the aggregate amount of approximately $925,000.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3%-5% of its future sales of the products relating to such grants.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$83,000),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Company received approximately $50,000 of such amount.</w:t>
      </w:r>
    </w:p>
    <w:p>
      <w:pPr>
        <w:spacing w:after="0" w:line="22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relation with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Microbot expects to continue to access government funding in the future.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fiscal years ended December 31, 2023 and 2022, respectively, Microbot incurred research and development expenses of approximately $5,724,000 and $7,736,000. For the three and nine months ended September 30, 2024, respectively, Microbot incurred research and development expenses of approximately $2,060,000 and $4,646,000.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does not have any manufacturing facilities or manufacturing personnel. Microbot currently relies, and expects to continue to rely, on third parties for the manufacturing of its product candidates for preclinical and clinical testing, as well as for commercial manufacturing if its product candidates receive marketing approval.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Microbot initiated the transfer to production by means of designing and building molds for plastic injection of parts which is a more cost-effective method for producing high quantities compared to conventional machined production of these parts. Some molds are already operative while others are being designed and built. We expect completing the molds during 2025.</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August 4, 2023, we signed a Turn-Key Manufacturing Agreement with a subcontractor that is suited to assemble and test our products under applicable regulatory requirements and regulations. As of the date of this prospectus, we are working with the subcontractor to transfer the production to the subcontractor.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Microbot has recently commenced the establishment of a sales, marketing and product distribution infrastructure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while it awaits potential FDA approval of its 510(k) application. Microbot plans to access the U.S. markets with its initial device offerings through direct sales, distributors, as well as strategic partnerships. Microbot has not yet developed a commercial strategy outside of the United States, but it most likely would utilize distributors and strategic partnerships.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Microbot’s medical technology products and operations are subject to extensive regulation in the United States and other countries. Most notably, if Microbot seeks to sell its products in the United States, its products will be subject to the Federal Food, Drug, and Cosmetic Act (FDCA) as implemented and enforced by the U.S. Food and Drug Administration (FDA). The FDA regulates the development, bench and clinical testing, manufacturing, labeling, storage, record-keeping, promotion, marketing, sales, distribution and post-market support and reporting of medical devices in the United States to ensure that medical products distributed domestically are safe and effective for their intended uses. Regulatory policy affecting its products can change at any time.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Advertising and promotion of medical devices in the United States,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countries where Microbot wishes to sell its products may require similar or more onerous approvals to manufacture or market its products. Government agencies in those countries also enforce laws and regulations that govern the development, testing, manufacturing, labeling, advertising, marketing and distribution, and market surveillance of medical device products. These regulatory requirements can change rapidly with relatively short notice.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regulations Microbot encounters in the United States and in other jurisdictions are the regulations that are common to all businesses, such as employment legislation, implied warranty laws, and environmental, health and safety standards, to the extent applicable. In the future, Microbot will also encounter industry-specific government regulations that would govern its products, if and when they are developed for commercial use.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U.S. Regulation</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FDA governs the following activities that Microbot performs, will perform, upon the clearance or approval of its product candidates, or that are performed on its behalf, to ensure that medical products distributed domestically or exported internationally are safe and effective for their intended uses:</w:t>
      </w:r>
    </w:p>
    <w:p>
      <w:pPr>
        <w:spacing w:after="0" w:line="162"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and development;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testing, labeling and storage;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procedures;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numerous FDA regulatory requirements governing the approval or clearance and subsequent commercial marketing of Microbot’s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include:</w:t>
      </w:r>
    </w:p>
    <w:p>
      <w:pPr>
        <w:spacing w:after="0" w:line="207"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submission of product listing and establishment registration information, along with associated establishment user fees;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the Quality System Regulation, or QSR, which require specification developers and manufacturers, including third-party manufacturers, to follow stringent design, testing, control, documentation and other quality assurance procedures during all aspects of the manufacturing process;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products for uncleared, unapproved or off-label use or indication;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that could significantly affect the safety or effectiveness of the device or that would constitute a major change in intended use;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(MDR), which require that manufacturers keep detailed records of investigations or complaints against their devices and to report to the FDA if their device may have caused or contributed to a death or serious injury or malfunctioned in a way that would likely cause or contribute to a death or serious injury if it were to recur;</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use of the Corrective and Preventive Actions process to identify and correct or prevent significant systemic failures of products or processes or in trends which suggest same;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restrictions or conditions, including post-approval study commitments;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regulations, which apply when necessary to protect the public health or to provide additional safety and effectiveness data for the device;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of correction or removal and recall regulations.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color w:val="auto"/>
        </w:rPr>
        <w:t>Unless an exemption applies, before Microbot can commercially distribute medical devices in the United States, Microbot must obtain, depending on the classification of the device, either prior 510(k) clearance, 510(k) de-novo clearance or premarket approval (PMA), from the FDA. The FDA classifies medical devices into one of three classes based on the degree of risk associated with each medical device and the extent of regulatory controls needed to ensure the device’s safety and effectiveness:</w:t>
      </w:r>
    </w:p>
    <w:p>
      <w:pPr>
        <w:spacing w:after="0" w:line="180" w:lineRule="exact"/>
        <w:rPr>
          <w:sz w:val="20"/>
          <w:szCs w:val="20"/>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devices, which are low risk and subject to only general controls (e.g., registration and listing, medical device labeling compliance, MDRs, Quality System Regulations, and prohibitions against adulteration and misbranding) and, in some cases, to the 510(k) premarket clearance requirements;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devices, which are moderate risk and generally require 510(k) or 510(k) de-novo premarket clearance before they may be commercially marketed in the United States as well as general controls and potentially special controls like performance standards or specific labeling requirements;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devices, which are devices deemed by the FDA to pose the greatest risk, such as life-sustaining, life-supporting or implantable devices, or devices deemed not substantially equivalent to a predicate device. Class III devices generally require the submission and approval of a PMA supported by clinical trial data.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expects the medical products in its pipeline currently to be classified as Class II. Class II devices are those for which general controls alone are insufficient to provide reasonable assurance of safety and effectiveness and there is sufficient information to establish special controls. Special controls can include performance standards, post-market surveillance, patient histories and FDA guidance documents. Premarket review and clearance by the FDA for these devices is generally accomplished through the 510(k) or 510(k) de-novo premarket notification process. As part of the 510(k) or 510(k) de-novo notification process, FDA may require the following:</w:t>
      </w:r>
    </w:p>
    <w:p>
      <w:pPr>
        <w:spacing w:after="0" w:line="183"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comprehensive product description and indications for use;</w:t>
      </w:r>
    </w:p>
    <w:p>
      <w:pPr>
        <w:spacing w:after="0" w:line="225"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review of predicate devices and development of data supporting the new product’s substantial equivalence to one or more predicate devices; and</w:t>
      </w:r>
    </w:p>
    <w:p>
      <w:pPr>
        <w:spacing w:after="0" w:line="16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and required, certain types of clinical trials (IDE submission and approval may be required for conducting a clinical trial in the U.S.).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Clinical trials involve use of the medical device on human subjects under the supervision of qualified investigators in accordance with current Good Clinical Practices (GCPs), including the requirement that all research subjects provide informed consent for their participation in the clinical study. A written protocol with predefined end points, an appropriate sample size and pre-determined patient inclusion and exclusion criteria, is required before initiating and conducting a clinical trial. All clinical investigations of devices to determine safety and effectiveness must be conducted in accordance with the FDA’s Investigational device Exemption, or IDE, regulations that among other things,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which must become effective prior to commencing human clinical trials.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Description of the IDE process. </w:t>
      </w:r>
      <w:r>
        <w:rPr>
          <w:rFonts w:ascii="Times New Roman" w:cs="Times New Roman" w:eastAsia="Times New Roman" w:hAnsi="Times New Roman"/>
          <w:sz w:val="18"/>
          <w:szCs w:val="18"/>
          <w:color w:val="auto"/>
        </w:rPr>
        <w:t>The IDE will become effective 30 days after receipt by the FDA, unless the FDA otherwise informs the sponsor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30-day period that the IDE is approved, approved with conditions, or disapproved. If the FDA determines that additional information is required, the FDA may permit a clinical trial to proceed under a conditional approval. In case of disapproval, the Company can continue its existing IDE process interaction with the FDA, and supply FDA with additional information to obtain approval or conditional approval. In addition, the study must be approved by, and conducted under the oversight of, an Institutional Review Board (IRB) for each clinical site. If the device presents a non-significant risk to the patient, a sponsor may begin the clinical trial after obtaining approval for the trial by one or more IRBs without separate approval from the FDA, but it must still follow abbreviated IDE requirements, such as monitoring the investigation, ensuring that the investigators obtain informed consent, and labeling and record-keeping requirements. See “-Recent Developments-FDA Approval to Proceed with Pivotal Human Clinical Trial” above.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510(k) clearance typically involves the following:</w:t>
      </w:r>
    </w:p>
    <w:p>
      <w:pPr>
        <w:spacing w:after="0" w:line="225" w:lineRule="exact"/>
        <w:rPr>
          <w:sz w:val="20"/>
          <w:szCs w:val="20"/>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successful completion of all required testing, a detailed 510(k) premarket notification or 510(k) de-novo is submitted to the FDA requesting clearance to market the product. The notification includes all relevant data from pertinent preclinical and clinical trials, together with detailed information relating to the product’s manufacturing controls and proposed labeling, and other relevant documentation.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510(k) clearance letter from the FDA will authorize commercial marketing of the device for one or more specific indications for use.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510(k) clearance, Microbot will be required to comply with a number of post-clearance requirements, including, but not limited to, Medical Device Reporting and complaint handling, and, if applicable, reporting of corrective actions. Also, quality control and manufacturing procedures must continue to conform to QSRs. The FDA periodically inspects manufacturing facilities to assess compliance with QSRs, which impose extensive procedural, substantive, and record keeping requirements on medical device manufacturers. In addition, changes to the manufacturing process are strictly regulated, and, depending on the change, validation activities may need to be performed. Accordingly, manufacturers must continue to expend time, money and effort in the area of production and quality control to maintain compliance with QSRs and other types of regulatory controls.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 device receives 510(k) clearance from the FDA, any modification that could significantly affect its safety or effectiveness, or that would constitute a major change in its intended use or technological characteristics, requires a new 510(k) clearance or could require a PMA. The FDA requires each manufacturer to make the determination of whether a modification requires a new 510(k) notification or PMA in the first instance, but the FDA can review any such decision. If the FDA disagrees with a manufacturer’s decision not to seek a new 510(k) clearance or PMA for a particular change, the FDA may retroactively require the manufacturer to seek 510(k) clearance or PMA. The FDA can also require the manufacturer to cease U.S. marketing and/or recall the modified device until additional 510(k) clearance or PMA approval is obtained.</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the Federal Trade Commission, or FTC, will also regulate the advertising claims of Microbot’s products to ensure that the claims Microbot makes are consistent with its regulatory clearances, that there is scientific data to substantiate the claims and that product advertising is neither false nor misleading.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obtain 510(k) clearance, Microbot must submit a notification to the FDA demonstrating that its proposed device is substantially equivalent to a predicate device (i.e., a device that was in commercial distribution before May 28, 1976, a device that has been reclassified from Class III to Class I or Class II, or a 510(k)-cleared device). The FDA’s 510(k) clearance process generally takes from three to 12 months from the date the application is submitted but also can take significantly longer. If the FDA determines that the device or its intended use is not substantially equivalent to a predicate device, the device is automatically placed into Class III, requiring the submission of a PMA.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guarantee that the FDA will grant Microbot 510(k) clearance for its pipeline medical device products, and failure to obtain the necessary clearances for its products would adversely affect Microbot’s ability to grow its business. Delays in receipt or failure to receive the necessary clearances, or the failure to comply with existing or future regulatory requirements, could reduce its business prospects.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Devices that cannot be cleared through the 510(k) process due to lack of a predicate device but would be considered low or moderate risk may be eligible for the 510(k) de-novo process. In 1997, the Food and Drug Administration Modernization Act, or FDAMA added the de novo classification pathway now codified in section 513(f)(2) of the FD&amp;C Act. This law established an alternate pathway to classify new devices into Class I or II that had automatically been placed in Class III after receiving a Not Substantially Equivalent, or NSE, determination in response to a 510(k) submission. Through this regulatory process, a sponsor who receives an NSE determination may, within 30 days of receipt, request FDA to make a risk-based classification of the device through what is called a “de novo request.” In 2012, section 513(f)(2) of the FD&amp;C Act was amended by section 607 of the Food and Drug Administration Safety and Innovation Act (FDASIA), in order to provide a second option for de novo classification. Under this second pathway, a sponsor who determines that there is no legally marketed device upon which to base a determination of substantial equivalence can submit a de novo request to FDA without first submitting a 510(k).</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Microbot receives a Not Substantially Equivalent determination for either of its device candidates in response to a 510(k) submission, the Microbot device may still be eligible for the 510(k) de-novo classification process.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both"/>
        <w:spacing w:after="0" w:line="256" w:lineRule="auto"/>
        <w:rPr>
          <w:sz w:val="20"/>
          <w:szCs w:val="20"/>
          <w:color w:val="auto"/>
        </w:rPr>
      </w:pPr>
      <w:r>
        <w:rPr>
          <w:rFonts w:ascii="Times New Roman" w:cs="Times New Roman" w:eastAsia="Times New Roman" w:hAnsi="Times New Roman"/>
          <w:sz w:val="18"/>
          <w:szCs w:val="18"/>
          <w:color w:val="auto"/>
        </w:rPr>
        <w:t>Devices that cannot be cleared through the 510(k) or 510(k) de-novo classification process require the submission of a PMA. The PMA process is much more time consuming and demanding than the 510(k) notification process. A PMA must be supported by extensive data, including but not limited to data obtained from preclinical and/or clinical studies and data relating to manufacturing and labeling, to demonstrate to the FDA’s satisfaction the safety and effectiveness of the device. After a PMA application is submitted, the FDA’s in-depth review of the information generally takes between one and three years and may take significantly longer. If the FDA does not grant 510(k) clearance to its products, there is no guarantee that Microbot will submit a PMA or that if Microbot does, that the FDA would grant a PMA approval of Microbot’s products, either of which would adversely affect Microbot’s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Regulation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regulations in the United States, Microbot will be subject to a variety of foreign regulations governing clinical trials, marketing authorization and commercial sales and distribution of its products in foreign countries. The approval process varies from country to country, and the time may be longer or shorter than that required for FDA approval or clearance. The requirements governing the conduct of clinical trials, product licensing, pricing and reimbursement vary greatly from country to country.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International sales of medical devices are subject to foreign governmental regulations which vary substantially from country to country. Whether or not Microbot obtains FDA approval or clearance for its products, Microbot will be required to make new regulatory submissions to the comparable regulatory authorities of foreign countries before Microbot can commence clinical trials or marketing of the product in such countries. The time required to obtain certification or approval by a foreign country may be longer or shorter than that required for FDA clearance or approval, and the requirements may differ. Below are summaries of the regulatory systems for medical devices in Europe and Israel, where Microbot currently anticipates marketing its products. However, its products may also be marketed in other countries that have different systems or minimal requirements for medical devices.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Europe</w:t>
      </w:r>
      <w:r>
        <w:rPr>
          <w:rFonts w:ascii="Times New Roman" w:cs="Times New Roman" w:eastAsia="Times New Roman" w:hAnsi="Times New Roman"/>
          <w:sz w:val="18"/>
          <w:szCs w:val="18"/>
          <w:color w:val="auto"/>
        </w:rPr>
        <w:t>. The primary regulatory body in Europe is the European Union, or E.U., which consists of 27 member states and has a coordinated system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 of medical devices.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E.U. has adopted legislation, in the form of directives to be implemented in each member state, concerning the regulation of medical devices within the European Union. The directives include, among others, the Medical Device Regulation, or MDR, that establishes certain requirements with which medical devices must comply before they can be commercialized in the European Economic Area, or EEA (which comprises the member states of the E.U. plus Norway, Liechtenstein and Iceland). Under the MDR, medical devices are classified into four Classes, I, IIa, IIb, and III, with Class I being the lowest risk and Class III being the highest risk.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commercialize medical devices in the European Union, a CE Mark certificate is needed. This certification verifies that a device meets all regulatory requirements for medical devices under the new Medical Devices Regulation (MDR 2017/745). The CE approval process in Europe is summarized below:</w:t>
      </w:r>
    </w:p>
    <w:p>
      <w:pPr>
        <w:spacing w:after="0" w:line="176" w:lineRule="exact"/>
        <w:rPr>
          <w:sz w:val="20"/>
          <w:szCs w:val="20"/>
          <w:color w:val="auto"/>
        </w:rPr>
      </w:pPr>
    </w:p>
    <w:p>
      <w:pPr>
        <w:ind w:firstLine="656"/>
        <w:spacing w:after="0" w:line="282" w:lineRule="auto"/>
        <w:tabs>
          <w:tab w:leader="none" w:pos="8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CE Marking certification, comply with European Commission Regulation (EU) No. 2017/745, commonly known as the Medical Device Regulation (MDR).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2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 Person Responsible for Regulatory Compliance (PRRC). Determine classification of device - Class I (self-certified); Class I (sterile, measuring or reusable surgical instrument); Class IIa, Class IIb, or Class III.</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implement a Quality Management System (QMS) in accordance with the MDR. Companies usually apply the EN ISO 13485 standard to achieve compliance. The QMS must include Clinical Evaluation, Post-Market Surveillance (PMS) and Post Market Clinical Follow-up (PMCF) plans. Make arrangements with suppliers about unannounced Notified Body audits. For Class I (self-certified), implement a QMS though Notified Body intervention is not required.</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3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CE Technical Documentation or Design Dossier (Class III) providing information about the device and its intended use plus testing reports, Clinical Evaluation Report (CER), risk management file, Instruction For Use (IFU), labeling and more. Obtain a Unique Device Identifier (UDI) for the device. All devices, even legacy products in use for decades, will require clinical data. Most of these data should refer to the subject device. Clinical studies are generally required for implantable and Class III devices. Existing clinical data may be acceptable. Clinical trials in Europe must be pre-approved by a European Competent Authority.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ind w:right="20" w:firstLine="656"/>
        <w:spacing w:after="0" w:line="282" w:lineRule="auto"/>
        <w:tabs>
          <w:tab w:leader="none" w:pos="84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does not have a location in Europe, appoint an Authorized Representative (EC REP) located in the EU who is qualified to handle regulatory issues. Place the EC REP name and address on device label. Obtain a Single Registration Number from the regulators.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except Class I (self-certified), the QMS and Technical Documentation or Design Dossier must be audited by a Notified Body, a third-party accredited by European authorities to audit medical device companies and products.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except Class I (self-certified), the company will be issued a European CE Marking Certificate for the device and an ISO 13485 certificate for the company’s facility following successful completion of the Notified Body audit. ISO 13485 certification must be renewed every year. CE Marking certificates are typically valid for a maximum of 5 years, but are typically reviewed during the annual surveillance audit.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Declaration of Conformity, a legally binding document prepared by the manufacturer stating that the device is in compliance with the applicable European requirements. At this time, the CE Marking may be affixed.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6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device and its Unique Device Identifier (UDI) in the EUDAMED database. UDI must be on label and associated with the regulatory documents.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Class I (self-certified), annual NB audits are not required. However, CER, Technical File, and PMS activities must be kept updated. For all other classes, the company will be audited each year by a Notified Body to ensure ongoing compliance with the MDR. Failure to pass the audit will invalidate the CE Marking certificate. The company must perform Clinical Evaluation, PMS, and PMCF.</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intends to apply for the CE Mark for each of its medical device products. There is no guarantee that Microbot will be granted a CE Mark for all or any of its pipeline products and failure to obtain the CE Mark would adversely affect its ability to grow its business.</w:t>
      </w:r>
    </w:p>
    <w:p>
      <w:pPr>
        <w:spacing w:after="0" w:line="1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Israel</w:t>
      </w:r>
      <w:r>
        <w:rPr>
          <w:rFonts w:ascii="Times New Roman" w:cs="Times New Roman" w:eastAsia="Times New Roman" w:hAnsi="Times New Roman"/>
          <w:sz w:val="18"/>
          <w:szCs w:val="18"/>
          <w:color w:val="auto"/>
        </w:rPr>
        <w:t>. Israel’s Medical Devices Law generally requires the registration of all medical products with the Ministry of Health, or MOH, Registrar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precondition for production and distribution in Israel. Special exemptions may apply under limited circumstances and for purposes such as the provision of essential medical treatment, research and development of the medical device, and personal use, among others.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spacing w:after="0" w:line="282" w:lineRule="auto"/>
        <w:rPr>
          <w:sz w:val="20"/>
          <w:szCs w:val="20"/>
          <w:color w:val="auto"/>
        </w:rPr>
      </w:pPr>
      <w:r>
        <w:rPr>
          <w:rFonts w:ascii="Times New Roman" w:cs="Times New Roman" w:eastAsia="Times New Roman" w:hAnsi="Times New Roman"/>
          <w:sz w:val="18"/>
          <w:szCs w:val="18"/>
          <w:color w:val="auto"/>
        </w:rPr>
        <w:t>Registration of medical devices requires the submission of an application to the Ministry of Health Medical Institutions and Devices Licensing Department, or AMAR. An application for the registration of a medical device includes the following:</w:t>
      </w:r>
    </w:p>
    <w:p>
      <w:pPr>
        <w:spacing w:after="0" w:line="16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the manufacturer, and of the importer as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intended use of the medical device and of its medical indications;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details of the medical device and of its components, and in the event that the device or the components are not new, information should be provided on the date or renovation;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attesting to the safety of the device, issued by a competent authority of one of the following countries: Australia, Canada, European Community (EC), Member States (MSs), Israel, Japan, or the United States;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any risk which may be associated with the use of the device (including precautionary measures to be taken);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for use of the device in Hebrew; the MOH may allow the instructions to be in English for certain devices;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the standards to which the device complies;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technical and maintenance services, including periodic checks and inspections;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as appropriate: of the local manufacturer/importer, and of the foreign manufacturer.</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application includes a certificate issued by a competent authority of one of the following “recognized” countries: Australia, Canada, European Community (CE) Member States (MSs), Japan, or the United States, the registration process is generally expedited, but could still take 6-9 months for approval. If such certificate is not available, the registration process will take significantly longer and a license is rarely issued. Furthermore, the MOH will determine what type of testing is needed. In general, in the case of Israeli manufactured devices that are not registered or authorized in any “recognized” country, the application requires presentation of a risk analysis, a clinical evaluation, a summary of the clinical trials, and expert opinions regarding the device’s safety and effectiveness. Additional requirements may apply during the registration period, including follow-up reviews, to improve the quality and safety of the devices.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regulations issued by Israel’s Minister of Health in June 2013, a decision on a request to register a medical device must be delivered by AMAR within 120 days from the date of the request, although this rarely occurs. The current rules for the registration of medical devices do not provide for an expedited approval process.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granted by the MOH,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the Israeli Registration Holder, or IRH, must do the following to maintain its license:</w:t>
      </w:r>
    </w:p>
    <w:p>
      <w:pPr>
        <w:spacing w:after="0" w:line="176"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 and maintain a place of business in Israel and serve as the regulatory representative.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questions from AMAR concerning the registered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adverse events to AMAR.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 the registration on time to keep the market approval active.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Comply with post-marketing requirements, including reporting of adverse and unexpected events occurring in Israel or in other countries where the device is in use.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Getting a device listed on Israel’s four major Sick Funds (health insurance entities) is also necessary in order for Israeli hospitals and health care providers to order such products.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Microbot intends to apply for a license from the MOH for each of its medical devices. There is no guarantee that Microbot will be granted licenses for its pipeline products and failure to obtain such licenses would adversely affect its ability to grow its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3.H. Mona Litigation:” to the quarterly financial statements for the quarter ended September 30, 2024, included elsewhere in this prospectus.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in any case that would have a material adverse effect on us or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Property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U.S.-based employees currently either work remotely or at leased premises in the suburbs of Boston, Massachusetts of approximately 300 square feet. Microbot also occupies facilities in premises of approximately 6,975 square feet at 6 Hayozma St., Yokneam, P.O.B. 242, Israel. This facility is expected to provide the space and infrastructure necessary to accommodate its development work based on its current operating plan. Microbot does not own any real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2025, we have 21 full time employees.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Chief Executive Officer, President and Chairman, Harel Gadot, along with 5 other full-time employees, are based in the United States. Additionally, Microbot has 15 full-time employees based in its office located in Yokneam, Israel. These employees oversee day-to-day operations of the Company and leading engineering, manufacturing, intellectual property and administration functions of the Company. As required, Microbot also engages consultants to provide services to the Company, including regulatory, legal and corporate services. We are subject to labor laws and regulations within our locations in the U.S. and Israel. These laws and regulations principally concern matters such as pensions, paid annual vacation, paid sick days, length of the workday and work week, minimum wages, overtime pay, insurance for work-related accidents, severance pay and other conditions of employment. Microbot has no unionized employees.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historically been able to attract and retain top talent by creating a culture that challenges and engages our employees, offering them opportunities to learn, grow and achieve their career goals.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Benefits and Wellbeing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provide competitive compensation for our employees. We offer annual bonuses and stock-based compensation for eligible employees. As a result of our May 2023 cost reduction plan, our executive officers and certain of our employees took salary reductions, although all of them have since had their salaries reinstated. We can give no assurance that such plan will not have an adverse effect on our ability to attract and/or retain employees or remain competitive for talent.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Training and Development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aim to provide our employees with advanced professional and development skills, so that they can perform effectively in their roles and build their capabilities and career prospects for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strive to encourage a diversity of views and to create an equal opportunity workplace. During the past year, we have increased the total number of women in management positions.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currently have seven directors serving on our Board. The following table lists the names, ages and positions of the individuals who serve as directors of the Company, as of January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20" w:type="dxa"/>
            <w:vAlign w:val="bottom"/>
          </w:tcPr>
          <w:p>
            <w:pPr>
              <w:spacing w:after="0"/>
              <w:rPr>
                <w:sz w:val="21"/>
                <w:szCs w:val="21"/>
                <w:color w:val="auto"/>
              </w:rPr>
            </w:pPr>
          </w:p>
        </w:tc>
        <w:tc>
          <w:tcPr>
            <w:tcW w:w="6280" w:type="dxa"/>
            <w:vAlign w:val="bottom"/>
          </w:tcPr>
          <w:p>
            <w:pPr>
              <w:ind w:left="28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33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Harel Gadot</w:t>
            </w:r>
          </w:p>
        </w:tc>
        <w:tc>
          <w:tcPr>
            <w:tcW w:w="24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53</w:t>
            </w:r>
          </w:p>
        </w:tc>
        <w:tc>
          <w:tcPr>
            <w:tcW w:w="220" w:type="dxa"/>
            <w:vAlign w:val="bottom"/>
          </w:tcPr>
          <w:p>
            <w:pPr>
              <w:spacing w:after="0"/>
              <w:rPr>
                <w:sz w:val="17"/>
                <w:szCs w:val="17"/>
                <w:color w:val="auto"/>
              </w:rPr>
            </w:pPr>
          </w:p>
        </w:tc>
        <w:tc>
          <w:tcPr>
            <w:tcW w:w="62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Burell(1)(2)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Madden(1)(3)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Prattipati Laxminarain(2)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Aileen Stockburger(3)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Tal Wenderow(2)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Wilson (1)(3)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Corporate Governance Committee.</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 classified Board, with each of our directors serving a staggered three-year term. The following table shows the current composition of the three classes of our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 Directors (term scheduled to expire in 2025):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Martin Madden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Tal Wenderow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 Directors (term scheduled to expire in 2026):</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Scott Burell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Aileen Stockburger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III Directors (term scheduled to expire in 2027):</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David J. Wilson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Prattipati Laxminarain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Biographies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Harel Gadot</w:t>
      </w:r>
      <w:r>
        <w:rPr>
          <w:rFonts w:ascii="Times New Roman" w:cs="Times New Roman" w:eastAsia="Times New Roman" w:hAnsi="Times New Roman"/>
          <w:sz w:val="18"/>
          <w:szCs w:val="18"/>
          <w:color w:val="auto"/>
        </w:rPr>
        <w:t>, became President, Chief Executive Officer and Chairman of the Company’s Board following the consummation of the Merger. Mr. Gadot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co-founder of Microbot Israel and has served as Microbot Israel’s Chief Executive Officer since Microbot Israel was founded in November 2010. He has been the Chairman of Microbot Israel’s board of directors since July 2014. He also served as a director until January 2024 of XACT Robotics Ltd., an Israel-based private company that recently ceased operations and is in insolvency proceedings in Israel, and was its Chairman from August 2013 until September 2023. Mr. Gadot serves as Chairman of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Scott R. Burell</w:t>
      </w:r>
      <w:r>
        <w:rPr>
          <w:rFonts w:ascii="Times New Roman" w:cs="Times New Roman" w:eastAsia="Times New Roman" w:hAnsi="Times New Roman"/>
          <w:sz w:val="18"/>
          <w:szCs w:val="18"/>
          <w:color w:val="auto"/>
        </w:rPr>
        <w:t>, became a director of the Company in November 2016. Since August 2018, Mr. Burell has been the Chief Financial Officer and Secretary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AIVITA Biomedical, Inc., an Irvine California-based immuno-oncology company focused on the advancement of commercial and clinical-stage programs utilizing curative and regenerative medicines. From November 2006 until its sale to Invitae Corp. (NASDAQ: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Martin Madden</w:t>
      </w:r>
      <w:r>
        <w:rPr>
          <w:rFonts w:ascii="Times New Roman" w:cs="Times New Roman" w:eastAsia="Times New Roman" w:hAnsi="Times New Roman"/>
          <w:sz w:val="18"/>
          <w:szCs w:val="18"/>
          <w:color w:val="auto"/>
        </w:rPr>
        <w:t>, has been a director of the Company since February 6, 2017. Mr. Madden has held various positions at Johnson &amp; Johnson and its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 &amp; 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Prattipati Laxminarain</w:t>
      </w:r>
      <w:r>
        <w:rPr>
          <w:rFonts w:ascii="Times New Roman" w:cs="Times New Roman" w:eastAsia="Times New Roman" w:hAnsi="Times New Roman"/>
          <w:sz w:val="18"/>
          <w:szCs w:val="18"/>
          <w:color w:val="auto"/>
        </w:rPr>
        <w:t>, has been a director of the Company since December 6, 2017. From April 2006 through October 2017, Mr. Laxminarain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6" w:name="page57"/>
    <w:bookmarkEnd w:id="56"/>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Aileen Stockburger </w:t>
      </w:r>
      <w:r>
        <w:rPr>
          <w:rFonts w:ascii="Times New Roman" w:cs="Times New Roman" w:eastAsia="Times New Roman" w:hAnsi="Times New Roman"/>
          <w:sz w:val="18"/>
          <w:szCs w:val="18"/>
          <w:color w:val="auto"/>
        </w:rPr>
        <w:t>was appointed by the Board on March 26, 2020 to fill a vacancy on the Board and to serve as a Class II director of the Company,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the Chair of Next Science Limited (ASX: NXS), a medical technology company headquartered in Sydney, Australia, with a primary focus in the development and continued commercialization of its proprietary technology to reduce the impact of biofilm based infections in human health. She also serve on the Audit Committee and the People, Culture and Remuneration Committee of the Board of Directors of Next Science Limited.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Tal Wenderow </w:t>
      </w:r>
      <w:r>
        <w:rPr>
          <w:rFonts w:ascii="Times New Roman" w:cs="Times New Roman" w:eastAsia="Times New Roman" w:hAnsi="Times New Roman"/>
          <w:sz w:val="18"/>
          <w:szCs w:val="18"/>
          <w:color w:val="auto"/>
        </w:rPr>
        <w:t>was appointed by the Board on July 29, 2020 to fill a vacancy on the Board and to serve as a Class I director of the Company, with a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commencing on August 1, 2020. From June 2024 to December 2024, Mr. Wenderow served as interim CEO of Sensory Cloud Inc., a health technology company pioneering treatments for respiratory human illnesses of the airway lining. Since September 2021, Mr. Wenderow serves as the Venture Partner at Genesis MedTech, a global medical device company. Previously, from February 2019, Mr. Wenderow served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David J. Wilson</w:t>
      </w:r>
      <w:r>
        <w:rPr>
          <w:rFonts w:ascii="Times New Roman" w:cs="Times New Roman" w:eastAsia="Times New Roman" w:hAnsi="Times New Roman"/>
          <w:sz w:val="18"/>
          <w:szCs w:val="18"/>
          <w:color w:val="auto"/>
        </w:rPr>
        <w:t>, was elected at our December 17, 2024 Annual Meeting of Stockholders as a Class III director for a three-year term, was subsequently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appointed by the Board of Directors of the Company to serve as a member of the Company’s Audit Committee and Compensation Committee. Since March 2022, Mr. Wilson has been the Chief Executive Officer and a director of InnovHeart Corporation, a private company developing transcatheter mitral valve replacement systems to treat patients suffering from mitral valve disease. From September 2017 to October 2021, he was the President of Global Plasma at Haemonetics Corporation where he led the global commercialization of a next generation plasma collection system. He dedicated two decades in roles of increasing responsibility with various Johnson and Johnson (J&amp;J) companies, including as the Worldwide President of Cordis. In this role, he led the global integration of Cordis into Cardinal Health and rejuvenated the product portfolio through business development deals. Mr. Wilson held other leadership roles at J&amp;J companies, namely President of Mentor, Vice President of Ethicon R&amp;D and Vice President of Ethicon Biosurgicals. Earlier in his tenure with J&amp;J, he attained senior leadership roles at Cordis Endovascular as Vice President of R&amp;D and Regional Director of Sales. He is the holder of 10 medical device patents and has served as a Board member of several educational and healthcare institutions in the US. His education includes a Bachelor of Mechanical Engineering from Auburn University, a Master of Science in Biomedical Engineering from the University of Alabama at Birmingham and a Master of Business Administration from Columbia University. The Company believes that Mr. Wilson is qualified to serve as a member of the Board due to his experience as a healthcare and medical device executive, including extensive experience in general management, research and development, marketing, sales and supply chain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NASDAQ’s listing standards and the Company’s Corporate Governance Guidelines require that the Company’s Board of Directors consist of a majority of independent directors, as determined under the applicable NASDAQ listing rules.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independent members of our Board are Messrs. Burell, Madden, Laxminarain, Wenderow and Wilson, and Ms. Stockburger.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is composed of Messrs. Burell, Madden and Wilson.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is composed of Messrs. Madden (Chairman), Stockburger and Wilson. Each of the members of the Compensation Committee is independent. The Compensation Committee acts pursuant to a written charter which is available through our website at www.microbotmedical.com.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Committee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Corporate Governance Committee is composed of Messrs. Laxminarain, Burell and Wenderow. Each of the members of the Corporate Governance Committee is independent. The Corporate Governance Committee acts pursuant to a written charter which is available through our website at www.microbotmedical.com.</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Oversight and Qualifications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Involving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legal proceedings involving the members of the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are the name, age and other information for our executive officers, as of January 31, 2025. All company officers have been appointed to serve until their successors are elected and qualified or until their earlier resignation or removal. Information regarding Harel Gadot, our Chairman, President and Chief Executive Officer, is set forth above under “Board of Directors and Management-Director Biographies” above.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20" w:type="dxa"/>
            <w:vAlign w:val="bottom"/>
          </w:tcPr>
          <w:p>
            <w:pPr>
              <w:spacing w:after="0"/>
              <w:rPr>
                <w:sz w:val="20"/>
                <w:szCs w:val="20"/>
                <w:color w:val="auto"/>
              </w:rPr>
            </w:pPr>
          </w:p>
        </w:tc>
        <w:tc>
          <w:tcPr>
            <w:tcW w:w="6280" w:type="dxa"/>
            <w:vAlign w:val="bottom"/>
          </w:tcPr>
          <w:p>
            <w:pPr>
              <w:ind w:left="28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1"/>
        </w:trPr>
        <w:tc>
          <w:tcPr>
            <w:tcW w:w="3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Harel Gadot</w:t>
            </w:r>
          </w:p>
        </w:tc>
        <w:tc>
          <w:tcPr>
            <w:tcW w:w="24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53</w:t>
            </w:r>
          </w:p>
        </w:tc>
        <w:tc>
          <w:tcPr>
            <w:tcW w:w="220" w:type="dxa"/>
            <w:vAlign w:val="bottom"/>
          </w:tcPr>
          <w:p>
            <w:pPr>
              <w:spacing w:after="0"/>
              <w:rPr>
                <w:sz w:val="16"/>
                <w:szCs w:val="16"/>
                <w:color w:val="auto"/>
              </w:rPr>
            </w:pPr>
          </w:p>
        </w:tc>
        <w:tc>
          <w:tcPr>
            <w:tcW w:w="6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Technology Officer and General Manager, Microbot Israel</w:t>
            </w: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Diaz-Cartelle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Rachel Vaknin, </w:t>
      </w:r>
      <w:r>
        <w:rPr>
          <w:rFonts w:ascii="Times New Roman" w:cs="Times New Roman" w:eastAsia="Times New Roman" w:hAnsi="Times New Roman"/>
          <w:sz w:val="18"/>
          <w:szCs w:val="18"/>
          <w:color w:val="auto"/>
        </w:rPr>
        <w:t>has served as the Company’s Chief Financial Officer since April 2022 and before that was its VP Finance since January 2022.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2017 to December 2021, Ms. Vaknin served as the Chief Financial Officer at Imagry, an Israeli-American autonomous technologies software provider. From April 2004 through December 2016, Ms. Vaknin was the FP&amp;A Department Manager at Mellanox Technologies Ltd., an Israeli-American multinational supplier of computer networking products acquired by Nvidia in 2020, where she was responsible, among other things, for budget planning, budget control, building and maintaining business intelligence key performance indicators, leading teams with respect to preparing quarterly financial statements, obtaining and managing grant monies, and Sarbanes-Oxley controls.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Simon Sharon</w:t>
      </w:r>
      <w:r>
        <w:rPr>
          <w:rFonts w:ascii="Times New Roman" w:cs="Times New Roman" w:eastAsia="Times New Roman" w:hAnsi="Times New Roman"/>
          <w:sz w:val="18"/>
          <w:szCs w:val="18"/>
          <w:color w:val="auto"/>
        </w:rPr>
        <w:t>, has served as the Company’s Chief Technology Officer since April 2018 and as the General Manager of Microbot Israel since April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August 2016 to March 2018, Mr. Sharon served as the Chief Technology Officer at MEDX Xelerator, an Israel-based medical device and digital health incubator. He was also a director until January 2024 of XACT Robotics Ltd., an Israel-based private company that recently ceased operations and is in insolvency proceedings in Israel. Mr. Harel Gadot, the Company’s President, CEO and Chairman, is the Chairman of MEDX Xelerator.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Dr. Juan Diaz-Cartelle</w:t>
      </w:r>
      <w:r>
        <w:rPr>
          <w:rFonts w:ascii="Times New Roman" w:cs="Times New Roman" w:eastAsia="Times New Roman" w:hAnsi="Times New Roman"/>
          <w:sz w:val="18"/>
          <w:szCs w:val="18"/>
          <w:color w:val="auto"/>
        </w:rPr>
        <w:t>, has served as the Company’s Chief Medical Officer since December 1, 2023. As CMO, Dr. Diaz-Cartelle will lead the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execution of the clinical strategy of the Company, including its planned clinical trials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the medical affairs activity, and will be an integral part of the team leading its regulatory process with the FDA and commercial efforts. Most recently, from May 2022 to November 2023, Dr. Diaz-Cartelle served as the Executive Medical Director at Haemonetics Corporation (NYSE: HAE), where he advised that company on new investments in the cardiovascular space, among other responsibilities. Prior to that, from June 2008 to May 2022, Dr. Diaz-Cartelle served as the Senior Medical Director for the Peripheral Interventional Division (Endovascular and Interventional Oncology) at Boston Scientific Corporation (NYSE: BSX), where he played a pivotal part in the development of global clinical strategy and study oversight, supporting commercial activities and future pipeline development. Dr. Diaz-Cartelle obtained his medical degree at the University of Navarra (Spain) and completed his specialty as Angiologist and Vascular Surgeon at Hospital General Universitario Gregorio Maranon in Madrid (Spain).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16(a) Reports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2024, all Section 16(a) filing requirements applicable to our officers, directors and greater than 10% beneficial owners have been met, other than a Form 3 for Mr. Wilson, which was not timely filed.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and Compensation Recovery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2023, the Company adopted a clawback policy which implements the incentive-based compensation recovery provisions of the Dodd-Frank Wall Street Reform and Consumer Protection Act of 2010 as required under the listing standards of Nasdaq, and requires recovery of incentive-based compensation received by current or former executive officers during the three fiscal years preceding the date it is determined that the Company is required to prepare an accounting restatement.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each element of compensation that was paid or awarded to the named executive officers of the Company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4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80" w:type="dxa"/>
            <w:vAlign w:val="bottom"/>
          </w:tcPr>
          <w:p>
            <w:pPr>
              <w:spacing w:after="0"/>
              <w:rPr>
                <w:sz w:val="20"/>
                <w:szCs w:val="20"/>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(1)</w:t>
            </w:r>
          </w:p>
        </w:tc>
        <w:tc>
          <w:tcPr>
            <w:tcW w:w="300" w:type="dxa"/>
            <w:vAlign w:val="bottom"/>
          </w:tcPr>
          <w:p>
            <w:pPr>
              <w:spacing w:after="0"/>
              <w:rPr>
                <w:sz w:val="20"/>
                <w:szCs w:val="20"/>
                <w:color w:val="auto"/>
              </w:rPr>
            </w:pPr>
          </w:p>
        </w:tc>
        <w:tc>
          <w:tcPr>
            <w:tcW w:w="12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0"/>
        </w:trPr>
        <w:tc>
          <w:tcPr>
            <w:tcW w:w="24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520,249</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149,189(5)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501,304(9)</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57,900(3)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1,228,642</w:t>
            </w: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 President &amp; Chairman</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372,521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386,000(2)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470,302</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55,300(3)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1,284,123</w:t>
            </w: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Simon Sharon</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241,455</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84,754(4)</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114,425(9)</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89,435(6)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530,069</w:t>
            </w: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CTO and GM</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195,901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87,022(2)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88,418</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98,589(6)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469,930</w:t>
            </w: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Juan Diaz-Cartelle</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350,000</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15,246(9)</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365,246</w:t>
            </w: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CMO (7)</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14,808</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15,528</w:t>
            </w: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162,793</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40,816(4)</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101,182(9)</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53,694(8)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358,485</w:t>
            </w: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CFO</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139,601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27,626(2)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76,533</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45,743(8)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289,503</w:t>
            </w:r>
          </w:p>
        </w:tc>
      </w:tr>
    </w:tbl>
    <w:p>
      <w:pPr>
        <w:spacing w:after="0" w:line="198" w:lineRule="exact"/>
        <w:rPr>
          <w:sz w:val="20"/>
          <w:szCs w:val="20"/>
          <w:color w:val="auto"/>
        </w:rPr>
      </w:pPr>
    </w:p>
    <w:p>
      <w:pPr>
        <w:jc w:val="both"/>
        <w:ind w:left="340" w:hanging="332"/>
        <w:spacing w:after="0" w:line="254"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10 to the Consolidated Financial Statements of the Company for the fiscal year ended December 31, 2023 included in the Company’s Annual Report on Form 10-K for the fiscal year ended December 31, 2023.</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2022 fiscal year, which amount was actually paid in 2023.</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to the named executive officer’s 401(k) Plan, and a yearly automobile allowance.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2023 fiscal year, which amount was actually paid in 2024.</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2023 fiscal year, which amount was actually paid in 2024. For the 2023 fiscal year, Mr. Gadot received in 2024 $149,188.50 of a possible maximum of $298,377, and a bonus in the form of 79,567 stock options.</w:t>
      </w:r>
    </w:p>
    <w:p>
      <w:pPr>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 and yearly automobile allowance.</w:t>
      </w: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Juan Diaz-Cartelle commenced employment on December 1, 2023.</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w:t>
      </w:r>
    </w:p>
    <w:p>
      <w:pPr>
        <w:ind w:left="340" w:hanging="332"/>
        <w:spacing w:after="0" w:line="26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value of certain performance-based options granted to the executive in 2024 which remain subject to confirmation of performance vesting by the Company’s Compensation Committee.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outstanding equity awards held by each of the named executive officers as of the end of the fiscal year ended December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6"/>
                <w:szCs w:val="16"/>
                <w:color w:val="auto"/>
              </w:rPr>
            </w:pPr>
          </w:p>
        </w:tc>
      </w:tr>
      <w:tr>
        <w:trPr>
          <w:trHeight w:val="216"/>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Plan</w:t>
            </w:r>
          </w:p>
        </w:tc>
      </w:tr>
      <w:tr>
        <w:trPr>
          <w:trHeight w:val="216"/>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Plan</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16"/>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16"/>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or Payout</w:t>
            </w:r>
          </w:p>
        </w:tc>
      </w:tr>
      <w:tr>
        <w:trPr>
          <w:trHeight w:val="216"/>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of</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Unearned</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Unearned</w:t>
            </w:r>
          </w:p>
        </w:tc>
      </w:tr>
      <w:tr>
        <w:trPr>
          <w:trHeight w:val="216"/>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 Units</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Units or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Units or</w:t>
            </w:r>
          </w:p>
        </w:tc>
      </w:tr>
      <w:tr>
        <w:trPr>
          <w:trHeight w:val="216"/>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of Stock</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2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That</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Rights</w:t>
            </w:r>
          </w:p>
        </w:tc>
      </w:tr>
      <w:tr>
        <w:trPr>
          <w:trHeight w:val="216"/>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2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2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That</w:t>
            </w:r>
          </w:p>
        </w:tc>
      </w:tr>
      <w:tr>
        <w:trPr>
          <w:trHeight w:val="216"/>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0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Have Not</w:t>
            </w:r>
          </w:p>
        </w:tc>
      </w:tr>
      <w:tr>
        <w:trPr>
          <w:trHeight w:val="238"/>
        </w:trPr>
        <w:tc>
          <w:tcPr>
            <w:tcW w:w="254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0"/>
                <w:szCs w:val="20"/>
                <w:color w:val="auto"/>
              </w:rPr>
            </w:pPr>
          </w:p>
        </w:tc>
        <w:tc>
          <w:tcPr>
            <w:tcW w:w="114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3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Unexercisable</w:t>
            </w:r>
          </w:p>
        </w:tc>
        <w:tc>
          <w:tcPr>
            <w:tcW w:w="200" w:type="dxa"/>
            <w:vAlign w:val="bottom"/>
          </w:tcPr>
          <w:p>
            <w:pPr>
              <w:spacing w:after="0"/>
              <w:rPr>
                <w:sz w:val="20"/>
                <w:szCs w:val="20"/>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Vested</w:t>
            </w:r>
          </w:p>
        </w:tc>
      </w:tr>
      <w:tr>
        <w:trPr>
          <w:trHeight w:val="210"/>
        </w:trPr>
        <w:tc>
          <w:tcPr>
            <w:tcW w:w="2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Harel Gadot</w:t>
            </w:r>
          </w:p>
        </w:tc>
        <w:tc>
          <w:tcPr>
            <w:tcW w:w="1340" w:type="dxa"/>
            <w:vAlign w:val="bottom"/>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77,846</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4.20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1/01/2025</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120,847</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15.75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9/14/2027</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166,666</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2/25/2030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02/01/2031</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112,000</w:t>
            </w:r>
          </w:p>
        </w:tc>
        <w:tc>
          <w:tcPr>
            <w:tcW w:w="2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48,000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2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42,000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2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79,567</w:t>
            </w:r>
          </w:p>
        </w:tc>
        <w:tc>
          <w:tcPr>
            <w:tcW w:w="2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02/26/2034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12,000(1)</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02/26/2034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340" w:type="dxa"/>
            <w:vAlign w:val="bottom"/>
            <w:gridSpan w:val="4"/>
          </w:tcPr>
          <w:p>
            <w:pPr>
              <w:spacing w:after="0"/>
              <w:rPr>
                <w:sz w:val="18"/>
                <w:szCs w:val="18"/>
                <w:color w:val="auto"/>
              </w:rPr>
            </w:pPr>
          </w:p>
        </w:tc>
        <w:tc>
          <w:tcPr>
            <w:tcW w:w="1360" w:type="dxa"/>
            <w:vAlign w:val="bottom"/>
            <w:gridSpan w:val="3"/>
          </w:tcPr>
          <w:p>
            <w:pPr>
              <w:spacing w:after="0"/>
              <w:rPr>
                <w:sz w:val="18"/>
                <w:szCs w:val="18"/>
                <w:color w:val="auto"/>
              </w:rPr>
            </w:pPr>
          </w:p>
        </w:tc>
        <w:tc>
          <w:tcPr>
            <w:tcW w:w="8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1340" w:type="dxa"/>
            <w:vAlign w:val="bottom"/>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08/13/2028</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14,170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5.95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08/12/2029</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23,125</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21,875</w:t>
            </w: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13,125</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9,188</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2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2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11,813</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8,750(1)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02/26/2034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340" w:type="dxa"/>
            <w:vAlign w:val="bottom"/>
            <w:gridSpan w:val="4"/>
          </w:tcPr>
          <w:p>
            <w:pPr>
              <w:spacing w:after="0"/>
              <w:rPr>
                <w:sz w:val="18"/>
                <w:szCs w:val="18"/>
                <w:color w:val="auto"/>
              </w:rPr>
            </w:pPr>
          </w:p>
        </w:tc>
        <w:tc>
          <w:tcPr>
            <w:tcW w:w="1360" w:type="dxa"/>
            <w:vAlign w:val="bottom"/>
            <w:gridSpan w:val="3"/>
          </w:tcPr>
          <w:p>
            <w:pPr>
              <w:spacing w:after="0"/>
              <w:rPr>
                <w:sz w:val="18"/>
                <w:szCs w:val="18"/>
                <w:color w:val="auto"/>
              </w:rPr>
            </w:pPr>
          </w:p>
        </w:tc>
        <w:tc>
          <w:tcPr>
            <w:tcW w:w="8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1340" w:type="dxa"/>
            <w:vAlign w:val="bottom"/>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18,500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7,750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07/18/2032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9,100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9,188</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2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11,813</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4,375(1)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02/26/2034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340" w:type="dxa"/>
            <w:vAlign w:val="bottom"/>
            <w:gridSpan w:val="4"/>
          </w:tcPr>
          <w:p>
            <w:pPr>
              <w:spacing w:after="0"/>
              <w:rPr>
                <w:sz w:val="18"/>
                <w:szCs w:val="18"/>
                <w:color w:val="auto"/>
              </w:rPr>
            </w:pPr>
          </w:p>
        </w:tc>
        <w:tc>
          <w:tcPr>
            <w:tcW w:w="1360" w:type="dxa"/>
            <w:vAlign w:val="bottom"/>
            <w:gridSpan w:val="3"/>
          </w:tcPr>
          <w:p>
            <w:pPr>
              <w:spacing w:after="0"/>
              <w:rPr>
                <w:sz w:val="18"/>
                <w:szCs w:val="18"/>
                <w:color w:val="auto"/>
              </w:rPr>
            </w:pPr>
          </w:p>
        </w:tc>
        <w:tc>
          <w:tcPr>
            <w:tcW w:w="8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Juan Diaz-Cartelle</w:t>
            </w:r>
          </w:p>
        </w:tc>
        <w:tc>
          <w:tcPr>
            <w:tcW w:w="1340" w:type="dxa"/>
            <w:vAlign w:val="bottom"/>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1.29</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01/12/2033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5,687</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11,813</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10,500(1)</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02/26/2034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-3977005</wp:posOffset>
            </wp:positionV>
            <wp:extent cx="634365" cy="10972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4365" cy="109728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-2331085</wp:posOffset>
            </wp:positionV>
            <wp:extent cx="634365" cy="685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4365" cy="68580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-1096645</wp:posOffset>
            </wp:positionV>
            <wp:extent cx="634365" cy="548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4365"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5540" w:right="4160" w:hanging="5532"/>
        <w:spacing w:after="0" w:line="532" w:lineRule="auto"/>
        <w:tabs>
          <w:tab w:leader="none" w:pos="33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confirmation of performance vesting by the Company’s Compensation Committee.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Harel Gadot Employment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an employment agreement (the “Gadot Agreement”) with Harel Gadot on November 28, 2016, as amended most recently on January 26, 2022, to serve as the Company’s Chairman of the Board of Directors and Chief Executive Officer, on an indefinite basis subject to the termination provisions described in the Agreement. The salary is reviewed on an annual basis by the Compensation Committee of the Company to determine potential increases taking into account such performance metrics and criteria as established by Mr. Gadot and the Company. As of the date of this prospectus, the Compensation Committee has not yet reviewed Mr. Gadot’s 2025 salary to determine a potential increase.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as of January 26, 2022, Mr. Gadot shall also be entitled to receive a target annual cash bonus of up to a maximum amount of 75% of base salary, which maximum amount of $397,837 was paid in 2025 for the 2024 fiscal year. For the 2023 fiscal year, Mr. Gadot received in 2024 $149,188.50 of a possible maximum of $298,377, and a bonus in the form of 79,567 stock options. In January 2025, the Compensation Committee authorized the payment to Mr. Gadot of a special bonus in the amount of approximately $150,000.</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In February 2024, the Company granted Mr. Gadot an aggregate of 240,000 options (exclusive of the bonus options described above), of which 80,000 were performance-based options and of which 12,000 are expected to have vested in accordance with their terms subject to Compensation Committee confirmation.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for cause, Mr. Gadot would be entitled to receive any compensation then due and payable incurred up to the date of termination.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Rachel Vaknin Employment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an employment agreement (the “Vaknin Agreement”), dated November 22, 2021, with Ms. Vaknin, amended as of May 15, 2023 (the “Vaknin Addendum”),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Ms. Vaknin was to receive an annual base salary in 2023 of $170,000; however, as a result of the Company’s May 2023 cost reduction plan and the Vaknin Addendum, Ms. Vaknin’s gross monthly salary was decreased to a gross amount of NIS 35,000 and social and fringe benefits due to Ms. Vaknin were calculated based upon the updated salary, excluding sick days and vacation days which continued to be accumulated per her existing Agreement. The reinstatement of her full base salary was effective as of November 1, 2023 and did not change in 2024. As of the date of this prospectus, the Compensation Committee has not yet reviewed Ms. Vaknin’s 2025 salary to determine a potential increase.</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Ms. Vaknin shall also be entitled to receive a target annual cash bonus, based on certain milestones, of up to a maximum amount of 35% (increased from 25% in February 2024) of her annual salary. For the 2024 fiscal year, Ms. Vaknin received a cash bonus of 210,000 NIS (approximately $58,000).</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Vaknin shall be further entitled to a monthly automobile allowance not to exceed NIS 1,000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In February 2024, the Company granted Ms. Vaknin an aggregate of 52,500 options, of which 17,500 were performance-based options and of which 4,375 are expected to have vested in accordance with their terms subject to Compensation Committee confirmation.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Either the Company or Ms. Vaknin may terminate the Vaknin Agreement at its discretion at any time by providing the other party with two months prior written notice of termination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terminate the Vaknin Agreement “For Cause” (as defined in the Vaknin Agreement) at any time by written notice without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Simon Sharon Employment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employment agreement, dated as of March 31, 2018 and amended pursuant to a First Amendment to Employment Agreement dated as of April 19, 2021 (as so amended, the “Sharon Agreement”), as further amended as of May 15, 2023 (the “Sharon Addendum”), with Mr. Sharon, to serve as the Company’s Chief Technology Officer and the General Manager of Microbot Israel, on an indefinite basis subject to the termination provisions described in the Sharon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salary is reviewed on an annual basis by the Compensation Committee of the Company to determine potential increases taking into account such performance metrics and criteria as established by the Company.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terms of the Sharon Agreement, Mr. Sharon was to have received in 2023 a combined base salary and overtime payment of NIS 74,160 per month. For 2023, as a result of the Company’s May 2023 cost reduction plan and the Sharon Addendum, Mr. Sharon’s gross monthly salary was decreased to a gross amount of NIS 44,496 and social and fringe benefits due to Mr. Sharon were calculated based upon the updated salary, excluding sick days and vacation days which continued to be accumulated per the Sharon Agreement. The reinstatement of his full base salary was effective as of November 1, 2023 and did not change in 2024. As of the date of this prospectus, the Compensation Committee has not yet reviewed Mr. Sharon’s 2025 salary to determine a potential increase.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Sharon shall also be entitled to receive a target annual cash bonus, based on certain milestones, of up to a maximum amount of 35% of him annual salary. For the 2024 fiscal year, Mr. Sharon received a cash bonus of approximately $85,000.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4" w:name="page65"/>
    <w:bookmarkEnd w:id="64"/>
    <w:p>
      <w:pPr>
        <w:jc w:val="both"/>
        <w:spacing w:after="0" w:line="258" w:lineRule="auto"/>
        <w:rPr>
          <w:sz w:val="20"/>
          <w:szCs w:val="20"/>
          <w:color w:val="auto"/>
        </w:rPr>
      </w:pPr>
      <w:r>
        <w:rPr>
          <w:rFonts w:ascii="Times New Roman" w:cs="Times New Roman" w:eastAsia="Times New Roman" w:hAnsi="Times New Roman"/>
          <w:sz w:val="18"/>
          <w:szCs w:val="18"/>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In February 2024, the Company granted Mr. Sharon an aggregate of 52,500 options, of which 17,500 were performance-based options and of which 8,750 are expected to have vested in accordance with their terms subject to Compensation Committee confirmation.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Either the Company or Mr. Sharon may terminate the Sharon Agreement without cause (as defined in the Sharon Agreement) by providing the other party with ninety days prior written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terminate the Sharon Agreement for cause at any time by written notice without any advance notice.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Juan Diaz-Cartelle Employment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entered into an employment agreement (the “Diaz-Cartelle Agreement”), effective as of December 1, 2023, with Dr. Diaz-Cartelle, to serve as Chief Medical Officer on an indefinite basis subject to the termination provisions described in the Diaz-Cartelle Agreement. Pursuant to the terms of the Agreement, Dr. Diaz-Cartelle shall receive an annual base salary of $350,000, which shall be reviewed on an annual basis by the Company’s Compensation Committee, which may provide for increases as it may determine, taking into account such performance metrics and criteria of Dr. Diaz-Cartelle and the Company in its sole discretion. As of the date of this prospectus, the Compensation Committee has not yet reviewed Dr. Diaz-Cartelle’s 2025 salary to determine a potential increase.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Diaz-Cartelle shall also be entitled to receive a target annual cash bonus, based on corporate performance factors established and assessed by the Compensation Committee, of up to a maximum amount of 30% of his annual base salary, provided that he is employed by the Company as of December 31st of the year to which the Target Bonus relates in order to receive the Target Bonus. For the 2024 fiscal year, Dr. Diaz-Cartelle’s received a cash bonus of approximately $105,000.</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 Diaz-Cartelle was granted 10-year options to purchase 25,000 shares of common stock of the Company pursuant to the Company’s 2020 Omnibus Performance Award Plan, as amended, having an exercise price per share based on the closing price of the Company’s common stock on the date of grant, and which vests in total over three years. He shall also be entitled to receive additional incentive equity awards on an annual basis at the discretion of the Compensation Committee, and in February 2024, the Company granted Mr. Diaz-Cartelle an aggregate of 35,000 options, of which 17,500 were performance-based options and of which 10,500 are expected to have vested in accordance with their terms subject to Compensation Committee confirmation.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the Agreement, either the Company or Dr. Diaz-Cartelle shall have the right to earlier terminate Dr. Diaz-Cartelle’s employment at any time for any reason or no reason upon at least one month prior written notice.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Agreement for “Cause” (as defined in the Diaz-Cartelle Agreement) at any time by written notice, subject to Dr. Diaz-Cartelle’s right to cure as provided in the Diaz-Cartelle Agreement. Upon Dr. Diaz-Cartelle’s termination of employment for Cause, or if Dr. Diaz-Cartelle shall terminate without Good Reason (as defined below), Dr. Diaz-Cartelle shall forfeit the right to receive any and all further payments under the Diaz-Cartelle Agreement, other than the right to receive any compensation then due and payable to him through to the date of termination.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Dr. Diaz-Cartelle may terminate the Agreement with “Good Reason” (as defined in the Diaz-Cartelle Agreement) at any time by written notice, subject to the Company’s right to cure as provided in the Diaz-Cartelle Agreement. In the event of the termination of Dr. Diaz-Cartelle’s employment by the Company without Cause or upon Dr. Diaz-Cartelle’s voluntary termination of his employment for Good Reason, (i) all amounts of base salary accrued but unpaid as of the termination date shall be paid by the Company within thirty days following the date of termination, (ii) an amount equal to the base salary on the date of termination for a period of one month (in the event such termination is on or prior to the one year anniversary of the Diaz-Cartelle Agreement) or two months (in the event such termination is subsequent to the one year anniversary of the Diaz-Cartelle Agreement) shall be paid by the Company in twelve equal monthly installments, (iii) the dollar value of unused and accrued vacation days shall be paid by the Company; and (iv) applicable premiums (inclusive of premiums for his dependents) shall be paid by the Company pursuant to the Consolidated Omnibus Budget Reconciliation Act of 1986, as amended, for twelve months from the date of termination for any benefits plan sponsored by the Company.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Diaz-Cartelle Agreement as a result of any mental or physical disability or illness which results in (i) Dr. Diaz-Cartelle being unable to substantially perform his duties for a continuous period of 150 days or for periods aggregating 180 days within any period of 365 days or</w:t>
      </w:r>
    </w:p>
    <w:p>
      <w:pPr>
        <w:jc w:val="both"/>
        <w:ind w:firstLine="8"/>
        <w:spacing w:after="0" w:line="253" w:lineRule="auto"/>
        <w:tabs>
          <w:tab w:leader="none" w:pos="2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Diaz-Cartelle being subject to a permanent or indefinite inability to perform essential functions based on the reasonable opinion of a qualified medical provider chosen in good faith by the Company. Termination will be effective on the date designated by the Company, and Dr. Diaz-Cartelle will be paid any unpaid earned base salary, earned target bonus (if any), reimbursement of business expenses and accrued vacation, if any, and benefits through the date of termination.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Diaz-Cartelle Agreement contains customary non-competition and non-solicit provisions pursuant to which Dr. Diaz-Cartelle agrees not to compete and solicit with the Company. Dr. Diaz-Cartelle also agreed to customary terms regarding non-disparagement, confidentiality and ownership of intellectual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Limits on Liability and Indemnification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an amended compensation package for the non-management members of its Board, pursuant to which each such Board member would receive for his or her services $35,000 per annum. Furthermore, each member of the Audit Committee of the Board receives an additional $10,000 per annum ($20,000 if Chairman), each member of the Compensation Committee of the Board receives an additional $7,500 per annum ($15,000 if Chairman) and each member of the Corporate Governance and Nominating Committee of the Board receives an additional $5,000 per annum ($10,000 if Chairman). Board members are also entitled to receive equity awards. Upon joining the Board, a member would receive an initial grant of stock options with an additional grant of stock options each year thereafter. The Company had recently amended the director’s compensation package to remove the requirement that the option grants be based on a specific dollar value of $95,000 (or $190,000 for new directors) as a result of the decrease in value of the Company’s stock price and the corresponding increase in the number of options the directors would have each received. Instead, the number of options shall be determined by the Compensation Committee or the Board based on, among other factors, a market competitive percentage of the Corporation’s issued and outstanding shares of common stock from time to time. Additionally, as a result of the Company’s May 2023 cost reduction plan, the independent members of the Board agreed to a suspension of their quarterly director fees, with reinstatement of such fees effective as of January 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and equity-based compensation information for our outside directors, for the year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or paid</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32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 cash</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40" w:type="dxa"/>
            <w:vAlign w:val="bottom"/>
          </w:tcPr>
          <w:p>
            <w:pPr>
              <w:spacing w:after="0"/>
              <w:rPr>
                <w:sz w:val="20"/>
                <w:szCs w:val="20"/>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20"/>
                <w:szCs w:val="20"/>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Yoseph Bornstein (2)</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$ 39,375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106,266</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Scott Burell</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$ 45,000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111,891</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Madden</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$ 45,000</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111,891</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Prattipati Laxminarain</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$ 33,750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100,641</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Aileen Stockburger</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$ 31,875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98,766</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Tal Wenderow</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$ 30,000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96,891</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Wilson</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55"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10 to the Consolidated Financial Statements of the Company included in the Company’s Annual Report on Form 10-K for the fiscal year ended December 31, 2023.</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Bornstein’s term as a director expired in December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Gadot received compensation for his services to the Company as set forth under the summary compensation table above.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related party transactions or any other transactions or relationships required to be disclosed pursuant to Item 404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Table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shares of our common stock that may be issued upon the exercise of options under all of our existing compensation plans as of December 31, 2024.</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2017 Equity Incentive Plan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2020 Omnibus Performance Award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Microbot Israel Employee Stock Option Plan(1)</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 Options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7830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680" w:type="dxa"/>
            <w:vAlign w:val="bottom"/>
          </w:tcPr>
          <w:p>
            <w:pPr>
              <w:spacing w:after="0"/>
              <w:rPr>
                <w:sz w:val="18"/>
                <w:szCs w:val="18"/>
                <w:color w:val="auto"/>
              </w:rPr>
            </w:pP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680" w:type="dxa"/>
            <w:vAlign w:val="bottom"/>
          </w:tcPr>
          <w:p>
            <w:pPr>
              <w:spacing w:after="0"/>
              <w:rPr>
                <w:sz w:val="18"/>
                <w:szCs w:val="18"/>
                <w:color w:val="auto"/>
              </w:rPr>
            </w:pP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20" w:type="dxa"/>
            <w:vAlign w:val="bottom"/>
          </w:tcPr>
          <w:p>
            <w:pPr>
              <w:spacing w:after="0"/>
              <w:rPr>
                <w:sz w:val="18"/>
                <w:szCs w:val="18"/>
                <w:color w:val="auto"/>
              </w:rPr>
            </w:pPr>
          </w:p>
        </w:tc>
        <w:tc>
          <w:tcPr>
            <w:tcW w:w="18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r>
      <w:tr>
        <w:trPr>
          <w:trHeight w:val="238"/>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3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r>
      <w:tr>
        <w:trPr>
          <w:trHeight w:val="623"/>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467,133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10.72</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156,585</w:t>
            </w:r>
          </w:p>
        </w:tc>
      </w:tr>
      <w:tr>
        <w:trPr>
          <w:trHeight w:val="234"/>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1,978,435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3.29</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642,217</w:t>
            </w:r>
          </w:p>
        </w:tc>
      </w:tr>
      <w:tr>
        <w:trPr>
          <w:trHeight w:val="414"/>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61,577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77, 846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4.20</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2,584,991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798,802</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-1156335</wp:posOffset>
            </wp:positionV>
            <wp:extent cx="713232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-873760</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-599440</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-325120</wp:posOffset>
            </wp:positionV>
            <wp:extent cx="71323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720"/>
            <w:col w:w="5840"/>
          </w:cols>
          <w:pgMar w:left="320" w:top="684" w:right="339" w:bottom="1440" w:gutter="0" w:footer="0" w:header="0"/>
          <w:type w:val="continuous"/>
        </w:sectPr>
      </w:pPr>
    </w:p>
    <w:p>
      <w:pPr>
        <w:spacing w:after="0" w:line="25" w:lineRule="exact"/>
        <w:rPr>
          <w:sz w:val="20"/>
          <w:szCs w:val="20"/>
          <w:color w:val="auto"/>
        </w:rPr>
      </w:pPr>
    </w:p>
    <w:p>
      <w:pPr>
        <w:jc w:val="both"/>
        <w:ind w:left="220" w:hanging="215"/>
        <w:spacing w:after="0" w:line="257" w:lineRule="auto"/>
        <w:rPr>
          <w:sz w:val="20"/>
          <w:szCs w:val="20"/>
          <w:color w:val="auto"/>
        </w:rPr>
      </w:pPr>
      <w:r>
        <w:rPr>
          <w:rFonts w:ascii="Times New Roman" w:cs="Times New Roman" w:eastAsia="Times New Roman" w:hAnsi="Times New Roman"/>
          <w:sz w:val="18"/>
          <w:szCs w:val="18"/>
          <w:color w:val="auto"/>
        </w:rPr>
        <w:t>(1)Such options were originally issued by Microbot Israel under its Employee Stock Option Plan, and represented the right to purchase an aggregate of 500,000 shares of Microbot Israel’s ordinary shares. As of the effective time of the Merger, such options were retroactively adjusted to reflect the Merger and now represent the right to purchase shares of our common stock.</w:t>
      </w:r>
    </w:p>
    <w:p>
      <w:pPr>
        <w:spacing w:after="0" w:line="1" w:lineRule="exact"/>
        <w:rPr>
          <w:sz w:val="20"/>
          <w:szCs w:val="20"/>
          <w:color w:val="auto"/>
        </w:rPr>
      </w:pPr>
    </w:p>
    <w:p>
      <w:pPr>
        <w:jc w:val="both"/>
        <w:ind w:left="220" w:hanging="215"/>
        <w:spacing w:after="0" w:line="253" w:lineRule="auto"/>
        <w:rPr>
          <w:sz w:val="20"/>
          <w:szCs w:val="20"/>
          <w:color w:val="auto"/>
        </w:rPr>
      </w:pPr>
      <w:r>
        <w:rPr>
          <w:rFonts w:ascii="Times New Roman" w:cs="Times New Roman" w:eastAsia="Times New Roman" w:hAnsi="Times New Roman"/>
          <w:sz w:val="18"/>
          <w:szCs w:val="18"/>
          <w:color w:val="auto"/>
        </w:rPr>
        <w:t>(2)Such options were originally issued by Microbot Israel to MEDX Ventures Group LLC, of which Mr. Gadot is the Chief Executive Officer, Company Group Chairman and majority equity owner, and represented the right to purchase an aggregate of 486,263 of Microbot Israel’s ordinary shares. As of the effective time of the Merger, such options were retroactively adjusted to reflect the Merger and now represent the right to purchase shares of our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shows the number of shares of our common stock beneficially owned, as of January 31, 2025, by (i) each of our directors,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January 31, 2025. We calculated percentage ownership in accordance with the rules of the SEC. The percentage of common stock beneficially owned is based on 28,641,187 shares outstanding as of January 31, 2025. In addition, shares issuable pursuant to options or other convertible securities that may be acquired within 60 days of January 31, 2025 are deemed to be issued and outstanding and have been treated as outstanding in calculating and determining the beneficial ownership and percentage ownership of those persons possessing those securities, but not for any other persons.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288 Grove Street, Suite 388, Braintree, MA 02184.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 of Common</w:t>
            </w: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Stock Beneficially</w:t>
            </w:r>
          </w:p>
        </w:tc>
      </w:tr>
      <w:tr>
        <w:trPr>
          <w:trHeight w:val="238"/>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r>
      <w:tr>
        <w:trPr>
          <w:trHeight w:val="250"/>
        </w:trPr>
        <w:tc>
          <w:tcPr>
            <w:tcW w:w="7180" w:type="dxa"/>
            <w:vAlign w:val="bottom"/>
            <w:tcBorders>
              <w:top w:val="single" w:sz="8" w:color="auto"/>
            </w:tcBorders>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Harel Gadot</w:t>
            </w:r>
            <w:r>
              <w:rPr>
                <w:rFonts w:ascii="Times New Roman" w:cs="Times New Roman" w:eastAsia="Times New Roman" w:hAnsi="Times New Roman"/>
                <w:sz w:val="28"/>
                <w:szCs w:val="28"/>
                <w:color w:val="auto"/>
                <w:vertAlign w:val="superscript"/>
              </w:rPr>
              <w:t>(1)(2)</w:t>
            </w:r>
          </w:p>
        </w:tc>
        <w:tc>
          <w:tcPr>
            <w:tcW w:w="220" w:type="dxa"/>
            <w:vAlign w:val="bottom"/>
            <w:tcBorders>
              <w:top w:val="single" w:sz="8" w:color="CCEEFF"/>
            </w:tcBorders>
            <w:shd w:val="clear" w:color="auto" w:fill="CCEEFF"/>
          </w:tcPr>
          <w:p>
            <w:pPr>
              <w:spacing w:after="0"/>
              <w:rPr>
                <w:sz w:val="21"/>
                <w:szCs w:val="21"/>
                <w:color w:val="auto"/>
              </w:rPr>
            </w:pPr>
          </w:p>
        </w:tc>
        <w:tc>
          <w:tcPr>
            <w:tcW w:w="17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1,073,927</w:t>
            </w:r>
          </w:p>
        </w:tc>
        <w:tc>
          <w:tcPr>
            <w:tcW w:w="220" w:type="dxa"/>
            <w:vAlign w:val="bottom"/>
            <w:tcBorders>
              <w:top w:val="single" w:sz="8" w:color="CCEEFF"/>
            </w:tcBorders>
            <w:shd w:val="clear" w:color="auto" w:fill="CCEEFF"/>
          </w:tcPr>
          <w:p>
            <w:pPr>
              <w:spacing w:after="0"/>
              <w:rPr>
                <w:sz w:val="21"/>
                <w:szCs w:val="21"/>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Scott Burell</w:t>
            </w:r>
            <w:r>
              <w:rPr>
                <w:rFonts w:ascii="Times New Roman" w:cs="Times New Roman" w:eastAsia="Times New Roman" w:hAnsi="Times New Roman"/>
                <w:sz w:val="29"/>
                <w:szCs w:val="29"/>
                <w:color w:val="auto"/>
                <w:vertAlign w:val="superscript"/>
              </w:rPr>
              <w:t>(3)</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74,554</w:t>
            </w:r>
          </w:p>
        </w:tc>
        <w:tc>
          <w:tcPr>
            <w:tcW w:w="220" w:type="dxa"/>
            <w:vAlign w:val="bottom"/>
          </w:tcPr>
          <w:p>
            <w:pPr>
              <w:spacing w:after="0"/>
              <w:rPr>
                <w:sz w:val="22"/>
                <w:szCs w:val="22"/>
                <w:color w:val="auto"/>
              </w:rPr>
            </w:pP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Martin Madden</w:t>
            </w:r>
            <w:r>
              <w:rPr>
                <w:rFonts w:ascii="Times New Roman" w:cs="Times New Roman" w:eastAsia="Times New Roman" w:hAnsi="Times New Roman"/>
                <w:sz w:val="29"/>
                <w:szCs w:val="29"/>
                <w:color w:val="auto"/>
                <w:vertAlign w:val="superscript"/>
              </w:rPr>
              <w:t>(3)</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74,554</w:t>
            </w: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Prattipati Laxminarain</w:t>
            </w:r>
            <w:r>
              <w:rPr>
                <w:rFonts w:ascii="Times New Roman" w:cs="Times New Roman" w:eastAsia="Times New Roman" w:hAnsi="Times New Roman"/>
                <w:sz w:val="29"/>
                <w:szCs w:val="29"/>
                <w:color w:val="auto"/>
                <w:vertAlign w:val="superscript"/>
              </w:rPr>
              <w:t>(3)</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74,554</w:t>
            </w:r>
          </w:p>
        </w:tc>
        <w:tc>
          <w:tcPr>
            <w:tcW w:w="220" w:type="dxa"/>
            <w:vAlign w:val="bottom"/>
          </w:tcPr>
          <w:p>
            <w:pPr>
              <w:spacing w:after="0"/>
              <w:rPr>
                <w:sz w:val="22"/>
                <w:szCs w:val="22"/>
                <w:color w:val="auto"/>
              </w:rPr>
            </w:pP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Aileen Stockburger</w:t>
            </w:r>
            <w:r>
              <w:rPr>
                <w:rFonts w:ascii="Times New Roman" w:cs="Times New Roman" w:eastAsia="Times New Roman" w:hAnsi="Times New Roman"/>
                <w:sz w:val="29"/>
                <w:szCs w:val="29"/>
                <w:color w:val="auto"/>
                <w:vertAlign w:val="superscript"/>
              </w:rPr>
              <w:t>(3)</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69,458</w:t>
            </w: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Simon Sharon</w:t>
            </w:r>
            <w:r>
              <w:rPr>
                <w:rFonts w:ascii="Times New Roman" w:cs="Times New Roman" w:eastAsia="Times New Roman" w:hAnsi="Times New Roman"/>
                <w:sz w:val="29"/>
                <w:szCs w:val="29"/>
                <w:color w:val="auto"/>
                <w:vertAlign w:val="superscript"/>
              </w:rPr>
              <w:t>(2)(3)</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107,795</w:t>
            </w:r>
          </w:p>
        </w:tc>
        <w:tc>
          <w:tcPr>
            <w:tcW w:w="220" w:type="dxa"/>
            <w:vAlign w:val="bottom"/>
          </w:tcPr>
          <w:p>
            <w:pPr>
              <w:spacing w:after="0"/>
              <w:rPr>
                <w:sz w:val="22"/>
                <w:szCs w:val="22"/>
                <w:color w:val="auto"/>
              </w:rPr>
            </w:pP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Tal Wenderow</w:t>
            </w:r>
            <w:r>
              <w:rPr>
                <w:rFonts w:ascii="Times New Roman" w:cs="Times New Roman" w:eastAsia="Times New Roman" w:hAnsi="Times New Roman"/>
                <w:sz w:val="29"/>
                <w:szCs w:val="29"/>
                <w:color w:val="auto"/>
                <w:vertAlign w:val="superscript"/>
              </w:rPr>
              <w:t>(3)</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67,867</w:t>
            </w: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Rachel Vaknin</w:t>
            </w:r>
            <w:r>
              <w:rPr>
                <w:rFonts w:ascii="Times New Roman" w:cs="Times New Roman" w:eastAsia="Times New Roman" w:hAnsi="Times New Roman"/>
                <w:sz w:val="29"/>
                <w:szCs w:val="29"/>
                <w:color w:val="auto"/>
                <w:vertAlign w:val="superscript"/>
              </w:rPr>
              <w:t>(2)(3)</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72,700</w:t>
            </w:r>
          </w:p>
        </w:tc>
        <w:tc>
          <w:tcPr>
            <w:tcW w:w="220" w:type="dxa"/>
            <w:vAlign w:val="bottom"/>
          </w:tcPr>
          <w:p>
            <w:pPr>
              <w:spacing w:after="0"/>
              <w:rPr>
                <w:sz w:val="22"/>
                <w:szCs w:val="22"/>
                <w:color w:val="auto"/>
              </w:rPr>
            </w:pP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Juan Diaz-Cartelle</w:t>
            </w:r>
            <w:r>
              <w:rPr>
                <w:rFonts w:ascii="Times New Roman" w:cs="Times New Roman" w:eastAsia="Times New Roman" w:hAnsi="Times New Roman"/>
                <w:sz w:val="29"/>
                <w:szCs w:val="29"/>
                <w:color w:val="auto"/>
                <w:vertAlign w:val="superscript"/>
              </w:rPr>
              <w:t>(2)(3)</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18,875</w:t>
            </w: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Wilson</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All current directors and executive officers as a group (10 persons)</w:t>
            </w:r>
            <w:r>
              <w:rPr>
                <w:rFonts w:ascii="Times New Roman" w:cs="Times New Roman" w:eastAsia="Times New Roman" w:hAnsi="Times New Roman"/>
                <w:sz w:val="29"/>
                <w:szCs w:val="29"/>
                <w:color w:val="auto"/>
                <w:vertAlign w:val="superscript"/>
              </w:rPr>
              <w:t>(2)</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1,634,284</w:t>
            </w: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jc w:val="both"/>
        <w:ind w:left="340" w:hanging="332"/>
        <w:spacing w:after="0" w:line="250"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136,847 shares of our common stock owned by MEDX Ventures Group LLC, and (ii) 937,080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performance-based options, the vesting of which remains subject to confirmation by the Company’s Compensation Committee. See “Executive Compensation—Executive Employment Agreements” above.</w:t>
      </w: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acquire shares of our common stock.</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issuable upon the exercise of options as set forth in footnotes (1) and (3).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common stock to be sold by the selling stockholders is common stock that is issuable upon exercise of outstanding preferred options. To the extent the common stock underlying the preferred options are issued, there will be dilution to the ownership interests of our existing stockholders.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set forth certain information regarding the selling stockholders and the shares of common stock beneficially owned by them, which information is available to us as of January 31, 2025.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67.</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9" w:name="page70"/>
    <w:bookmarkEnd w:id="69"/>
    <w:p>
      <w:pPr>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Unless otherwise provided, the percentage of shares beneficially owned prior to the offering is based on 28,641,187 shares of our common stock outstanding as of January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400" w:type="dxa"/>
            <w:vAlign w:val="bottom"/>
          </w:tcPr>
          <w:p>
            <w:pPr>
              <w:spacing w:after="0"/>
              <w:rPr>
                <w:sz w:val="18"/>
                <w:szCs w:val="18"/>
                <w:color w:val="auto"/>
              </w:rPr>
            </w:pPr>
          </w:p>
        </w:tc>
        <w:tc>
          <w:tcPr>
            <w:tcW w:w="2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Beneficially Owned After Sale of</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400" w:type="dxa"/>
            <w:vAlign w:val="bottom"/>
          </w:tcPr>
          <w:p>
            <w:pPr>
              <w:spacing w:after="0"/>
              <w:rPr>
                <w:sz w:val="18"/>
                <w:szCs w:val="18"/>
                <w:color w:val="auto"/>
              </w:rPr>
            </w:pP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All Shares of Common Stock</w:t>
            </w:r>
          </w:p>
        </w:tc>
        <w:tc>
          <w:tcPr>
            <w:tcW w:w="0" w:type="dxa"/>
            <w:vAlign w:val="bottom"/>
          </w:tcPr>
          <w:p>
            <w:pPr>
              <w:spacing w:after="0"/>
              <w:rPr>
                <w:sz w:val="1"/>
                <w:szCs w:val="1"/>
                <w:color w:val="auto"/>
              </w:rPr>
            </w:pPr>
          </w:p>
        </w:tc>
      </w:tr>
      <w:tr>
        <w:trPr>
          <w:trHeight w:val="238"/>
        </w:trPr>
        <w:tc>
          <w:tcPr>
            <w:tcW w:w="16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400" w:type="dxa"/>
            <w:vAlign w:val="bottom"/>
          </w:tcPr>
          <w:p>
            <w:pPr>
              <w:spacing w:after="0"/>
              <w:rPr>
                <w:sz w:val="20"/>
                <w:szCs w:val="20"/>
                <w:color w:val="auto"/>
              </w:rPr>
            </w:pPr>
          </w:p>
        </w:tc>
        <w:tc>
          <w:tcPr>
            <w:tcW w:w="2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Pursuant to this Prospectus</w:t>
            </w:r>
          </w:p>
        </w:tc>
        <w:tc>
          <w:tcPr>
            <w:tcW w:w="0" w:type="dxa"/>
            <w:vAlign w:val="bottom"/>
          </w:tcPr>
          <w:p>
            <w:pPr>
              <w:spacing w:after="0"/>
              <w:rPr>
                <w:sz w:val="1"/>
                <w:szCs w:val="1"/>
                <w:color w:val="auto"/>
              </w:rPr>
            </w:pPr>
          </w:p>
        </w:tc>
      </w:tr>
      <w:tr>
        <w:trPr>
          <w:trHeight w:val="187"/>
        </w:trPr>
        <w:tc>
          <w:tcPr>
            <w:tcW w:w="16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Before Any</w:t>
            </w: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Selling Stockholder</w:t>
            </w:r>
          </w:p>
        </w:tc>
        <w:tc>
          <w:tcPr>
            <w:tcW w:w="234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Sale</w:t>
            </w:r>
          </w:p>
        </w:tc>
        <w:tc>
          <w:tcPr>
            <w:tcW w:w="3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3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Stock Offered</w:t>
            </w:r>
          </w:p>
        </w:tc>
        <w:tc>
          <w:tcPr>
            <w:tcW w:w="4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4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Intracoastal Capital, LLC</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6,079,070</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4,863,774</w:t>
            </w:r>
          </w:p>
        </w:tc>
        <w:tc>
          <w:tcPr>
            <w:tcW w:w="4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1,215,296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62"/>
        </w:trPr>
        <w:tc>
          <w:tcPr>
            <w:tcW w:w="160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color w:val="auto"/>
                <w:w w:val="99"/>
              </w:rPr>
              <w:t>CVI Investments, Inc.</w:t>
            </w:r>
          </w:p>
        </w:tc>
        <w:tc>
          <w:tcPr>
            <w:tcW w:w="2340" w:type="dxa"/>
            <w:vAlign w:val="bottom"/>
          </w:tcPr>
          <w:p>
            <w:pPr>
              <w:jc w:val="right"/>
              <w:ind w:right="1925"/>
              <w:spacing w:after="0" w:line="162" w:lineRule="exact"/>
              <w:rPr>
                <w:sz w:val="20"/>
                <w:szCs w:val="20"/>
                <w:color w:val="auto"/>
              </w:rPr>
            </w:pPr>
            <w:r>
              <w:rPr>
                <w:rFonts w:ascii="Times New Roman" w:cs="Times New Roman" w:eastAsia="Times New Roman" w:hAnsi="Times New Roman"/>
                <w:sz w:val="15"/>
                <w:szCs w:val="15"/>
                <w:color w:val="auto"/>
                <w:w w:val="91"/>
              </w:rPr>
              <w:t>(2)(3)</w:t>
            </w:r>
          </w:p>
        </w:tc>
        <w:tc>
          <w:tcPr>
            <w:tcW w:w="240" w:type="dxa"/>
            <w:vAlign w:val="bottom"/>
          </w:tcPr>
          <w:p>
            <w:pPr>
              <w:spacing w:after="0"/>
              <w:rPr>
                <w:sz w:val="14"/>
                <w:szCs w:val="14"/>
                <w:color w:val="auto"/>
              </w:rPr>
            </w:pPr>
          </w:p>
        </w:tc>
        <w:tc>
          <w:tcPr>
            <w:tcW w:w="1480" w:type="dxa"/>
            <w:vAlign w:val="bottom"/>
            <w:gridSpan w:val="2"/>
            <w:vMerge w:val="restart"/>
          </w:tcPr>
          <w:p>
            <w:pPr>
              <w:jc w:val="right"/>
              <w:ind w:right="340"/>
              <w:spacing w:after="0" w:line="189" w:lineRule="exact"/>
              <w:rPr>
                <w:sz w:val="20"/>
                <w:szCs w:val="20"/>
                <w:color w:val="auto"/>
              </w:rPr>
            </w:pPr>
            <w:r>
              <w:rPr>
                <w:rFonts w:ascii="Times New Roman" w:cs="Times New Roman" w:eastAsia="Times New Roman" w:hAnsi="Times New Roman"/>
                <w:sz w:val="18"/>
                <w:szCs w:val="18"/>
                <w:color w:val="auto"/>
              </w:rPr>
              <w:t>1,257,143</w:t>
            </w:r>
          </w:p>
        </w:tc>
        <w:tc>
          <w:tcPr>
            <w:tcW w:w="1440" w:type="dxa"/>
            <w:vAlign w:val="bottom"/>
            <w:gridSpan w:val="2"/>
            <w:vMerge w:val="restart"/>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(2)</w:t>
            </w:r>
          </w:p>
        </w:tc>
        <w:tc>
          <w:tcPr>
            <w:tcW w:w="110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4,863,774</w:t>
            </w:r>
          </w:p>
        </w:tc>
        <w:tc>
          <w:tcPr>
            <w:tcW w:w="400" w:type="dxa"/>
            <w:vAlign w:val="bottom"/>
            <w:vMerge w:val="restart"/>
          </w:tcPr>
          <w:p>
            <w:pPr>
              <w:jc w:val="right"/>
              <w:ind w:right="145"/>
              <w:spacing w:after="0"/>
              <w:rPr>
                <w:sz w:val="20"/>
                <w:szCs w:val="20"/>
                <w:color w:val="auto"/>
              </w:rPr>
            </w:pPr>
            <w:r>
              <w:rPr>
                <w:rFonts w:ascii="Times New Roman" w:cs="Times New Roman" w:eastAsia="Times New Roman" w:hAnsi="Times New Roman"/>
                <w:sz w:val="15"/>
                <w:szCs w:val="15"/>
                <w:color w:val="auto"/>
                <w:w w:val="91"/>
              </w:rPr>
              <w:t>(4)</w:t>
            </w:r>
          </w:p>
        </w:tc>
        <w:tc>
          <w:tcPr>
            <w:tcW w:w="1420" w:type="dxa"/>
            <w:vAlign w:val="bottom"/>
            <w:gridSpan w:val="2"/>
            <w:vMerge w:val="restart"/>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vMerge w:val="restart"/>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1600" w:type="dxa"/>
            <w:vAlign w:val="bottom"/>
            <w:vMerge w:val="continue"/>
          </w:tcPr>
          <w:p>
            <w:pPr>
              <w:spacing w:after="0"/>
              <w:rPr>
                <w:sz w:val="2"/>
                <w:szCs w:val="2"/>
                <w:color w:val="auto"/>
              </w:rPr>
            </w:pPr>
          </w:p>
        </w:tc>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
        </w:trPr>
        <w:tc>
          <w:tcPr>
            <w:tcW w:w="1600" w:type="dxa"/>
            <w:vAlign w:val="bottom"/>
          </w:tcPr>
          <w:p>
            <w:pPr>
              <w:spacing w:after="0"/>
              <w:rPr>
                <w:sz w:val="3"/>
                <w:szCs w:val="3"/>
                <w:color w:val="auto"/>
              </w:rPr>
            </w:pPr>
          </w:p>
        </w:tc>
        <w:tc>
          <w:tcPr>
            <w:tcW w:w="2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3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18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Anson Investments Master Fund LP</w:t>
            </w:r>
            <w:r>
              <w:rPr>
                <w:rFonts w:ascii="Times New Roman" w:cs="Times New Roman" w:eastAsia="Times New Roman" w:hAnsi="Times New Roman"/>
                <w:sz w:val="29"/>
                <w:szCs w:val="29"/>
                <w:color w:val="auto"/>
                <w:vertAlign w:val="superscript"/>
              </w:rPr>
              <w:t>(5)</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4,577,078</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3,793,742</w:t>
            </w:r>
          </w:p>
        </w:tc>
        <w:tc>
          <w:tcPr>
            <w:tcW w:w="4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783,336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57"/>
        </w:trPr>
        <w:tc>
          <w:tcPr>
            <w:tcW w:w="418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Anson East Master Fund LP</w:t>
            </w:r>
            <w:r>
              <w:rPr>
                <w:rFonts w:ascii="Times New Roman" w:cs="Times New Roman" w:eastAsia="Times New Roman" w:hAnsi="Times New Roman"/>
                <w:sz w:val="29"/>
                <w:szCs w:val="29"/>
                <w:color w:val="auto"/>
                <w:vertAlign w:val="superscript"/>
              </w:rPr>
              <w:t>(6)</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1,070,032</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1,070,032</w:t>
            </w:r>
          </w:p>
        </w:tc>
        <w:tc>
          <w:tcPr>
            <w:tcW w:w="400" w:type="dxa"/>
            <w:vAlign w:val="bottom"/>
          </w:tcPr>
          <w:p>
            <w:pPr>
              <w:spacing w:after="0"/>
              <w:rPr>
                <w:sz w:val="22"/>
                <w:szCs w:val="22"/>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18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Stuywater Capital LLC</w:t>
            </w:r>
            <w:r>
              <w:rPr>
                <w:rFonts w:ascii="Times New Roman" w:cs="Times New Roman" w:eastAsia="Times New Roman" w:hAnsi="Times New Roman"/>
                <w:sz w:val="29"/>
                <w:szCs w:val="29"/>
                <w:color w:val="auto"/>
                <w:vertAlign w:val="superscript"/>
              </w:rPr>
              <w:t>(3)(7)</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1,056,680</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985,780</w:t>
            </w:r>
          </w:p>
        </w:tc>
        <w:tc>
          <w:tcPr>
            <w:tcW w:w="4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70,900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6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Noam Rubenstein</w:t>
            </w:r>
            <w:r>
              <w:rPr>
                <w:rFonts w:ascii="Times New Roman" w:cs="Times New Roman" w:eastAsia="Times New Roman" w:hAnsi="Times New Roman"/>
                <w:sz w:val="29"/>
                <w:szCs w:val="29"/>
                <w:color w:val="auto"/>
                <w:vertAlign w:val="superscript"/>
              </w:rPr>
              <w:t>(8)</w:t>
            </w:r>
          </w:p>
        </w:tc>
        <w:tc>
          <w:tcPr>
            <w:tcW w:w="2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240,263</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122,670</w:t>
            </w:r>
          </w:p>
        </w:tc>
        <w:tc>
          <w:tcPr>
            <w:tcW w:w="400" w:type="dxa"/>
            <w:vAlign w:val="bottom"/>
          </w:tcPr>
          <w:p>
            <w:pPr>
              <w:spacing w:after="0"/>
              <w:rPr>
                <w:sz w:val="22"/>
                <w:szCs w:val="22"/>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117,593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18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Michael Vasinkevich</w:t>
            </w:r>
            <w:r>
              <w:rPr>
                <w:rFonts w:ascii="Times New Roman" w:cs="Times New Roman" w:eastAsia="Times New Roman" w:hAnsi="Times New Roman"/>
                <w:sz w:val="29"/>
                <w:szCs w:val="29"/>
                <w:color w:val="auto"/>
                <w:vertAlign w:val="superscript"/>
              </w:rPr>
              <w:t>(8)</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489,109</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249,721</w:t>
            </w:r>
          </w:p>
        </w:tc>
        <w:tc>
          <w:tcPr>
            <w:tcW w:w="4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239,388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6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Craig Schwabe</w:t>
            </w:r>
            <w:r>
              <w:rPr>
                <w:rFonts w:ascii="Times New Roman" w:cs="Times New Roman" w:eastAsia="Times New Roman" w:hAnsi="Times New Roman"/>
                <w:sz w:val="29"/>
                <w:szCs w:val="29"/>
                <w:color w:val="auto"/>
                <w:vertAlign w:val="superscript"/>
              </w:rPr>
              <w:t>(8)</w:t>
            </w:r>
          </w:p>
        </w:tc>
        <w:tc>
          <w:tcPr>
            <w:tcW w:w="2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25,743*</w:t>
            </w: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13,143</w:t>
            </w:r>
          </w:p>
        </w:tc>
        <w:tc>
          <w:tcPr>
            <w:tcW w:w="400" w:type="dxa"/>
            <w:vAlign w:val="bottom"/>
          </w:tcPr>
          <w:p>
            <w:pPr>
              <w:spacing w:after="0"/>
              <w:rPr>
                <w:sz w:val="22"/>
                <w:szCs w:val="22"/>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12,600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6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w w:val="99"/>
              </w:rPr>
              <w:t>Charles Worthman</w:t>
            </w:r>
            <w:r>
              <w:rPr>
                <w:rFonts w:ascii="Times New Roman" w:cs="Times New Roman" w:eastAsia="Times New Roman" w:hAnsi="Times New Roman"/>
                <w:sz w:val="29"/>
                <w:szCs w:val="29"/>
                <w:color w:val="auto"/>
                <w:w w:val="99"/>
                <w:vertAlign w:val="superscript"/>
              </w:rPr>
              <w:t>(8)</w:t>
            </w:r>
          </w:p>
        </w:tc>
        <w:tc>
          <w:tcPr>
            <w:tcW w:w="23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25,743*</w:t>
            </w:r>
          </w:p>
        </w:tc>
        <w:tc>
          <w:tcPr>
            <w:tcW w:w="1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4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21,849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1600" w:type="dxa"/>
            <w:vAlign w:val="bottom"/>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9"/>
                <w:szCs w:val="29"/>
                <w:b w:val="1"/>
                <w:bCs w:val="1"/>
                <w:color w:val="auto"/>
                <w:vertAlign w:val="superscript"/>
              </w:rPr>
              <w:t>(9)</w:t>
            </w:r>
          </w:p>
        </w:tc>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15,966,530</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the outstanding shares of our common stock.</w:t>
      </w:r>
    </w:p>
    <w:p>
      <w:pPr>
        <w:spacing w:after="0" w:line="27" w:lineRule="exact"/>
        <w:rPr>
          <w:sz w:val="20"/>
          <w:szCs w:val="20"/>
          <w:color w:val="auto"/>
        </w:rPr>
      </w:pPr>
    </w:p>
    <w:p>
      <w:pPr>
        <w:jc w:val="both"/>
        <w:ind w:left="340" w:hanging="332"/>
        <w:spacing w:after="0" w:line="250"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(the “Exchange Act”)) of the securities reported herein that are held by Intracoastal. The options are subject to a beneficial ownership limitation of 4.99% or 9.99%,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office of Intracoastal is 245 Palm Trail, Delray Beach, FL 33483.</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Heights Capital Management, Inc. (“Heights”), the authorized agent of CVI Investments, Inc. (“CVI”), has discretionary authority to vote and dispose of the shares held by CVI and may be deemed to be the beneficial owner of these shares. Martin Kobinger, in his capacity as President of Heights,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Registration Statement on Form S-1 of which this prospectus forms a part. Pursuant to a Schedule 13G filed by CVI on January 13, 2025, Heights and CVI beneficially owned approximately 6.1% of our common stock, based on 20,651,434 shares outstanding at December 4, 2024. The options are subject to a beneficial ownership limitation of 4.99% or 9.99%, as the case may be,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CVI is c/o Heights Capital Management, Inc., 101 California Street, Suite 3250, San Francisco, CA 94111.</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an affiliate of a registered broker-dealer.</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2,349,488 options to purchase shares of our common stock at an exercise price per share of $2.10, and 2,514,286 options to purchase shares of our common stock at an exercise price per share of $1.75. Does not include 887,422 shares of our common stock issuable upon exercise of warrants held by CVI at an exercise price per share of $1.50.</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both"/>
        <w:ind w:left="340" w:hanging="332"/>
        <w:spacing w:after="0" w:line="253"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Anson Advisors Inc and Anson Funds Management LP, the Co-Investment Advisers of Anson Investments Master Fund LP (“Anson”), hold voting and dispositive power over the common stock held by Anson. Tony Moore is the managing member of Anson Management GP LLC, which is the general partner of Anson Funds Management LP. Moez Kassam and Amin Nathoo are directors of Anson Advisors Inc. Mr. Moore, Mr. Kassam and Mr. Nathoo each disclaim beneficial ownership of these shares of common stock except to the extent of their pecuniary interest therein.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address of Anson is Maples Corporate Services Limited, PO Box 309, Ugland House, Grand Cayman, KY1-1104, Cayman Islands.</w:t>
      </w:r>
    </w:p>
    <w:p>
      <w:pPr>
        <w:jc w:val="both"/>
        <w:ind w:left="340" w:hanging="332"/>
        <w:spacing w:after="0" w:line="250"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Anson Advisors Inc and Anson Funds Management LP, the Co-Investment Advisers of Anson East Master Fund LP (“Anson East”), hold voting and dispositive power over the common stock held by Anson East. Tony Moore is the managing member of Anson Management GP LLC, which is the general partner of Anson Funds Management LP. Moez Kassam and Amin Nathoo are directors of Anson Advisors Inc. Mr. Moore, Mr. Kassam and Mr. Nathoo each disclaim beneficial ownership of these shares of common stock except to the extent of their pecuniary interest therein.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address of Anson East is Maples Corporate Services Limited, PO Box 309, Ugland House, Grand Cayman, KY1-1104, Cayman Islands.</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70,900 shares of our common stock and options to purchase an aggregate of 985,780 shares of our common stock. Noam Rubenstein, the sole member of Stuywater Capital LLC (“Stuywater”), has sole voting control and investment discretion over the securities reported herein that are held by Stuywater. As a result, he may be deemed to have beneficial ownership (as determined under Section 13(d) of the Securities Exchange Act of 1934, as amended) of the securities reported herein that are held by Stuywater. The address of Stuywater is 430 Park Avenue, 3rd Floor, New York, New York 10022.</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warrants or options to purchase shares of common stock. Each of such selling stockholders is affiliated with H.C. Wainwright &amp; Co., LLC, a registered broker dealer with a registered address of c/o H.C. Wainwright &amp; Co., LLC, 430 Park Ave, 3rd Floor, New York, NY 10022, and has sole voting and dispositive power over the securities held. The number of shares beneficially owned prior to this offering consist of shares of common stock issuable upon exercise of placement agent warrants, which were received as compensation for placement agent services provided by Wainwright to the Company from time to time over the last three years.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take into account any 4.99% beneficial ownership limitation that certain of the selling stockholders are subject to.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in connection with the transactions described above and elsewhere in this prospectus, we have not had any material relationships with the selling stockholders in the last three years.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71" w:name="page72"/>
    <w:bookmarkEnd w:id="71"/>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Nevada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authorized capital stock consists of 60,000,000 shares of common stock, par value $0.01, of which 28,641,187 shares were issued and outstanding as of January 31, 2025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authorized to issue 60,000,000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15, 2025, we had:</w:t>
      </w:r>
    </w:p>
    <w:p>
      <w:pPr>
        <w:spacing w:after="0" w:line="225" w:lineRule="exact"/>
        <w:rPr>
          <w:sz w:val="20"/>
          <w:szCs w:val="20"/>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2,584,991 shares of our common stock issuable upon the exercise of outstanding stock options granted to employees, directors and consultants, with exercise prices ranging from approximately $0.005 to $15.75 and having a weighted-average exercise price of $4.58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642,217 shares of our common stock reserved for future grant under our 2020 Omnibus Performance Award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Preferred Investment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15, 2025, we had outstanding:</w:t>
      </w:r>
    </w:p>
    <w:p>
      <w:pPr>
        <w:spacing w:after="0" w:line="225" w:lineRule="exact"/>
        <w:rPr>
          <w:sz w:val="20"/>
          <w:szCs w:val="20"/>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1,075,165 shares of our common stock issuable upon the exercise of outstanding series E preferred investment options expiring in July 2029, at an exercise price per share of $1.50;</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 exercise price per share of $1.50;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8,000,002 shares of our common stock issuable upon the exercise of outstanding series G preferred investment options expiring in January 2027, at an exercise price per share of $1.75;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7,577,100 shares of our common stock issuable upon the exercise of outstanding series H preferred investment options expiring in January 2027, at an exercise price per share of $2.10;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placement agent preferred investment options expiring in June 2026, at an exercise price per share of $1.875;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shares of our common stock issuable upon the exercise of outstanding placement agent preferred investment options expiring in January 2027, at an exercise price per share of $2.1875;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189,428 shares of our common stock issuable upon the exercise of outstanding placement agent preferred investment options expiring in January 2027, at an exercise price per share of $2.8375.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4" w:name="page75"/>
    <w:bookmarkEnd w:id="74"/>
    <w:p>
      <w:pPr>
        <w:jc w:val="both"/>
        <w:spacing w:after="0" w:line="258" w:lineRule="auto"/>
        <w:rPr>
          <w:sz w:val="20"/>
          <w:szCs w:val="20"/>
          <w:color w:val="auto"/>
        </w:rPr>
      </w:pPr>
      <w:r>
        <w:rPr>
          <w:rFonts w:ascii="Times New Roman" w:cs="Times New Roman" w:eastAsia="Times New Roman" w:hAnsi="Times New Roman"/>
          <w:sz w:val="18"/>
          <w:szCs w:val="18"/>
          <w:color w:val="auto"/>
        </w:rPr>
        <w:t>The common stock being registered pursuant to the Registration Statement on Form S-1 of which this prospectus forms a part, are underlying our 8,000,002 outstanding series G preferred investment options expiring in January 2027, our 7,577,100 outstanding series H preferred investment options expiring in January 2027, and our 389,428 outstanding placement agent preferred investment options expiring in January 2027. See “Prospectus Summary-Recent Developments-Registered Direct Offerings” above, for a summary of the terms of the series G preferred investment options, series H preferred investment options and the placement agent preferred investment options.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our common stock are currently quoted on the Nasdaq Capital Market under the symbol “MBOT”.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of our common stock is Computershare Trust Company, N.A. Its address is 150 Royall Street, Canton, MA 02021.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color w:val="auto"/>
        </w:rPr>
        <w:t>Advance notice provisions for stockholder proposals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stockholder action by written consent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stockholder vote required for certain actions.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76" w:name="page77"/>
    <w:bookmarkEnd w:id="76"/>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being offered by this prospectus will be passed upon for us by Ruskin Moscou Faltischek, PC, Uniondale,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2023 and 2022, and for each of the two years in the period ended December 31, 2023, included in this Prospectus, have been audited by Brightman Almagor Zohar &amp; Co., a Firm in the Deloitte Global Network, an independent registered public accounting firm, as stated in their report. Such consolidated financial statements are included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which constitutes a part of the Registration Statement on Form S-1 that we have filed with the SEC under the Securities Act, does not contain all of the information in the registration statement and its exhibits. For further information with respect to us and the common stock offered by this prospectus, you should refer to the registration statement and the exhibits filed as part of that document.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Securities Exchange Act of 1934, as amended, and file annual, quarterly and current reports, proxy statements and other information with the SEC. You can read our SEC filings, including the registration statement,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We also maintain a website at</w:t>
      </w:r>
      <w:r>
        <w:rPr>
          <w:rFonts w:ascii="Times New Roman" w:cs="Times New Roman" w:eastAsia="Times New Roman" w:hAnsi="Times New Roman"/>
          <w:sz w:val="18"/>
          <w:szCs w:val="18"/>
          <w:i w:val="1"/>
          <w:iCs w:val="1"/>
          <w:color w:val="auto"/>
        </w:rPr>
        <w:t xml:space="preserve"> http://www.microbotmedical.com</w:t>
      </w:r>
      <w:r>
        <w:rPr>
          <w:rFonts w:ascii="Times New Roman" w:cs="Times New Roman" w:eastAsia="Times New Roman" w:hAnsi="Times New Roman"/>
          <w:sz w:val="18"/>
          <w:szCs w:val="18"/>
          <w:color w:val="auto"/>
        </w:rPr>
        <w:t>, at which you may access these materials free of charge as soon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practicable after they are electronically filed with, or furnished to, the SEC. The information contained in, or that can be accessed through, our website is not part of this prospectus. You may also request a copy of these filings, at no cost, by writing or telephoning us at: 288 Grove Street, Suite 388, Braintree, MA 02184, (781) 875-3605.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40" w:type="dxa"/>
            <w:vAlign w:val="bottom"/>
            <w:gridSpan w:val="7"/>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980" w:type="dxa"/>
            <w:vAlign w:val="bottom"/>
          </w:tcPr>
          <w:p>
            <w:pPr>
              <w:spacing w:after="0"/>
              <w:rPr>
                <w:sz w:val="20"/>
                <w:szCs w:val="20"/>
                <w:color w:val="auto"/>
              </w:rPr>
            </w:pPr>
          </w:p>
        </w:tc>
      </w:tr>
      <w:tr>
        <w:trPr>
          <w:trHeight w:val="432"/>
        </w:trPr>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20" w:type="dxa"/>
            <w:vAlign w:val="bottom"/>
            <w:gridSpan w:val="8"/>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980" w:type="dxa"/>
            <w:vAlign w:val="bottom"/>
          </w:tcPr>
          <w:p>
            <w:pPr>
              <w:spacing w:after="0"/>
              <w:rPr>
                <w:sz w:val="24"/>
                <w:szCs w:val="24"/>
                <w:color w:val="auto"/>
              </w:rPr>
            </w:pPr>
          </w:p>
        </w:tc>
      </w:tr>
      <w:tr>
        <w:trPr>
          <w:trHeight w:val="432"/>
        </w:trPr>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1197)</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 – F-3</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Loss for the years ended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F-8 – F-34</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Balance Sheets as of September 30, 2024 (Unaudited) and December 31, 2023 (Audited)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F-35</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Comprehensive Loss for the Three and Nine Months Ended September 30, 2024 and 2023 (Unaudited)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F-36</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Shareholders’ Equity for the Three and Nine Months Ended September 30, 2024 and 2023 (Unaudited)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F-37</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Cash Flows for the Nine Months Ended September 30, 2024 and 2023 (Unaudited)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F-38</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Interim Consolidated Financial Statements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F-39 - F-45</w:t>
            </w:r>
          </w:p>
        </w:tc>
      </w:tr>
      <w:tr>
        <w:trPr>
          <w:trHeight w:val="432"/>
        </w:trPr>
        <w:tc>
          <w:tcPr>
            <w:tcW w:w="342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5560" w:type="dxa"/>
            <w:vAlign w:val="bottom"/>
            <w:tcBorders>
              <w:top w:val="single" w:sz="8" w:color="CCEEFF"/>
              <w:bottom w:val="single" w:sz="8" w:color="auto"/>
            </w:tcBorders>
            <w:gridSpan w:val="6"/>
          </w:tcPr>
          <w:p>
            <w:pPr>
              <w:jc w:val="center"/>
              <w:ind w:right="3720"/>
              <w:spacing w:after="0"/>
              <w:rPr>
                <w:sz w:val="20"/>
                <w:szCs w:val="20"/>
                <w:color w:val="auto"/>
              </w:rPr>
            </w:pPr>
            <w:r>
              <w:rPr>
                <w:rFonts w:ascii="Times New Roman" w:cs="Times New Roman" w:eastAsia="Times New Roman" w:hAnsi="Times New Roman"/>
                <w:sz w:val="18"/>
                <w:szCs w:val="18"/>
                <w:color w:val="auto"/>
                <w:w w:val="95"/>
              </w:rPr>
              <w:t>F-1</w:t>
            </w:r>
          </w:p>
        </w:tc>
        <w:tc>
          <w:tcPr>
            <w:tcW w:w="9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8" w:name="page79"/>
    <w:bookmarkEnd w:id="78"/>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057400" cy="4540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2057400"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Microbot Medical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Microbot Medical Inc. and its subsidiary (the “Company”) as of December 31, 2023 and 2022, and the related consolidated statements of comprehensive loss, shareholders’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1B to the financial statements, the Company’s financial statements include a net loss of $ 10,740 thousand for the year ended December 31, 2023 and accumulated deficit of $ 79,501 thousand as of December 31, 2023. The Company is dependent on its ability to obtain additional debt and/or equity in order to continue its operations. These conditions raise substantial doubt about its ability to continue as a going concern. The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057400" cy="4540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Contingencies - Settlement of litigation resulting from the 2017 financing — Refer to Notes 9G and 16C to the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Audit Matter Description</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26, 2024, the Company entered into a settlement agreement and release with third parties, effectively resolving a lawsuit brought against the Company in 2020. The lawsuit stemmed from securities purchase agreements made between the Company and the third parties in 2017. The settlement amount consisted of a cash payment and shares of restricted common stock.</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concluded that the settlement agreement gave rise to loss contingency in the scope of Accounting Standards Codification Subtopic 450-20, Contingencies – Loss Contingencies, and as of December 31, 2023, the Company recorded a contingent liability.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settlement amount was recorded in the Company’s consolidated financial statements as non-operating loss, offset by loss recovery received from the Company’s insurance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significant judgments made by management with respect to the contingent liability arising from the settlement agreement and the loss recovery received from the Company’s insurance company, performing audit procedures to evaluate the reasonableness of management’s assumptions and conclusions concerning the recognition and measurement of the contingent liability and the insurance recovery receivables, required a high degree of auditor judgment and an increased extent of effort.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the Critical Audit Matter Was Addressed in the Audit</w:t>
      </w:r>
    </w:p>
    <w:p>
      <w:pPr>
        <w:spacing w:after="0" w:line="225" w:lineRule="exact"/>
        <w:rPr>
          <w:sz w:val="20"/>
          <w:szCs w:val="20"/>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read the settlement agreement, agreement with the Company’s insurance company, and other supporting documentation, followed by inquiries with the Company’s external counsel and general counsel regarding the details of the agreements.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technical accounting specialists, we evaluated the management’s assessment and conclusion with regards to the accounting treatment of the settlement agreement and loss recovery received from the Company’s insurance company. Our procedures included evaluating the Company’s accounting memorandum and inquires with the management with regard to judgements made.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calculation of the contingent liability.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the disclosures in the financial statements pertinent to the settlement agreement and loss recovery received from the Company’s insurance company by comparing management’s disclosures to audit evidence obtained.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Brightman Almagor Zohar &amp; Co.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16198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4924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8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2,468</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2,442</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3,917</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5,760</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198"/>
        </w:trPr>
        <w:tc>
          <w:tcPr>
            <w:tcW w:w="5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Insurance recovery receivable related to legal settlement and legal</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16C</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1,335</w:t>
            </w:r>
          </w:p>
        </w:tc>
        <w:tc>
          <w:tcPr>
            <w:tcW w:w="6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w:t>
            </w:r>
          </w:p>
        </w:tc>
        <w:tc>
          <w:tcPr>
            <w:tcW w:w="6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r>
      <w:tr>
        <w:trPr>
          <w:trHeight w:val="210"/>
        </w:trPr>
        <w:tc>
          <w:tcPr>
            <w:tcW w:w="58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r>
      <w:tr>
        <w:trPr>
          <w:trHeight w:val="24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260</w:t>
            </w:r>
          </w:p>
        </w:tc>
        <w:tc>
          <w:tcPr>
            <w:tcW w:w="6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r>
      <w:tr>
        <w:trPr>
          <w:trHeight w:val="223"/>
        </w:trPr>
        <w:tc>
          <w:tcPr>
            <w:tcW w:w="5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payables</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357</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accrual</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16C</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2,211</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1,027</w:t>
            </w:r>
          </w:p>
        </w:tc>
        <w:tc>
          <w:tcPr>
            <w:tcW w:w="6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1,670</w:t>
            </w:r>
          </w:p>
        </w:tc>
      </w:tr>
      <w:tr>
        <w:trPr>
          <w:trHeight w:val="210"/>
        </w:trPr>
        <w:tc>
          <w:tcPr>
            <w:tcW w:w="58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6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58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3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Borders>
              <w:top w:val="single" w:sz="8" w:color="CCEEFF"/>
            </w:tcBorders>
            <w:shd w:val="clear" w:color="auto" w:fill="CCEEFF"/>
          </w:tcPr>
          <w:p>
            <w:pPr>
              <w:spacing w:after="0"/>
              <w:rPr>
                <w:sz w:val="19"/>
                <w:szCs w:val="19"/>
                <w:color w:val="auto"/>
              </w:rPr>
            </w:pPr>
          </w:p>
        </w:tc>
      </w:tr>
      <w:tr>
        <w:trPr>
          <w:trHeight w:val="210"/>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  authorized  as  of</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 and 2022; 11,707,317 and 7,890,628 shares issued and</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w:t>
            </w:r>
          </w:p>
        </w:tc>
        <w:tc>
          <w:tcPr>
            <w:tcW w:w="6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83,884</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75,970</w:t>
            </w:r>
          </w:p>
        </w:tc>
      </w:tr>
      <w:tr>
        <w:trPr>
          <w:trHeight w:val="243"/>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(79,501)</w:t>
            </w:r>
          </w:p>
        </w:tc>
        <w:tc>
          <w:tcPr>
            <w:tcW w:w="6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(68,761)</w:t>
            </w:r>
          </w:p>
        </w:tc>
      </w:tr>
      <w:tr>
        <w:trPr>
          <w:trHeight w:val="223"/>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32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tcBorders>
              <w:bottom w:val="single" w:sz="8" w:color="CCEEFF"/>
            </w:tcBorders>
          </w:tcPr>
          <w:p>
            <w:pPr>
              <w:spacing w:after="0"/>
              <w:rPr>
                <w:sz w:val="19"/>
                <w:szCs w:val="19"/>
                <w:color w:val="auto"/>
              </w:rPr>
            </w:pPr>
          </w:p>
        </w:tc>
      </w:tr>
      <w:tr>
        <w:trPr>
          <w:trHeight w:val="223"/>
        </w:trPr>
        <w:tc>
          <w:tcPr>
            <w:tcW w:w="5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3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06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0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940" w:type="dxa"/>
            <w:vAlign w:val="bottom"/>
            <w:gridSpan w:val="2"/>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100" w:type="dxa"/>
            <w:vAlign w:val="bottom"/>
            <w:shd w:val="clear" w:color="auto" w:fill="CCEEFF"/>
          </w:tcPr>
          <w:p>
            <w:pPr>
              <w:spacing w:after="0"/>
              <w:rPr>
                <w:sz w:val="18"/>
                <w:szCs w:val="18"/>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net</w:t>
            </w:r>
          </w:p>
        </w:tc>
        <w:tc>
          <w:tcPr>
            <w:tcW w:w="194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(4,131)</w:t>
            </w:r>
          </w:p>
        </w:tc>
        <w:tc>
          <w:tcPr>
            <w:tcW w:w="68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(5,545)</w:t>
            </w:r>
          </w:p>
        </w:tc>
      </w:tr>
      <w:tr>
        <w:trPr>
          <w:trHeight w:val="209"/>
        </w:trPr>
        <w:tc>
          <w:tcPr>
            <w:tcW w:w="50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8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 net</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228</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legal settlement, net</w:t>
            </w:r>
          </w:p>
        </w:tc>
        <w:tc>
          <w:tcPr>
            <w:tcW w:w="8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16C</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(1,111)</w:t>
            </w:r>
          </w:p>
        </w:tc>
        <w:tc>
          <w:tcPr>
            <w:tcW w:w="6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0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(1.05)</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197"/>
        </w:trPr>
        <w:tc>
          <w:tcPr>
            <w:tcW w:w="50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10,199,984</w:t>
            </w:r>
          </w:p>
        </w:tc>
        <w:tc>
          <w:tcPr>
            <w:tcW w:w="680" w:type="dxa"/>
            <w:vAlign w:val="bottom"/>
          </w:tcPr>
          <w:p>
            <w:pPr>
              <w:spacing w:after="0"/>
              <w:rPr>
                <w:sz w:val="21"/>
                <w:szCs w:val="21"/>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7,260,344</w:t>
            </w:r>
          </w:p>
        </w:tc>
      </w:tr>
      <w:tr>
        <w:trPr>
          <w:trHeight w:val="20"/>
        </w:trPr>
        <w:tc>
          <w:tcPr>
            <w:tcW w:w="58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340" w:type="dxa"/>
            <w:vAlign w:val="bottom"/>
            <w:gridSpan w:val="7"/>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The accompanying notes are an integral part of these consolidated financial statements.</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0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right="730"/>
              <w:spacing w:after="0"/>
              <w:rPr>
                <w:sz w:val="20"/>
                <w:szCs w:val="20"/>
                <w:color w:val="auto"/>
              </w:rPr>
            </w:pPr>
            <w:r>
              <w:rPr>
                <w:rFonts w:ascii="Times New Roman" w:cs="Times New Roman" w:eastAsia="Times New Roman" w:hAnsi="Times New Roman"/>
                <w:sz w:val="18"/>
                <w:szCs w:val="18"/>
                <w:color w:val="auto"/>
                <w:w w:val="95"/>
              </w:rPr>
              <w:t>F-5</w:t>
            </w: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December 31, 2021</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Issuance of common stock and warrants net of issuance costs (*)</w:t>
      </w:r>
    </w:p>
    <w:p>
      <w:pPr>
        <w:spacing w:after="0" w:line="1" w:lineRule="exact"/>
        <w:rPr>
          <w:sz w:val="20"/>
          <w:szCs w:val="20"/>
          <w:color w:val="auto"/>
        </w:rPr>
      </w:pPr>
    </w:p>
    <w:p>
      <w:pPr>
        <w:ind w:right="1420"/>
        <w:spacing w:after="0" w:line="260" w:lineRule="auto"/>
        <w:rPr>
          <w:sz w:val="20"/>
          <w:szCs w:val="20"/>
          <w:color w:val="auto"/>
        </w:rPr>
      </w:pPr>
      <w:r>
        <w:rPr>
          <w:rFonts w:ascii="Times New Roman" w:cs="Times New Roman" w:eastAsia="Times New Roman" w:hAnsi="Times New Roman"/>
          <w:sz w:val="18"/>
          <w:szCs w:val="18"/>
          <w:color w:val="auto"/>
        </w:rPr>
        <w:t>Share-based compensation Net loss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December 31, 2022</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Issuance of common stock and warrants net of issuance costs (**)</w:t>
      </w:r>
    </w:p>
    <w:p>
      <w:pPr>
        <w:spacing w:after="0" w:line="1" w:lineRule="exact"/>
        <w:rPr>
          <w:sz w:val="20"/>
          <w:szCs w:val="20"/>
          <w:color w:val="auto"/>
        </w:rPr>
      </w:pPr>
    </w:p>
    <w:p>
      <w:pPr>
        <w:ind w:right="1420"/>
        <w:spacing w:after="0" w:line="255" w:lineRule="auto"/>
        <w:rPr>
          <w:sz w:val="20"/>
          <w:szCs w:val="20"/>
          <w:color w:val="auto"/>
        </w:rPr>
      </w:pPr>
      <w:r>
        <w:rPr>
          <w:rFonts w:ascii="Times New Roman" w:cs="Times New Roman" w:eastAsia="Times New Roman" w:hAnsi="Times New Roman"/>
          <w:sz w:val="18"/>
          <w:szCs w:val="18"/>
          <w:color w:val="auto"/>
        </w:rPr>
        <w:t>Share-based compensation Net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December 31, 2023</w:t>
      </w:r>
    </w:p>
    <w:p>
      <w:pPr>
        <w:spacing w:after="0" w:line="20" w:lineRule="exact"/>
        <w:rPr>
          <w:sz w:val="20"/>
          <w:szCs w:val="20"/>
          <w:color w:val="auto"/>
        </w:rPr>
      </w:pPr>
      <w:r>
        <w:rPr>
          <w:sz w:val="20"/>
          <w:szCs w:val="20"/>
          <w:color w:val="auto"/>
        </w:rPr>
        <w:br w:type="column"/>
      </w:r>
    </w:p>
    <w:p>
      <w:pPr>
        <w:jc w:val="center"/>
        <w:ind w:right="368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3680"/>
        <w:spacing w:after="0"/>
        <w:rPr>
          <w:sz w:val="20"/>
          <w:szCs w:val="20"/>
          <w:color w:val="auto"/>
        </w:rPr>
      </w:pPr>
      <w:r>
        <w:rPr>
          <w:rFonts w:ascii="Times New Roman" w:cs="Times New Roman" w:eastAsia="Times New Roman" w:hAnsi="Times New Roman"/>
          <w:sz w:val="17"/>
          <w:szCs w:val="17"/>
          <w:b w:val="1"/>
          <w:bCs w:val="1"/>
          <w:u w:val="single" w:color="auto"/>
          <w:color w:val="auto"/>
        </w:rPr>
        <w:t>Consolidated Statements of Shareholders’ Equity</w:t>
      </w:r>
    </w:p>
    <w:p>
      <w:pPr>
        <w:spacing w:after="0" w:line="21" w:lineRule="exact"/>
        <w:rPr>
          <w:sz w:val="20"/>
          <w:szCs w:val="20"/>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5"/>
        </w:trPr>
        <w:tc>
          <w:tcPr>
            <w:tcW w:w="2620" w:type="dxa"/>
            <w:vAlign w:val="bottom"/>
            <w:tcBorders>
              <w:bottom w:val="single" w:sz="8" w:color="auto"/>
            </w:tcBorders>
            <w:gridSpan w:val="5"/>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6"/>
        </w:trPr>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60" w:type="dxa"/>
            <w:vAlign w:val="bottom"/>
          </w:tcPr>
          <w:p>
            <w:pPr>
              <w:spacing w:after="0"/>
              <w:rPr>
                <w:sz w:val="20"/>
                <w:szCs w:val="20"/>
                <w:color w:val="auto"/>
              </w:rPr>
            </w:pPr>
          </w:p>
        </w:tc>
      </w:tr>
      <w:tr>
        <w:trPr>
          <w:trHeight w:val="426"/>
        </w:trPr>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7,108,133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69,902</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(55,593)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14,381</w:t>
            </w:r>
          </w:p>
        </w:tc>
        <w:tc>
          <w:tcPr>
            <w:tcW w:w="60" w:type="dxa"/>
            <w:vAlign w:val="bottom"/>
          </w:tcPr>
          <w:p>
            <w:pPr>
              <w:spacing w:after="0"/>
              <w:rPr>
                <w:sz w:val="24"/>
                <w:szCs w:val="24"/>
                <w:color w:val="auto"/>
              </w:rPr>
            </w:pPr>
          </w:p>
        </w:tc>
      </w:tr>
      <w:tr>
        <w:trPr>
          <w:trHeight w:val="414"/>
        </w:trPr>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782,495</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4,316</w:t>
            </w:r>
          </w:p>
        </w:tc>
        <w:tc>
          <w:tcPr>
            <w:tcW w:w="180" w:type="dxa"/>
            <w:vAlign w:val="bottom"/>
          </w:tcPr>
          <w:p>
            <w:pPr>
              <w:spacing w:after="0"/>
              <w:rPr>
                <w:sz w:val="24"/>
                <w:szCs w:val="24"/>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60" w:type="dxa"/>
            <w:vAlign w:val="bottom"/>
          </w:tcPr>
          <w:p>
            <w:pPr>
              <w:spacing w:after="0"/>
              <w:rPr>
                <w:sz w:val="24"/>
                <w:szCs w:val="24"/>
                <w:color w:val="auto"/>
              </w:rPr>
            </w:pPr>
          </w:p>
        </w:tc>
      </w:tr>
      <w:tr>
        <w:trPr>
          <w:trHeight w:val="216"/>
        </w:trPr>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1,752</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60" w:type="dxa"/>
            <w:vAlign w:val="bottom"/>
          </w:tcPr>
          <w:p>
            <w:pPr>
              <w:spacing w:after="0"/>
              <w:rPr>
                <w:sz w:val="18"/>
                <w:szCs w:val="18"/>
                <w:color w:val="auto"/>
              </w:rPr>
            </w:pPr>
          </w:p>
        </w:tc>
      </w:tr>
      <w:tr>
        <w:trPr>
          <w:trHeight w:val="261"/>
        </w:trPr>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(13,168)</w:t>
            </w:r>
          </w:p>
        </w:tc>
        <w:tc>
          <w:tcPr>
            <w:tcW w:w="20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(13,168)</w:t>
            </w:r>
          </w:p>
        </w:tc>
      </w:tr>
      <w:tr>
        <w:trPr>
          <w:trHeight w:val="228"/>
        </w:trPr>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7,890,628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75,970</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(68,761)</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60" w:type="dxa"/>
            <w:vAlign w:val="bottom"/>
          </w:tcPr>
          <w:p>
            <w:pPr>
              <w:spacing w:after="0"/>
              <w:rPr>
                <w:sz w:val="19"/>
                <w:szCs w:val="19"/>
                <w:color w:val="auto"/>
              </w:rPr>
            </w:pPr>
          </w:p>
        </w:tc>
      </w:tr>
      <w:tr>
        <w:trPr>
          <w:trHeight w:val="395"/>
        </w:trPr>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3,816,689</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6,520</w:t>
            </w:r>
          </w:p>
        </w:tc>
        <w:tc>
          <w:tcPr>
            <w:tcW w:w="180" w:type="dxa"/>
            <w:vAlign w:val="bottom"/>
          </w:tcPr>
          <w:p>
            <w:pPr>
              <w:spacing w:after="0"/>
              <w:rPr>
                <w:sz w:val="24"/>
                <w:szCs w:val="24"/>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60" w:type="dxa"/>
            <w:vAlign w:val="bottom"/>
          </w:tcPr>
          <w:p>
            <w:pPr>
              <w:spacing w:after="0"/>
              <w:rPr>
                <w:sz w:val="24"/>
                <w:szCs w:val="24"/>
                <w:color w:val="auto"/>
              </w:rPr>
            </w:pPr>
          </w:p>
        </w:tc>
      </w:tr>
      <w:tr>
        <w:trPr>
          <w:trHeight w:val="216"/>
        </w:trPr>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1,394</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60" w:type="dxa"/>
            <w:vAlign w:val="bottom"/>
          </w:tcPr>
          <w:p>
            <w:pPr>
              <w:spacing w:after="0"/>
              <w:rPr>
                <w:sz w:val="18"/>
                <w:szCs w:val="18"/>
                <w:color w:val="auto"/>
              </w:rPr>
            </w:pPr>
          </w:p>
        </w:tc>
      </w:tr>
      <w:tr>
        <w:trPr>
          <w:trHeight w:val="261"/>
        </w:trPr>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(10,740)</w:t>
            </w:r>
          </w:p>
        </w:tc>
        <w:tc>
          <w:tcPr>
            <w:tcW w:w="20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(10,740)</w:t>
            </w: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11,707,317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83,884</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(79,501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60" w:type="dxa"/>
            <w:vAlign w:val="bottom"/>
          </w:tcPr>
          <w:p>
            <w:pPr>
              <w:spacing w:after="0"/>
              <w:rPr>
                <w:sz w:val="19"/>
                <w:szCs w:val="19"/>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-1593850</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-1182370</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-890905</wp:posOffset>
            </wp:positionV>
            <wp:extent cx="7132320"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-471170</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-179070</wp:posOffset>
            </wp:positionV>
            <wp:extent cx="7132320"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360" w:space="380"/>
            <w:col w:w="7460"/>
          </w:cols>
          <w:pgMar w:left="320" w:top="684" w:right="379" w:bottom="1440" w:gutter="0" w:footer="0" w:header="0"/>
        </w:sectPr>
      </w:pPr>
    </w:p>
    <w:p>
      <w:pPr>
        <w:ind w:right="7540" w:firstLine="8"/>
        <w:spacing w:after="0" w:line="312" w:lineRule="auto"/>
        <w:tabs>
          <w:tab w:leader="none" w:pos="324"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of issuance costs in the amount of $676. (**) Net of issuance costs in the amount of $1,075.</w:t>
      </w:r>
    </w:p>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The accompanying notes are an integral part of these consolidated financial statements.</w:t>
      </w: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5715</wp:posOffset>
            </wp:positionV>
            <wp:extent cx="22713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9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2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(10,740)</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(13,168)</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legal settlement</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2,211</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 related to legal settlement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(1,335)</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unrealized gains from marketable securities, net</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(160)</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1,394</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672</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9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(683)</w:t>
            </w:r>
          </w:p>
        </w:tc>
        <w:tc>
          <w:tcPr>
            <w:tcW w:w="38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3"/>
        </w:trPr>
        <w:tc>
          <w:tcPr>
            <w:tcW w:w="66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9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9,164</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(10,060)</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(3,749)</w:t>
            </w:r>
          </w:p>
        </w:tc>
        <w:tc>
          <w:tcPr>
            <w:tcW w:w="0" w:type="dxa"/>
            <w:vAlign w:val="bottom"/>
          </w:tcPr>
          <w:p>
            <w:pPr>
              <w:spacing w:after="0"/>
              <w:rPr>
                <w:sz w:val="1"/>
                <w:szCs w:val="1"/>
                <w:color w:val="auto"/>
              </w:rPr>
            </w:pPr>
          </w:p>
        </w:tc>
      </w:tr>
      <w:tr>
        <w:trPr>
          <w:trHeight w:val="243"/>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9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2,899</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94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2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9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6,558</w:t>
            </w:r>
          </w:p>
        </w:tc>
        <w:tc>
          <w:tcPr>
            <w:tcW w:w="3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9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2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(11,061)</w:t>
            </w:r>
          </w:p>
        </w:tc>
        <w:tc>
          <w:tcPr>
            <w:tcW w:w="0" w:type="dxa"/>
            <w:vAlign w:val="bottom"/>
          </w:tcPr>
          <w:p>
            <w:pPr>
              <w:spacing w:after="0"/>
              <w:rPr>
                <w:sz w:val="1"/>
                <w:szCs w:val="1"/>
                <w:color w:val="auto"/>
              </w:rPr>
            </w:pPr>
          </w:p>
        </w:tc>
      </w:tr>
      <w:tr>
        <w:trPr>
          <w:trHeight w:val="243"/>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9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2,519</w:t>
            </w:r>
          </w:p>
        </w:tc>
        <w:tc>
          <w:tcPr>
            <w:tcW w:w="3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ending of year</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2020" w:type="dxa"/>
            <w:vAlign w:val="bottom"/>
            <w:gridSpan w:val="2"/>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940" w:type="dxa"/>
            <w:vAlign w:val="bottom"/>
            <w:tcBorders>
              <w:top w:val="single" w:sz="8" w:color="CCEEFF"/>
              <w:bottom w:val="single" w:sz="8" w:color="CCEEFF"/>
            </w:tcBorders>
            <w:vMerge w:val="restart"/>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8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22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and its subsidiary are sometimes collectively referred to as the “Company” as the context may require.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December 31, 2023, the Company had cash equivalents and marketable securities balance of approximately $6,385, excluding restricted cash. Due to continuing research and development activities, the Company expects to continue to incur additional losses for the foreseeable future. The Company implemented a cost reduction program in May 2023, and consummated capital raises in May and June 2023 and in January 2024.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Accordingly, these conditions raise substantial doubt about the Company’s ability to continue as a going concern.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War in Israel</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operations are primarily based, suffered a surprise attack by hostile forces from Gaza, which led to the declaration by Israel of the “Iron Swords” military operation. This military operation and related activities are on-going as of the issuance date of these financial statements.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1620" w:hanging="640"/>
        <w:spacing w:after="0" w:line="282"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affect its anticipated milestones and its Israel-based activities to support future clinical and regulatory milestones, including the Company’s ability to import materials that are required to construct the Company’s devices and to ship them outside of Israel. As of the issuance date of these financial statements,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Basis of presentation:</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financial statements have been prepared in conformity with accounting principles generally accepted in the United States of America (“US GAAP”).</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Financial statement in U.S. dollars: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functional currency of the Company is the U.S. dollar (“dollar”) since the dollar is the currency of the primary economic environment in which the Company has operated and expects to continue to operate in the foreseeable future.</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Transactions and balances denominated in dollars are presented at their original amounts. Transactions and balances denominated in foreign currencies have been re-measured to dollars in accordance with the provisions of Accounting Standards Codification (“ASC”) 830-10, “Foreign Currency Translation”.</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All transaction gains and losses from re-measurement of monetary balance sheet items denominated in non-dollar currencies are reflected in the statements of comprehensive loss as financial income or expenses, as appropriate.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Use of estimates: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Principles of consolidation:</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subsidiary. Inter-company balances and transactions have been eliminated in consolidation.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Reclassification of prior year disclosures:</w:t>
      </w:r>
    </w:p>
    <w:p>
      <w:pPr>
        <w:spacing w:after="0" w:line="22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disclosures. These reclassifications had no effect on the reported consolidated balance sheets, the related consolidated statements of comprehensive loss, shareholders’ equity and cash flows.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 Acquisitions of assets:</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definition of a business. Significant judgment is required in the application of the screen test to determine whether an acquisition is accounted for as business combination or an acquisition of assets.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 Cash and cash equivalents: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demand deposits in banks, and other short-term liquid investments (primarily interest-bearing time deposits) with original maturities of three months or less at the date of purchase.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H. Restricted cash:</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Restricted cash of $49 as of December 31, 2023, serves as collateral for the Company’s lease agreement, and $77 as of December 31, 2022, serves as collateral for lease agreements and credit cards.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I. Fair value of financial instruments: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 and other accounts payable and accrued liabilities approximate their fair value due to the short-term maturity of these instruments.</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(such as marketable securities) on a recurring basis. The method of determining the fair value of marketable securities is discussed in Note 4 below.</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jc w:val="both"/>
        <w:ind w:left="9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J. Concentrations of credit risk:</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credit risk consist primarily of cash and cash equivalents and marketable securities. The Company holds these investments in highly rated financial institutions.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K. Property and equipment:</w:t>
      </w:r>
    </w:p>
    <w:p>
      <w:pPr>
        <w:spacing w:after="0" w:line="22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Property and equipment are presented at cost less accumulated depreciation. Depreciation is calculated based on the straight-line method over the estimated useful lives of the assets, at the following annual rates:</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24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r>
      <w:tr>
        <w:trPr>
          <w:trHeight w:val="209"/>
        </w:trPr>
        <w:tc>
          <w:tcPr>
            <w:tcW w:w="6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24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25-33</w:t>
            </w:r>
          </w:p>
        </w:tc>
        <w:tc>
          <w:tcPr>
            <w:tcW w:w="8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4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5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Over the lease period</w:t>
            </w:r>
          </w:p>
        </w:tc>
      </w:tr>
    </w:tbl>
    <w:p>
      <w:pPr>
        <w:spacing w:after="0" w:line="198"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assesses property and equipment impairment whenever events or changes in circumstances indicate that the carrying amount of the asset may not be recoverable. If such circumstances are determined to exist, an estimate of undiscounted future cash flows produced by the property and equipment assets, or the appropriate grouping of assets, is compared to the carrying value to determine whether impairment exists. If an asset is determined to be impaired, the loss is measured based on the difference between the asset’s estimated fair value and its carrying value. For property and equipment assets, the estimate of fair value is typically based on a discounted cash flow model. As of December 31, 2023, and 2022, no impairment charge has been recorded.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L. Liabilities due to termination of employment agreements: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 Payments in accordance with Article 14 release Microbot Israel from any future severance payments (under the Israeli Severance Compensation Act, 1963) with respect of those employees. The aforementioned deposits are not recorded as an asset in the Company’s balance sheets.</w:t>
      </w:r>
    </w:p>
    <w:p>
      <w:pPr>
        <w:spacing w:after="0" w:line="183"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As for the U.S. employees, the Company has certain defined contribution plans, including a 401(k)-retirement plan in the U.S., whereby contributions made by eligible employees are matched by the Company with certain limitations.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 Common stock warrants: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issued to investors as either equity-classified or liability-classified instruments, based on an assessment of the warrant’s specific terms and the applicable authoritative guidance in FASB ASC 480 and FASB ASC 815, “Derivatives and Hedging” (“ASC 815”). The assessment considers whether the warrants are freestanding financial instruments pursuant to ASC 480, meet the definition of a liability pursuant to ASC 480, or meet all of the requirements for equity classification under FASB ASC 815, including whether the warrants are indexed to the Company’s own shares of common stock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 Basic and diluted net loss per share:</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common stock shareholders by the weighted average number of shares of common stock outstanding during the year without consideration of potentially dilutive securities. For purposes of the diluted net loss per share attributable to common shareholders calculation, stock options and warrants are considered to be common stock equivalents. All common stock equivalents have been excluded from the calculation of the diluted loss per share for the years ended December 31, 2023 and December 31, 2022, as their effect would be anti-dilutive. Therefore, basic and diluted net loss per share were the same for both years presented. In the calculation of the basic and diluted net loss, the Company included warrants that would be exercised for no or little consideration and are exercisable with no contingencies.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O. General and administrative expenses, net:</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are charged to the statement of comprehensive loss as incurred. Insurance loss recoveries are recognized when the amount is determinable and approved by the insurance company and applied as a deduction from general and administrative expenses. General and administrative expenses, net, for the years ended December 31, 2023 and 2022, were offset by insurance loss recoveries in the amounts of approximately $281 and $156, respectively.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 Research and development expenses, net:</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charged to the statement of comprehensive loss as incurred. Grants for funding of approved research and development projects and others are recognized at the time the Company is entitled to such grants, on the basis of the costs incurred and applied as a deduction from the research and development expenses. See Note 2V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434"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Q. Share-based compensation:</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83"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expected stock option term is calculated for stock options granted using the “simplified” method. Changes in the determination of each of the inputs can affect the fair value of the stock options granted and the results of operations of the Company.</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 Income taxes: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2023, and 2022, the Company had a full valuation allowance against deferred tax assets.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 Marketable securities:</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invests in various debt securities and an equity security. Debt securities consist of U.S. treasury securities. Equity security consist of a mutual fund. The Company records these investments in the consolidated balance sheet at fair value. For all of the Company’s debt securities, the Company elected the fair value option and thus all unrealized gains or losses for these securities are reflected in the statements of comprehensive loss as financial income or expenses, as appropriate. Unrealized gains or losses for the equity security are reflected in the statements of comprehensive loss as financial income or expenses, as appropriate. The Company classifies its investments as current based on the nature of the investments and their availability for use in current operations.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T. Leases: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assets are presented as operating lease long-term right-of-use assets (“ROU”), and corresponding as lease liabilities (current portion), and as operating long-term lease liabilities, on the Company’s consolidated balance sheets.</w:t>
      </w:r>
    </w:p>
    <w:p>
      <w:pPr>
        <w:spacing w:after="0" w:line="176"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recognized based on the present value of the remaining lease payments over the lease term at commencement date. The Company’s leases do not provide an implicit interest rate. The Company calculates the incremental borrowing rate to reflect the interest rate that it would have to pay to borrow on a collateralized basis an amount equal to the lease payments in a similar economic environment over a similar term and considers the Company’s historical borrowing activities and market data in this determination. The operating lease ROU asset also includes any lease payments made and excludes lease incentives and initial direct costs incurred. The Company’s lease terms may include options to extend or terminate the lease when it is reasonably certain that it will exercise that option. Lease expense for minimum lease payments is recognized on a straight-line basis over the lease term.</w:t>
      </w:r>
    </w:p>
    <w:p>
      <w:pPr>
        <w:spacing w:after="0" w:line="18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which it accounts for as a single lease component. The Company has elected not to recognize ROU assets and lease liabilities for short-term leases that have a term of 12 months or less. The effect of short-term leases on the Company’s ROU assets and lease liabilities was not material. The Company’s lease agreements do not contain any material residual value guarantees or material restrictive covenants. In addition, the Company does not have any related party leases.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U. Contingencies: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 Refer to Note 16C below.</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 Refer to Note 2O above and Note 16C below.</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Government grants: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Government grants which are received from the Israeli Ministry of Economy and Israel Innovation Authority (“IIA”) by way of participation in research and development that is conducted by Microbot Israel, are received in installments as the program progresses based on qualified research spending. Grants received are recognized when the grant becomes receivable, provided there was reasonable assurance that Microbot Israel will comply with the conditions attached to the grant and there was reasonable assurance the grant will be received.</w:t>
      </w:r>
    </w:p>
    <w:p>
      <w:pPr>
        <w:spacing w:after="0" w:line="18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grants are deducted from the research and development expenses as the applicable costs are incurred. Research and development expenses, net, for the years ended December 31, 2023 and 2022, include participation in research and development expenses in the amount of approximately $279 and $0, respectively.</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 Recently issued accounting pronouncements: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FASB, or other standard-setting bodies and adopted by the Company as of the specified effective date. Unless otherwise discussed, the impact of recently issued standards that are not yet effective will not have a material impact on our financial position or results of operations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CASH AND CASH EQUIVALENTS AND MARKETABLE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marketable securities as of December 31, 2023 and 2022:</w:t>
      </w:r>
    </w:p>
    <w:p>
      <w:pPr>
        <w:spacing w:after="0" w:line="32"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282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5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2,468</w:t>
            </w:r>
          </w:p>
        </w:tc>
        <w:tc>
          <w:tcPr>
            <w:tcW w:w="1020" w:type="dxa"/>
            <w:vAlign w:val="bottom"/>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1,195</w:t>
            </w: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1,247</w:t>
            </w:r>
          </w:p>
        </w:tc>
      </w:tr>
      <w:tr>
        <w:trPr>
          <w:trHeight w:val="263"/>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26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80" w:type="dxa"/>
            <w:vAlign w:val="bottom"/>
            <w:tcBorders>
              <w:bottom w:val="single" w:sz="8" w:color="CCEEFF"/>
            </w:tcBorders>
          </w:tcPr>
          <w:p>
            <w:pPr>
              <w:spacing w:after="0"/>
              <w:rPr>
                <w:sz w:val="22"/>
                <w:szCs w:val="22"/>
                <w:color w:val="auto"/>
              </w:rPr>
            </w:pPr>
          </w:p>
        </w:tc>
      </w:tr>
      <w:tr>
        <w:trPr>
          <w:trHeight w:val="197"/>
        </w:trPr>
        <w:tc>
          <w:tcPr>
            <w:tcW w:w="5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1,420</w:t>
            </w:r>
          </w:p>
        </w:tc>
        <w:tc>
          <w:tcPr>
            <w:tcW w:w="102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1,999</w:t>
            </w: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40" w:type="dxa"/>
            <w:vAlign w:val="bottom"/>
          </w:tcPr>
          <w:p>
            <w:pPr>
              <w:spacing w:after="0"/>
              <w:rPr>
                <w:sz w:val="21"/>
                <w:szCs w:val="2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2,497</w:t>
            </w:r>
          </w:p>
        </w:tc>
        <w:tc>
          <w:tcPr>
            <w:tcW w:w="1020" w:type="dxa"/>
            <w:vAlign w:val="bottom"/>
          </w:tcPr>
          <w:p>
            <w:pPr>
              <w:spacing w:after="0"/>
              <w:rPr>
                <w:sz w:val="21"/>
                <w:szCs w:val="21"/>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3,761</w:t>
            </w:r>
          </w:p>
        </w:tc>
      </w:tr>
      <w:tr>
        <w:trPr>
          <w:trHeight w:val="223"/>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6,385</w:t>
            </w:r>
          </w:p>
        </w:tc>
        <w:tc>
          <w:tcPr>
            <w:tcW w:w="102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8,202</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unrealized gains on our marketable securities were $59 and $12 for the years ended December 31, 2023 and 2022, respectively.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Treasuries have contractual maturities of less than 12 months.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jc w:val="both"/>
        <w:ind w:left="980"/>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subject to fair value measurement and the level of inputs used in such measurements as of December 31, 2023 and 2022:</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2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2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2,497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2,497</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4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1,420</w:t>
            </w:r>
          </w:p>
        </w:tc>
        <w:tc>
          <w:tcPr>
            <w:tcW w:w="9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23"/>
        </w:trPr>
        <w:tc>
          <w:tcPr>
            <w:tcW w:w="2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3"/>
              </w:rPr>
              <w:t>3,917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2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2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1,247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1,247</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29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3,761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3,761</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1,999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1,999</w:t>
            </w:r>
          </w:p>
        </w:tc>
        <w:tc>
          <w:tcPr>
            <w:tcW w:w="920" w:type="dxa"/>
            <w:vAlign w:val="bottom"/>
          </w:tcPr>
          <w:p>
            <w:pPr>
              <w:spacing w:after="0"/>
              <w:rPr>
                <w:sz w:val="21"/>
                <w:szCs w:val="2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3"/>
              </w:rPr>
              <w:t>5,760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December 31, 2023 and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PREPAID EXPENSES AND OTHER CURRENT ASSETS</w:t>
            </w: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6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40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20"/>
                <w:szCs w:val="20"/>
                <w:color w:val="auto"/>
              </w:rPr>
            </w:pPr>
          </w:p>
        </w:tc>
        <w:tc>
          <w:tcPr>
            <w:tcW w:w="1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government institutions</w:t>
            </w:r>
          </w:p>
        </w:tc>
        <w:tc>
          <w:tcPr>
            <w:tcW w:w="2400" w:type="dxa"/>
            <w:vAlign w:val="bottom"/>
            <w:gridSpan w:val="2"/>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340" w:type="dxa"/>
            <w:vAlign w:val="bottom"/>
            <w:gridSpan w:val="2"/>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13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Borders>
              <w:bottom w:val="single" w:sz="8" w:color="CCEEFF"/>
            </w:tcBorders>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right"/>
              <w:ind w:right="1933"/>
              <w:spacing w:after="0"/>
              <w:rPr>
                <w:sz w:val="20"/>
                <w:szCs w:val="20"/>
                <w:color w:val="auto"/>
              </w:rPr>
            </w:pPr>
            <w:r>
              <w:rPr>
                <w:rFonts w:ascii="Times New Roman" w:cs="Times New Roman" w:eastAsia="Times New Roman" w:hAnsi="Times New Roman"/>
                <w:sz w:val="18"/>
                <w:szCs w:val="18"/>
                <w:color w:val="auto"/>
              </w:rPr>
              <w:t>F-15</w:t>
            </w: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In November 2019, the Company signed an office space lease agreement for the period from November 2019 until October 2024. In addition, the Company received an option to extend the lease agreement for an additional 5 years. The monthly lease payments are approximately $16. To secure the lease payments the Company had issued a bank guarantee of $49 in favor of the facility’s lessor. Additionally, the Company entered into agreements for car leases.</w:t>
      </w:r>
    </w:p>
    <w:p>
      <w:pPr>
        <w:spacing w:after="0" w:line="180" w:lineRule="exact"/>
        <w:rPr>
          <w:sz w:val="20"/>
          <w:szCs w:val="20"/>
          <w:color w:val="auto"/>
        </w:rPr>
      </w:pPr>
    </w:p>
    <w:p>
      <w:pPr>
        <w:jc w:val="both"/>
        <w:ind w:left="980"/>
        <w:spacing w:after="0" w:line="263" w:lineRule="auto"/>
        <w:rPr>
          <w:sz w:val="20"/>
          <w:szCs w:val="20"/>
          <w:color w:val="auto"/>
        </w:rPr>
      </w:pPr>
      <w:r>
        <w:rPr>
          <w:rFonts w:ascii="Times New Roman" w:cs="Times New Roman" w:eastAsia="Times New Roman" w:hAnsi="Times New Roman"/>
          <w:sz w:val="18"/>
          <w:szCs w:val="18"/>
          <w:color w:val="auto"/>
        </w:rPr>
        <w:t>The following table presents the components of the Company’s lease cost and the classification of such costs in the Company’s consolidated statements of comprehensive loss for the years ended December 31, 2023 and 2022:</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Statements of Comprehensive Loss</w:t>
            </w:r>
          </w:p>
        </w:tc>
        <w:tc>
          <w:tcPr>
            <w:tcW w:w="240" w:type="dxa"/>
            <w:vAlign w:val="bottom"/>
          </w:tcPr>
          <w:p>
            <w:pPr>
              <w:spacing w:after="0"/>
              <w:rPr>
                <w:sz w:val="20"/>
                <w:szCs w:val="20"/>
                <w:color w:val="auto"/>
              </w:rPr>
            </w:pPr>
          </w:p>
        </w:tc>
        <w:tc>
          <w:tcPr>
            <w:tcW w:w="334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174"/>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gridSpan w:val="2"/>
            <w:vMerge w:val="continue"/>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Component of Lease Cost</w:t>
            </w:r>
          </w:p>
        </w:tc>
        <w:tc>
          <w:tcPr>
            <w:tcW w:w="200" w:type="dxa"/>
            <w:vAlign w:val="bottom"/>
            <w:tcBorders>
              <w:bottom w:val="single" w:sz="8" w:color="CCEEFF"/>
            </w:tcBorders>
          </w:tcPr>
          <w:p>
            <w:pPr>
              <w:spacing w:after="0"/>
              <w:rPr>
                <w:sz w:val="20"/>
                <w:szCs w:val="20"/>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Line Item</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279</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6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0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7"/>
        </w:trPr>
        <w:tc>
          <w:tcPr>
            <w:tcW w:w="624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23"/>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under operating lease agreements</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Undiscounted maturities of future operating lease payments as of December 31, 2023 are summarized as follows: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r>
      <w:tr>
        <w:trPr>
          <w:trHeight w:val="243"/>
        </w:trPr>
        <w:tc>
          <w:tcPr>
            <w:tcW w:w="5120" w:type="dxa"/>
            <w:vAlign w:val="bottom"/>
            <w:tcBorders>
              <w:bottom w:val="single" w:sz="8" w:color="CCEEFF"/>
            </w:tcBorders>
          </w:tcPr>
          <w:p>
            <w:pPr>
              <w:spacing w:after="0"/>
              <w:rPr>
                <w:sz w:val="21"/>
                <w:szCs w:val="21"/>
                <w:color w:val="auto"/>
              </w:rPr>
            </w:pPr>
          </w:p>
        </w:tc>
        <w:tc>
          <w:tcPr>
            <w:tcW w:w="3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3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8"/>
                <w:szCs w:val="18"/>
                <w:color w:val="auto"/>
              </w:rPr>
            </w:pPr>
          </w:p>
        </w:tc>
      </w:tr>
      <w:tr>
        <w:trPr>
          <w:trHeight w:val="24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28"/>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-2540</wp:posOffset>
            </wp:positionV>
            <wp:extent cx="10801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color w:val="auto"/>
        </w:rPr>
        <w:t>The following table includes the weighted-average lease terms and discount rates for operating leases as of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-127635</wp:posOffset>
            </wp:positionV>
            <wp:extent cx="10801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12"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19685</wp:posOffset>
            </wp:positionV>
            <wp:extent cx="23742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7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9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weighted average remaining lease term (in years)</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0.8</w:t>
            </w:r>
          </w:p>
        </w:tc>
        <w:tc>
          <w:tcPr>
            <w:tcW w:w="186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 weighted average discount rate</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8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w w:val="91"/>
              </w:rPr>
              <w:t>9%</w:t>
            </w:r>
          </w:p>
        </w:tc>
        <w:tc>
          <w:tcPr>
            <w:tcW w:w="220" w:type="dxa"/>
            <w:vAlign w:val="bottom"/>
          </w:tcPr>
          <w:p>
            <w:pPr>
              <w:spacing w:after="0"/>
              <w:rPr>
                <w:sz w:val="20"/>
                <w:szCs w:val="20"/>
                <w:color w:val="auto"/>
              </w:rPr>
            </w:pPr>
          </w:p>
        </w:tc>
      </w:tr>
      <w:tr>
        <w:trPr>
          <w:trHeight w:val="414"/>
        </w:trPr>
        <w:tc>
          <w:tcPr>
            <w:tcW w:w="98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gridSpan w:val="2"/>
          </w:tcPr>
          <w:p>
            <w:pPr>
              <w:ind w:left="4480"/>
              <w:spacing w:after="0"/>
              <w:rPr>
                <w:sz w:val="20"/>
                <w:szCs w:val="20"/>
                <w:color w:val="auto"/>
              </w:rPr>
            </w:pPr>
            <w:r>
              <w:rPr>
                <w:rFonts w:ascii="Times New Roman" w:cs="Times New Roman" w:eastAsia="Times New Roman" w:hAnsi="Times New Roman"/>
                <w:sz w:val="18"/>
                <w:szCs w:val="18"/>
                <w:color w:val="auto"/>
              </w:rPr>
              <w:t>F-16</w:t>
            </w: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ectPr>
          <w:pgSz w:w="11900" w:h="16838" w:orient="portrait"/>
          <w:cols w:equalWidth="0" w:num="1">
            <w:col w:w="11240"/>
          </w:cols>
          <w:pgMar w:left="320" w:top="684"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PROPERTY AND EQUIPMENT, NET</w:t>
      </w:r>
    </w:p>
    <w:p>
      <w:pPr>
        <w:spacing w:after="0" w:line="200" w:lineRule="exact"/>
        <w:rPr>
          <w:sz w:val="20"/>
          <w:szCs w:val="20"/>
          <w:color w:val="auto"/>
        </w:rPr>
      </w:pPr>
    </w:p>
    <w:p>
      <w:pPr>
        <w:spacing w:after="0" w:line="2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Historical Cost:</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Research equipment and software</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Leasehold improvement</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Furniture and office equipment</w:t>
      </w:r>
    </w:p>
    <w:p>
      <w:pPr>
        <w:spacing w:after="0" w:line="2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Accumulated Depreciation:</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Research equipment and software</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Leasehold improvement</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Furniture and office equipment</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298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43"/>
        </w:trPr>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407"/>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4"/>
        </w:trPr>
        <w:tc>
          <w:tcPr>
            <w:tcW w:w="34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43"/>
        </w:trPr>
        <w:tc>
          <w:tcPr>
            <w:tcW w:w="34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233</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407"/>
        </w:trPr>
        <w:tc>
          <w:tcPr>
            <w:tcW w:w="340" w:type="dxa"/>
            <w:vAlign w:val="bottom"/>
          </w:tcPr>
          <w:p>
            <w:pPr>
              <w:spacing w:after="0"/>
              <w:rPr>
                <w:sz w:val="24"/>
                <w:szCs w:val="24"/>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34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3"/>
        </w:trPr>
        <w:tc>
          <w:tcPr>
            <w:tcW w:w="34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203</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-1636395</wp:posOffset>
            </wp:positionV>
            <wp:extent cx="5700395"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-3542665</wp:posOffset>
            </wp:positionH>
            <wp:positionV relativeFrom="paragraph">
              <wp:posOffset>-1353820</wp:posOffset>
            </wp:positionV>
            <wp:extent cx="5700395"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-3542665</wp:posOffset>
            </wp:positionH>
            <wp:positionV relativeFrom="paragraph">
              <wp:posOffset>-1062355</wp:posOffset>
            </wp:positionV>
            <wp:extent cx="5700395"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-3542665</wp:posOffset>
            </wp:positionH>
            <wp:positionV relativeFrom="paragraph">
              <wp:posOffset>-762635</wp:posOffset>
            </wp:positionV>
            <wp:extent cx="570039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-3542665</wp:posOffset>
            </wp:positionH>
            <wp:positionV relativeFrom="paragraph">
              <wp:posOffset>-487680</wp:posOffset>
            </wp:positionV>
            <wp:extent cx="5700395"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-3542665</wp:posOffset>
            </wp:positionH>
            <wp:positionV relativeFrom="paragraph">
              <wp:posOffset>-179070</wp:posOffset>
            </wp:positionV>
            <wp:extent cx="5700395"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5840" w:space="720"/>
            <w:col w:w="4680"/>
          </w:cols>
          <w:pgMar w:left="320" w:top="684"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8 - ACCRUED LIABILITIES</w:t>
            </w:r>
          </w:p>
        </w:tc>
        <w:tc>
          <w:tcPr>
            <w:tcW w:w="2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3"/>
        </w:trPr>
        <w:tc>
          <w:tcPr>
            <w:tcW w:w="98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82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7"/>
        </w:trPr>
        <w:tc>
          <w:tcPr>
            <w:tcW w:w="9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09"/>
        </w:trPr>
        <w:tc>
          <w:tcPr>
            <w:tcW w:w="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 liabilities</w:t>
            </w:r>
          </w:p>
        </w:tc>
        <w:tc>
          <w:tcPr>
            <w:tcW w:w="338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725</w:t>
            </w: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1,372</w:t>
            </w:r>
          </w:p>
        </w:tc>
        <w:tc>
          <w:tcPr>
            <w:tcW w:w="1280" w:type="dxa"/>
            <w:vAlign w:val="bottom"/>
          </w:tcPr>
          <w:p>
            <w:pPr>
              <w:spacing w:after="0"/>
              <w:rPr>
                <w:sz w:val="18"/>
                <w:szCs w:val="18"/>
                <w:color w:val="auto"/>
              </w:rPr>
            </w:pPr>
          </w:p>
        </w:tc>
      </w:tr>
      <w:tr>
        <w:trPr>
          <w:trHeight w:val="243"/>
        </w:trPr>
        <w:tc>
          <w:tcPr>
            <w:tcW w:w="98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w:t>
            </w:r>
          </w:p>
        </w:tc>
        <w:tc>
          <w:tcPr>
            <w:tcW w:w="1020" w:type="dxa"/>
            <w:vAlign w:val="bottom"/>
          </w:tcPr>
          <w:p>
            <w:pPr>
              <w:spacing w:after="0"/>
              <w:rPr>
                <w:sz w:val="21"/>
                <w:szCs w:val="21"/>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w:t>
            </w:r>
          </w:p>
        </w:tc>
        <w:tc>
          <w:tcPr>
            <w:tcW w:w="1280" w:type="dxa"/>
            <w:vAlign w:val="bottom"/>
          </w:tcPr>
          <w:p>
            <w:pPr>
              <w:spacing w:after="0"/>
              <w:rPr>
                <w:sz w:val="21"/>
                <w:szCs w:val="21"/>
                <w:color w:val="auto"/>
              </w:rPr>
            </w:pPr>
          </w:p>
        </w:tc>
      </w:tr>
      <w:tr>
        <w:trPr>
          <w:trHeight w:val="223"/>
        </w:trPr>
        <w:tc>
          <w:tcPr>
            <w:tcW w:w="980" w:type="dxa"/>
            <w:vAlign w:val="bottom"/>
          </w:tcPr>
          <w:p>
            <w:pPr>
              <w:spacing w:after="0"/>
              <w:rPr>
                <w:sz w:val="19"/>
                <w:szCs w:val="19"/>
                <w:color w:val="auto"/>
              </w:rPr>
            </w:pPr>
          </w:p>
        </w:tc>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23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13"/>
        </w:trPr>
        <w:tc>
          <w:tcPr>
            <w:tcW w:w="9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2"/>
          </w:tcPr>
          <w:p>
            <w:pPr>
              <w:jc w:val="right"/>
              <w:ind w:right="1710"/>
              <w:spacing w:after="0"/>
              <w:rPr>
                <w:sz w:val="20"/>
                <w:szCs w:val="20"/>
                <w:color w:val="auto"/>
              </w:rPr>
            </w:pPr>
            <w:r>
              <w:rPr>
                <w:rFonts w:ascii="Times New Roman" w:cs="Times New Roman" w:eastAsia="Times New Roman" w:hAnsi="Times New Roman"/>
                <w:sz w:val="18"/>
                <w:szCs w:val="18"/>
                <w:color w:val="auto"/>
              </w:rPr>
              <w:t>F-17</w:t>
            </w: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Government grants:</w:t>
      </w:r>
    </w:p>
    <w:p>
      <w:pPr>
        <w:spacing w:after="0" w:line="229" w:lineRule="exact"/>
        <w:rPr>
          <w:sz w:val="20"/>
          <w:szCs w:val="20"/>
          <w:color w:val="auto"/>
        </w:rPr>
      </w:pPr>
    </w:p>
    <w:p>
      <w:pPr>
        <w:jc w:val="both"/>
        <w:ind w:left="980"/>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IIA for participation in research and development since 2013 through December 31, 2023 totaling approximately $1,804. This amount includes amounts received in 2023 of approximately $304, which are a portion of an additional grant from the IIA in the amount of approximately NIS 1,620,000 (approximately $447)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CardioSert Ltd. (“CardioSert”) on January 4, 2018, Microbot Israel took over the liability to repay CardioSert’s IIA grants in the aggregate amount of approximately $530.</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3.0%-5% of its future sales of the products relating to such grants.</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80" w:lineRule="exact"/>
        <w:rPr>
          <w:sz w:val="20"/>
          <w:szCs w:val="20"/>
          <w:color w:val="auto"/>
        </w:rPr>
      </w:pPr>
    </w:p>
    <w:p>
      <w:pPr>
        <w:jc w:val="both"/>
        <w:ind w:left="980"/>
        <w:spacing w:after="0" w:line="226"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 As of December 31, 2023, the Company received approximately $27 of such grant. In relation with the Ministry of Economy grant, the Company is</w:t>
      </w:r>
    </w:p>
    <w:p>
      <w:pPr>
        <w:spacing w:after="0" w:line="3" w:lineRule="exact"/>
        <w:rPr>
          <w:sz w:val="20"/>
          <w:szCs w:val="20"/>
          <w:color w:val="auto"/>
        </w:rPr>
      </w:pPr>
    </w:p>
    <w:p>
      <w:pPr>
        <w:jc w:val="both"/>
        <w:ind w:left="980"/>
        <w:spacing w:after="0" w:line="209" w:lineRule="auto"/>
        <w:rPr>
          <w:sz w:val="20"/>
          <w:szCs w:val="20"/>
          <w:color w:val="auto"/>
        </w:rPr>
      </w:pPr>
      <w:r>
        <w:rPr>
          <w:rFonts w:ascii="Times New Roman" w:cs="Times New Roman" w:eastAsia="Times New Roman" w:hAnsi="Times New Roman"/>
          <w:sz w:val="18"/>
          <w:szCs w:val="18"/>
          <w:color w:val="auto"/>
        </w:rPr>
        <w:t>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TRDF agreement:</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with respect to the</w:t>
      </w:r>
    </w:p>
    <w:p>
      <w:pPr>
        <w:jc w:val="both"/>
        <w:ind w:left="980"/>
        <w:spacing w:after="0" w:line="221" w:lineRule="auto"/>
        <w:rPr>
          <w:sz w:val="20"/>
          <w:szCs w:val="20"/>
          <w:color w:val="auto"/>
        </w:rPr>
      </w:pPr>
      <w:r>
        <w:rPr>
          <w:rFonts w:ascii="Times New Roman" w:cs="Times New Roman" w:eastAsia="Times New Roman" w:hAnsi="Times New Roman"/>
          <w:sz w:val="18"/>
          <w:szCs w:val="18"/>
          <w:color w:val="auto"/>
        </w:rPr>
        <w:t>Company’s Self-Cleaning Shunt (SCS) project and its TipCat assets in addition to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partial consideration for the license, Microbot Israel shall pay TRDF royalties on net sales (between 1.5%-3.0%) and on sublicense income as detailed in the License Agreement.</w:t>
      </w:r>
    </w:p>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Agreement with CardioSert Ltd.:</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CardioSert Agreement may be terminated by CardioSert in case the first commercial sale does not occur by the third anniversary of the date of signing of the CardioSert Agreement except if Microbot Israel has invested more than $2,000 in certain development stages, or the first commercial sale does not occur within 50 months. As of December 31, 2023, the 50 months period has expired and CardioSert can buy-back the Technology at any time.</w:t>
      </w:r>
    </w:p>
    <w:p>
      <w:pPr>
        <w:spacing w:after="0" w:line="180"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In each of the above termination events, or in case of breach by Microbot Israel, CardioSert shall have the right to buy back the Technology from Microbot Israel for $1.00 (dollar not in thousands), upon 60 days prior written notice, but only 1 year after such termination events. Additionally, the CardioSert Agreement may be terminated by either party upon breach of the other (subject to cure). Until May 2023, Microbot Israel paid CardioSert a monthly consultation fee of NIS 40,000 (or approximately US$11, based on an exchange rate of NIS 3.7 to the dollar) covering up to 60 consulting hours per month, relating to the development of the Technology. As a result of its core-business focus program and its cost reduction plan enacted in May 2023, the Company has terminated the CardioSert Agreement effective as of August 17, 2023 and ceased its research and development and commercialization efforts for, and maintaining, the Technology, which subsequent to the balance sheet date resulted in CardioSert triggering its right to reacquire the Technology for nominal consideration. See Note 16E below.</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ATM agreement:</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To date, we have not sold any shares of common stock pursuant to the ATM Agreement, and as of October 13, 2022, the Company suspended the ATM Agreement, which otherwise remains in full force and effect subject to reactivation.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Engagement letters with H.C. Wainwright:</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 connection with registered direct and private placement offerings referred to in Note 10 below, the Company entered into engagement letters (the “Engagement Letters”) with Wainwright on October 3, 2022, on May 16, 2023 and on October 24, 2023, pursuant to which Wainwright agreed to serve as the exclusive placement agent for the issuance and sale of securities of the Company.</w:t>
      </w:r>
    </w:p>
    <w:p>
      <w:pPr>
        <w:spacing w:after="0" w:line="176"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As compensation for such placement agent services, the Company has agreed to pay Wainwright an aggregate cash fee equal to 7.0% of the gross proceeds received by the Company from offerings contemplated by the Engagement Letters, plus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 Acquisition of Nitiloop’s assets: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ind w:left="1620" w:hanging="640"/>
        <w:spacing w:after="0"/>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3% of net revenue generated as a result of sales, license or other exploitation of the Devices; and</w:t>
      </w:r>
    </w:p>
    <w:p>
      <w:pPr>
        <w:spacing w:after="0" w:line="27" w:lineRule="exact"/>
        <w:rPr>
          <w:rFonts w:ascii="Times New Roman" w:cs="Times New Roman" w:eastAsia="Times New Roman" w:hAnsi="Times New Roman"/>
          <w:sz w:val="18"/>
          <w:szCs w:val="18"/>
          <w:color w:val="auto"/>
        </w:rPr>
      </w:pPr>
    </w:p>
    <w:p>
      <w:pPr>
        <w:ind w:left="1620" w:hanging="640"/>
        <w:spacing w:after="0" w:line="260"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81"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Based on the Company’s analysis, the Company concluded that the acquisition of the assets does not meet the definition of a business for the purpose of applying SEC Rules (S-X Rules of 3-05, 8-04 and 11-01).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 Litigation resulting from the 2017 financing:</w:t>
      </w:r>
    </w:p>
    <w:p>
      <w:pPr>
        <w:spacing w:after="0" w:line="229" w:lineRule="exact"/>
        <w:rPr>
          <w:sz w:val="20"/>
          <w:szCs w:val="20"/>
          <w:color w:val="auto"/>
        </w:rPr>
      </w:pPr>
    </w:p>
    <w:p>
      <w:pPr>
        <w:jc w:val="both"/>
        <w:ind w:left="980"/>
        <w:spacing w:after="0" w:line="274" w:lineRule="auto"/>
        <w:rPr>
          <w:sz w:val="20"/>
          <w:szCs w:val="20"/>
          <w:color w:val="auto"/>
        </w:rPr>
      </w:pPr>
      <w:r>
        <w:rPr>
          <w:rFonts w:ascii="Times New Roman" w:cs="Times New Roman" w:eastAsia="Times New Roman" w:hAnsi="Times New Roman"/>
          <w:sz w:val="17"/>
          <w:szCs w:val="17"/>
          <w:color w:val="auto"/>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Lawsuit was settled in January 2024. Refer to Note 16C below.</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H. Mona litigation:</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 March 31, 2021, the Court entered a judgment against Mona and in favor of the Company in the amount of approximately $485.</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Collection of the judgment was deferred pending resolution of Mona’s counterclaim.</w:t>
      </w:r>
    </w:p>
    <w:p>
      <w:pPr>
        <w:spacing w:after="0" w:line="207"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August 4, 2023, the Magistrate Judge issued a Report &amp; Recommendation, which recommended that the District Court dismiss Mona’s Section 10(b) counterclaim in the entirety. On August 22, 2023, the District Court adopted the Report and Recommendation in full and dismissed the Section 10(b) counterclaim in its entirety. The time for appeal has expired and the Company is proceeding with collection efforts for the $485 judgment against Mona (the “Judgment”).</w:t>
      </w:r>
    </w:p>
    <w:p>
      <w:pPr>
        <w:spacing w:after="0" w:line="180"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Court has permitted the Company’s ongoing execution efforts to continue notwithstanding Mona’s purported appeal of the Court’s denial of his motion to vacate. On March 15, 2024, the Magistrate Judge issued an Order to Show Cause (“OTSC”) directing the liquidation of certain of Mona’s accounts, and the transfer of the sale proceeds to the Company in partial satisfaction of the Judgment. The OTSC hearing is scheduled to be held in the second quarter of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Share capital developments: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has 11,707,317 and 7,890,628 shares of common stock issued and outstanding, respectively.</w:t>
      </w:r>
    </w:p>
    <w:p>
      <w:pPr>
        <w:spacing w:after="0" w:line="162"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On October 21, 2022, the Company entered into a Securities Purchase Agreement (the “Purchase Agreement”) with an institutional investor (the “Investor”), pursuant to which the Company issued and sold, in a registered direct offering priced at-the-market under the rules of The Nasdaq Stock Market (the “Registered Offering”), (i) an aggregate of 782,495 shares of common stock, at an offering price of $4.89 per share and (ii) pre-funded warrants exercisable for up to 240,000 shares of common stock (the “Pre-Funded Warrants”) to the Investor at an offering price of $4.8899 per Pre-Funded Warrant, for aggregate gross proceeds from the Offerings (as defined below) of approximately $5,000 before deducting the placement agent fee (as described below) and related offering expenses.</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Each Pre-Funded Warrant represents the right to purchase one share of common stock at an exercise price of $0.0001 per share. The Pre-Funded Warrants are exercisable immediately and may be exercised at any time until the Pre-Funded Warrants are exercised in full.</w:t>
      </w:r>
    </w:p>
    <w:p>
      <w:pPr>
        <w:spacing w:after="0" w:line="162"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In a concurrent private placement (the “Private Placement” and, together with the Registered Offering, the “Offerings”), the Company issued to the Investor (i) Series A preferred investment options to purchase up to 1,022,495 shares of common stock (the “Series A Warrants”) at an exercise price of $4.64 per share and (ii) Series B preferred investment options to purchase up to 1,022,495 shares of common stock (the “Series B Warrants”) at an exercise price of $4.64 per share. Each Series A Warrant is exercisable immediately and will expire five years from the initial exercise date. Each Series B Warrant is exercisable immediately and will expire two years from the initial exercise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On October 3, 2022 and in connection with the Offerings, the Company entered into an Engagement Letter with Wainwright as mentioned in Note 9E, as compensation for such placement agent services, the Company paid Wainwright aggregate cash fees and reimbursed Wainwright for its expenses aggregating approximately $565. The Company incurred other related offering expenses of $111. The Company also issued to Wainwright or its designees warrants to purchase 51,125 shares of common stock (the “Wainwright Warrants”). The Wainwright Warrants have a term of five years from the commencement of sales in the Offerings, and have an exercise price of $6.11 per share. The Company estimated the fair value of the warrants using a Black-Scholes options pricing model and concluded it is approximately $138.</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On February 13, 2023, 240,000 of the Company’s outstanding pre-funded warrants were exercised into an equivalent number of shares of common stock, at an exercise price of $0.0001 per share.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Registered direct and private placement offerings: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On May 22, 2023, the Company entered into a securities purchase agreement with an institutional investor, pursuant to which it agreed to issue and sell in a registered direct offering an aggregate of 655,569 shares of common stock, at an offering price of $2.20 per share, for aggregate gross proceeds of $1,442 before deducting the placement agent fee and related offering expenses of approximately $222 (the “First May Offering”). The Company also issued to Wainwright or its designees preferred investment options to purchase 32,778 shares of common stock, which have a term of three and one-half years from the commencement of sales in the First May Offering, and have an exercise price of $2.75 per share. The First May Offering was consummated on May 23, 2023. The Company estimated the fair value of the warrants using a Black-Scholes options pricing model and concluded it is approximately $46.</w:t>
      </w:r>
    </w:p>
    <w:p>
      <w:pPr>
        <w:spacing w:after="0" w:line="18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May 23, 2023, the Company entered into a securities purchase agreement with an institutional investor, pursuant to which it agreed to issue and sell in a registered direct offering (i) an aggregate of 975,000 shares of common stock, at an offering price of $2.20 per share and</w:t>
      </w:r>
    </w:p>
    <w:p>
      <w:pPr>
        <w:jc w:val="both"/>
        <w:ind w:left="980"/>
        <w:spacing w:after="0" w:line="252" w:lineRule="auto"/>
        <w:tabs>
          <w:tab w:leader="none" w:pos="124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exercisable for up to 234,500 shares of the Company’s common stock, at an offering price of $2.1999 per pre-funded warrant, for aggregate gross proceeds of $2,661 before deducting the placement agent fee and related offering expenses of approximately $345 (the “Second May Offering”). The pre-funded warrants are exercisable immediately and may be exercised at any time until the pre-funded warrants are exercised in full. The Second May Offering was consummated on May 24, 2023. All of such pre-funded warrants were subsequently immediately exercised in accordance with their terms at an exercise price per share of $0.0001 into an equivalent number of shares of common stock.</w:t>
      </w:r>
    </w:p>
    <w:p>
      <w:pPr>
        <w:spacing w:after="0" w:line="19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also issued to Wainwright or its designees preferred investment options to purchase 60,476 shares of common stock, which have a term of three and one-half years from the closing of the Second May Offering, and have an exercise price of $2.75 per share. The Company estimated the fair value of the warrants using a Black-Scholes options pricing model and concluded it is approximately $72.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Registered Direct and Private Placement Offerings:</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June 2, 2023, the Company entered into a securities purchase agreement with institutional investors, pursuant to which it agreed to issue and sell in a registered direct offering an aggregate of 701,756 shares of common stock, at an offering price of $2.1375 per share, for aggregate gross proceeds, with the concurrent private placement described below, of $1,500 before deducting the placement agent fee and related offering expenses of approximately $227 (the “First June Offering”). The Company also issued to Wainwright or its designees preferred investment options to purchase 35,088 shares of its common stock, which have a term of five years from the commencement of sales in the First June Offering, and have an exercise price of $2.6719 per share. The Company estimated the fair value of the warrants using a Black-Scholes options pricing model and concluded it is approximately $58. The registered direct offering was consummated on June 6, 2023. In a concurrent private placement, the Company also issued to the purchasers of shares of common stock in the First June Offering, series C preferred investment options to purchase up to 350,878 shares of common stock. Each series C preferred investment option is exercisable for one share of common stock at an exercise price of $2.075 commencing on the date of issuance and expiring five and one-half years from the issuance date.</w:t>
      </w:r>
    </w:p>
    <w:p>
      <w:pPr>
        <w:spacing w:after="0" w:line="192"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June 26, 2023, the Company entered into a securities purchase agreement with institutional investors, pursuant to which it agreed to issue and sell in a registered direct offering an aggregate of 624,618 shares of its common stock, at an offering price of $3.25 per share, for aggregate gross proceeds, with the concurrent private placement described below, of $2,030 before deducting the placement agent fee and related offering expenses of approximately $281 (the “Second June Offering”). The Company also issued to Wainwright or its designees preferred investment options to purchase 31,231 shares of its common stock, which have a term of five years from the commencement of sales in the Second June Offering, and have an exercise price of $4.0625 per share. The Company estimated the fair value of the warrants using a Black-Scholes options pricing model and concluded it is approximately $68. The registered direct offering was consummated on June 28, 2023. In a concurrent private placement, the Company also issued to the purchasers of shares of common stock in the Second June Offering, series D preferred investment options to purchase up to 312,309 shares of the Company’s common stock. Each series D preferred investment option is exercisable for one share of common stock at an exercise price of $3.19 commencing on the date of issuance and expiring five and one-half years from the issuance date.</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common stock of the Company are recognized as equity under the requirements of ASC Topic 505 Equity.</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analyzed the accounting treatment for the series A preferred investment option, the series B preferred investment option, the series C preferred investment option, the series D preferred investment option, and all of the pre-funded warrants issued to investors. Based on the Company’s analysis all such warrants were classified as equity.</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analyzed the accounting treatment for all of the preferred investment options issued to Wainwright in the aforementioned offerings. Since the Company did not identify any features causing liability classification according to ASC 718, it concluded that all such preferred investment options are equity-classified awards.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Preferred investment options amendment:</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In connection with the Second May Offering, the Company amended the terms of (i) the Series A preferred investment options to purchase 1,022,495 shares of its common stock for an exercise price of $4.64 per share which are scheduled to expire on October 25, 2027 and (ii) the Series B preferred investment options to purchase 1,022,495 shares of its common stock for an exercise price of $4.64 per share which were initially scheduled to expire on October 25, 2024 (the “Series B Preferred Investment Options”), in each case previously issued to the investor in October 2022 under the securities purchase agreement dated October 21, 2022 (collectively, the “Existing Preferred Investment Options”), which investor also participated in the Second May Offering, such that effective upon the closing of the Second May Offering, the Existing Preferred Investment Options have a reduced exercise price of $2.20 per share and the Series B Preferred Investment Options expire on October 25, 2027. These modifications to the Existing Preferred Investment Options represent issuance costs associated with the Second May Offering. The Company estimated the amount of the effect of the modifications using a Black-Scholes option pricing model and concluded that is approximately $1,230. On June 16, 2023, the holder of the Series B Preferred Investment Options exercised all of such Series B Preferred Investment Options pursuant to its cashless exercise provision into 385,246 shares of common stock.</w:t>
      </w:r>
    </w:p>
    <w:p>
      <w:pPr>
        <w:spacing w:after="0" w:line="19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grant date fair values of preferred investment options issued to Wainwright and preferred investment options issued to investors that were modified in the years ended December 31, 2023 and 2022 were estimated using the Black-Scholes valuation model with the following:</w:t>
      </w: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5715</wp:posOffset>
            </wp:positionV>
            <wp:extent cx="22371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3060" w:type="dxa"/>
            <w:vAlign w:val="bottom"/>
            <w:tcBorders>
              <w:bottom w:val="single" w:sz="8" w:color="CCEEFF"/>
            </w:tcBorders>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c>
          <w:tcPr>
            <w:tcW w:w="72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8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101.31%-122.39%</w:t>
            </w: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4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3.85%- 4.93%</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4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1.42-5</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w:t>
            </w:r>
          </w:p>
        </w:tc>
        <w:tc>
          <w:tcPr>
            <w:tcW w:w="720" w:type="dxa"/>
            <w:vAlign w:val="bottom"/>
          </w:tcPr>
          <w:p>
            <w:pPr>
              <w:spacing w:after="0"/>
              <w:rPr>
                <w:sz w:val="20"/>
                <w:szCs w:val="20"/>
                <w:color w:val="auto"/>
              </w:rPr>
            </w:pPr>
          </w:p>
        </w:tc>
      </w:tr>
      <w:tr>
        <w:trPr>
          <w:trHeight w:val="414"/>
        </w:trPr>
        <w:tc>
          <w:tcPr>
            <w:tcW w:w="9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8"/>
                <w:szCs w:val="18"/>
                <w:color w:val="auto"/>
              </w:rPr>
              <w:t>F-24</w:t>
            </w:r>
          </w:p>
        </w:tc>
        <w:tc>
          <w:tcPr>
            <w:tcW w:w="1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811"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Employee stock option grants: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to Mr. Harel Gadot, the Company’s Chairman of the Board, President and CEO (the “CEO”), options to purchase an aggregate of 260,000 shares of the Company’s common stock, at an exercise price per share ranging from $3.73-$6.48. The stock options vest over a period of three years as outlined in the option agreements evidencing such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to certain employees, consultants and directors, options to purchase an aggregate of 270,822 shares of the Company’s common stock, at an exercise price per share ranging from $3.73-$6.48. The stock options vest over a period of three years as outlined in the option agreements evidencing such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to the CEO, options to purchase an aggregate of 80,000 shares of the Company’s common stock, at an exercise price per share of $2.43. The stock options vest over a period of three years as outlined in the option agreements evidencing such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stock option awards to certain officers, directors and employees to purchase an aggregate of 631,308 shares of the Company’s common stock, at an exercise price per share ranging from $1.16-$3.48 with a vesting period of three years.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summary of the Company’s option activity related to options to employees and directors, and related information is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7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7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80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stock</w:t>
            </w:r>
          </w:p>
        </w:tc>
        <w:tc>
          <w:tcPr>
            <w:tcW w:w="152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1,507,137</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711,308</w:t>
            </w: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(123,083)</w:t>
            </w:r>
          </w:p>
        </w:tc>
        <w:tc>
          <w:tcPr>
            <w:tcW w:w="9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63"/>
        </w:trPr>
        <w:tc>
          <w:tcPr>
            <w:tcW w:w="980" w:type="dxa"/>
            <w:vAlign w:val="bottom"/>
          </w:tcPr>
          <w:p>
            <w:pPr>
              <w:spacing w:after="0"/>
              <w:rPr>
                <w:sz w:val="22"/>
                <w:szCs w:val="22"/>
                <w:color w:val="auto"/>
              </w:rPr>
            </w:pPr>
          </w:p>
        </w:tc>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2,095,362</w:t>
            </w:r>
          </w:p>
        </w:tc>
        <w:tc>
          <w:tcPr>
            <w:tcW w:w="26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980" w:type="dxa"/>
            <w:vAlign w:val="bottom"/>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Vested as of December 31, 2023</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1,176,118</w:t>
            </w:r>
          </w:p>
        </w:tc>
        <w:tc>
          <w:tcPr>
            <w:tcW w:w="260" w:type="dxa"/>
            <w:vAlign w:val="bottom"/>
          </w:tcPr>
          <w:p>
            <w:pPr>
              <w:spacing w:after="0"/>
              <w:rPr>
                <w:sz w:val="21"/>
                <w:szCs w:val="21"/>
                <w:color w:val="auto"/>
              </w:rPr>
            </w:pPr>
          </w:p>
        </w:tc>
        <w:tc>
          <w:tcPr>
            <w:tcW w:w="9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9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7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7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80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stock</w:t>
            </w:r>
          </w:p>
        </w:tc>
        <w:tc>
          <w:tcPr>
            <w:tcW w:w="152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997,148</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530,822</w:t>
            </w: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(20,833)</w:t>
            </w:r>
          </w:p>
        </w:tc>
        <w:tc>
          <w:tcPr>
            <w:tcW w:w="9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63"/>
        </w:trPr>
        <w:tc>
          <w:tcPr>
            <w:tcW w:w="980" w:type="dxa"/>
            <w:vAlign w:val="bottom"/>
          </w:tcPr>
          <w:p>
            <w:pPr>
              <w:spacing w:after="0"/>
              <w:rPr>
                <w:sz w:val="22"/>
                <w:szCs w:val="22"/>
                <w:color w:val="auto"/>
              </w:rPr>
            </w:pPr>
          </w:p>
        </w:tc>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1,507,137</w:t>
            </w:r>
          </w:p>
        </w:tc>
        <w:tc>
          <w:tcPr>
            <w:tcW w:w="26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980" w:type="dxa"/>
            <w:vAlign w:val="bottom"/>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Vested as of December 31, 2022</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899,609</w:t>
            </w: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Company recognizes forfeitures of outstanding options as they occur.</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intrinsic value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2023 and December 31, 2022, respectively.</w:t>
      </w:r>
    </w:p>
    <w:p>
      <w:pPr>
        <w:spacing w:after="0" w:line="176"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aggregate intrinsic value of the outstanding options is $277 and $185, respectively, and the aggregate intrinsic value of the exercisable options is $102 and $185, respectively.</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years ended December 31, 2023 and 2022 was $1.40 and $4.50,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As of December 31, 2023, there were approximately $1,918 of total unrecognized compensation costs related to unvested share-based compensation awards granted under the Share Incentive Plan. The costs are expected to be recognized over a weighted average period of 2.4 years.</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stock options outstanding as of December 31, 2023 and December 31, 2022, summarized by exercise prices,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outstanding as</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outstanding as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 years as of</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 years as of</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exercisable as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exercisable as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of December 31,</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of December 31,</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 December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December</w:t>
            </w:r>
          </w:p>
        </w:tc>
        <w:tc>
          <w:tcPr>
            <w:tcW w:w="0" w:type="dxa"/>
            <w:vAlign w:val="bottom"/>
          </w:tcPr>
          <w:p>
            <w:pPr>
              <w:spacing w:after="0"/>
              <w:rPr>
                <w:sz w:val="1"/>
                <w:szCs w:val="1"/>
                <w:color w:val="auto"/>
              </w:rPr>
            </w:pPr>
          </w:p>
        </w:tc>
      </w:tr>
      <w:tr>
        <w:trPr>
          <w:trHeight w:val="238"/>
        </w:trPr>
        <w:tc>
          <w:tcPr>
            <w:tcW w:w="20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Exercise price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31, 2023</w:t>
            </w:r>
          </w:p>
        </w:tc>
        <w:tc>
          <w:tcPr>
            <w:tcW w:w="3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0.00-0.01</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3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1.00-3.73</w:t>
            </w:r>
          </w:p>
        </w:tc>
        <w:tc>
          <w:tcPr>
            <w:tcW w:w="22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860,808</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211,000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95,925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4.2-7.26</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639,232</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687,482</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484,871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315,807</w:t>
            </w: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8.16-9.64</w:t>
            </w:r>
          </w:p>
        </w:tc>
        <w:tc>
          <w:tcPr>
            <w:tcW w:w="22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380,872</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380,872</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380,872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356,019</w:t>
            </w:r>
          </w:p>
        </w:tc>
        <w:tc>
          <w:tcPr>
            <w:tcW w:w="0" w:type="dxa"/>
            <w:vAlign w:val="bottom"/>
          </w:tcPr>
          <w:p>
            <w:pPr>
              <w:spacing w:after="0"/>
              <w:rPr>
                <w:sz w:val="1"/>
                <w:szCs w:val="1"/>
                <w:color w:val="auto"/>
              </w:rPr>
            </w:pPr>
          </w:p>
        </w:tc>
      </w:tr>
      <w:tr>
        <w:trPr>
          <w:trHeight w:val="243"/>
        </w:trPr>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15.3-15.75</w:t>
            </w:r>
          </w:p>
        </w:tc>
        <w:tc>
          <w:tcPr>
            <w:tcW w:w="2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152,873</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166,206</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152,873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166,206</w:t>
            </w: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2,095,362</w:t>
            </w:r>
          </w:p>
        </w:tc>
        <w:tc>
          <w:tcPr>
            <w:tcW w:w="3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1,507,137</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1,176,118</w:t>
            </w:r>
          </w:p>
        </w:tc>
        <w:tc>
          <w:tcPr>
            <w:tcW w:w="3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F-27</w:t>
            </w: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vMerge w:val="continue"/>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grant date fair values of employee stock options granted in the years ended December 31, 2023 and 2022 were estimated using the Black-</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Scholes valuation model with the following:</w:t>
      </w:r>
    </w:p>
    <w:p>
      <w:pPr>
        <w:spacing w:after="0" w:line="203"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2100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7"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558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86.5%-98.2%</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111.2%-161.7%</w:t>
            </w: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3.3%- 4.7%</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1.7%- 3.7%</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r>
    </w:tbl>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Warrants: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remaining outstanding warrants and terms as of December 31, 2023 and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Outstanding and</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Outstanding and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exercisable as of</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exercisable as of</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r>
      <w:tr>
        <w:trPr>
          <w:trHeight w:val="238"/>
        </w:trPr>
        <w:tc>
          <w:tcPr>
            <w:tcW w:w="316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Through</w:t>
            </w:r>
          </w:p>
        </w:tc>
      </w:tr>
      <w:tr>
        <w:trPr>
          <w:trHeight w:val="210"/>
        </w:trPr>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(2013)</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2,754.00</w:t>
            </w:r>
          </w:p>
        </w:tc>
        <w:tc>
          <w:tcPr>
            <w:tcW w:w="3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9, 2023</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45,643</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13.13</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25, 2023</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47,619</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13.13</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27, 2023</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45,045</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13.88</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2023</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October 2022</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1,022,495</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1,022,495</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2.20</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25, 2027</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 October 2022</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1,022,495</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2027</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warrants October 2022</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 limit</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October 2022</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51,125</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51,125</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6.11</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21, 2027</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32,778</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2.75</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23, 2026</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60,476</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2.75</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24, 2026</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35,088</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2.67</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 2028</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series C June 2023</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350,878</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2.08</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6, 2028</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31,231</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4.06</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28, 2028</w:t>
            </w:r>
          </w:p>
        </w:tc>
      </w:t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series D June 2023</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312,309</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3.19</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28, 2028</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Less than $0.01.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BASIC AND DILUTED NET LOSS PER SHARE</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basic and diluted net loss per share and weighted average number of shares of common stock used in the calculation of basic and diluted net loss per share were presented in the consolidated statements of comprehensive loss for the years ended December 31, 2023 and 2022.</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the calculation of the basic and diluted net loss, the Company included warrants that would be exercised for no or little consideration and are exercisable with no contingencies.</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Due to the net loss to common shareholders in each of the periods presented above, diluted loss per share was computed without consideration to potentially dilutive instruments as their inclusion would have been anti-dilutive. As of December 31, 2023 and 2022, potentially dilutive securities excluded from the diluted loss per share calculation are as follows:</w:t>
      </w:r>
    </w:p>
    <w:p>
      <w:pPr>
        <w:spacing w:after="0" w:line="172"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2100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0058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2013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45,643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47,619</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45,045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and B warrants October 2022</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1,022,495</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2,044,990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October 2022</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51,125</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51,125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32,778</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60,476</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35,088</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series C June 2023</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350,878</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31,231</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series D June 2023</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312,309</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8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employee stock options to purchase common stock</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2,095,362</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1,507,137</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ind w:left="4480"/>
              <w:spacing w:after="0"/>
              <w:rPr>
                <w:sz w:val="20"/>
                <w:szCs w:val="20"/>
                <w:color w:val="auto"/>
              </w:rPr>
            </w:pPr>
            <w:r>
              <w:rPr>
                <w:rFonts w:ascii="Times New Roman" w:cs="Times New Roman" w:eastAsia="Times New Roman" w:hAnsi="Times New Roman"/>
                <w:sz w:val="18"/>
                <w:szCs w:val="18"/>
                <w:color w:val="auto"/>
              </w:rPr>
              <w:t>F-29</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vMerge w:val="continue"/>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12 - RESEARCH AND DEVELOPMENT EXPENSES, NET</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2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right="454"/>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407</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387</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1,842</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2,097</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Materials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520</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559</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213</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maintenance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248</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Less - grants</w:t>
            </w:r>
          </w:p>
        </w:tc>
        <w:tc>
          <w:tcPr>
            <w:tcW w:w="1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w:t>
            </w:r>
          </w:p>
        </w:tc>
        <w:tc>
          <w:tcPr>
            <w:tcW w:w="1020" w:type="dxa"/>
            <w:vAlign w:val="bottom"/>
          </w:tcPr>
          <w:p>
            <w:pPr>
              <w:spacing w:after="0"/>
              <w:rPr>
                <w:sz w:val="21"/>
                <w:szCs w:val="21"/>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4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13 - GENERAL AND ADMINISTRATIVE EXPENSES, NET</w:t>
            </w:r>
          </w:p>
        </w:tc>
        <w:tc>
          <w:tcPr>
            <w:tcW w:w="1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Government fees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988</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1,204</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442</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Public and investor relations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148</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maintenance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Travel</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w:t>
            </w:r>
          </w:p>
        </w:tc>
        <w:tc>
          <w:tcPr>
            <w:tcW w:w="10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Less – insurance loss recoveries</w:t>
            </w:r>
          </w:p>
        </w:tc>
        <w:tc>
          <w:tcPr>
            <w:tcW w:w="1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w:t>
            </w:r>
          </w:p>
        </w:tc>
        <w:tc>
          <w:tcPr>
            <w:tcW w:w="1020" w:type="dxa"/>
            <w:vAlign w:val="bottom"/>
          </w:tcPr>
          <w:p>
            <w:pPr>
              <w:spacing w:after="0"/>
              <w:rPr>
                <w:sz w:val="21"/>
                <w:szCs w:val="21"/>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4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right"/>
              <w:ind w:right="1710"/>
              <w:spacing w:after="0"/>
              <w:rPr>
                <w:sz w:val="20"/>
                <w:szCs w:val="20"/>
                <w:color w:val="auto"/>
              </w:rPr>
            </w:pPr>
            <w:r>
              <w:rPr>
                <w:rFonts w:ascii="Times New Roman" w:cs="Times New Roman" w:eastAsia="Times New Roman" w:hAnsi="Times New Roman"/>
                <w:sz w:val="18"/>
                <w:szCs w:val="18"/>
                <w:color w:val="auto"/>
              </w:rPr>
              <w:t>F-30</w:t>
            </w: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RELATED PARTIES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There were no material related party transactions in each of the years ended December 31, 2023 and 2022 that were outside of the Company’s normal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INCOME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is subject to U.S. federal tax rate of 21% for the years ended December 31, 2023 and 2022.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not been audited by the Internal Revenue Service since its incorporation.</w:t>
      </w:r>
    </w:p>
    <w:p>
      <w:pPr>
        <w:spacing w:after="0" w:line="225"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As of December 31, 2023 and 2022, the Company has generated accumulated net operating losses in the U.S. of approximately $506,317 and $502,053, respectively.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180"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Microbot Israel is subject to Israeli corporate tax rate of 23% for the years ended 2023 and 2022. Microbot Israel has not received a final tax assessment since 2018.</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Microbot Israel has generated accumulated net operating losses in Israel of approximately $41,164 and $34,688, respectively, which may be carried forward and offset against taxable income in the future for an indefinite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INCOME</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199"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19685</wp:posOffset>
            </wp:positionV>
            <wp:extent cx="2100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00580" cy="8890"/>
                    </a:xfrm>
                    <a:prstGeom prst="rect">
                      <a:avLst/>
                    </a:prstGeom>
                    <a:noFill/>
                  </pic:spPr>
                </pic:pic>
              </a:graphicData>
            </a:graphic>
          </wp:anchor>
        </w:drawing>
      </w:r>
    </w:p>
    <w:p>
      <w:pPr>
        <w:spacing w:after="0" w:line="30" w:lineRule="exact"/>
        <w:rPr>
          <w:sz w:val="20"/>
          <w:szCs w:val="20"/>
          <w:color w:val="auto"/>
        </w:rPr>
      </w:pPr>
    </w:p>
    <w:p>
      <w:pPr>
        <w:ind w:left="7160"/>
        <w:spacing w:after="0"/>
        <w:tabs>
          <w:tab w:leader="none" w:pos="892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19685</wp:posOffset>
            </wp:positionV>
            <wp:extent cx="2100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p>
      <w:pPr>
        <w:spacing w:after="0" w:line="2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Net operating loss carryforwards</w:t>
      </w:r>
    </w:p>
    <w:p>
      <w:pPr>
        <w:spacing w:after="0" w:line="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Accrued vacation pay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Legal settlement accrual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Advance payment from IIA</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Total deferred tax assets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Less: valuation allowance</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Net deferred tax assets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115,778</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113,393</w:t>
            </w:r>
          </w:p>
        </w:tc>
        <w:tc>
          <w:tcPr>
            <w:tcW w:w="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464</w:t>
            </w: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3"/>
        </w:trPr>
        <w:tc>
          <w:tcPr>
            <w:tcW w:w="50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191"/>
        </w:trPr>
        <w:tc>
          <w:tcPr>
            <w:tcW w:w="5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116,371</w:t>
            </w:r>
          </w:p>
        </w:tc>
        <w:tc>
          <w:tcPr>
            <w:tcW w:w="26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113,569</w:t>
            </w:r>
          </w:p>
        </w:tc>
        <w:tc>
          <w:tcPr>
            <w:tcW w:w="60" w:type="dxa"/>
            <w:vAlign w:val="bottom"/>
          </w:tcPr>
          <w:p>
            <w:pPr>
              <w:spacing w:after="0"/>
              <w:rPr>
                <w:sz w:val="16"/>
                <w:szCs w:val="16"/>
                <w:color w:val="auto"/>
              </w:rPr>
            </w:pPr>
          </w:p>
        </w:tc>
      </w:tr>
      <w:tr>
        <w:trPr>
          <w:trHeight w:val="261"/>
        </w:trPr>
        <w:tc>
          <w:tcPr>
            <w:tcW w:w="50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(116,014)</w:t>
            </w:r>
          </w:p>
        </w:tc>
        <w:tc>
          <w:tcPr>
            <w:tcW w:w="48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(113,455)</w:t>
            </w:r>
          </w:p>
        </w:tc>
      </w:tr>
      <w:tr>
        <w:trPr>
          <w:trHeight w:val="223"/>
        </w:trPr>
        <w:tc>
          <w:tcPr>
            <w:tcW w:w="5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-1165225</wp:posOffset>
            </wp:positionV>
            <wp:extent cx="5700395"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-3542665</wp:posOffset>
            </wp:positionH>
            <wp:positionV relativeFrom="paragraph">
              <wp:posOffset>-890905</wp:posOffset>
            </wp:positionV>
            <wp:extent cx="5700395"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-3542665</wp:posOffset>
            </wp:positionH>
            <wp:positionV relativeFrom="paragraph">
              <wp:posOffset>-616585</wp:posOffset>
            </wp:positionV>
            <wp:extent cx="5700395"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-3542665</wp:posOffset>
            </wp:positionH>
            <wp:positionV relativeFrom="paragraph">
              <wp:posOffset>-316865</wp:posOffset>
            </wp:positionV>
            <wp:extent cx="5700395"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840" w:space="720"/>
            <w:col w:w="4680"/>
          </w:cols>
          <w:pgMar w:left="320" w:top="684" w:right="339" w:bottom="1440" w:gutter="0" w:footer="0" w:header="0"/>
          <w:type w:val="continuous"/>
        </w:sectPr>
      </w:pPr>
    </w:p>
    <w:tbl>
      <w:tblPr>
        <w:tblLayout w:type="fixed"/>
        <w:tblInd w:w="980" w:type="dxa"/>
        <w:tblCellMar>
          <w:top w:w="0" w:type="dxa"/>
          <w:left w:w="0" w:type="dxa"/>
          <w:bottom w:w="0" w:type="dxa"/>
          <w:right w:w="0" w:type="dxa"/>
        </w:tblCellMar>
      </w:tblPr>
      <w:tr>
        <w:trPr>
          <w:trHeight w:val="196"/>
        </w:trPr>
        <w:tc>
          <w:tcPr>
            <w:tcW w:w="5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right-of-use assets</w:t>
            </w:r>
          </w:p>
        </w:tc>
        <w:tc>
          <w:tcPr>
            <w:tcW w:w="66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(60)</w:t>
            </w:r>
          </w:p>
        </w:tc>
        <w:tc>
          <w:tcPr>
            <w:tcW w:w="6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receivable (Ministry of Economy)</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Insurance recovery receivable</w:t>
            </w:r>
          </w:p>
        </w:tc>
        <w:tc>
          <w:tcPr>
            <w:tcW w:w="66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(280)</w:t>
            </w:r>
          </w:p>
        </w:tc>
        <w:tc>
          <w:tcPr>
            <w:tcW w:w="640" w:type="dxa"/>
            <w:vAlign w:val="bottom"/>
          </w:tcPr>
          <w:p>
            <w:pPr>
              <w:spacing w:after="0"/>
              <w:rPr>
                <w:sz w:val="18"/>
                <w:szCs w:val="18"/>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6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6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Reconciliation of Income Taxes: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main reconciling item between the statutory tax rate of the Company and the effective tax rate is the recognition of valuation allowance in respect of deferred taxes relating to accumulated net operating losses carried forward due to the uncertainty of the realization of such deferred taxes.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Preferred investment options inducement:</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(clauses (i) through (iii) collectively, the “Existing Preferred Investment Options”), pursuant to which the holders agreed to exercise for cash their Existing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will have an exercise price equal to $1.50 per share, and will be exercisable from the date of the issuance until five and one-half (5.5) years following the date of the issuance. The Company received aggregate gross proceeds of approximately $2,730 from the exercise of the Existing Investment Options by the Holders and the sale of the Inducement Investment Options, before deducting placement agent fees and other offering expenses payable by the Company.</w:t>
      </w:r>
    </w:p>
    <w:p>
      <w:pPr>
        <w:spacing w:after="0" w:line="187"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As mentioned in Note 9E above, the Company engaged Wainwright to act as its exclusive placement agent in connection with the transactions summarized above pursuant to an Engagement Letter, dated October 24, 2023 and paid Wainwright a cash fee equal to 7.0% of the gross proceeds received from the exercise of the Existing Investment Options as well as a management fee equal to 1.0% of the gross proceeds from the exercise of the Existing Investment Options. The Company also paid Wainwright $60 for non-accountable expenses, and approximately $16 for certain administrative fees. The Company also issued to Wainwright or its designees preferred investment options to purchase up to 84,284 shares of common stock which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closing date January 3, 2024.</w:t>
      </w:r>
    </w:p>
    <w:p>
      <w:pPr>
        <w:spacing w:after="0" w:line="188"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Closing of the preferred investment option exercise inducement offer letter, and the modification of the previous warrants, the issuance of the stock and the warrants, and the receipt of cash, all occurred after December 31, 2023.</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Reinstatement of annual compensation:</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January 8, 2024, the Board of Directors of the Company authorized the reinstatement of the annual fees payable to the independent directors for their services, effective as of January 1, 2024. Such fees were suspended in May 2023 as a result of the Company’s cost reduction plan.</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also reinstated in full of the annual compensation of the CEO, effective as of January 1, 2024. Such compensation was reduced by 50% in May 2023 as a result of the Company’s cost reduction plan.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Settlement of litigation resulting from the 2017 financing:</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January 26, 2024 (the “Effective Date”), the Company entered into a settlement agreement and release with the Plaintiffs (the “Settlement Agreement”), effectively resolving a lawsuit brought against the Company in 2020. The lawsuit stemmed from securities purchase agreements made between the Company and the third parties in 2017.</w:t>
      </w:r>
    </w:p>
    <w:p>
      <w:pPr>
        <w:spacing w:after="0" w:line="176"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Pursuant to the Settlement Agreement, the Company agreed to pay $2,154 consisting of a cash payment of $1,100, covered by the Company’s insurance company, and 1,005,965 shares of restricted common stock. Furthermore, the Company’s insurance company is responsible for covering legal expenses incurred by the Company in relation to the legal proceedings of the Lawsuit. As part of the Settlement Agreement, the Company is also obligated to register the restricted common stock. In February 2024, the Plaintiffs filed a stipulation discontinuing the Lawsuit with prejudice.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0" w:name="page111"/>
    <w:bookmarkEnd w:id="110"/>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 loss contingency should be recognized as non-operating losses, offset by loss recoveries received from the Company’s insurance company</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Settlement Agreement and the insurance recovery received from the insurance company, as of December 31, 2023, the Company recorded a liability and an asset on its balance sheet totaling $2,211 and $1,335, respectively. Within this asset, $1,100 represents the recovery of the cash payment of the settlement amount, and $235 represents recovery of legal expenses. A net non-operating loss of $1,111 from legal settlement was reflected in the Company’s statement of comprehensive loss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Stock option grants and other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2024, the Company granted the CEO, certain executives and certain employees, fully vested options to purchase an aggregate of 130,000 shares of the Company’s common stock, at an exercise price per share of $1.2684, attributable to performance goals achieved in January 2024. The Company also granted the CEO and other executives, options to purchase an aggregate of 132,500 shares of common stock at an exercise price per share of $1.25, with vesting based on meeting certain performance conditions in the year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certain employees and advisors, options to purchase an aggregate of 77,500 shares of the Company’s common stock, at an exercise price per share of $1.2684, with a vesting period of three years.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Regarding the CEO’s 2023 annual bonus, in February 2024, the Company paid the CEO 25% of his 2023 annual bonus, amounting to approximately $99, through the grant of fully vested options to purchase an aggregate of 79,567 shares of the Company’s common stock with an exercise price per share of $1.25. The remaining 75% of the CEO’s bonus will be paid in cash contingent upon meeting certain conditions during 2024. As for other Company executives’ 2023 annual bonuses, in February 2024, the Company paid 50% of such bonuses in cash. The remaining 50% of such bonuses will be paid in cash contingent upon meeting certain conditions during 2024. As of December 31, 2023 and for the year then ended, the portions of the bonuses, which were paid in February 2024 in options and cash, were reflected as a liability in the Company’s balance sheet against payroll expenses in the Company’s statement of comprehensive loss, amounting to approximately $140.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Return of CardioSert intellectual property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 2024, the Company received notice from CardioSert that it was triggering its right to reacquire the Technology, pursuant to its rights under the CardioSert Agreement. The Company expects the transfer of the Technology back to CardioSert will occur in the second fiscal quarter of 2024.</w:t>
      </w:r>
    </w:p>
    <w:p>
      <w:pPr>
        <w:spacing w:after="0" w:line="17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684"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6200" w:type="dxa"/>
            <w:vAlign w:val="bottom"/>
          </w:tcPr>
          <w:p>
            <w:pPr>
              <w:spacing w:after="0"/>
              <w:rPr>
                <w:sz w:val="20"/>
                <w:szCs w:val="20"/>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10"/>
        </w:trPr>
        <w:tc>
          <w:tcPr>
            <w:tcW w:w="6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Audited</w:t>
            </w:r>
          </w:p>
        </w:tc>
        <w:tc>
          <w:tcPr>
            <w:tcW w:w="100" w:type="dxa"/>
            <w:vAlign w:val="bottom"/>
            <w:gridSpan w:val="2"/>
          </w:tcPr>
          <w:p>
            <w:pPr>
              <w:spacing w:after="0"/>
              <w:rPr>
                <w:sz w:val="18"/>
                <w:szCs w:val="18"/>
                <w:color w:val="auto"/>
              </w:rPr>
            </w:pPr>
          </w:p>
        </w:tc>
      </w:tr>
      <w:tr>
        <w:trPr>
          <w:trHeight w:val="216"/>
        </w:trPr>
        <w:tc>
          <w:tcPr>
            <w:tcW w:w="6200" w:type="dxa"/>
            <w:vAlign w:val="bottom"/>
            <w:shd w:val="clear" w:color="auto" w:fill="CCEEFF"/>
          </w:tcPr>
          <w:p>
            <w:pPr>
              <w:ind w:left="2660"/>
              <w:spacing w:after="0"/>
              <w:rPr>
                <w:sz w:val="20"/>
                <w:szCs w:val="20"/>
                <w:color w:val="auto"/>
              </w:rPr>
            </w:pPr>
            <w:r>
              <w:rPr>
                <w:rFonts w:ascii="Times New Roman" w:cs="Times New Roman" w:eastAsia="Times New Roman" w:hAnsi="Times New Roman"/>
                <w:sz w:val="18"/>
                <w:szCs w:val="18"/>
                <w:color w:val="auto"/>
              </w:rPr>
              <w:t>ASSETS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2,468</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w:t>
            </w: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 receivable related to legal settlement and legal expenses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3G</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Pr>
          <w:p>
            <w:pPr>
              <w:spacing w:after="0"/>
              <w:rPr>
                <w:sz w:val="18"/>
                <w:szCs w:val="18"/>
                <w:color w:val="auto"/>
              </w:rPr>
            </w:pPr>
          </w:p>
        </w:tc>
      </w:tr>
      <w:tr>
        <w:trPr>
          <w:trHeight w:val="229"/>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1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63"/>
        </w:trPr>
        <w:tc>
          <w:tcPr>
            <w:tcW w:w="6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5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6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5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settlement accrual</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3G</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2,211</w:t>
            </w:r>
          </w:p>
        </w:tc>
      </w:tr>
      <w:tr>
        <w:trPr>
          <w:trHeight w:val="229"/>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CEEFF"/>
          </w:tcPr>
          <w:p>
            <w:pPr>
              <w:spacing w:after="0"/>
              <w:rPr>
                <w:sz w:val="19"/>
                <w:szCs w:val="19"/>
                <w:color w:val="auto"/>
              </w:rPr>
            </w:pPr>
          </w:p>
        </w:tc>
      </w:tr>
      <w:tr>
        <w:trPr>
          <w:trHeight w:val="21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r>
      <w:tr>
        <w:trPr>
          <w:trHeight w:val="210"/>
        </w:trPr>
        <w:tc>
          <w:tcPr>
            <w:tcW w:w="6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5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2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 authorized; 16,651,433 and</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11,707,317 shares issued and outstanding as of September 30, 2024 and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91,192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83,884</w:t>
            </w:r>
          </w:p>
        </w:tc>
      </w:tr>
      <w:tr>
        <w:trPr>
          <w:trHeight w:val="23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(87,552)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(79,501)</w:t>
            </w:r>
          </w:p>
        </w:tc>
      </w:tr>
      <w:tr>
        <w:trPr>
          <w:trHeight w:val="209"/>
        </w:trPr>
        <w:tc>
          <w:tcPr>
            <w:tcW w:w="62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gridSpan w:val="6"/>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00" w:type="dxa"/>
            <w:vAlign w:val="bottom"/>
          </w:tcPr>
          <w:p>
            <w:pPr>
              <w:spacing w:after="0"/>
              <w:rPr>
                <w:sz w:val="19"/>
                <w:szCs w:val="19"/>
                <w:color w:val="auto"/>
              </w:rPr>
            </w:pPr>
          </w:p>
        </w:tc>
        <w:tc>
          <w:tcPr>
            <w:tcW w:w="2680" w:type="dxa"/>
            <w:vAlign w:val="bottom"/>
            <w:gridSpan w:val="6"/>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5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9"/>
                <w:szCs w:val="19"/>
                <w:color w:val="auto"/>
              </w:rPr>
            </w:pPr>
          </w:p>
        </w:tc>
      </w:tr>
      <w:tr>
        <w:trPr>
          <w:trHeight w:val="223"/>
        </w:trPr>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4"/>
          </w:tcPr>
          <w:p>
            <w:pPr>
              <w:jc w:val="center"/>
              <w:ind w:left="550"/>
              <w:spacing w:after="0"/>
              <w:rPr>
                <w:sz w:val="20"/>
                <w:szCs w:val="20"/>
                <w:color w:val="auto"/>
              </w:rPr>
            </w:pPr>
            <w:r>
              <w:rPr>
                <w:rFonts w:ascii="Times New Roman" w:cs="Times New Roman" w:eastAsia="Times New Roman" w:hAnsi="Times New Roman"/>
                <w:sz w:val="18"/>
                <w:szCs w:val="18"/>
                <w:color w:val="auto"/>
                <w:w w:val="98"/>
              </w:rPr>
              <w:t>Unaudited</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color w:val="auto"/>
              </w:rPr>
              <w:t>Unaudited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2,060</w:t>
            </w:r>
          </w:p>
        </w:tc>
        <w:tc>
          <w:tcPr>
            <w:tcW w:w="5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1,612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4,646</w:t>
            </w:r>
          </w:p>
        </w:tc>
        <w:tc>
          <w:tcPr>
            <w:tcW w:w="5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4,594</w:t>
            </w:r>
          </w:p>
        </w:tc>
      </w:tr>
      <w:tr>
        <w:trPr>
          <w:trHeight w:val="22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net</w:t>
            </w:r>
          </w:p>
        </w:tc>
        <w:tc>
          <w:tcPr>
            <w:tcW w:w="180" w:type="dxa"/>
            <w:vAlign w:val="bottom"/>
          </w:tcPr>
          <w:p>
            <w:pPr>
              <w:spacing w:after="0"/>
              <w:rPr>
                <w:sz w:val="19"/>
                <w:szCs w:val="19"/>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1,240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932</w:t>
            </w:r>
          </w:p>
        </w:tc>
        <w:tc>
          <w:tcPr>
            <w:tcW w:w="200" w:type="dxa"/>
            <w:vAlign w:val="bottom"/>
          </w:tcPr>
          <w:p>
            <w:pPr>
              <w:spacing w:after="0"/>
              <w:rPr>
                <w:sz w:val="19"/>
                <w:szCs w:val="19"/>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3,193</w:t>
            </w:r>
          </w:p>
        </w:tc>
      </w:tr>
      <w:tr>
        <w:trPr>
          <w:trHeight w:val="209"/>
        </w:trPr>
        <w:tc>
          <w:tcPr>
            <w:tcW w:w="52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 net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201</w:t>
            </w:r>
          </w:p>
        </w:tc>
      </w:tr>
      <w:tr>
        <w:trPr>
          <w:trHeight w:val="263"/>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(0.20)</w:t>
            </w:r>
          </w:p>
        </w:tc>
        <w:tc>
          <w:tcPr>
            <w:tcW w:w="5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(0.21)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(0.53)</w:t>
            </w:r>
          </w:p>
        </w:tc>
        <w:tc>
          <w:tcPr>
            <w:tcW w:w="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(0.79)</w:t>
            </w:r>
          </w:p>
        </w:tc>
      </w:tr>
      <w:tr>
        <w:trPr>
          <w:trHeight w:val="197"/>
        </w:trPr>
        <w:tc>
          <w:tcPr>
            <w:tcW w:w="520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16,471,419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11,707,317</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15,129,574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9,653,337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2"/>
        </w:trPr>
        <w:tc>
          <w:tcPr>
            <w:tcW w:w="4180" w:type="dxa"/>
            <w:vAlign w:val="bottom"/>
          </w:tcPr>
          <w:p>
            <w:pPr>
              <w:spacing w:after="0"/>
              <w:rPr>
                <w:sz w:val="21"/>
                <w:szCs w:val="21"/>
                <w:color w:val="auto"/>
              </w:rPr>
            </w:pPr>
          </w:p>
        </w:tc>
        <w:tc>
          <w:tcPr>
            <w:tcW w:w="280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124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19"/>
                <w:szCs w:val="19"/>
                <w:color w:val="auto"/>
              </w:rPr>
            </w:pP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 (Audited)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7,890,628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75,970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(68,761)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7,289</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198"/>
        </w:trPr>
        <w:tc>
          <w:tcPr>
            <w:tcW w:w="4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(2,853)</w:t>
            </w:r>
          </w:p>
        </w:tc>
        <w:tc>
          <w:tcPr>
            <w:tcW w:w="20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2023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8,130,628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349</w:t>
            </w:r>
          </w:p>
        </w:tc>
        <w:tc>
          <w:tcPr>
            <w:tcW w:w="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349</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3,576,689</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6,523</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(2,287)</w:t>
            </w:r>
          </w:p>
        </w:tc>
        <w:tc>
          <w:tcPr>
            <w:tcW w:w="20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2023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11,707,317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3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(2,446)</w:t>
            </w: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Balances, September 30, 2023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11,707,317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83,587</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(76,347</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2"/>
        </w:trPr>
        <w:tc>
          <w:tcPr>
            <w:tcW w:w="4180" w:type="dxa"/>
            <w:vAlign w:val="bottom"/>
          </w:tcPr>
          <w:p>
            <w:pPr>
              <w:spacing w:after="0"/>
              <w:rPr>
                <w:sz w:val="21"/>
                <w:szCs w:val="21"/>
                <w:color w:val="auto"/>
              </w:rPr>
            </w:pPr>
          </w:p>
        </w:tc>
        <w:tc>
          <w:tcPr>
            <w:tcW w:w="280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23"/>
        </w:trPr>
        <w:tc>
          <w:tcPr>
            <w:tcW w:w="4180" w:type="dxa"/>
            <w:vAlign w:val="bottom"/>
          </w:tcPr>
          <w:p>
            <w:pPr>
              <w:spacing w:after="0"/>
              <w:rPr>
                <w:sz w:val="19"/>
                <w:szCs w:val="19"/>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124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0"/>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 (Audited)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11,707,317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83,884</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(79,501)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4,501</w:t>
            </w: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529</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r>
      <w:tr>
        <w:trPr>
          <w:trHeight w:val="198"/>
        </w:trPr>
        <w:tc>
          <w:tcPr>
            <w:tcW w:w="4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1,685,682</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2,380</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2,397</w:t>
            </w:r>
          </w:p>
        </w:tc>
      </w:tr>
      <w:tr>
        <w:trPr>
          <w:trHeight w:val="198"/>
        </w:trPr>
        <w:tc>
          <w:tcPr>
            <w:tcW w:w="4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relating to settlement</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1,005,965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r>
      <w:tr>
        <w:trPr>
          <w:trHeight w:val="230"/>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(2,371)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(2,371)</w:t>
            </w:r>
          </w:p>
        </w:tc>
      </w:tr>
      <w:tr>
        <w:trPr>
          <w:trHeight w:val="263"/>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March 31, 2024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14,398,964</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87,894</w:t>
            </w:r>
          </w:p>
        </w:tc>
        <w:tc>
          <w:tcPr>
            <w:tcW w:w="3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(81,872</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100" w:type="dxa"/>
            <w:vAlign w:val="bottom"/>
            <w:tcBorders>
              <w:bottom w:val="single" w:sz="8" w:color="CCEEFF"/>
            </w:tcBorders>
          </w:tcPr>
          <w:p>
            <w:pPr>
              <w:spacing w:after="0"/>
              <w:rPr>
                <w:sz w:val="22"/>
                <w:szCs w:val="22"/>
                <w:color w:val="auto"/>
              </w:rPr>
            </w:pPr>
          </w:p>
        </w:tc>
      </w:tr>
      <w:tr>
        <w:trPr>
          <w:trHeight w:val="196"/>
        </w:trPr>
        <w:tc>
          <w:tcPr>
            <w:tcW w:w="418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331</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7"/>
                <w:szCs w:val="17"/>
                <w:color w:val="auto"/>
              </w:rPr>
            </w:pPr>
          </w:p>
        </w:tc>
      </w:tr>
      <w:tr>
        <w:trPr>
          <w:trHeight w:val="198"/>
        </w:trPr>
        <w:tc>
          <w:tcPr>
            <w:tcW w:w="4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1,566,669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2,006</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2,022</w:t>
            </w:r>
          </w:p>
        </w:tc>
      </w:tr>
      <w:tr>
        <w:trPr>
          <w:trHeight w:val="230"/>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(2,465)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(2,465)</w:t>
            </w:r>
          </w:p>
        </w:tc>
      </w:tr>
      <w:tr>
        <w:trPr>
          <w:trHeight w:val="263"/>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June 30, 2024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15,965,633</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90,231</w:t>
            </w:r>
          </w:p>
        </w:tc>
        <w:tc>
          <w:tcPr>
            <w:tcW w:w="3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(84,337</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100" w:type="dxa"/>
            <w:vAlign w:val="bottom"/>
            <w:tcBorders>
              <w:bottom w:val="single" w:sz="8" w:color="CCEEFF"/>
            </w:tcBorders>
          </w:tcPr>
          <w:p>
            <w:pPr>
              <w:spacing w:after="0"/>
              <w:rPr>
                <w:sz w:val="22"/>
                <w:szCs w:val="22"/>
                <w:color w:val="auto"/>
              </w:rPr>
            </w:pPr>
          </w:p>
        </w:tc>
      </w:tr>
      <w:tr>
        <w:trPr>
          <w:trHeight w:val="210"/>
        </w:trPr>
        <w:tc>
          <w:tcPr>
            <w:tcW w:w="4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198"/>
        </w:trPr>
        <w:tc>
          <w:tcPr>
            <w:tcW w:w="4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at-the-market</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program, net of issuance costs (****)</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685,800</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678</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w:t>
            </w:r>
          </w:p>
        </w:tc>
      </w:tr>
      <w:tr>
        <w:trPr>
          <w:trHeight w:val="230"/>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(3,215)</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(3,215)</w:t>
            </w:r>
          </w:p>
        </w:tc>
      </w:tr>
      <w:tr>
        <w:trPr>
          <w:trHeight w:val="223"/>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September 30, 2024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16,651,433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(87,552</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issuance costs in the amount of approximately $333. See Note 4A.</w:t>
      </w:r>
    </w:p>
    <w:p>
      <w:pPr>
        <w:spacing w:after="0" w:line="27"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3G.</w:t>
      </w:r>
    </w:p>
    <w:p>
      <w:pPr>
        <w:spacing w:after="0" w:line="9"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issuance costs in the amount of approximately $328. See also Note 4B.</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Net of issuance costs in the amount of approximately $49. See also Note 4D.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6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6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(8,051)</w:t>
            </w: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(7,586)</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unrealized gains from marketable securities, net</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1,067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 related to legal settlement and legal expenses received in cash</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1,335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paid in cash</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(1,100)</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46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 of property and equipment</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(5,120)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(8,379)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2,680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short term deposit</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46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5,104</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46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(1,990)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2,517</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460" w:type="dxa"/>
            <w:vAlign w:val="bottom"/>
            <w:tcBorders>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1860" w:type="dxa"/>
            <w:vAlign w:val="bottom"/>
            <w:gridSpan w:val="2"/>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168</w:t>
            </w:r>
          </w:p>
        </w:tc>
        <w:tc>
          <w:tcPr>
            <w:tcW w:w="3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86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52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Legal settlement settled through issuance of common stock</w:t>
            </w: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1,111</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Accrued executive bonus settled through grant of stock-option awards</w:t>
            </w:r>
          </w:p>
        </w:tc>
        <w:tc>
          <w:tcPr>
            <w:tcW w:w="460" w:type="dxa"/>
            <w:vAlign w:val="bottom"/>
            <w:vMerge w:val="restart"/>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1400" w:type="dxa"/>
            <w:vAlign w:val="bottom"/>
            <w:tcBorders>
              <w:bottom w:val="single" w:sz="8" w:color="auto"/>
            </w:tcBorders>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subsidiary are sometimes collectively referred to as the “Company” as the context may require.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September 30, 2024, the Company had cash equivalents and a marketable securities balance of approximately $4,338, excluding restricted cash. Due to continuing research and development activities, the Company expects to continue to incur additional losses for the foreseeable future, as well as to seek to raise additional funds through future issuances of either debt and/or equity securities and possibly additional grants from government institutions. The Company will require additional capital and its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these conditions raise substantial doubt about the Company’s ability to continue as a going concern.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 in Israel</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7, 2023, the State of Israel, where the Company’s operations are primarily based, suffered a surprise attack by hostile forces from Gaza, which led to ongoing military operations and armed conflicts in the Gaza Strip. It continues to evolve and has since spread to northern Israel and threatens to spread to other Middle Eastern countries including Lebanon and Iran. These military operations and related activities are on-going as of the issuance date of these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firstLine="8"/>
        <w:spacing w:after="0" w:line="282" w:lineRule="auto"/>
        <w:tabs>
          <w:tab w:leader="none" w:pos="18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w:t>
      </w:r>
    </w:p>
    <w:p>
      <w:pPr>
        <w:spacing w:after="0" w:line="16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 and</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workforce due to military service of some employees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affect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the Quarterly Report on Form 10-Q of which these financial statements are a part,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C. Unaudited Interim Condensed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U.S. GAAP for interim condensed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 These interim condensed consolidated financial statements should be read in conjunction with the latest audited financial statements.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results for the nine-month period ended September 30, 2024 are not necessarily indicative of the results that may be expected for the year ending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followed in the preparation of these unaudited interim condensed consolidated financial statements are identical to those applied in the preparation of the Company’s latest annual audited financial statements, except if noted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receivables and other accounts payable and accrued liabilities approximate their fair value due to the short-term maturity of these instruments.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summarizes the Company’s financial assets subject to fair value measurement and the level of inputs used in such measurements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December 31,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3,859</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426"/>
        </w:trPr>
        <w:tc>
          <w:tcPr>
            <w:tcW w:w="4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7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gridSpan w:val="2"/>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2,497</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2,497</w:t>
            </w:r>
          </w:p>
        </w:tc>
        <w:tc>
          <w:tcPr>
            <w:tcW w:w="1100" w:type="dxa"/>
            <w:vAlign w:val="bottom"/>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1,420</w:t>
            </w: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47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3,917</w:t>
            </w:r>
          </w:p>
        </w:tc>
        <w:tc>
          <w:tcPr>
            <w:tcW w:w="3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September 30, 2024 and December 31,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expense for an equity classified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at each reporting date. If no explicit service period is determined, the Company estimates the implicit service period based on the timing the employee is expected to achieve the related performance condition.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When no future services are required to be performed by the grantee in exchange for an award of equity instruments, and if such award does not contain a performance or market condition, the cost of the award is expensed on the grant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stock option term is calculated for stock options granted using the “simplified” method for awards that qualify as “plain-vanilla”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determination of each of the inputs can affect the fair value of the stock options granted and the results of operations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to update reportable segment disclosure requirements, primarily through enhanced disclosures about significant segment expenses. The amendment is effective for fiscal years beginning after December 15, 2023 and interim periods within fiscal years beginning after December 15, 2024, with early adoption permitted. The amendment should be applied retrospectively to all prior periods presented in the financial statements. The Company is currently evaluating the impact that the adoption of this standard will have on its consolidated financial statements and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Government grants: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September 30, 2024 totaling approximately $1,878. This includes amounts received of approximately $378, which is a portion of an additional grant from the IIA in the amount of approximately NIS 1,620,000 (approximately $447)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8" w:name="page119"/>
    <w:bookmarkEnd w:id="11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CardioSert Ltd. (“CardioSert”) on January 4, 2018, Microbot Israel took over the liability to repay CardioSert’s IIA grants in the aggregate amount of approximately $530. See also Notes 3C and 5C below.</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3.0%-5% of its future sales of the products relating to such grants.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 As of September 30, 2024, the Company received approximately $50 of such grant. In relation with the Ministry of Economy grant, the Company is obligated to pay royalties amounting to 3% of future sales of the LIBERTY® Endovascular Robotic Surgical System up to the grant amount plus interest.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TRDF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with respect to the Company’s Self-Cleaning Shunt</w:t>
      </w:r>
    </w:p>
    <w:p>
      <w:pPr>
        <w:spacing w:after="0" w:line="16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(SCS) project and its TipCat assets in addition to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partial consideration for the license, Microbot Israel shall pay TRDF royalties on net sales (between 1.5%-3.0%) and on sublicense income as detailed in the License Agreement.</w:t>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 As a result, as of the date of these financial statements, the License Agreement is limited to the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Agreement with CardioSert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its core-business focus program and its cost reduction plan enacted in May 2023, the Company terminated the CardioSert Agreement effective as of August 17, 2023 in accordance with its terms and ceased its research and development and commercialization efforts for, and maintaining, the Technology, which resulted in CardioSert triggering on March 3, 2024 its right to reacquire the Technology for nominal consideration. See also Note 5C below.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2024, Microbot Israel transferred the Technology back to CardioSert, for nominal consideration, pursuant to the terms of the CardioSert Agreement. As a result, Microbot Israel’s liability to repay CardioSert’s IIA grants in the aggregate amount of approximately $530 was also transferred back to CardioSert.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ATM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The Company entered into an amendment, dated July 1, 2024, to the ATM Agreement with Wainwright dated June 10, 2021, relating to the offer and sale of shares of the Company’s common stock having an aggregate offering price of up to approximately $4,820 from time to time through Wainwright, acting as sales agent. The compensation to Wainwright for sales of the shares is a placement fee of 3.0% of the gross sales price of the shares of common stock sold pursuant to this ATM Agreement. See also Notes 4D and 5 below.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E. Engagement letters with H.C. Wainwright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registered direct and private placement offerings, the Company entered into engagement letters (the “Engagement Letters”) with Wainwright on October 3, 2022, on May 16, 2023, on October 24, 2023 and on May 29, 2024, pursuant to which Wainwright agreed to serve as the exclusive placement agent for the issuance and sale of securities of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compensation for such placement agent services, the Company has agreed to pay Wainwright an aggregate cash fee equal to 7.0% of the gross proceeds received by the Company from offerings contemplated by the Engagement Letters, plus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Acquisition of Nitiloop’s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Royalties at a rate of 3% of net revenue generated as a result of sales, license or other exploitation of the Devices; and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Company’s analysis, the Company concluded that the acquisition of the assets does not meet the definition of a business for the purpose of applying SEC Rules (S-X Rules of 3-05, 8-04 and 11-01).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Litigation resulting from the 2017 financing: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26, 2024 (the “Effective Date”), the Company entered into a settlement agreement and release with the Plaintiffs (the “Settlement Agreement”), effectively resolving the Lawsuit.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Settlement Agreement, the Company paid $2,154 consisting of a cash payment of $1,100, covered by the Company’s insurance company, and 1,005,965 shares of restricted common stock which were subsequently registered for resale. Furthermore, the Company’s insurance company is responsible for covering legal expenses incurred by the Company in relation to the legal proceedings of the Lawsuit. In February 2024, the Plaintiffs filed a stipulation discontinuing the Lawsuit with prejudice.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 loss contingency should be recognized as non-operating losses, offset by loss recoveries received from the Company’s insurance company.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Settlement Agreement and the insurance recovery received from the insurance company, as of December 31, 2023, the Company recorded a liability and an asset on its balance sheet totaling $2,211 and $1,335, respectively. Within this asset, $1,100 represents the recovery of the cash payment of the settlement amount, and $235 represents recovery of legal expenses. A net non-operating loss of $1,111 from legal settlement was reflected in the Company’s statement of comprehensive loss for the year ended December 31, 2023. In the first quarter of 2024, the Company received $1,335 from the insurance company, subsequently closing the asset recorded as of December 31, 2023. Additionally, during the first quarter of 2024, the Company paid the settlement amount by transferring $1,100 to the Plaintiffs and issuing 1,005,965 shares of the Company’s common stock, thereby closing the liability recorded as of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Mona litigation: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42" w:gutter="0" w:footer="0" w:header="0"/>
        </w:sectPr>
      </w:pPr>
    </w:p>
    <w:bookmarkStart w:id="120" w:name="page121"/>
    <w:bookmarkEnd w:id="120"/>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2021, the Court entered a judgment against Mona and in favor of the Company in the amount of approximately $485. Collection of the judgment was deferred pending resolution of Mona’s counterclaim.</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22, 2023, the District Court dismissed the Section 10(b) counterclaim in its entirety. After the Company initiated efforts to execute on the $485 judgment against Mona (the “Judgment”), Mona urged the Court to decide the motion to vacate the 16(b) Judgment on the grounds that the Company purportedly lacks Constitutional standing to bring this case, which he originally filed prior to the final dismissal of his 10(b) counterclaim. On January 30, 2024, a Report &amp; Recommendation was issued that the motion be denied, which the Court adopted in the entirety in an Order on March 5, 2024. Mona has purported to appeal that denial. The Company believes Mona’s purported appeal is untimely and substantively meritless. Mona’s appellate brief was filed on June 28, 2024 and the Company’s opposition has also been filed. The Company is waiting for the Court’s determination as to whether oral arguments will be required, which if so are expected to be held by January 2025.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10, 2024, Mona posted a bond in the full amount of the Judgment, which the Company will move to collect if the appeal is denied or the original judgment in the Company’s favor is upheld.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Contingent bonus commitments based on future capital raising: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Compensation Committee of the Board of Directors of the Company approved certain bonuses for the 2023 fiscal year contingent on capital raising efforts. These bonuses are detailed as follows: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CEO was granted a contingent cash bonus of up to approximately $298, which is divided into two contingent portions. The first 50% of the CEO’s contingent bonus ($149) is payable upon the Company raising at least $3,000 in new funds by June 30, 2024. As of June 30, 2024, the Company did not raise $3,000 in new funds. However, on July 17, 2024, the Compensation Committee of the Board of Directors of the Company nevertheless approved the payment of the first 50% of the contingent bonus to the Company’s CEO in the amount of approximately $149. This bonus was recorded as a charge to expenses in the three-month period ended September 30, 2024.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remaining 50% ($149), payable upon the Company raising at least $6,000 in new funds by September 30, 2024 (cumulative, so if $3,000 is not raised by June 30, 2024 but the full $6,000 is raised by September 30, 2024, or if $10,000 is raised by December 31, 2024, the full amount is payable). The Company’s management is unable to predict the likelihood of securing additional capital; therefore, as of September 30, 2024, the Company has not recorded a liability for any contingent bonus.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executives are entitled to an aggregate contingent total bonus of NIS 230,736 (approximately $61), which is payable upon the Company raising at least $3,000 in new funds by September 30, 2024. During the third quarter of 2024, the Company achieved a cumulative capital raise of $3,000. On July 17, 2024, the Compensation Committee of the Board of Directors of the Company approved the payment of such bonuses to the Company’s CFO and CTO in the aggregate amount of approximately $61. This bonus was recorded as a charge to expenses in the three-month period ended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Preferred investment options inducement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(clauses (i) through (iii) collectively, the “Existing Preferred Investment Options”), pursuant to which the holders agreed to exercise for cash their Existing Preferred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will have an exercise price equal to $1.50 per share, and will be exercisable from the date of the issuance until five and one-half (5.5) years following the date of the issuance. The Company received aggregate gross proceeds of approximately $2,730 from the exercise of the Existing Preferred Investment Options by the Holders and the sale of the Inducement Investment Options, before deducting placement agent fees and other offering expenses of approximately $333. The Company also issued to Wainwright or its designees preferred investment options to purchase up to 84,284 shares of common stock which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closing date January 3,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June 2024 Offerings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 2024, the Company entered into Securities Purchase Agreements with institutional investors, pursuant to which the Company agreed to issue and sell, in a registered direct offering priced at-the-market under the rules of The Nasdaq Stock Market, an aggregate of 1,566,669 shares of the Company’s common stock, par value $0.01 per share, at an offering price of $1.50 per share, for aggregate gross proceeds from the Offerings of approximately $2,350 before deducting the placement agent fee and related offering expenses of approximately $328. In a concurrent private placement, the Company agreed to issue to the investors series F preferred investment options to purchase up to 3,133,338 shares of common stock at an exercise price of $1.50 per share. Each Series F preferred investment option is exercisable immediately and will expire two years from the initial exercise date.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issued to Wainwright or its designees preferred investment options to purchase up to 78,333 shares of common stock which have the same terms as investors’ preferred investment options except for an exercise price equal to $1.875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Equity component of settlement amount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Settlement Agreement (refer to Note 3G above), the Company issued 1,005,965 shares of the Company’s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D. At-the-market offerings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entering into the ATM Agreement, on July 1, 2024, the Company filed with the SEC a prospectus supplement relating to the offer, issuance and sale of up to $4,820 of the Company’s shares of common stock pursuant to the ATM Agreement. For the three months ended September 30, 2024, the Company issued 685,800 shares of the Company’s common stock pursuant to the ATM Agreement, for total gross proceeds of approximately $734 before deducting sales agent commissions and other offering expenses of $49.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Equity classification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common stock of the Company are recognized as equity under the requirements of ASC Topic 505 Equity.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analyzed the accounting treatment for the series E and series F preferred investment options and concluded that they should be classified as equity.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analyzed the accounting treatment for the preferred investment options issued to Wainwright. Since the Company did not identify any features causing liability classification according to ASC 718, it concluded that all such preferred investment options are equity-classified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Employee and advisor stock option grants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the CEO, certain executives and certain employees, fully vested options to purchase an aggregate of 130,000 shares of the Company’s common stock, at an exercise price per share of $1.2684, attributable to performance goals achieved in January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granted the CEO and other executives, options to purchase an aggregate of 132,500 shares of the Company’s common stock at an exercise price per share of $1.25, with vesting based on meeting certain performance conditions in the year 2024. For the nine-month period ended September 30, 2024, the Company did not record an expense for these performance-based grants. This was either because the Company’s management believes the conditions are tied to securing additional capital, or because specific performance obligations, with deadlines set on or before September 30, 2024, were not met by that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2024, the Company granted the CEO and certain employees and advisors, options to purchase an aggregate of 195,000 shares of the Company’s common stock, at an exercise price per share of $1.2684, with a vesting period of three years. Regarding the CEO’s 2023 annual bonus, in February 2024, the Company paid the CEO 25% of his 2023 annual bonus, amounting to approximately $99, through the grant of fully vested options to purchase an aggregate of 79,567 shares of the Company’s common stock with an exercise price per share of $1.25.</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September 2024, the Company granted an advisor options to purchase an aggregate of 25,000 shares of the Company’s common stock, at an exercise price per share of $0.8558, with a vesting period of three years.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offerings subsequent to balance sheet date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October 2024, the Company issued 280,908 shares of the Company’s common stock pursuant to the ATM Agreement, for total gross proceeds of approximately $285.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costs and expenses paid or payable by us in connection with the sale of the common stock being registered. None of these costs or expenses will be borne by the selling stockholders. All amounts shown are estimates except for the Securities and Exchange Commission, or “SEC,” registration fee.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Amount Paid</w:t>
            </w:r>
          </w:p>
        </w:tc>
      </w:tr>
      <w:tr>
        <w:trPr>
          <w:trHeight w:val="238"/>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or to be Paid</w:t>
            </w:r>
          </w:p>
        </w:tc>
      </w:tr>
      <w:tr>
        <w:trPr>
          <w:trHeight w:val="210"/>
        </w:trPr>
        <w:tc>
          <w:tcPr>
            <w:tcW w:w="9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4,864.51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15,000.00*</w:t>
            </w:r>
          </w:p>
        </w:tc>
      </w:tr>
      <w:tr>
        <w:trPr>
          <w:trHeight w:val="230"/>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4,135.49*</w:t>
            </w:r>
          </w:p>
        </w:tc>
      </w:tr>
      <w:tr>
        <w:trPr>
          <w:trHeight w:val="223"/>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r>
      <w:tr>
        <w:trPr>
          <w:trHeight w:val="20"/>
        </w:trPr>
        <w:tc>
          <w:tcPr>
            <w:tcW w:w="9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Estimated, as permitted under Item 511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(“DGCL”) permits, in general, a Delaware corporation, to indemnify any person who was or is a party to any proceeding (other than an action by, or in the right of, the corporation) by reason of the fact that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3" w:name="page124"/>
    <w:bookmarkEnd w:id="123"/>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any underwriting agreement we enter into in connection with the sale of common stock being registered hereby, the underwriter will agree to indemnify, under certain conditions, us, our directors, our officers and persons who control us within the meaning of the Securities Act of 1933, as amended, against certain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18, 2020, 14,685 outstanding warrants of the Company at an exercise price per share of $8.125, were exercised on a “net exercise” or “cashless” basis into 4,873 shares of common stock. The issuances of the 4,873 shares of common stock were exempt from registration under Section 4(a)(2) under the Securities Act of 1933, as amended and the rules promulgated thereunder (the “Securities Act”) as a transaction not involving a public offering to a single investor, and/or 3(a)(9) under the Securities Act.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25, 2022, the Company sold in a private placement and issued to an investor (i) Series A preferred investment options to purchase up to 1,022,495 shares of Common Stock (the “Series A Warrants”) at an exercise price of $4.64 per share and (ii) Series B preferred investment options to purchase up to 1,022,495 shares of Common Stock (the “Series B Warrants” and, together with the Series A Warrants, the “Common Warrants”) at an exercise price of $4.64 per share. The Common Warrants and the shares of Common Stock issuable upon the exercise of the Common Warrants were offered pursuant to the exemption provided in Section 4(a)(2) under the Securities Act, and Rule 506(b) promulgated thereunder. In connection with such private placement, the Company issued to the placement agent or its designees warrants to purchase 51,125 shares of Common Stock at an exercise price of $6.1125 per share. Such placement agent warrants and the shares of Common Stock issuable upon the exercise of the placement agent warrants were offered pursuant to the exemption provided in Section 4(a)(2) under the Securities Act.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23, 2023, in connection with a public offering of its securities, the Company issued to the placement agent or its designees warrants to purchase 32,778 shares of Common Stock at an exercise price of $2.75 per share. Such placement agent warrants and the shares of Common Stock issuable upon the exercise of the Common Warrants were offered pursuant to the exemption provided in Section 4(a)(2)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24, 2023, in connection with a public offering of its securities, the Company issued to the placement agent or its designees warrants to purchase 60,476 shares of Common Stock at an exercise price of $2.75 per share. Such placement agent warrants and the shares of Common Stock issuable upon the exercise of the Common Warrants were offered pursuant to the exemption provided in Section 4(a)(2) under the Securities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6, 2023, the Company sold in a private placement and issued to an investor Series C preferred investment options to purchase up to 350,878 shares of Common Stock at an exercise price of $2.075 per share. Such Series C preferred investment options and the shares of Common Stock issuable upon the exercise of the Series C preferred investment options were offered pursuant to the exemption provided in Section 4(a)(2) under the Securities Act, and Rule 506(b) promulgated thereunder. In connection with such private placement, the Company issued to the placement agent or its designees warrants to purchase 35,088 shares of Common Stock at an exercise price of $2.6719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16, 2023, the Company issued 385,246 to the holder of the Company’s Series B preferred investment options pursuant to the cashless exercise provision therein. Such shares of Common Stock issuable upon the exercise of the Series B preferred investment options were offered pursuant to the exemption provided in Section 4(a)(2) under the Securities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4" w:name="page125"/>
    <w:bookmarkEnd w:id="124"/>
    <w:p>
      <w:pPr>
        <w:jc w:val="both"/>
        <w:spacing w:after="0" w:line="256" w:lineRule="auto"/>
        <w:rPr>
          <w:sz w:val="20"/>
          <w:szCs w:val="20"/>
          <w:color w:val="auto"/>
        </w:rPr>
      </w:pPr>
      <w:r>
        <w:rPr>
          <w:rFonts w:ascii="Times New Roman" w:cs="Times New Roman" w:eastAsia="Times New Roman" w:hAnsi="Times New Roman"/>
          <w:sz w:val="18"/>
          <w:szCs w:val="18"/>
          <w:color w:val="auto"/>
        </w:rPr>
        <w:t>On June 28, 2023, the Company sold in a private placement and issued to an investor Series D preferred investment options to purchase up to 312,309 shares of Common Stock at an exercise price of $3.19 per share. Such Series D preferred investment options and the shares of Common Stock issuable upon the exercise of the Series D preferred investment options were offered pursuant to the exemption provided in Section 4(a)(2) under the Securities Act, and Rule 506(b) promulgated thereunder. In connection with such private placement, the Company issued to the placement agent or its designees warrants to purchase 31,231 shares of Common Stock at an exercise price of $4.0625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 2024, the Company issued, in a private placement, Series E preferred investment options to purchase up to 1,685,682 shares of Common Stock at an exercise price per share of $1.50, pursuant to a preferred investment option exercise inducement offer, to the holders of certain outstanding preferred investment options of the Company. Such Series D preferred investment options and the shares of Common Stock issuable upon the exercise of the Series D preferred investment options were offered pursuant to the exemption provided in Section 4(a)(2) under the Securities Act. In connection with the inducement offer, the Company issued to the placement agent or its designees warrants to purchase an aggregate of 84,284 shares of Common Stock at an exercise price of $2.025 per share. Such placement agent warrants and the shares of Common Stock issuable upon the exercise of the placement agent warrants were offered pursuant to the exemption provided in Section 4(a)(2) under the Securities Act.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January 26, 2024, the Company issued an aggregate of 1,005,965 shares of restricted Common Stock (the “Settlement Shares”), as partial settlement to the plaintiffs in the lawsuit entitled Empery Asset Master Ltd., Empery Tax Efficient, LP, Empery Tax Efficient II, LP, Hudson Bay Master Fund Ltd., Plaintiffs, against Microbot Medical Inc., Defendant, in the Supreme Court of the State of New York, County of New York (Index No. 651182/2020). The Settlement Shares were issued pursuant to the exemption from the registration requirements of the Securities Act available under Section 4(a)(2) as a transaction by an issuer not involving any public offering.</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4, 2024, the Company sold in a private placement and issued to investors Series F preferred investment options to purchase up to 3,133,338 shares of Common Stock at an exercise price of $1.50 per share. Such Series F preferred investment options and the shares of Common Stock issuable upon the exercise of the Series F preferred investment options were offered pursuant to the exemption provided in Section 4(a)(2) under the Securities Act, and Rule 506(b) promulgated thereunder. In connection with such private placement, the Company issued to the placement agent or its designees warrants to purchase 78,333 shares of Common Stock at an exercise price of $1.875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7, 2025, the Company sold in a private placement and issued to investors Series G preferred investment options to purchase up to 8,000,002 shares of Common Stock at an exercise price of $1.75 per share. Such Series G preferred investment options and the shares of Common Stock issuable upon the exercise of the Series G preferred investment options were offered pursuant to the exemption provided in Section 4(a)(2) under the Securities Act, and Rule 506(b) promulgated thereunder. In connection with such private placement, the Company issued to the placement agent or its designees warrants to purchase 200,000 shares of Common Stock at an exercise price of $2.1875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8, 2025, the Company issued 610,517 shares of Common Stock to the holder of the Company’s Series E preferred investment options at an exercise price per share of $1.50. Such shares of Common Stock issuable upon the exercise of the Series E preferred investment options were offered pursuant to the exemption provided in Section 4(a)(2) under the Securities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10, 2025, the Company sold in a private placement and issued to investors Series H preferred investment options to purchase up to 7,577,100 shares of Common Stock at an exercise price of $2.10 per share. Such Series H preferred investment options and the shares of Common Stock issuable upon the exercise of the Series H preferred investment options were offered pursuant to the exemption provided in Section 4(a)(2) under the Securities Act, and Rule 506(b) promulgated thereunder. In connection with such private placement, the Company issued to the placement agent or its designees warrants to purchase 189,428 shares of Common Stock at an exercise price of $2.8375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5" w:lineRule="exact"/>
        <w:rPr>
          <w:sz w:val="20"/>
          <w:szCs w:val="20"/>
          <w:color w:val="auto"/>
        </w:rPr>
      </w:pPr>
    </w:p>
    <w:p>
      <w:pPr>
        <w:ind w:left="1300" w:hanging="968"/>
        <w:spacing w:after="0"/>
        <w:tabs>
          <w:tab w:leader="none" w:pos="130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set forth below are filed herewith or incorporated by reference to the location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480" w:type="dxa"/>
            <w:vAlign w:val="bottom"/>
            <w:tcBorders>
              <w:bottom w:val="single" w:sz="8" w:color="auto"/>
            </w:tcBorders>
            <w:gridSpan w:val="10"/>
          </w:tcPr>
          <w:p>
            <w:pPr>
              <w:ind w:left="4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69"/>
        </w:trPr>
        <w:tc>
          <w:tcPr>
            <w:tcW w:w="9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0120" w:type="dxa"/>
            <w:vAlign w:val="bottom"/>
            <w:tcBorders>
              <w:bottom w:val="single" w:sz="8" w:color="0000EE"/>
            </w:tcBorders>
            <w:gridSpan w:val="17"/>
          </w:tcPr>
          <w:p>
            <w:pPr>
              <w:spacing w:after="0" w:line="169"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Agreement and Plan of Merger and Reorganization, dated as of August 15, 2016, by and among StemCells, Inc., C&amp;RD Israel Ltd. and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Microbot Medical Ltd. (incorporated by reference to the Company’s Current Report on Form 8-K filed on August 15, 2016).</w:t>
              </w:r>
            </w:hyperlink>
          </w:p>
        </w:tc>
        <w:tc>
          <w:tcPr>
            <w:tcW w:w="1160" w:type="dxa"/>
            <w:vAlign w:val="bottom"/>
            <w:gridSpan w:val="7"/>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Restated Certificate of Incorporation of the Company (incorporated by reference to the Company’s Annual Report on Form 10-K for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fiscal year ended December 31, 2006 and filed on March 15, 2007).</w:t>
              </w:r>
            </w:hyperlink>
          </w:p>
        </w:tc>
        <w:tc>
          <w:tcPr>
            <w:tcW w:w="5260" w:type="dxa"/>
            <w:vAlign w:val="bottom"/>
            <w:gridSpan w:val="9"/>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Certificate of Amendment to the Restated Certificate of Incorporation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Report on Form 8-K filed on November 29, 2016).</w:t>
              </w:r>
            </w:hyperlink>
          </w:p>
        </w:tc>
        <w:tc>
          <w:tcPr>
            <w:tcW w:w="6480" w:type="dxa"/>
            <w:vAlign w:val="bottom"/>
            <w:gridSpan w:val="10"/>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8-K filed on September 4, 2018).</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Amended and Restated By-Laws of the Company (incorporated by reference to the Company’s Current Report on Form 8-K filed on May 3,</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4"/>
              </w:rPr>
            </w:pPr>
            <w:hyperlink r:id="rId171">
              <w:r>
                <w:rPr>
                  <w:rFonts w:ascii="Times New Roman" w:cs="Times New Roman" w:eastAsia="Times New Roman" w:hAnsi="Times New Roman"/>
                  <w:sz w:val="18"/>
                  <w:szCs w:val="18"/>
                  <w:color w:val="0000EE"/>
                  <w:w w:val="94"/>
                </w:rPr>
                <w:t>2016).</w:t>
              </w:r>
            </w:hyperlink>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3.5</w:t>
            </w:r>
          </w:p>
        </w:tc>
        <w:tc>
          <w:tcPr>
            <w:tcW w:w="120" w:type="dxa"/>
            <w:vAlign w:val="bottom"/>
          </w:tcPr>
          <w:p>
            <w:pPr>
              <w:spacing w:after="0"/>
              <w:rPr>
                <w:sz w:val="17"/>
                <w:szCs w:val="17"/>
                <w:color w:val="auto"/>
              </w:rPr>
            </w:pPr>
          </w:p>
        </w:tc>
        <w:tc>
          <w:tcPr>
            <w:tcW w:w="94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Certificate of Elimination (incorporated by reference to the Company’s Current Report on Form 8-K filed on December 12, 2018).</w:t>
              </w:r>
            </w:hyperlink>
          </w:p>
        </w:tc>
        <w:tc>
          <w:tcPr>
            <w:tcW w:w="740" w:type="dxa"/>
            <w:vAlign w:val="bottom"/>
            <w:gridSpan w:val="3"/>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3.6</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8-K filed on September 11, 2019).</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3.7</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Amendment to Section 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Report on Form 8-K filed on May 3, 2021).</w:t>
              </w:r>
            </w:hyperlink>
          </w:p>
        </w:tc>
        <w:tc>
          <w:tcPr>
            <w:tcW w:w="7000" w:type="dxa"/>
            <w:vAlign w:val="bottom"/>
            <w:gridSpan w:val="11"/>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Description of the Company’s Securities (incorporated by reference to the Registrant’s Annual Report on Form 10-K for the fiscal year</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ended December 31, 2019).</w:t>
              </w:r>
            </w:hyperlink>
          </w:p>
        </w:tc>
        <w:tc>
          <w:tcPr>
            <w:tcW w:w="8140" w:type="dxa"/>
            <w:vAlign w:val="bottom"/>
            <w:gridSpan w:val="14"/>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Form of Series A Warrant (incorporated by reference to the Registrant’s Current Report on Form 8-K filed on October 25, 2022)</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480" w:type="dxa"/>
            <w:vAlign w:val="bottom"/>
            <w:gridSpan w:val="8"/>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17"/>
                <w:szCs w:val="17"/>
                <w:color w:val="auto"/>
              </w:rPr>
            </w:pPr>
          </w:p>
        </w:tc>
        <w:tc>
          <w:tcPr>
            <w:tcW w:w="94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Form of Wainwright Warrant (incorporated by reference to the Registrant’s Current Report on Form 8-K filed on October 25, 2022)</w:t>
              </w:r>
            </w:hyperlink>
          </w:p>
        </w:tc>
        <w:tc>
          <w:tcPr>
            <w:tcW w:w="660" w:type="dxa"/>
            <w:vAlign w:val="bottom"/>
            <w:gridSpan w:val="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Form of Wainwright Warrant (incorporated by reference to the Registrant’s Current Report on Form 8-K filed on May 23, 2023)</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480" w:type="dxa"/>
            <w:vAlign w:val="bottom"/>
            <w:gridSpan w:val="8"/>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Form of Wainwright Warrant (incorporated by reference to the Registrant’s Current Report on Form 8-K filed on May 24, 2023)</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480" w:type="dxa"/>
            <w:vAlign w:val="bottom"/>
            <w:gridSpan w:val="8"/>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4.6</w:t>
            </w:r>
          </w:p>
        </w:tc>
        <w:tc>
          <w:tcPr>
            <w:tcW w:w="12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Form of Warrant Amendment Agreement (incorporated by reference to the Registrant’s Current Report on Form 8-K filed on May 24, 2023)</w:t>
              </w:r>
            </w:hyperlink>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4.7</w:t>
            </w:r>
          </w:p>
        </w:tc>
        <w:tc>
          <w:tcPr>
            <w:tcW w:w="120" w:type="dxa"/>
            <w:vAlign w:val="bottom"/>
          </w:tcPr>
          <w:p>
            <w:pPr>
              <w:spacing w:after="0"/>
              <w:rPr>
                <w:sz w:val="17"/>
                <w:szCs w:val="17"/>
                <w:color w:val="auto"/>
              </w:rPr>
            </w:pPr>
          </w:p>
        </w:tc>
        <w:tc>
          <w:tcPr>
            <w:tcW w:w="89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Form of Series C Warrant (incorporated by reference to the Registrant’s Current Report on Form 8-K filed on June 6, 2023)</w:t>
              </w:r>
            </w:hyperlink>
          </w:p>
        </w:tc>
        <w:tc>
          <w:tcPr>
            <w:tcW w:w="1240" w:type="dxa"/>
            <w:vAlign w:val="bottom"/>
            <w:gridSpan w:val="8"/>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4.8</w:t>
            </w:r>
          </w:p>
        </w:tc>
        <w:tc>
          <w:tcPr>
            <w:tcW w:w="120" w:type="dxa"/>
            <w:vAlign w:val="bottom"/>
          </w:tcPr>
          <w:p>
            <w:pPr>
              <w:spacing w:after="0"/>
              <w:rPr>
                <w:sz w:val="17"/>
                <w:szCs w:val="17"/>
                <w:color w:val="auto"/>
              </w:rPr>
            </w:pPr>
          </w:p>
        </w:tc>
        <w:tc>
          <w:tcPr>
            <w:tcW w:w="9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Form of Wainwright Warrant (incorporated by reference to the Registrant’s Current Report on Form 8-K filed on June 6, 2023)</w:t>
              </w:r>
            </w:hyperlink>
          </w:p>
        </w:tc>
        <w:tc>
          <w:tcPr>
            <w:tcW w:w="1000" w:type="dxa"/>
            <w:vAlign w:val="bottom"/>
            <w:gridSpan w:val="5"/>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4.9</w:t>
            </w:r>
          </w:p>
        </w:tc>
        <w:tc>
          <w:tcPr>
            <w:tcW w:w="120" w:type="dxa"/>
            <w:vAlign w:val="bottom"/>
          </w:tcPr>
          <w:p>
            <w:pPr>
              <w:spacing w:after="0"/>
              <w:rPr>
                <w:sz w:val="17"/>
                <w:szCs w:val="17"/>
                <w:color w:val="auto"/>
              </w:rPr>
            </w:pPr>
          </w:p>
        </w:tc>
        <w:tc>
          <w:tcPr>
            <w:tcW w:w="90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Form of Series D Warrant (incorporated by reference to the Registrant’s Current Report on Form 8-K filed on June 28, 2023)</w:t>
              </w:r>
            </w:hyperlink>
          </w:p>
        </w:tc>
        <w:tc>
          <w:tcPr>
            <w:tcW w:w="1140" w:type="dxa"/>
            <w:vAlign w:val="bottom"/>
            <w:gridSpan w:val="6"/>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Form of Wainwright Warrant (incorporated by reference to the Registrant’s Current Report on Form 8-K filed on June 28, 2023)</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800" w:type="dxa"/>
            <w:vAlign w:val="bottom"/>
            <w:gridSpan w:val="12"/>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4.11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Form of Inducement Investment Option (incorporated by reference to the Registrant’s Current Report on Form 8-K filed on January 2, 2024)</w:t>
              </w:r>
            </w:hyperlink>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 2,</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86">
              <w:r>
                <w:rPr>
                  <w:rFonts w:ascii="Times New Roman" w:cs="Times New Roman" w:eastAsia="Times New Roman" w:hAnsi="Times New Roman"/>
                  <w:sz w:val="18"/>
                  <w:szCs w:val="18"/>
                  <w:color w:val="0000EE"/>
                  <w:w w:val="95"/>
                </w:rPr>
                <w:t>2024)</w:t>
              </w:r>
            </w:hyperlink>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Form of Series F Preferred Investment Option (incorporated by reference to the Registrant’s Current Report on Form 8-K filed on June 4,</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87">
              <w:r>
                <w:rPr>
                  <w:rFonts w:ascii="Times New Roman" w:cs="Times New Roman" w:eastAsia="Times New Roman" w:hAnsi="Times New Roman"/>
                  <w:sz w:val="18"/>
                  <w:szCs w:val="18"/>
                  <w:color w:val="0000EE"/>
                  <w:w w:val="95"/>
                </w:rPr>
                <w:t>2024)</w:t>
              </w:r>
            </w:hyperlink>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6" w:name="page127"/>
    <w:bookmarkEnd w:id="126"/>
    <w:p>
      <w:pPr>
        <w:ind w:left="100"/>
        <w:spacing w:after="0"/>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4.14</w:t>
      </w:r>
      <w:r>
        <w:rPr>
          <w:sz w:val="20"/>
          <w:szCs w:val="20"/>
          <w:color w:val="auto"/>
        </w:rPr>
        <w:tab/>
      </w:r>
      <w:hyperlink r:id="rId189">
        <w:r>
          <w:rPr>
            <w:rFonts w:ascii="Times New Roman" w:cs="Times New Roman" w:eastAsia="Times New Roman" w:hAnsi="Times New Roman"/>
            <w:sz w:val="18"/>
            <w:szCs w:val="18"/>
            <w:u w:val="single" w:color="auto"/>
            <w:color w:val="0000EE"/>
          </w:rPr>
          <w:t>Form of Placement Agent Investment Option (incorporated by reference to the Registrant’s Current Report on Form 8-K filed on June 4,</w:t>
        </w:r>
      </w:hyperlink>
    </w:p>
    <w:p>
      <w:pPr>
        <w:spacing w:after="0" w:line="27" w:lineRule="exact"/>
        <w:rPr>
          <w:sz w:val="20"/>
          <w:szCs w:val="20"/>
          <w:color w:val="auto"/>
        </w:rPr>
      </w:pPr>
    </w:p>
    <w:p>
      <w:pPr>
        <w:ind w:left="860"/>
        <w:spacing w:after="0"/>
        <w:rPr>
          <w:rFonts w:ascii="Times New Roman" w:cs="Times New Roman" w:eastAsia="Times New Roman" w:hAnsi="Times New Roman"/>
          <w:sz w:val="18"/>
          <w:szCs w:val="18"/>
          <w:u w:val="single" w:color="auto"/>
          <w:color w:val="0000EE"/>
        </w:rPr>
      </w:pPr>
      <w:hyperlink r:id="rId189">
        <w:r>
          <w:rPr>
            <w:rFonts w:ascii="Times New Roman" w:cs="Times New Roman" w:eastAsia="Times New Roman" w:hAnsi="Times New Roman"/>
            <w:sz w:val="18"/>
            <w:szCs w:val="18"/>
            <w:u w:val="single" w:color="auto"/>
            <w:color w:val="0000EE"/>
          </w:rPr>
          <w:t>2024)</w:t>
        </w:r>
      </w:hyperlink>
    </w:p>
    <w:p>
      <w:pPr>
        <w:spacing w:after="0" w:line="9" w:lineRule="exact"/>
        <w:rPr>
          <w:sz w:val="20"/>
          <w:szCs w:val="20"/>
          <w:color w:val="auto"/>
        </w:rPr>
      </w:pPr>
    </w:p>
    <w:p>
      <w:pPr>
        <w:ind w:left="100"/>
        <w:spacing w:after="0"/>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4.15</w:t>
      </w:r>
      <w:r>
        <w:rPr>
          <w:sz w:val="20"/>
          <w:szCs w:val="20"/>
          <w:color w:val="auto"/>
        </w:rPr>
        <w:tab/>
      </w:r>
      <w:hyperlink r:id="rId190">
        <w:r>
          <w:rPr>
            <w:rFonts w:ascii="Times New Roman" w:cs="Times New Roman" w:eastAsia="Times New Roman" w:hAnsi="Times New Roman"/>
            <w:sz w:val="18"/>
            <w:szCs w:val="18"/>
            <w:u w:val="single" w:color="auto"/>
            <w:color w:val="0000EE"/>
          </w:rPr>
          <w:t>Form of Series G Preferred Investment Option (incorporated by reference to the Registrant’s Current Report on Form 8-K filed on January</w:t>
        </w:r>
      </w:hyperlink>
    </w:p>
    <w:p>
      <w:pPr>
        <w:spacing w:after="0" w:line="9" w:lineRule="exact"/>
        <w:rPr>
          <w:sz w:val="20"/>
          <w:szCs w:val="20"/>
          <w:color w:val="auto"/>
        </w:rPr>
      </w:pPr>
    </w:p>
    <w:p>
      <w:pPr>
        <w:ind w:left="860"/>
        <w:spacing w:after="0"/>
        <w:rPr>
          <w:rFonts w:ascii="Times New Roman" w:cs="Times New Roman" w:eastAsia="Times New Roman" w:hAnsi="Times New Roman"/>
          <w:sz w:val="18"/>
          <w:szCs w:val="18"/>
          <w:u w:val="single" w:color="auto"/>
          <w:color w:val="0000EE"/>
        </w:rPr>
      </w:pPr>
      <w:hyperlink r:id="rId190">
        <w:r>
          <w:rPr>
            <w:rFonts w:ascii="Times New Roman" w:cs="Times New Roman" w:eastAsia="Times New Roman" w:hAnsi="Times New Roman"/>
            <w:sz w:val="18"/>
            <w:szCs w:val="18"/>
            <w:u w:val="single" w:color="auto"/>
            <w:color w:val="0000EE"/>
          </w:rPr>
          <w:t>7, 2025)</w:t>
        </w:r>
      </w:hyperlink>
    </w:p>
    <w:p>
      <w:pPr>
        <w:spacing w:after="0" w:line="9" w:lineRule="exact"/>
        <w:rPr>
          <w:sz w:val="20"/>
          <w:szCs w:val="20"/>
          <w:color w:val="auto"/>
        </w:rPr>
      </w:pPr>
    </w:p>
    <w:p>
      <w:pPr>
        <w:ind w:left="100"/>
        <w:spacing w:after="0"/>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4.16</w:t>
      </w:r>
      <w:r>
        <w:rPr>
          <w:sz w:val="20"/>
          <w:szCs w:val="20"/>
          <w:color w:val="auto"/>
        </w:rPr>
        <w:tab/>
      </w:r>
      <w:hyperlink r:id="rId191">
        <w:r>
          <w:rPr>
            <w:rFonts w:ascii="Times New Roman" w:cs="Times New Roman" w:eastAsia="Times New Roman" w:hAnsi="Times New Roman"/>
            <w:sz w:val="18"/>
            <w:szCs w:val="18"/>
            <w:u w:val="single" w:color="auto"/>
            <w:color w:val="0000EE"/>
          </w:rPr>
          <w:t>Form of Placement Agent Investment Option (incorporated by reference to the Registrant’s Current Report on Form 8-K filed on January 7,</w:t>
        </w:r>
      </w:hyperlink>
    </w:p>
    <w:p>
      <w:pPr>
        <w:spacing w:after="0" w:line="9" w:lineRule="exact"/>
        <w:rPr>
          <w:sz w:val="20"/>
          <w:szCs w:val="20"/>
          <w:color w:val="auto"/>
        </w:rPr>
      </w:pPr>
    </w:p>
    <w:p>
      <w:pPr>
        <w:ind w:left="860"/>
        <w:spacing w:after="0"/>
        <w:rPr>
          <w:rFonts w:ascii="Times New Roman" w:cs="Times New Roman" w:eastAsia="Times New Roman" w:hAnsi="Times New Roman"/>
          <w:sz w:val="18"/>
          <w:szCs w:val="18"/>
          <w:u w:val="single" w:color="auto"/>
          <w:color w:val="0000EE"/>
        </w:rPr>
      </w:pPr>
      <w:hyperlink r:id="rId191">
        <w:r>
          <w:rPr>
            <w:rFonts w:ascii="Times New Roman" w:cs="Times New Roman" w:eastAsia="Times New Roman" w:hAnsi="Times New Roman"/>
            <w:sz w:val="18"/>
            <w:szCs w:val="18"/>
            <w:u w:val="single" w:color="auto"/>
            <w:color w:val="0000EE"/>
          </w:rPr>
          <w:t>2025)</w:t>
        </w:r>
      </w:hyperlink>
    </w:p>
    <w:p>
      <w:pPr>
        <w:spacing w:after="0" w:line="9" w:lineRule="exact"/>
        <w:rPr>
          <w:sz w:val="20"/>
          <w:szCs w:val="20"/>
          <w:color w:val="auto"/>
        </w:rPr>
      </w:pPr>
    </w:p>
    <w:p>
      <w:pPr>
        <w:ind w:left="100"/>
        <w:spacing w:after="0"/>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4.17</w:t>
      </w:r>
      <w:r>
        <w:rPr>
          <w:sz w:val="20"/>
          <w:szCs w:val="20"/>
          <w:color w:val="auto"/>
        </w:rPr>
        <w:tab/>
      </w:r>
      <w:hyperlink r:id="rId192">
        <w:r>
          <w:rPr>
            <w:rFonts w:ascii="Times New Roman" w:cs="Times New Roman" w:eastAsia="Times New Roman" w:hAnsi="Times New Roman"/>
            <w:sz w:val="18"/>
            <w:szCs w:val="18"/>
            <w:u w:val="single" w:color="auto"/>
            <w:color w:val="0000EE"/>
          </w:rPr>
          <w:t>Form of Series H Preferred Investment Option (incorporated by reference to the Registrant’s Current Report on Form 8-K filed on January</w:t>
        </w:r>
      </w:hyperlink>
    </w:p>
    <w:p>
      <w:pPr>
        <w:spacing w:after="0" w:line="9" w:lineRule="exact"/>
        <w:rPr>
          <w:sz w:val="20"/>
          <w:szCs w:val="20"/>
          <w:color w:val="auto"/>
        </w:rPr>
      </w:pPr>
    </w:p>
    <w:p>
      <w:pPr>
        <w:ind w:left="860"/>
        <w:spacing w:after="0"/>
        <w:rPr>
          <w:rFonts w:ascii="Times New Roman" w:cs="Times New Roman" w:eastAsia="Times New Roman" w:hAnsi="Times New Roman"/>
          <w:sz w:val="18"/>
          <w:szCs w:val="18"/>
          <w:u w:val="single" w:color="auto"/>
          <w:color w:val="0000EE"/>
        </w:rPr>
      </w:pPr>
      <w:hyperlink r:id="rId192">
        <w:r>
          <w:rPr>
            <w:rFonts w:ascii="Times New Roman" w:cs="Times New Roman" w:eastAsia="Times New Roman" w:hAnsi="Times New Roman"/>
            <w:sz w:val="18"/>
            <w:szCs w:val="18"/>
            <w:u w:val="single" w:color="auto"/>
            <w:color w:val="0000EE"/>
          </w:rPr>
          <w:t>10, 2025)</w:t>
        </w:r>
      </w:hyperlink>
    </w:p>
    <w:p>
      <w:pPr>
        <w:spacing w:after="0" w:line="9" w:lineRule="exact"/>
        <w:rPr>
          <w:sz w:val="20"/>
          <w:szCs w:val="20"/>
          <w:color w:val="auto"/>
        </w:rPr>
      </w:pPr>
    </w:p>
    <w:p>
      <w:pPr>
        <w:ind w:left="100"/>
        <w:spacing w:after="0"/>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4.18</w:t>
      </w:r>
      <w:r>
        <w:rPr>
          <w:sz w:val="20"/>
          <w:szCs w:val="20"/>
          <w:color w:val="auto"/>
        </w:rPr>
        <w:tab/>
      </w:r>
      <w:hyperlink r:id="rId193">
        <w:r>
          <w:rPr>
            <w:rFonts w:ascii="Times New Roman" w:cs="Times New Roman" w:eastAsia="Times New Roman" w:hAnsi="Times New Roman"/>
            <w:sz w:val="18"/>
            <w:szCs w:val="18"/>
            <w:u w:val="single" w:color="auto"/>
            <w:color w:val="0000EE"/>
          </w:rPr>
          <w:t>Form of Placement Agent Investment Option (incorporated by reference to the Registrant’s Current Report on Form 8-K filed on January</w:t>
        </w:r>
      </w:hyperlink>
    </w:p>
    <w:p>
      <w:pPr>
        <w:spacing w:after="0" w:line="9" w:lineRule="exact"/>
        <w:rPr>
          <w:sz w:val="20"/>
          <w:szCs w:val="20"/>
          <w:color w:val="auto"/>
        </w:rPr>
      </w:pPr>
    </w:p>
    <w:p>
      <w:pPr>
        <w:ind w:left="860"/>
        <w:spacing w:after="0"/>
        <w:rPr>
          <w:rFonts w:ascii="Times New Roman" w:cs="Times New Roman" w:eastAsia="Times New Roman" w:hAnsi="Times New Roman"/>
          <w:sz w:val="18"/>
          <w:szCs w:val="18"/>
          <w:u w:val="single" w:color="auto"/>
          <w:color w:val="0000EE"/>
        </w:rPr>
      </w:pPr>
      <w:hyperlink r:id="rId193">
        <w:r>
          <w:rPr>
            <w:rFonts w:ascii="Times New Roman" w:cs="Times New Roman" w:eastAsia="Times New Roman" w:hAnsi="Times New Roman"/>
            <w:sz w:val="18"/>
            <w:szCs w:val="18"/>
            <w:u w:val="single" w:color="auto"/>
            <w:color w:val="0000EE"/>
          </w:rPr>
          <w:t>10, 2025)</w:t>
        </w:r>
      </w:hyperlink>
    </w:p>
    <w:p>
      <w:pPr>
        <w:spacing w:after="0" w:line="9" w:lineRule="exact"/>
        <w:rPr>
          <w:sz w:val="20"/>
          <w:szCs w:val="20"/>
          <w:color w:val="auto"/>
        </w:rPr>
      </w:pPr>
    </w:p>
    <w:p>
      <w:pPr>
        <w:ind w:left="140"/>
        <w:spacing w:after="0"/>
        <w:tabs>
          <w:tab w:leader="none" w:pos="8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Ruskin Moscou Faltischek, PC</w:t>
      </w:r>
    </w:p>
    <w:p>
      <w:pPr>
        <w:spacing w:after="0" w:line="9" w:lineRule="exact"/>
        <w:rPr>
          <w:sz w:val="20"/>
          <w:szCs w:val="20"/>
          <w:color w:val="auto"/>
        </w:rPr>
      </w:pPr>
    </w:p>
    <w:p>
      <w:pPr>
        <w:jc w:val="both"/>
        <w:ind w:left="860" w:right="20" w:hanging="76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194">
        <w:r>
          <w:rPr>
            <w:rFonts w:ascii="Times New Roman" w:cs="Times New Roman" w:eastAsia="Times New Roman" w:hAnsi="Times New Roman"/>
            <w:sz w:val="18"/>
            <w:szCs w:val="18"/>
            <w:u w:val="single" w:color="auto"/>
            <w:color w:val="0000EE"/>
          </w:rPr>
          <w:t>Form of Indemnification Agreement, between the Company and each of its Directors and Officers (incorporated by reference to the</w:t>
        </w:r>
      </w:hyperlink>
      <w:r>
        <w:rPr>
          <w:rFonts w:ascii="Times New Roman" w:cs="Times New Roman" w:eastAsia="Times New Roman" w:hAnsi="Times New Roman"/>
          <w:sz w:val="18"/>
          <w:szCs w:val="18"/>
          <w:u w:val="single" w:color="auto"/>
          <w:color w:val="0000EE"/>
        </w:rPr>
        <w:t xml:space="preserve"> </w:t>
      </w:r>
      <w:hyperlink r:id="rId194">
        <w:r>
          <w:rPr>
            <w:rFonts w:ascii="Times New Roman" w:cs="Times New Roman" w:eastAsia="Times New Roman" w:hAnsi="Times New Roman"/>
            <w:sz w:val="18"/>
            <w:szCs w:val="18"/>
            <w:u w:val="single" w:color="auto"/>
            <w:color w:val="0000EE"/>
          </w:rPr>
          <w:t>Company’s Current Report on Form 8-K filed on November 29, 2016).</w:t>
        </w:r>
      </w:hyperlink>
    </w:p>
    <w:p>
      <w:pPr>
        <w:spacing w:after="0" w:line="1" w:lineRule="exact"/>
        <w:rPr>
          <w:sz w:val="20"/>
          <w:szCs w:val="20"/>
          <w:color w:val="auto"/>
        </w:rPr>
      </w:pPr>
    </w:p>
    <w:p>
      <w:pPr>
        <w:ind w:left="60"/>
        <w:spacing w:after="0"/>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195">
        <w:r>
          <w:rPr>
            <w:rFonts w:ascii="Times New Roman" w:cs="Times New Roman" w:eastAsia="Times New Roman" w:hAnsi="Times New Roman"/>
            <w:sz w:val="18"/>
            <w:szCs w:val="18"/>
            <w:u w:val="single" w:color="auto"/>
            <w:color w:val="0000EE"/>
          </w:rPr>
          <w:t>Employment Agreement with Harel Gadot (incorporated by reference to the Company’s Current Report on Form 8-K filed on November 29,</w:t>
        </w:r>
      </w:hyperlink>
    </w:p>
    <w:p>
      <w:pPr>
        <w:spacing w:after="0" w:line="9" w:lineRule="exact"/>
        <w:rPr>
          <w:sz w:val="20"/>
          <w:szCs w:val="20"/>
          <w:color w:val="auto"/>
        </w:rPr>
      </w:pPr>
    </w:p>
    <w:p>
      <w:pPr>
        <w:ind w:left="860"/>
        <w:spacing w:after="0"/>
        <w:rPr>
          <w:rFonts w:ascii="Times New Roman" w:cs="Times New Roman" w:eastAsia="Times New Roman" w:hAnsi="Times New Roman"/>
          <w:sz w:val="18"/>
          <w:szCs w:val="18"/>
          <w:u w:val="single" w:color="auto"/>
          <w:color w:val="0000EE"/>
        </w:rPr>
      </w:pPr>
      <w:hyperlink r:id="rId195">
        <w:r>
          <w:rPr>
            <w:rFonts w:ascii="Times New Roman" w:cs="Times New Roman" w:eastAsia="Times New Roman" w:hAnsi="Times New Roman"/>
            <w:sz w:val="18"/>
            <w:szCs w:val="18"/>
            <w:u w:val="single" w:color="auto"/>
            <w:color w:val="0000EE"/>
          </w:rPr>
          <w:t>2016).</w:t>
        </w:r>
      </w:hyperlink>
    </w:p>
    <w:p>
      <w:pPr>
        <w:spacing w:after="0" w:line="9" w:lineRule="exact"/>
        <w:rPr>
          <w:sz w:val="20"/>
          <w:szCs w:val="20"/>
          <w:color w:val="auto"/>
        </w:rPr>
      </w:pPr>
    </w:p>
    <w:p>
      <w:pPr>
        <w:jc w:val="both"/>
        <w:ind w:left="860" w:hanging="76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96">
        <w:r>
          <w:rPr>
            <w:rFonts w:ascii="Times New Roman" w:cs="Times New Roman" w:eastAsia="Times New Roman" w:hAnsi="Times New Roman"/>
            <w:sz w:val="18"/>
            <w:szCs w:val="18"/>
            <w:u w:val="single" w:color="auto"/>
            <w:color w:val="0000EE"/>
          </w:rPr>
          <w:t>License Agreement, dated June 20, 2012, by and between Technion Research and Development Foundation, and Microbot Medical Ltd.</w:t>
        </w:r>
      </w:hyperlink>
      <w:r>
        <w:rPr>
          <w:rFonts w:ascii="Times New Roman" w:cs="Times New Roman" w:eastAsia="Times New Roman" w:hAnsi="Times New Roman"/>
          <w:sz w:val="18"/>
          <w:szCs w:val="18"/>
          <w:u w:val="single" w:color="auto"/>
          <w:color w:val="0000EE"/>
        </w:rPr>
        <w:t xml:space="preserve"> </w:t>
      </w:r>
      <w:hyperlink r:id="rId196">
        <w:r>
          <w:rPr>
            <w:rFonts w:ascii="Times New Roman" w:cs="Times New Roman" w:eastAsia="Times New Roman" w:hAnsi="Times New Roman"/>
            <w:sz w:val="18"/>
            <w:szCs w:val="18"/>
            <w:u w:val="single" w:color="auto"/>
            <w:color w:val="0000EE"/>
          </w:rPr>
          <w:t>(incorporated by reference to the Company’s Annual Report on Form 10-K for the fiscal year ended December 31, 2016 and filed on March</w:t>
        </w:r>
      </w:hyperlink>
      <w:r>
        <w:rPr>
          <w:rFonts w:ascii="Times New Roman" w:cs="Times New Roman" w:eastAsia="Times New Roman" w:hAnsi="Times New Roman"/>
          <w:sz w:val="18"/>
          <w:szCs w:val="18"/>
          <w:u w:val="single" w:color="auto"/>
          <w:color w:val="0000EE"/>
        </w:rPr>
        <w:t xml:space="preserve"> </w:t>
      </w:r>
      <w:hyperlink r:id="rId196">
        <w:r>
          <w:rPr>
            <w:rFonts w:ascii="Times New Roman" w:cs="Times New Roman" w:eastAsia="Times New Roman" w:hAnsi="Times New Roman"/>
            <w:sz w:val="18"/>
            <w:szCs w:val="18"/>
            <w:u w:val="single" w:color="auto"/>
            <w:color w:val="0000EE"/>
          </w:rPr>
          <w:t>21, 2017).</w:t>
        </w:r>
      </w:hyperlink>
    </w:p>
    <w:p>
      <w:pPr>
        <w:spacing w:after="0" w:line="1" w:lineRule="exact"/>
        <w:rPr>
          <w:rFonts w:ascii="Times New Roman" w:cs="Times New Roman" w:eastAsia="Times New Roman" w:hAnsi="Times New Roman"/>
          <w:sz w:val="18"/>
          <w:szCs w:val="18"/>
          <w:u w:val="single" w:color="auto"/>
          <w:color w:val="0000EE"/>
        </w:rPr>
      </w:pPr>
    </w:p>
    <w:p>
      <w:pPr>
        <w:ind w:left="860" w:hanging="809"/>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97">
        <w:r>
          <w:rPr>
            <w:rFonts w:ascii="Times New Roman" w:cs="Times New Roman" w:eastAsia="Times New Roman" w:hAnsi="Times New Roman"/>
            <w:sz w:val="18"/>
            <w:szCs w:val="18"/>
            <w:u w:val="single" w:color="auto"/>
            <w:color w:val="0000EE"/>
          </w:rPr>
          <w:t>Form of Stock Option Agreement under the Microbot Medical Inc. 2017 Equity Incentive Plan (incorporated by reference to the Company’s</w:t>
        </w:r>
      </w:hyperlink>
      <w:r>
        <w:rPr>
          <w:rFonts w:ascii="Times New Roman" w:cs="Times New Roman" w:eastAsia="Times New Roman" w:hAnsi="Times New Roman"/>
          <w:sz w:val="18"/>
          <w:szCs w:val="18"/>
          <w:u w:val="single" w:color="auto"/>
          <w:color w:val="0000EE"/>
        </w:rPr>
        <w:t xml:space="preserve"> </w:t>
      </w:r>
      <w:hyperlink r:id="rId197">
        <w:r>
          <w:rPr>
            <w:rFonts w:ascii="Times New Roman" w:cs="Times New Roman" w:eastAsia="Times New Roman" w:hAnsi="Times New Roman"/>
            <w:sz w:val="18"/>
            <w:szCs w:val="18"/>
            <w:u w:val="single" w:color="auto"/>
            <w:color w:val="0000EE"/>
          </w:rPr>
          <w:t>Quarterly Report on Form 10-Q for the Quarter ended September 30, 2017, filed on November 14, 2017).</w:t>
        </w:r>
      </w:hyperlink>
    </w:p>
    <w:p>
      <w:pPr>
        <w:spacing w:after="0" w:line="1" w:lineRule="exact"/>
        <w:rPr>
          <w:sz w:val="20"/>
          <w:szCs w:val="20"/>
          <w:color w:val="auto"/>
        </w:rPr>
      </w:pPr>
    </w:p>
    <w:p>
      <w:pPr>
        <w:ind w:left="860" w:right="20" w:hanging="76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98">
        <w:r>
          <w:rPr>
            <w:rFonts w:ascii="Times New Roman" w:cs="Times New Roman" w:eastAsia="Times New Roman" w:hAnsi="Times New Roman"/>
            <w:sz w:val="18"/>
            <w:szCs w:val="18"/>
            <w:u w:val="single" w:color="auto"/>
            <w:color w:val="0000EE"/>
          </w:rPr>
          <w:t>Agreement, dated January 4, 2018, by and between CardioSert Ltd. and Microbot Medical Ltd. (incorporated by reference to the Company’s</w:t>
        </w:r>
      </w:hyperlink>
      <w:r>
        <w:rPr>
          <w:rFonts w:ascii="Times New Roman" w:cs="Times New Roman" w:eastAsia="Times New Roman" w:hAnsi="Times New Roman"/>
          <w:sz w:val="18"/>
          <w:szCs w:val="18"/>
          <w:u w:val="single" w:color="auto"/>
          <w:color w:val="0000EE"/>
        </w:rPr>
        <w:t xml:space="preserve"> </w:t>
      </w:r>
      <w:hyperlink r:id="rId198">
        <w:r>
          <w:rPr>
            <w:rFonts w:ascii="Times New Roman" w:cs="Times New Roman" w:eastAsia="Times New Roman" w:hAnsi="Times New Roman"/>
            <w:sz w:val="18"/>
            <w:szCs w:val="18"/>
            <w:u w:val="single" w:color="auto"/>
            <w:color w:val="0000EE"/>
          </w:rPr>
          <w:t>Current Report on Form 8-K filed on January 8, 2018).</w:t>
        </w:r>
      </w:hyperlink>
    </w:p>
    <w:p>
      <w:pPr>
        <w:spacing w:after="0" w:line="1" w:lineRule="exact"/>
        <w:rPr>
          <w:sz w:val="20"/>
          <w:szCs w:val="20"/>
          <w:color w:val="auto"/>
        </w:rPr>
      </w:pPr>
    </w:p>
    <w:p>
      <w:pPr>
        <w:ind w:left="860" w:hanging="809"/>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199">
        <w:r>
          <w:rPr>
            <w:rFonts w:ascii="Times New Roman" w:cs="Times New Roman" w:eastAsia="Times New Roman" w:hAnsi="Times New Roman"/>
            <w:sz w:val="18"/>
            <w:szCs w:val="18"/>
            <w:u w:val="single" w:color="auto"/>
            <w:color w:val="0000EE"/>
          </w:rPr>
          <w:t>Employment Agreement with Dr. Eyal Morag (incorporated by reference to the Registrant’s Annual Report on Form 10-K for the fiscal year</w:t>
        </w:r>
      </w:hyperlink>
      <w:r>
        <w:rPr>
          <w:rFonts w:ascii="Times New Roman" w:cs="Times New Roman" w:eastAsia="Times New Roman" w:hAnsi="Times New Roman"/>
          <w:sz w:val="18"/>
          <w:szCs w:val="18"/>
          <w:u w:val="single" w:color="auto"/>
          <w:color w:val="0000EE"/>
        </w:rPr>
        <w:t xml:space="preserve"> </w:t>
      </w:r>
      <w:hyperlink r:id="rId199">
        <w:r>
          <w:rPr>
            <w:rFonts w:ascii="Times New Roman" w:cs="Times New Roman" w:eastAsia="Times New Roman" w:hAnsi="Times New Roman"/>
            <w:sz w:val="18"/>
            <w:szCs w:val="18"/>
            <w:u w:val="single" w:color="auto"/>
            <w:color w:val="0000EE"/>
          </w:rPr>
          <w:t>ended December 31, 2019 filed on April 14, 2020).</w:t>
        </w:r>
      </w:hyperlink>
    </w:p>
    <w:p>
      <w:pPr>
        <w:spacing w:after="0" w:line="1" w:lineRule="exact"/>
        <w:rPr>
          <w:sz w:val="20"/>
          <w:szCs w:val="20"/>
          <w:color w:val="auto"/>
        </w:rPr>
      </w:pPr>
    </w:p>
    <w:p>
      <w:pPr>
        <w:ind w:left="860" w:hanging="809"/>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200">
        <w:r>
          <w:rPr>
            <w:rFonts w:ascii="Times New Roman" w:cs="Times New Roman" w:eastAsia="Times New Roman" w:hAnsi="Times New Roman"/>
            <w:sz w:val="18"/>
            <w:szCs w:val="18"/>
            <w:u w:val="single" w:color="auto"/>
            <w:color w:val="0000EE"/>
          </w:rPr>
          <w:t>Microbot Medical Inc. 2017 Equity Incentive Plan (incorporated by reference to Exhibit A of the Company’s Definitive Proxy Statement on</w:t>
        </w:r>
      </w:hyperlink>
      <w:r>
        <w:rPr>
          <w:rFonts w:ascii="Times New Roman" w:cs="Times New Roman" w:eastAsia="Times New Roman" w:hAnsi="Times New Roman"/>
          <w:sz w:val="18"/>
          <w:szCs w:val="18"/>
          <w:u w:val="single" w:color="auto"/>
          <w:color w:val="0000EE"/>
        </w:rPr>
        <w:t xml:space="preserve"> </w:t>
      </w:r>
      <w:hyperlink r:id="rId200">
        <w:r>
          <w:rPr>
            <w:rFonts w:ascii="Times New Roman" w:cs="Times New Roman" w:eastAsia="Times New Roman" w:hAnsi="Times New Roman"/>
            <w:sz w:val="18"/>
            <w:szCs w:val="18"/>
            <w:u w:val="single" w:color="auto"/>
            <w:color w:val="0000EE"/>
          </w:rPr>
          <w:t>Schedule 14A filed on August 11, 2017).</w:t>
        </w:r>
      </w:hyperlink>
    </w:p>
    <w:p>
      <w:pPr>
        <w:spacing w:after="0" w:line="1" w:lineRule="exact"/>
        <w:rPr>
          <w:sz w:val="20"/>
          <w:szCs w:val="20"/>
          <w:color w:val="auto"/>
        </w:rPr>
      </w:pPr>
    </w:p>
    <w:p>
      <w:pPr>
        <w:ind w:left="860" w:hanging="809"/>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201">
        <w:r>
          <w:rPr>
            <w:rFonts w:ascii="Times New Roman" w:cs="Times New Roman" w:eastAsia="Times New Roman" w:hAnsi="Times New Roman"/>
            <w:sz w:val="18"/>
            <w:szCs w:val="18"/>
            <w:u w:val="single" w:color="auto"/>
            <w:color w:val="0000EE"/>
          </w:rPr>
          <w:t>Microbot Medical Inc. 2020 Omnibus Performance Award Plan (incorporated by reference to Exhibit A of the Company’s definitive Proxy</w:t>
        </w:r>
      </w:hyperlink>
      <w:r>
        <w:rPr>
          <w:rFonts w:ascii="Times New Roman" w:cs="Times New Roman" w:eastAsia="Times New Roman" w:hAnsi="Times New Roman"/>
          <w:sz w:val="18"/>
          <w:szCs w:val="18"/>
          <w:u w:val="single" w:color="auto"/>
          <w:color w:val="0000EE"/>
        </w:rPr>
        <w:t xml:space="preserve"> </w:t>
      </w:r>
      <w:hyperlink r:id="rId201">
        <w:r>
          <w:rPr>
            <w:rFonts w:ascii="Times New Roman" w:cs="Times New Roman" w:eastAsia="Times New Roman" w:hAnsi="Times New Roman"/>
            <w:sz w:val="18"/>
            <w:szCs w:val="18"/>
            <w:u w:val="single" w:color="auto"/>
            <w:color w:val="0000EE"/>
          </w:rPr>
          <w:t>Statement on Schedule 14A filed on July 31, 2020)</w:t>
        </w:r>
      </w:hyperlink>
    </w:p>
    <w:p>
      <w:pPr>
        <w:spacing w:after="0" w:line="1" w:lineRule="exact"/>
        <w:rPr>
          <w:sz w:val="20"/>
          <w:szCs w:val="20"/>
          <w:color w:val="auto"/>
        </w:rPr>
      </w:pPr>
    </w:p>
    <w:p>
      <w:pPr>
        <w:ind w:left="860" w:hanging="809"/>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202">
        <w:r>
          <w:rPr>
            <w:rFonts w:ascii="Times New Roman" w:cs="Times New Roman" w:eastAsia="Times New Roman" w:hAnsi="Times New Roman"/>
            <w:sz w:val="18"/>
            <w:szCs w:val="18"/>
            <w:u w:val="single" w:color="auto"/>
            <w:color w:val="0000EE"/>
          </w:rPr>
          <w:t>Form of Restricted Stock Unit Award Agreement under the Microbot Medical Inc. 2020 Omnibus Performance Award Plan (incorporated by</w:t>
        </w:r>
      </w:hyperlink>
      <w:r>
        <w:rPr>
          <w:rFonts w:ascii="Times New Roman" w:cs="Times New Roman" w:eastAsia="Times New Roman" w:hAnsi="Times New Roman"/>
          <w:sz w:val="18"/>
          <w:szCs w:val="18"/>
          <w:u w:val="single" w:color="auto"/>
          <w:color w:val="0000EE"/>
        </w:rPr>
        <w:t xml:space="preserve"> </w:t>
      </w:r>
      <w:hyperlink r:id="rId202">
        <w:r>
          <w:rPr>
            <w:rFonts w:ascii="Times New Roman" w:cs="Times New Roman" w:eastAsia="Times New Roman" w:hAnsi="Times New Roman"/>
            <w:sz w:val="18"/>
            <w:szCs w:val="18"/>
            <w:u w:val="single" w:color="auto"/>
            <w:color w:val="0000EE"/>
          </w:rPr>
          <w:t>reference to Exhibit 4.2 of the registration Statement on Form S-8 of the Company filed on November 25, 2020)</w:t>
        </w:r>
      </w:hyperlink>
    </w:p>
    <w:p>
      <w:pPr>
        <w:spacing w:after="0" w:line="1" w:lineRule="exact"/>
        <w:rPr>
          <w:sz w:val="20"/>
          <w:szCs w:val="20"/>
          <w:color w:val="auto"/>
        </w:rPr>
      </w:pPr>
    </w:p>
    <w:p>
      <w:pPr>
        <w:ind w:left="860" w:right="20" w:hanging="85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203">
        <w:r>
          <w:rPr>
            <w:rFonts w:ascii="Times New Roman" w:cs="Times New Roman" w:eastAsia="Times New Roman" w:hAnsi="Times New Roman"/>
            <w:sz w:val="18"/>
            <w:szCs w:val="18"/>
            <w:u w:val="single" w:color="auto"/>
            <w:color w:val="0000EE"/>
          </w:rPr>
          <w:t>Form of NQO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203">
        <w:r>
          <w:rPr>
            <w:rFonts w:ascii="Times New Roman" w:cs="Times New Roman" w:eastAsia="Times New Roman" w:hAnsi="Times New Roman"/>
            <w:sz w:val="18"/>
            <w:szCs w:val="18"/>
            <w:u w:val="single" w:color="auto"/>
            <w:color w:val="0000EE"/>
          </w:rPr>
          <w:t>Exhibit 4.3 of the registration Statement on Form S-8 of the Company filed on November 25, 2020)</w:t>
        </w:r>
      </w:hyperlink>
    </w:p>
    <w:p>
      <w:pPr>
        <w:spacing w:after="0" w:line="1" w:lineRule="exact"/>
        <w:rPr>
          <w:sz w:val="20"/>
          <w:szCs w:val="20"/>
          <w:color w:val="auto"/>
        </w:rPr>
      </w:pPr>
    </w:p>
    <w:p>
      <w:pPr>
        <w:ind w:left="860" w:hanging="850"/>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204">
        <w:r>
          <w:rPr>
            <w:rFonts w:ascii="Times New Roman" w:cs="Times New Roman" w:eastAsia="Times New Roman" w:hAnsi="Times New Roman"/>
            <w:sz w:val="18"/>
            <w:szCs w:val="18"/>
            <w:u w:val="single" w:color="auto"/>
            <w:color w:val="0000EE"/>
          </w:rPr>
          <w:t>Form of Restricted Stock Award Agreement under the Microbot Medical Ltd. 2020 Omnibus Performance Award Plan (incorporated by</w:t>
        </w:r>
      </w:hyperlink>
      <w:r>
        <w:rPr>
          <w:rFonts w:ascii="Times New Roman" w:cs="Times New Roman" w:eastAsia="Times New Roman" w:hAnsi="Times New Roman"/>
          <w:sz w:val="18"/>
          <w:szCs w:val="18"/>
          <w:u w:val="single" w:color="auto"/>
          <w:color w:val="0000EE"/>
        </w:rPr>
        <w:t xml:space="preserve"> </w:t>
      </w:r>
      <w:hyperlink r:id="rId204">
        <w:r>
          <w:rPr>
            <w:rFonts w:ascii="Times New Roman" w:cs="Times New Roman" w:eastAsia="Times New Roman" w:hAnsi="Times New Roman"/>
            <w:sz w:val="18"/>
            <w:szCs w:val="18"/>
            <w:u w:val="single" w:color="auto"/>
            <w:color w:val="0000EE"/>
          </w:rPr>
          <w:t>reference to Exhibit 4.4 of the registration Statement on Form S-8 of the Company filed on November 25, 2020)</w:t>
        </w:r>
      </w:hyperlink>
    </w:p>
    <w:p>
      <w:pPr>
        <w:spacing w:after="0" w:line="1" w:lineRule="exact"/>
        <w:rPr>
          <w:sz w:val="20"/>
          <w:szCs w:val="20"/>
          <w:color w:val="auto"/>
        </w:rPr>
      </w:pPr>
    </w:p>
    <w:p>
      <w:pPr>
        <w:ind w:left="860" w:hanging="85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205">
        <w:r>
          <w:rPr>
            <w:rFonts w:ascii="Times New Roman" w:cs="Times New Roman" w:eastAsia="Times New Roman" w:hAnsi="Times New Roman"/>
            <w:sz w:val="18"/>
            <w:szCs w:val="18"/>
            <w:u w:val="single" w:color="auto"/>
            <w:color w:val="0000EE"/>
          </w:rPr>
          <w:t>Form of SAR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205">
        <w:r>
          <w:rPr>
            <w:rFonts w:ascii="Times New Roman" w:cs="Times New Roman" w:eastAsia="Times New Roman" w:hAnsi="Times New Roman"/>
            <w:sz w:val="18"/>
            <w:szCs w:val="18"/>
            <w:u w:val="single" w:color="auto"/>
            <w:color w:val="0000EE"/>
          </w:rPr>
          <w:t>Exhibit 4.5 of the registration Statement on Form S-8 of the Company filed on November 25, 2020)</w:t>
        </w:r>
      </w:hyperlink>
    </w:p>
    <w:p>
      <w:pPr>
        <w:spacing w:after="0" w:line="1" w:lineRule="exact"/>
        <w:rPr>
          <w:sz w:val="20"/>
          <w:szCs w:val="20"/>
          <w:color w:val="auto"/>
        </w:rPr>
      </w:pPr>
    </w:p>
    <w:p>
      <w:pPr>
        <w:ind w:left="860" w:hanging="85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206">
        <w:r>
          <w:rPr>
            <w:rFonts w:ascii="Times New Roman" w:cs="Times New Roman" w:eastAsia="Times New Roman" w:hAnsi="Times New Roman"/>
            <w:sz w:val="18"/>
            <w:szCs w:val="18"/>
            <w:u w:val="single" w:color="auto"/>
            <w:color w:val="0000EE"/>
          </w:rPr>
          <w:t>Form of ISO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206">
        <w:r>
          <w:rPr>
            <w:rFonts w:ascii="Times New Roman" w:cs="Times New Roman" w:eastAsia="Times New Roman" w:hAnsi="Times New Roman"/>
            <w:sz w:val="18"/>
            <w:szCs w:val="18"/>
            <w:u w:val="single" w:color="auto"/>
            <w:color w:val="0000EE"/>
          </w:rPr>
          <w:t>Exhibit 4.6 of the registration Statement on Form S-8 of the Company filed on November 25, 2020)</w:t>
        </w:r>
      </w:hyperlink>
    </w:p>
    <w:p>
      <w:pPr>
        <w:spacing w:after="0" w:line="1" w:lineRule="exact"/>
        <w:rPr>
          <w:sz w:val="20"/>
          <w:szCs w:val="20"/>
          <w:color w:val="auto"/>
        </w:rPr>
      </w:pPr>
    </w:p>
    <w:p>
      <w:pPr>
        <w:ind w:left="860" w:right="20" w:hanging="85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207">
        <w:r>
          <w:rPr>
            <w:rFonts w:ascii="Times New Roman" w:cs="Times New Roman" w:eastAsia="Times New Roman" w:hAnsi="Times New Roman"/>
            <w:sz w:val="18"/>
            <w:szCs w:val="18"/>
            <w:u w:val="single" w:color="auto"/>
            <w:color w:val="0000EE"/>
          </w:rPr>
          <w:t>Employment Agreement, as of March 31, 2018, with Simon Sharon (incorporated by reference to Exhibit 10.1 of the Company’s Form 8-K</w:t>
        </w:r>
      </w:hyperlink>
      <w:r>
        <w:rPr>
          <w:rFonts w:ascii="Times New Roman" w:cs="Times New Roman" w:eastAsia="Times New Roman" w:hAnsi="Times New Roman"/>
          <w:sz w:val="18"/>
          <w:szCs w:val="18"/>
          <w:u w:val="single" w:color="auto"/>
          <w:color w:val="0000EE"/>
        </w:rPr>
        <w:t xml:space="preserve"> </w:t>
      </w:r>
      <w:hyperlink r:id="rId207">
        <w:r>
          <w:rPr>
            <w:rFonts w:ascii="Times New Roman" w:cs="Times New Roman" w:eastAsia="Times New Roman" w:hAnsi="Times New Roman"/>
            <w:sz w:val="18"/>
            <w:szCs w:val="18"/>
            <w:u w:val="single" w:color="auto"/>
            <w:color w:val="0000EE"/>
          </w:rPr>
          <w:t>filed on April 7, 2021)</w:t>
        </w:r>
      </w:hyperlink>
    </w:p>
    <w:p>
      <w:pPr>
        <w:spacing w:after="0" w:line="1" w:lineRule="exact"/>
        <w:rPr>
          <w:sz w:val="20"/>
          <w:szCs w:val="20"/>
          <w:color w:val="auto"/>
        </w:rPr>
      </w:pPr>
    </w:p>
    <w:p>
      <w:pPr>
        <w:ind w:left="860" w:hanging="854"/>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208">
        <w:r>
          <w:rPr>
            <w:rFonts w:ascii="Times New Roman" w:cs="Times New Roman" w:eastAsia="Times New Roman" w:hAnsi="Times New Roman"/>
            <w:sz w:val="18"/>
            <w:szCs w:val="18"/>
            <w:u w:val="single" w:color="auto"/>
            <w:color w:val="0000EE"/>
          </w:rPr>
          <w:t>First Amendment to Employment Agreement, dated as of April 19, 2021, with Simon Sharon (incorporated by reference to Exhibit 10.1 of</w:t>
        </w:r>
      </w:hyperlink>
      <w:r>
        <w:rPr>
          <w:rFonts w:ascii="Times New Roman" w:cs="Times New Roman" w:eastAsia="Times New Roman" w:hAnsi="Times New Roman"/>
          <w:sz w:val="18"/>
          <w:szCs w:val="18"/>
          <w:u w:val="single" w:color="auto"/>
          <w:color w:val="0000EE"/>
        </w:rPr>
        <w:t xml:space="preserve"> </w:t>
      </w:r>
      <w:hyperlink r:id="rId208">
        <w:r>
          <w:rPr>
            <w:rFonts w:ascii="Times New Roman" w:cs="Times New Roman" w:eastAsia="Times New Roman" w:hAnsi="Times New Roman"/>
            <w:sz w:val="18"/>
            <w:szCs w:val="18"/>
            <w:u w:val="single" w:color="auto"/>
            <w:color w:val="0000EE"/>
          </w:rPr>
          <w:t>the Company’s Form 8-K filed on April 22, 2021)</w:t>
        </w:r>
      </w:hyperlink>
    </w:p>
    <w:p>
      <w:pPr>
        <w:spacing w:after="0" w:line="1" w:lineRule="exact"/>
        <w:rPr>
          <w:sz w:val="20"/>
          <w:szCs w:val="20"/>
          <w:color w:val="auto"/>
        </w:rPr>
      </w:pPr>
    </w:p>
    <w:p>
      <w:pPr>
        <w:ind w:left="860" w:right="20" w:hanging="809"/>
        <w:spacing w:after="0" w:line="250"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209">
        <w:r>
          <w:rPr>
            <w:rFonts w:ascii="Times New Roman" w:cs="Times New Roman" w:eastAsia="Times New Roman" w:hAnsi="Times New Roman"/>
            <w:sz w:val="18"/>
            <w:szCs w:val="18"/>
            <w:u w:val="single" w:color="auto"/>
            <w:color w:val="0000EE"/>
          </w:rPr>
          <w:t>At the Market Offering Agreement, dated June 10, 2021, by and between Microbot Medical Inc. and H.C. Wainwright &amp; Co., LLC</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(incorporated by reference to Exhibit 10.1 of the Company’s Form 8-K filed on June 10, 2021)</w:t>
        </w:r>
      </w:hyperlink>
    </w:p>
    <w:p>
      <w:pPr>
        <w:spacing w:after="0" w:line="1" w:lineRule="exact"/>
        <w:rPr>
          <w:sz w:val="20"/>
          <w:szCs w:val="20"/>
          <w:color w:val="auto"/>
        </w:rPr>
      </w:pPr>
    </w:p>
    <w:p>
      <w:pPr>
        <w:ind w:left="60"/>
        <w:spacing w:after="0"/>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210">
        <w:r>
          <w:rPr>
            <w:rFonts w:ascii="Times New Roman" w:cs="Times New Roman" w:eastAsia="Times New Roman" w:hAnsi="Times New Roman"/>
            <w:sz w:val="18"/>
            <w:szCs w:val="18"/>
            <w:u w:val="single" w:color="auto"/>
            <w:color w:val="0000EE"/>
          </w:rPr>
          <w:t>Asset Purchase Agreement with Nitiloop, Ltd. dated October 6, 2022 (incorporated by reference to the Registrant’s Current Report on Form</w:t>
        </w:r>
      </w:hyperlink>
    </w:p>
    <w:p>
      <w:pPr>
        <w:spacing w:after="0" w:line="9" w:lineRule="exact"/>
        <w:rPr>
          <w:sz w:val="20"/>
          <w:szCs w:val="20"/>
          <w:color w:val="auto"/>
        </w:rPr>
      </w:pPr>
    </w:p>
    <w:p>
      <w:pPr>
        <w:ind w:left="860"/>
        <w:spacing w:after="0"/>
        <w:rPr>
          <w:rFonts w:ascii="Times New Roman" w:cs="Times New Roman" w:eastAsia="Times New Roman" w:hAnsi="Times New Roman"/>
          <w:sz w:val="18"/>
          <w:szCs w:val="18"/>
          <w:u w:val="single" w:color="auto"/>
          <w:color w:val="0000EE"/>
        </w:rPr>
      </w:pPr>
      <w:hyperlink r:id="rId210">
        <w:r>
          <w:rPr>
            <w:rFonts w:ascii="Times New Roman" w:cs="Times New Roman" w:eastAsia="Times New Roman" w:hAnsi="Times New Roman"/>
            <w:sz w:val="18"/>
            <w:szCs w:val="18"/>
            <w:u w:val="single" w:color="auto"/>
            <w:color w:val="0000EE"/>
          </w:rPr>
          <w:t>8-K filed on October 7, 2022)</w:t>
        </w:r>
      </w:hyperlink>
    </w:p>
    <w:p>
      <w:pPr>
        <w:spacing w:after="0" w:line="9" w:lineRule="exact"/>
        <w:rPr>
          <w:sz w:val="20"/>
          <w:szCs w:val="20"/>
          <w:color w:val="auto"/>
        </w:rPr>
      </w:pPr>
    </w:p>
    <w:p>
      <w:pPr>
        <w:spacing w:after="0"/>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211">
        <w:r>
          <w:rPr>
            <w:rFonts w:ascii="Times New Roman" w:cs="Times New Roman" w:eastAsia="Times New Roman" w:hAnsi="Times New Roman"/>
            <w:sz w:val="18"/>
            <w:szCs w:val="18"/>
            <w:u w:val="single" w:color="auto"/>
            <w:color w:val="0000EE"/>
          </w:rPr>
          <w:t>Employment Agreement with Rachel Vaknin (incorporated by reference to the Company’s Current Report on Form 8-K filed on April 5,</w:t>
        </w:r>
      </w:hyperlink>
    </w:p>
    <w:p>
      <w:pPr>
        <w:spacing w:after="0" w:line="9" w:lineRule="exact"/>
        <w:rPr>
          <w:sz w:val="20"/>
          <w:szCs w:val="20"/>
          <w:color w:val="auto"/>
        </w:rPr>
      </w:pPr>
    </w:p>
    <w:p>
      <w:pPr>
        <w:ind w:left="860"/>
        <w:spacing w:after="0"/>
        <w:rPr>
          <w:rFonts w:ascii="Times New Roman" w:cs="Times New Roman" w:eastAsia="Times New Roman" w:hAnsi="Times New Roman"/>
          <w:sz w:val="18"/>
          <w:szCs w:val="18"/>
          <w:u w:val="single" w:color="auto"/>
          <w:color w:val="0000EE"/>
        </w:rPr>
      </w:pPr>
      <w:hyperlink r:id="rId211">
        <w:r>
          <w:rPr>
            <w:rFonts w:ascii="Times New Roman" w:cs="Times New Roman" w:eastAsia="Times New Roman" w:hAnsi="Times New Roman"/>
            <w:sz w:val="18"/>
            <w:szCs w:val="18"/>
            <w:u w:val="single" w:color="auto"/>
            <w:color w:val="0000EE"/>
          </w:rPr>
          <w:t>2022)</w:t>
        </w:r>
      </w:hyperlink>
    </w:p>
    <w:p>
      <w:pPr>
        <w:spacing w:after="0" w:line="20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560" w:top="688" w:right="339" w:bottom="1440" w:gutter="0" w:footer="0" w:header="0"/>
        </w:sectPr>
      </w:pPr>
    </w:p>
    <w:bookmarkStart w:id="127" w:name="page128"/>
    <w:bookmarkEnd w:id="127"/>
    <w:p>
      <w:pPr>
        <w:ind w:left="1100" w:hanging="854"/>
        <w:spacing w:after="0" w:line="261"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213">
        <w:r>
          <w:rPr>
            <w:rFonts w:ascii="Times New Roman" w:cs="Times New Roman" w:eastAsia="Times New Roman" w:hAnsi="Times New Roman"/>
            <w:sz w:val="18"/>
            <w:szCs w:val="18"/>
            <w:u w:val="single" w:color="auto"/>
            <w:color w:val="0000EE"/>
          </w:rPr>
          <w:t>Second Amendment to Employment Agreement with Harel Gadot (incorporated by reference to the Company’s Current Report on Form 8-</w:t>
        </w:r>
      </w:hyperlink>
      <w:hyperlink r:id="rId213">
        <w:r>
          <w:rPr>
            <w:rFonts w:ascii="Times New Roman" w:cs="Times New Roman" w:eastAsia="Times New Roman" w:hAnsi="Times New Roman"/>
            <w:sz w:val="18"/>
            <w:szCs w:val="18"/>
            <w:u w:val="single" w:color="auto"/>
            <w:color w:val="0000EE"/>
          </w:rPr>
          <w:t>K filed on February 1, 2022)</w:t>
        </w:r>
      </w:hyperlink>
    </w:p>
    <w:p>
      <w:pPr>
        <w:jc w:val="both"/>
        <w:ind w:left="1100" w:right="2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214">
        <w:r>
          <w:rPr>
            <w:rFonts w:ascii="Times New Roman" w:cs="Times New Roman" w:eastAsia="Times New Roman" w:hAnsi="Times New Roman"/>
            <w:sz w:val="18"/>
            <w:szCs w:val="18"/>
            <w:u w:val="single" w:color="auto"/>
            <w:color w:val="0000EE"/>
          </w:rPr>
          <w:t>Letter Agreements dated March 18, 2021 between Microbot Medical Ltd. and Technion Research and Development Foundation Ltd.</w:t>
        </w:r>
      </w:hyperlink>
      <w:r>
        <w:rPr>
          <w:rFonts w:ascii="Times New Roman" w:cs="Times New Roman" w:eastAsia="Times New Roman" w:hAnsi="Times New Roman"/>
          <w:sz w:val="18"/>
          <w:szCs w:val="18"/>
          <w:u w:val="single" w:color="auto"/>
          <w:color w:val="0000EE"/>
        </w:rPr>
        <w:t xml:space="preserve"> </w:t>
      </w:r>
      <w:hyperlink r:id="rId214">
        <w:r>
          <w:rPr>
            <w:rFonts w:ascii="Times New Roman" w:cs="Times New Roman" w:eastAsia="Times New Roman" w:hAnsi="Times New Roman"/>
            <w:sz w:val="18"/>
            <w:szCs w:val="18"/>
            <w:u w:val="single" w:color="auto"/>
            <w:color w:val="0000EE"/>
          </w:rPr>
          <w:t>(incorporated by reference to the Company’s Annual Report on Form 10-K for the Fiscal Year ended December 31, 2022, filed on March</w:t>
        </w:r>
      </w:hyperlink>
      <w:r>
        <w:rPr>
          <w:rFonts w:ascii="Times New Roman" w:cs="Times New Roman" w:eastAsia="Times New Roman" w:hAnsi="Times New Roman"/>
          <w:sz w:val="18"/>
          <w:szCs w:val="18"/>
          <w:u w:val="single" w:color="auto"/>
          <w:color w:val="0000EE"/>
        </w:rPr>
        <w:t xml:space="preserve"> </w:t>
      </w:r>
      <w:hyperlink r:id="rId214">
        <w:r>
          <w:rPr>
            <w:rFonts w:ascii="Times New Roman" w:cs="Times New Roman" w:eastAsia="Times New Roman" w:hAnsi="Times New Roman"/>
            <w:sz w:val="18"/>
            <w:szCs w:val="18"/>
            <w:u w:val="single" w:color="auto"/>
            <w:color w:val="0000EE"/>
          </w:rPr>
          <w:t>31, 2023)</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215">
        <w:r>
          <w:rPr>
            <w:rFonts w:ascii="Times New Roman" w:cs="Times New Roman" w:eastAsia="Times New Roman" w:hAnsi="Times New Roman"/>
            <w:sz w:val="18"/>
            <w:szCs w:val="18"/>
            <w:u w:val="single" w:color="auto"/>
            <w:color w:val="0000EE"/>
          </w:rPr>
          <w:t>Form of Securities Purchase Agreement, dated as of October 21, 2022, by and among Microbot Medical Inc. and the purchaser party thereto</w:t>
        </w:r>
      </w:hyperlink>
      <w:r>
        <w:rPr>
          <w:rFonts w:ascii="Times New Roman" w:cs="Times New Roman" w:eastAsia="Times New Roman" w:hAnsi="Times New Roman"/>
          <w:sz w:val="18"/>
          <w:szCs w:val="18"/>
          <w:u w:val="single" w:color="auto"/>
          <w:color w:val="0000EE"/>
        </w:rPr>
        <w:t xml:space="preserve"> </w:t>
      </w:r>
      <w:hyperlink r:id="rId215">
        <w:r>
          <w:rPr>
            <w:rFonts w:ascii="Times New Roman" w:cs="Times New Roman" w:eastAsia="Times New Roman" w:hAnsi="Times New Roman"/>
            <w:sz w:val="18"/>
            <w:szCs w:val="18"/>
            <w:u w:val="single" w:color="auto"/>
            <w:color w:val="0000EE"/>
          </w:rPr>
          <w:t>(incorporated by reference to the Registrant’s Current Report on Form 8-K filed on October 25, 2022)</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216">
        <w:r>
          <w:rPr>
            <w:rFonts w:ascii="Times New Roman" w:cs="Times New Roman" w:eastAsia="Times New Roman" w:hAnsi="Times New Roman"/>
            <w:sz w:val="18"/>
            <w:szCs w:val="18"/>
            <w:u w:val="single" w:color="auto"/>
            <w:color w:val="0000EE"/>
          </w:rPr>
          <w:t>Addendum to Employment Agreement with Rachel Vaknin (incorporated by reference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216">
        <w:r>
          <w:rPr>
            <w:rFonts w:ascii="Times New Roman" w:cs="Times New Roman" w:eastAsia="Times New Roman" w:hAnsi="Times New Roman"/>
            <w:sz w:val="18"/>
            <w:szCs w:val="18"/>
            <w:u w:val="single" w:color="auto"/>
            <w:color w:val="0000EE"/>
          </w:rPr>
          <w:t>on May 22, 2023)</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217">
        <w:r>
          <w:rPr>
            <w:rFonts w:ascii="Times New Roman" w:cs="Times New Roman" w:eastAsia="Times New Roman" w:hAnsi="Times New Roman"/>
            <w:sz w:val="18"/>
            <w:szCs w:val="18"/>
            <w:u w:val="single" w:color="auto"/>
            <w:color w:val="0000EE"/>
          </w:rPr>
          <w:t>Addendum to Employment Agreement with Simon Sharon (incorporated by reference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217">
        <w:r>
          <w:rPr>
            <w:rFonts w:ascii="Times New Roman" w:cs="Times New Roman" w:eastAsia="Times New Roman" w:hAnsi="Times New Roman"/>
            <w:sz w:val="18"/>
            <w:szCs w:val="18"/>
            <w:u w:val="single" w:color="auto"/>
            <w:color w:val="0000EE"/>
          </w:rPr>
          <w:t>on May 22, 2023)</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218">
        <w:r>
          <w:rPr>
            <w:rFonts w:ascii="Times New Roman" w:cs="Times New Roman" w:eastAsia="Times New Roman" w:hAnsi="Times New Roman"/>
            <w:sz w:val="18"/>
            <w:szCs w:val="18"/>
            <w:u w:val="single" w:color="auto"/>
            <w:color w:val="0000EE"/>
          </w:rPr>
          <w:t>Addendum to Employment Agreement with Eyal Morag (incorporated by reference to the Company’s Current Report on Form 8-K filed on</w:t>
        </w:r>
      </w:hyperlink>
      <w:r>
        <w:rPr>
          <w:rFonts w:ascii="Times New Roman" w:cs="Times New Roman" w:eastAsia="Times New Roman" w:hAnsi="Times New Roman"/>
          <w:sz w:val="18"/>
          <w:szCs w:val="18"/>
          <w:u w:val="single" w:color="auto"/>
          <w:color w:val="0000EE"/>
        </w:rPr>
        <w:t xml:space="preserve"> </w:t>
      </w:r>
      <w:hyperlink r:id="rId218">
        <w:r>
          <w:rPr>
            <w:rFonts w:ascii="Times New Roman" w:cs="Times New Roman" w:eastAsia="Times New Roman" w:hAnsi="Times New Roman"/>
            <w:sz w:val="18"/>
            <w:szCs w:val="18"/>
            <w:u w:val="single" w:color="auto"/>
            <w:color w:val="0000EE"/>
          </w:rPr>
          <w:t>May 22, 2023)</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219">
        <w:r>
          <w:rPr>
            <w:rFonts w:ascii="Times New Roman" w:cs="Times New Roman" w:eastAsia="Times New Roman" w:hAnsi="Times New Roman"/>
            <w:sz w:val="18"/>
            <w:szCs w:val="18"/>
            <w:u w:val="single" w:color="auto"/>
            <w:color w:val="0000EE"/>
          </w:rPr>
          <w:t>Addendum to Employment Agreement with Eyal Morag. (incorporated by reference to the Company’s Current Report on Form 8-K filed on</w:t>
        </w:r>
      </w:hyperlink>
      <w:r>
        <w:rPr>
          <w:rFonts w:ascii="Times New Roman" w:cs="Times New Roman" w:eastAsia="Times New Roman" w:hAnsi="Times New Roman"/>
          <w:sz w:val="18"/>
          <w:szCs w:val="18"/>
          <w:u w:val="single" w:color="auto"/>
          <w:color w:val="0000EE"/>
        </w:rPr>
        <w:t xml:space="preserve"> </w:t>
      </w:r>
      <w:hyperlink r:id="rId219">
        <w:r>
          <w:rPr>
            <w:rFonts w:ascii="Times New Roman" w:cs="Times New Roman" w:eastAsia="Times New Roman" w:hAnsi="Times New Roman"/>
            <w:sz w:val="18"/>
            <w:szCs w:val="18"/>
            <w:u w:val="single" w:color="auto"/>
            <w:color w:val="0000EE"/>
          </w:rPr>
          <w:t>May 22,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220">
        <w:r>
          <w:rPr>
            <w:rFonts w:ascii="Times New Roman" w:cs="Times New Roman" w:eastAsia="Times New Roman" w:hAnsi="Times New Roman"/>
            <w:sz w:val="18"/>
            <w:szCs w:val="18"/>
            <w:u w:val="single" w:color="auto"/>
            <w:color w:val="0000EE"/>
          </w:rPr>
          <w:t>Form of Securities Purchase Agreement, dated as of May 22, 2023,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220">
        <w:r>
          <w:rPr>
            <w:rFonts w:ascii="Times New Roman" w:cs="Times New Roman" w:eastAsia="Times New Roman" w:hAnsi="Times New Roman"/>
            <w:sz w:val="18"/>
            <w:szCs w:val="18"/>
            <w:u w:val="single" w:color="auto"/>
            <w:color w:val="0000EE"/>
          </w:rPr>
          <w:t>(incorporated by reference to the Registrant’s Current Report on Form 8-K filed on May 23,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221">
        <w:r>
          <w:rPr>
            <w:rFonts w:ascii="Times New Roman" w:cs="Times New Roman" w:eastAsia="Times New Roman" w:hAnsi="Times New Roman"/>
            <w:sz w:val="18"/>
            <w:szCs w:val="18"/>
            <w:u w:val="single" w:color="auto"/>
            <w:color w:val="0000EE"/>
          </w:rPr>
          <w:t>Form of Securities Purchase Agreement, dated as of May 23, 2023, by and among Microbot Medical Inc. and the purchaser party thereto</w:t>
        </w:r>
      </w:hyperlink>
      <w:r>
        <w:rPr>
          <w:rFonts w:ascii="Times New Roman" w:cs="Times New Roman" w:eastAsia="Times New Roman" w:hAnsi="Times New Roman"/>
          <w:sz w:val="18"/>
          <w:szCs w:val="18"/>
          <w:u w:val="single" w:color="auto"/>
          <w:color w:val="0000EE"/>
        </w:rPr>
        <w:t xml:space="preserve"> </w:t>
      </w:r>
      <w:hyperlink r:id="rId221">
        <w:r>
          <w:rPr>
            <w:rFonts w:ascii="Times New Roman" w:cs="Times New Roman" w:eastAsia="Times New Roman" w:hAnsi="Times New Roman"/>
            <w:sz w:val="18"/>
            <w:szCs w:val="18"/>
            <w:u w:val="single" w:color="auto"/>
            <w:color w:val="0000EE"/>
          </w:rPr>
          <w:t>(incorporated by reference to the Registrant’s Current Report on Form 8-K filed on May 24,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222">
        <w:r>
          <w:rPr>
            <w:rFonts w:ascii="Times New Roman" w:cs="Times New Roman" w:eastAsia="Times New Roman" w:hAnsi="Times New Roman"/>
            <w:sz w:val="18"/>
            <w:szCs w:val="18"/>
            <w:u w:val="single" w:color="auto"/>
            <w:color w:val="0000EE"/>
          </w:rPr>
          <w:t>Form of Securities Purchase Agreement, dated as of June 2, 2023,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222">
        <w:r>
          <w:rPr>
            <w:rFonts w:ascii="Times New Roman" w:cs="Times New Roman" w:eastAsia="Times New Roman" w:hAnsi="Times New Roman"/>
            <w:sz w:val="18"/>
            <w:szCs w:val="18"/>
            <w:u w:val="single" w:color="auto"/>
            <w:color w:val="0000EE"/>
          </w:rPr>
          <w:t>(incorporated by reference to the Registrant’s Current Report on Form 8-K filed on June 6,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223">
        <w:r>
          <w:rPr>
            <w:rFonts w:ascii="Times New Roman" w:cs="Times New Roman" w:eastAsia="Times New Roman" w:hAnsi="Times New Roman"/>
            <w:sz w:val="18"/>
            <w:szCs w:val="18"/>
            <w:u w:val="single" w:color="auto"/>
            <w:color w:val="0000EE"/>
          </w:rPr>
          <w:t>Form of Securities Purchase Agreement, dated as of June 26, 2023,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223">
        <w:r>
          <w:rPr>
            <w:rFonts w:ascii="Times New Roman" w:cs="Times New Roman" w:eastAsia="Times New Roman" w:hAnsi="Times New Roman"/>
            <w:sz w:val="18"/>
            <w:szCs w:val="18"/>
            <w:u w:val="single" w:color="auto"/>
            <w:color w:val="0000EE"/>
          </w:rPr>
          <w:t>(incorporated by reference to the Registrant’s Current Report on Form 8-K filed on June 28,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224">
        <w:r>
          <w:rPr>
            <w:rFonts w:ascii="Times New Roman" w:cs="Times New Roman" w:eastAsia="Times New Roman" w:hAnsi="Times New Roman"/>
            <w:sz w:val="18"/>
            <w:szCs w:val="18"/>
            <w:u w:val="single" w:color="auto"/>
            <w:color w:val="0000EE"/>
          </w:rPr>
          <w:t>Employment Agreement with Juan Diaz-Cartelle, MD (incorporated by reference to the Registrant’s Current Report on Form 8-K filed on</w:t>
        </w:r>
      </w:hyperlink>
      <w:r>
        <w:rPr>
          <w:rFonts w:ascii="Times New Roman" w:cs="Times New Roman" w:eastAsia="Times New Roman" w:hAnsi="Times New Roman"/>
          <w:sz w:val="18"/>
          <w:szCs w:val="18"/>
          <w:u w:val="single" w:color="auto"/>
          <w:color w:val="0000EE"/>
        </w:rPr>
        <w:t xml:space="preserve"> </w:t>
      </w:r>
      <w:hyperlink r:id="rId224">
        <w:r>
          <w:rPr>
            <w:rFonts w:ascii="Times New Roman" w:cs="Times New Roman" w:eastAsia="Times New Roman" w:hAnsi="Times New Roman"/>
            <w:sz w:val="18"/>
            <w:szCs w:val="18"/>
            <w:u w:val="single" w:color="auto"/>
            <w:color w:val="0000EE"/>
          </w:rPr>
          <w:t>November 21, 2023)</w:t>
        </w:r>
      </w:hyperlink>
    </w:p>
    <w:p>
      <w:pPr>
        <w:spacing w:after="0" w:line="1" w:lineRule="exact"/>
        <w:rPr>
          <w:sz w:val="20"/>
          <w:szCs w:val="20"/>
          <w:color w:val="auto"/>
        </w:rPr>
      </w:pPr>
    </w:p>
    <w:p>
      <w:pPr>
        <w:ind w:left="300"/>
        <w:spacing w:after="0"/>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225">
        <w:r>
          <w:rPr>
            <w:rFonts w:ascii="Times New Roman" w:cs="Times New Roman" w:eastAsia="Times New Roman" w:hAnsi="Times New Roman"/>
            <w:sz w:val="17"/>
            <w:szCs w:val="17"/>
            <w:u w:val="single" w:color="auto"/>
            <w:color w:val="0000EE"/>
          </w:rPr>
          <w:t>Form of Inducement Letter (incorporated by reference to the Registrant’s Current Report on Form 8-K filed on January 2, 2024)</w:t>
        </w:r>
      </w:hyperlink>
    </w:p>
    <w:p>
      <w:pPr>
        <w:spacing w:after="0" w:line="9"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226">
        <w:r>
          <w:rPr>
            <w:rFonts w:ascii="Times New Roman" w:cs="Times New Roman" w:eastAsia="Times New Roman" w:hAnsi="Times New Roman"/>
            <w:sz w:val="18"/>
            <w:szCs w:val="18"/>
            <w:u w:val="single" w:color="auto"/>
            <w:color w:val="0000EE"/>
          </w:rPr>
          <w:t>Settlement Agreement and Release dated as of January 26, 2024 (incorporated by reference to the Registrant’s Current Report on Form 8-K</w:t>
        </w:r>
      </w:hyperlink>
      <w:r>
        <w:rPr>
          <w:rFonts w:ascii="Times New Roman" w:cs="Times New Roman" w:eastAsia="Times New Roman" w:hAnsi="Times New Roman"/>
          <w:sz w:val="18"/>
          <w:szCs w:val="18"/>
          <w:u w:val="single" w:color="auto"/>
          <w:color w:val="0000EE"/>
        </w:rPr>
        <w:t xml:space="preserve"> </w:t>
      </w:r>
      <w:hyperlink r:id="rId226">
        <w:r>
          <w:rPr>
            <w:rFonts w:ascii="Times New Roman" w:cs="Times New Roman" w:eastAsia="Times New Roman" w:hAnsi="Times New Roman"/>
            <w:sz w:val="18"/>
            <w:szCs w:val="18"/>
            <w:u w:val="single" w:color="auto"/>
            <w:color w:val="0000EE"/>
          </w:rPr>
          <w:t>filed on January 30, 2024)</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227">
        <w:r>
          <w:rPr>
            <w:rFonts w:ascii="Times New Roman" w:cs="Times New Roman" w:eastAsia="Times New Roman" w:hAnsi="Times New Roman"/>
            <w:sz w:val="18"/>
            <w:szCs w:val="18"/>
            <w:u w:val="single" w:color="auto"/>
            <w:color w:val="0000EE"/>
          </w:rPr>
          <w:t>Registration Rights Agreement dated as of January 26, 2024 (incorporated by reference to the Registrant’s Current Report on Form 8-K filed</w:t>
        </w:r>
      </w:hyperlink>
      <w:r>
        <w:rPr>
          <w:rFonts w:ascii="Times New Roman" w:cs="Times New Roman" w:eastAsia="Times New Roman" w:hAnsi="Times New Roman"/>
          <w:sz w:val="18"/>
          <w:szCs w:val="18"/>
          <w:u w:val="single" w:color="auto"/>
          <w:color w:val="0000EE"/>
        </w:rPr>
        <w:t xml:space="preserve"> </w:t>
      </w:r>
      <w:hyperlink r:id="rId227">
        <w:r>
          <w:rPr>
            <w:rFonts w:ascii="Times New Roman" w:cs="Times New Roman" w:eastAsia="Times New Roman" w:hAnsi="Times New Roman"/>
            <w:sz w:val="18"/>
            <w:szCs w:val="18"/>
            <w:u w:val="single" w:color="auto"/>
            <w:color w:val="0000EE"/>
          </w:rPr>
          <w:t>on January 30, 2024)</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228">
        <w:r>
          <w:rPr>
            <w:rFonts w:ascii="Times New Roman" w:cs="Times New Roman" w:eastAsia="Times New Roman" w:hAnsi="Times New Roman"/>
            <w:sz w:val="18"/>
            <w:szCs w:val="18"/>
            <w:u w:val="single" w:color="auto"/>
            <w:color w:val="0000EE"/>
          </w:rPr>
          <w:t>Form of Securities Purchase Agreement, dated as of June 3, 2024,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228">
        <w:r>
          <w:rPr>
            <w:rFonts w:ascii="Times New Roman" w:cs="Times New Roman" w:eastAsia="Times New Roman" w:hAnsi="Times New Roman"/>
            <w:sz w:val="18"/>
            <w:szCs w:val="18"/>
            <w:u w:val="single" w:color="auto"/>
            <w:color w:val="0000EE"/>
          </w:rPr>
          <w:t>(incorporated by reference to the Registrant’s Current Report on Form 8-K filed on June 4, 2024)</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10.35</w:t>
      </w:r>
      <w:r>
        <w:rPr>
          <w:sz w:val="20"/>
          <w:szCs w:val="20"/>
          <w:color w:val="auto"/>
        </w:rPr>
        <w:tab/>
      </w:r>
      <w:hyperlink r:id="rId229">
        <w:r>
          <w:rPr>
            <w:rFonts w:ascii="Times New Roman" w:cs="Times New Roman" w:eastAsia="Times New Roman" w:hAnsi="Times New Roman"/>
            <w:sz w:val="18"/>
            <w:szCs w:val="18"/>
            <w:u w:val="single" w:color="auto"/>
            <w:color w:val="0000EE"/>
          </w:rPr>
          <w:t>Amendment to the At the Market Offering Agreement, dated July 1, 2024, by and between Microbot Medical Inc. and H.C. Wainwright &amp;</w:t>
        </w:r>
      </w:hyperlink>
      <w:r>
        <w:rPr>
          <w:rFonts w:ascii="Times New Roman" w:cs="Times New Roman" w:eastAsia="Times New Roman" w:hAnsi="Times New Roman"/>
          <w:sz w:val="18"/>
          <w:szCs w:val="18"/>
          <w:u w:val="single" w:color="auto"/>
          <w:color w:val="0000EE"/>
        </w:rPr>
        <w:t xml:space="preserve"> </w:t>
      </w:r>
      <w:hyperlink r:id="rId229">
        <w:r>
          <w:rPr>
            <w:rFonts w:ascii="Times New Roman" w:cs="Times New Roman" w:eastAsia="Times New Roman" w:hAnsi="Times New Roman"/>
            <w:sz w:val="18"/>
            <w:szCs w:val="18"/>
            <w:u w:val="single" w:color="auto"/>
            <w:color w:val="0000EE"/>
          </w:rPr>
          <w:t>Co., LLC (incorporated by reference to the Registrant’s Current Report on Form 8-K filed on July 1, 2024)</w:t>
        </w:r>
      </w:hyperlink>
    </w:p>
    <w:p>
      <w:pPr>
        <w:spacing w:after="0" w:line="1" w:lineRule="exact"/>
        <w:rPr>
          <w:sz w:val="20"/>
          <w:szCs w:val="20"/>
          <w:color w:val="auto"/>
        </w:rPr>
      </w:pPr>
    </w:p>
    <w:p>
      <w:pPr>
        <w:ind w:left="1100" w:right="2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10.36</w:t>
      </w:r>
      <w:r>
        <w:rPr>
          <w:sz w:val="20"/>
          <w:szCs w:val="20"/>
          <w:color w:val="auto"/>
        </w:rPr>
        <w:tab/>
      </w:r>
      <w:hyperlink r:id="rId230">
        <w:r>
          <w:rPr>
            <w:rFonts w:ascii="Times New Roman" w:cs="Times New Roman" w:eastAsia="Times New Roman" w:hAnsi="Times New Roman"/>
            <w:sz w:val="18"/>
            <w:szCs w:val="18"/>
            <w:u w:val="single" w:color="auto"/>
            <w:color w:val="0000EE"/>
          </w:rPr>
          <w:t>Form of Securities Purchase Agreement, dated as of January 6, 2025,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230">
        <w:r>
          <w:rPr>
            <w:rFonts w:ascii="Times New Roman" w:cs="Times New Roman" w:eastAsia="Times New Roman" w:hAnsi="Times New Roman"/>
            <w:sz w:val="18"/>
            <w:szCs w:val="18"/>
            <w:u w:val="single" w:color="auto"/>
            <w:color w:val="0000EE"/>
          </w:rPr>
          <w:t>(incorporated by reference to the Registrant’s Current Report on Form 8-K filed on January 7, 2025)</w:t>
        </w:r>
      </w:hyperlink>
    </w:p>
    <w:p>
      <w:pPr>
        <w:spacing w:after="0" w:line="1" w:lineRule="exact"/>
        <w:rPr>
          <w:sz w:val="20"/>
          <w:szCs w:val="20"/>
          <w:color w:val="auto"/>
        </w:rPr>
      </w:pPr>
    </w:p>
    <w:p>
      <w:pPr>
        <w:ind w:left="1100" w:right="2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10.37</w:t>
      </w:r>
      <w:r>
        <w:rPr>
          <w:sz w:val="20"/>
          <w:szCs w:val="20"/>
          <w:color w:val="auto"/>
        </w:rPr>
        <w:tab/>
      </w:r>
      <w:hyperlink r:id="rId231">
        <w:r>
          <w:rPr>
            <w:rFonts w:ascii="Times New Roman" w:cs="Times New Roman" w:eastAsia="Times New Roman" w:hAnsi="Times New Roman"/>
            <w:sz w:val="18"/>
            <w:szCs w:val="18"/>
            <w:u w:val="single" w:color="auto"/>
            <w:color w:val="0000EE"/>
          </w:rPr>
          <w:t>Form of Securities Purchase Agreement, dated as of January 7, 2025,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231">
        <w:r>
          <w:rPr>
            <w:rFonts w:ascii="Times New Roman" w:cs="Times New Roman" w:eastAsia="Times New Roman" w:hAnsi="Times New Roman"/>
            <w:sz w:val="18"/>
            <w:szCs w:val="18"/>
            <w:u w:val="single" w:color="auto"/>
            <w:color w:val="0000EE"/>
          </w:rPr>
          <w:t>(incorporated by reference to the Registrant’s Current Report on Form 8-K filed on January 10, 2025)</w:t>
        </w:r>
      </w:hyperlink>
    </w:p>
    <w:p>
      <w:pPr>
        <w:spacing w:after="0" w:line="1" w:lineRule="exact"/>
        <w:rPr>
          <w:sz w:val="20"/>
          <w:szCs w:val="20"/>
          <w:color w:val="auto"/>
        </w:rPr>
      </w:pPr>
    </w:p>
    <w:p>
      <w:pPr>
        <w:ind w:left="34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21.1</w:t>
      </w:r>
      <w:r>
        <w:rPr>
          <w:sz w:val="20"/>
          <w:szCs w:val="20"/>
          <w:color w:val="auto"/>
        </w:rPr>
        <w:tab/>
      </w:r>
      <w:hyperlink r:id="rId232">
        <w:r>
          <w:rPr>
            <w:rFonts w:ascii="Times New Roman" w:cs="Times New Roman" w:eastAsia="Times New Roman" w:hAnsi="Times New Roman"/>
            <w:sz w:val="18"/>
            <w:szCs w:val="18"/>
            <w:u w:val="single" w:color="auto"/>
            <w:color w:val="0000EE"/>
          </w:rPr>
          <w:t>Subsidiaries of the Company (incorporated by reference to the Company’s Annual Report on Form 10-K for the fiscal year ended December</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232">
        <w:r>
          <w:rPr>
            <w:rFonts w:ascii="Times New Roman" w:cs="Times New Roman" w:eastAsia="Times New Roman" w:hAnsi="Times New Roman"/>
            <w:sz w:val="18"/>
            <w:szCs w:val="18"/>
            <w:u w:val="single" w:color="auto"/>
            <w:color w:val="0000EE"/>
          </w:rPr>
          <w:t>31, 2016 and filed on March 21, 2017).</w:t>
        </w:r>
      </w:hyperlink>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u w:val="single" w:color="auto"/>
          <w:color w:val="0000EE"/>
        </w:rPr>
        <w:t>Consent of Brightman Almagor Zohar &amp; Co., a Firm in the Deloitte Global Network, an independent registered public accounting firm</w:t>
      </w:r>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Ruskin Moscou Faltischek PC (included in Exhibit 5.1)</w:t>
      </w:r>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EE"/>
        </w:rPr>
        <w:t>Power of Attorney (included on signature page)</w:t>
      </w:r>
    </w:p>
    <w:p>
      <w:pPr>
        <w:spacing w:after="0" w:line="9" w:lineRule="exact"/>
        <w:rPr>
          <w:sz w:val="20"/>
          <w:szCs w:val="20"/>
          <w:color w:val="auto"/>
        </w:rPr>
      </w:pPr>
    </w:p>
    <w:p>
      <w:pPr>
        <w:ind w:left="1100" w:hanging="76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97.1</w:t>
      </w:r>
      <w:r>
        <w:rPr>
          <w:sz w:val="20"/>
          <w:szCs w:val="20"/>
          <w:color w:val="auto"/>
        </w:rPr>
        <w:tab/>
      </w:r>
      <w:hyperlink r:id="rId233">
        <w:r>
          <w:rPr>
            <w:rFonts w:ascii="Times New Roman" w:cs="Times New Roman" w:eastAsia="Times New Roman" w:hAnsi="Times New Roman"/>
            <w:sz w:val="18"/>
            <w:szCs w:val="18"/>
            <w:u w:val="single" w:color="auto"/>
            <w:color w:val="0000EE"/>
          </w:rPr>
          <w:t>Clawback Policy (incorporated by reference to the Company’s Annual Report on Form 10-K for the fiscal year ended December 31, 2023</w:t>
        </w:r>
      </w:hyperlink>
      <w:r>
        <w:rPr>
          <w:rFonts w:ascii="Times New Roman" w:cs="Times New Roman" w:eastAsia="Times New Roman" w:hAnsi="Times New Roman"/>
          <w:sz w:val="18"/>
          <w:szCs w:val="18"/>
          <w:u w:val="single" w:color="auto"/>
          <w:color w:val="0000EE"/>
        </w:rPr>
        <w:t xml:space="preserve"> </w:t>
      </w:r>
      <w:hyperlink r:id="rId233">
        <w:r>
          <w:rPr>
            <w:rFonts w:ascii="Times New Roman" w:cs="Times New Roman" w:eastAsia="Times New Roman" w:hAnsi="Times New Roman"/>
            <w:sz w:val="18"/>
            <w:szCs w:val="18"/>
            <w:u w:val="single" w:color="auto"/>
            <w:color w:val="0000EE"/>
          </w:rPr>
          <w:t>and filed on March 27, 2024)</w:t>
        </w:r>
      </w:hyperlink>
    </w:p>
    <w:p>
      <w:pPr>
        <w:spacing w:after="0" w:line="1" w:lineRule="exact"/>
        <w:rPr>
          <w:sz w:val="20"/>
          <w:szCs w:val="20"/>
          <w:color w:val="auto"/>
        </w:rPr>
      </w:pPr>
    </w:p>
    <w:p>
      <w:pPr>
        <w:ind w:left="1100" w:hanging="741"/>
        <w:spacing w:after="0"/>
        <w:tabs>
          <w:tab w:leader="none" w:pos="11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3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7830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(b) Financial statement schedule.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6">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(the “Act”);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Provided, however,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80" w:lineRule="exact"/>
        <w:rPr>
          <w:sz w:val="20"/>
          <w:szCs w:val="20"/>
          <w:color w:val="auto"/>
        </w:rPr>
      </w:pPr>
    </w:p>
    <w:p>
      <w:pPr>
        <w:jc w:val="both"/>
        <w:ind w:left="340" w:hanging="332"/>
        <w:spacing w:after="0" w:line="266"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jc w:val="both"/>
        <w:ind w:left="340" w:hanging="332"/>
        <w:spacing w:after="0" w:line="255"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a part of the registration statement will, as to a purchaser with a time of contract of sale prior to such first use, superseded or modify any statement that was made in the registration statement or prospectus that was part of the registration statement or made in any such document immediately prior to such date of first use.</w:t>
      </w:r>
    </w:p>
    <w:p>
      <w:pPr>
        <w:spacing w:after="0" w:line="189" w:lineRule="exact"/>
        <w:rPr>
          <w:sz w:val="20"/>
          <w:szCs w:val="20"/>
          <w:color w:val="auto"/>
        </w:rPr>
      </w:pPr>
    </w:p>
    <w:p>
      <w:pPr>
        <w:jc w:val="both"/>
        <w:ind w:left="340" w:hanging="332"/>
        <w:spacing w:after="0" w:line="258"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both"/>
        <w:ind w:left="340" w:hanging="332"/>
        <w:spacing w:after="0" w:line="254"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Act may be permitted to directors, officers and controlling persons of the registrant pursuant to the foregoing provisions, or otherwise, the registrant has been advised that in the opinion of the Securities and Exchange Commission, or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S-1 to be signed on its behalf by the undersigned, thereunto duly authorized in the City of Braintree, Commonwealth of Massachusetts, on February 4, 2025.</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Chief Executive Officer and Chairman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Harel Gadot and Rachel Vaknin as his or her true and lawful attorneys-in-fact and agents, each with the full power of substitution, for him of her and in his or her name, place or stead, in any and all capacities, to sign any and all amendments to this registration statement (including post-effective amendments), and any subsequent registration statement filed by the registrant pursuant to Rule 462(b) of the Securities Act of 1933, as amended, which relates to this registration statement, and to file the same, with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or his or her substitute or substitutes, may lawfully do or cause to be done by virtue hereof.</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0"/>
                <w:szCs w:val="20"/>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Harel Gadot</w:t>
            </w:r>
          </w:p>
        </w:tc>
        <w:tc>
          <w:tcPr>
            <w:tcW w:w="2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4,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2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1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Rachel Vaknin</w:t>
            </w:r>
          </w:p>
        </w:tc>
        <w:tc>
          <w:tcPr>
            <w:tcW w:w="2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4,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2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31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David J. Wilson</w:t>
            </w:r>
          </w:p>
        </w:tc>
        <w:tc>
          <w:tcPr>
            <w:tcW w:w="2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4,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David J. Wilson</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Prattipati Laxminarain</w:t>
            </w:r>
          </w:p>
        </w:tc>
        <w:tc>
          <w:tcPr>
            <w:tcW w:w="2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4,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Prattipati Laxminarain</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Burell</w:t>
            </w:r>
          </w:p>
        </w:tc>
        <w:tc>
          <w:tcPr>
            <w:tcW w:w="2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4,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Scott Burell</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Martin Madden</w:t>
            </w:r>
          </w:p>
        </w:tc>
        <w:tc>
          <w:tcPr>
            <w:tcW w:w="2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4,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Martin Madden</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Aileen Stockburger</w:t>
            </w:r>
          </w:p>
        </w:tc>
        <w:tc>
          <w:tcPr>
            <w:tcW w:w="2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4,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Aileen Stockburger</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Tal Wenderow</w:t>
            </w:r>
          </w:p>
        </w:tc>
        <w:tc>
          <w:tcPr>
            <w:tcW w:w="2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4,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Tal Wenderow</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2"/>
          </w:tcPr>
          <w:p>
            <w:pPr>
              <w:ind w:left="2100"/>
              <w:spacing w:after="0"/>
              <w:rPr>
                <w:sz w:val="20"/>
                <w:szCs w:val="20"/>
                <w:color w:val="auto"/>
              </w:rPr>
            </w:pPr>
            <w:r>
              <w:rPr>
                <w:rFonts w:ascii="Times New Roman" w:cs="Times New Roman" w:eastAsia="Times New Roman" w:hAnsi="Times New Roman"/>
                <w:sz w:val="18"/>
                <w:szCs w:val="18"/>
                <w:color w:val="auto"/>
              </w:rPr>
              <w:t>II-8</w:t>
            </w:r>
          </w:p>
        </w:tc>
        <w:tc>
          <w:tcPr>
            <w:tcW w:w="3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5740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9">
                      <a:extLst>
                        <a:ext uri="{28A0092B-C50C-407E-A947-70E740481C1C}"/>
                      </a:extLst>
                    </a:blip>
                    <a:srcRect/>
                    <a:stretch>
                      <a:fillRect/>
                    </a:stretch>
                  </pic:blipFill>
                  <pic:spPr bwMode="auto">
                    <a:xfrm>
                      <a:off x="0" y="0"/>
                      <a:ext cx="257175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February 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288 Grove Street, Suite 388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Braintree, MA 02184</w:t>
      </w:r>
    </w:p>
    <w:p>
      <w:pPr>
        <w:spacing w:after="0" w:line="20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Registration Statement on Form S-1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acted as counsel for Microbot Medical Inc. (the “Company”) in connection with the preparation and filing of that certain Registration Statement on Form S-1 (the “Registration Statement”) filed on the date hereof with the Securities and Exchange Commission (the “SEC”) under the Securities Act of 1933, as amended, with respect to the registration of the resale of an aggregate of up to 15,966,530 shares (the “Shares”) of the Company’s common stock, $0.01 par value per share, issuable upon the exercise in full of outstanding options of the Company (the “Options”).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Shares are being registered on behalf of certain persons or entities identified in the Registration Statement. The offering of the Shares will be as set forth in the prospectus contained in the Registration Statement, and as supplemented by one or more supplements to the prospectus (the “Prospectus”).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counsel to the Company, we have examined the originals or copies of such documents, corporate records and other instruments and undertaken such further inquiry as we have deemed necessary or appropriate for purposes of this opinion, including, but not limited to, the Registration Statement, corporate resolutions authorizing the issuance of the Shares and the Certificate of Incorporation and Bylaws of the Company, including amendments thereto. In such examination, we have assumed the following: (a) the authenticity of original documents and the genuineness of all signatures; (b) the legal capacity of all natural persons, the accuracy and completeness of all documents submitted to us; (c) the conformity to the originals of all documents submitted to us as copies; (d) the genuineness of all signatures contained in the records, documents, instruments and certificates we have reviewed; and (e) the truth, accuracy and completeness of the information, representations and warranties contained in the records, documents, instruments and certificates we have reviewed. This opinion letter is given, and all statements herein are made, in the context of the foregoing.</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and subject to the foregoing, we are of the opinion that the Shares, when issued upon exercise of the Options in accordance with the terms thereof, are or will be duly and validly authorized,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auto"/>
        </w:rPr>
        <w:t>February 4,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information set forth herein is as of the date hereof. We assume no obligation to advise you of changes that may hereafter be brought to our attention. We are members of the Bar of the State of New York. We do not express any opinion concerning the laws of any jurisdiction other than (i) the State of New York, (ii) the Federal laws of the United States and (iii) the Delaware General Corporation Law. Our opinion is based on statutory laws and judicial decisions that are in effect on the date hereof, and we do not opine with respect to any law, regulation, rule or governmental policy that may be enacted or adopted after the date hereof, nor do we assume any responsibility to advise you of future changes in our opinion. We do not express an opinion on any matters other than those expressly set forth in this letter.</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opinion is expressed herein with respect to the qualification of the Shares under the securities or blue sky laws of any state or any foreign jurisdiction.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use and filing of this opinion as an exhibit to the Registration Statement as filed with the Securities and Exchange Commission and to the reference to our firm under the heading “Legal Matters” in the Prospectus and the Registration Statement. In giving this consent, we do not admit that we are within the category of persons whose consent is required under Section 7 of the Act or the rules and regulations of the Securities and Exchange Commission promulgated thereunder.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Ruskin Moscou Faltischek PC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RUSKIN MOSCOU FALTISCHEK,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consent to the use in this Registration Statement on Form S-1 of our report dated March 27, 2024, relating to the financial statements of Microbot Medical Inc. We also consent to the reference to us under the heading “Experts” in such Registration Statement.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 Brightman Almagor Zohar &amp; Co.</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Brightman Almagor Zohar &amp; Co.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Certified Public Accountants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Firm in the Deloitte Global Network</w:t>
      </w:r>
    </w:p>
    <w:p>
      <w:pPr>
        <w:spacing w:after="0" w:line="230" w:lineRule="auto"/>
        <w:rPr>
          <w:sz w:val="20"/>
          <w:szCs w:val="20"/>
          <w:color w:val="auto"/>
        </w:rPr>
      </w:pPr>
      <w:r>
        <w:rPr>
          <w:rFonts w:ascii="Times New Roman" w:cs="Times New Roman" w:eastAsia="Times New Roman" w:hAnsi="Times New Roman"/>
          <w:sz w:val="22"/>
          <w:szCs w:val="22"/>
          <w:color w:val="auto"/>
        </w:rPr>
        <w:t>Tel Aviv, Israel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Fee</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Rule or</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1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Carry</w:t>
            </w: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16"/>
        </w:trPr>
        <w:tc>
          <w:tcPr>
            <w:tcW w:w="1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2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Per</w:t>
            </w:r>
          </w:p>
        </w:tc>
        <w:tc>
          <w:tcPr>
            <w:tcW w:w="16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Registration</w:t>
            </w:r>
          </w:p>
        </w:tc>
      </w:tr>
      <w:tr>
        <w:trPr>
          <w:trHeight w:val="256"/>
        </w:trPr>
        <w:tc>
          <w:tcPr>
            <w:tcW w:w="138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Type</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Class Title</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1"/>
              </w:rPr>
              <w:t>(1)</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center"/>
              <w:ind w:right="260"/>
              <w:spacing w:after="0" w:line="256" w:lineRule="exact"/>
              <w:rPr>
                <w:sz w:val="20"/>
                <w:szCs w:val="20"/>
                <w:color w:val="auto"/>
              </w:rPr>
            </w:pPr>
            <w:r>
              <w:rPr>
                <w:rFonts w:ascii="Times New Roman" w:cs="Times New Roman" w:eastAsia="Times New Roman" w:hAnsi="Times New Roman"/>
                <w:sz w:val="18"/>
                <w:szCs w:val="18"/>
                <w:b w:val="1"/>
                <w:bCs w:val="1"/>
                <w:color w:val="auto"/>
                <w:w w:val="91"/>
              </w:rPr>
              <w:t>Unit</w:t>
            </w:r>
            <w:r>
              <w:rPr>
                <w:rFonts w:ascii="Times New Roman" w:cs="Times New Roman" w:eastAsia="Times New Roman" w:hAnsi="Times New Roman"/>
                <w:sz w:val="29"/>
                <w:szCs w:val="29"/>
                <w:b w:val="1"/>
                <w:bCs w:val="1"/>
                <w:color w:val="auto"/>
                <w:w w:val="91"/>
                <w:vertAlign w:val="superscript"/>
              </w:rPr>
              <w:t>(2)</w:t>
            </w:r>
          </w:p>
        </w:tc>
        <w:tc>
          <w:tcPr>
            <w:tcW w:w="160" w:type="dxa"/>
            <w:vAlign w:val="bottom"/>
          </w:tcPr>
          <w:p>
            <w:pPr>
              <w:spacing w:after="0"/>
              <w:rPr>
                <w:sz w:val="22"/>
                <w:szCs w:val="22"/>
                <w:color w:val="auto"/>
              </w:rPr>
            </w:pPr>
          </w:p>
        </w:tc>
        <w:tc>
          <w:tcPr>
            <w:tcW w:w="1440" w:type="dxa"/>
            <w:vAlign w:val="bottom"/>
            <w:gridSpan w:val="2"/>
          </w:tcPr>
          <w:p>
            <w:pPr>
              <w:jc w:val="center"/>
              <w:ind w:right="300"/>
              <w:spacing w:after="0" w:line="256" w:lineRule="exact"/>
              <w:rPr>
                <w:sz w:val="20"/>
                <w:szCs w:val="20"/>
                <w:color w:val="auto"/>
              </w:rPr>
            </w:pPr>
            <w:r>
              <w:rPr>
                <w:rFonts w:ascii="Times New Roman" w:cs="Times New Roman" w:eastAsia="Times New Roman" w:hAnsi="Times New Roman"/>
                <w:sz w:val="18"/>
                <w:szCs w:val="18"/>
                <w:b w:val="1"/>
                <w:bCs w:val="1"/>
                <w:color w:val="auto"/>
                <w:w w:val="92"/>
              </w:rPr>
              <w:t>Price</w:t>
            </w:r>
            <w:r>
              <w:rPr>
                <w:rFonts w:ascii="Times New Roman" w:cs="Times New Roman" w:eastAsia="Times New Roman" w:hAnsi="Times New Roman"/>
                <w:sz w:val="29"/>
                <w:szCs w:val="29"/>
                <w:b w:val="1"/>
                <w:bCs w:val="1"/>
                <w:color w:val="auto"/>
                <w:w w:val="92"/>
                <w:vertAlign w:val="superscript"/>
              </w:rPr>
              <w:t>(1)</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80" w:type="dxa"/>
            <w:vAlign w:val="bottom"/>
          </w:tcPr>
          <w:p>
            <w:pPr>
              <w:spacing w:after="0"/>
              <w:rPr>
                <w:sz w:val="22"/>
                <w:szCs w:val="22"/>
                <w:color w:val="auto"/>
              </w:rPr>
            </w:pPr>
          </w:p>
        </w:tc>
        <w:tc>
          <w:tcPr>
            <w:tcW w:w="880" w:type="dxa"/>
            <w:vAlign w:val="bottom"/>
            <w:gridSpan w:val="2"/>
          </w:tcPr>
          <w:p>
            <w:pPr>
              <w:jc w:val="center"/>
              <w:ind w:right="280"/>
              <w:spacing w:after="0" w:line="256" w:lineRule="exact"/>
              <w:rPr>
                <w:sz w:val="20"/>
                <w:szCs w:val="20"/>
                <w:color w:val="auto"/>
              </w:rPr>
            </w:pPr>
            <w:r>
              <w:rPr>
                <w:rFonts w:ascii="Times New Roman" w:cs="Times New Roman" w:eastAsia="Times New Roman" w:hAnsi="Times New Roman"/>
                <w:sz w:val="18"/>
                <w:szCs w:val="18"/>
                <w:b w:val="1"/>
                <w:bCs w:val="1"/>
                <w:color w:val="auto"/>
                <w:w w:val="88"/>
              </w:rPr>
              <w:t>Fee</w:t>
            </w:r>
            <w:r>
              <w:rPr>
                <w:rFonts w:ascii="Times New Roman" w:cs="Times New Roman" w:eastAsia="Times New Roman" w:hAnsi="Times New Roman"/>
                <w:sz w:val="29"/>
                <w:szCs w:val="29"/>
                <w:b w:val="1"/>
                <w:bCs w:val="1"/>
                <w:color w:val="auto"/>
                <w:w w:val="88"/>
                <w:vertAlign w:val="superscript"/>
              </w:rPr>
              <w:t>(2)</w:t>
            </w:r>
          </w:p>
        </w:tc>
      </w:tr>
      <w:tr>
        <w:trPr>
          <w:trHeight w:val="191"/>
        </w:trPr>
        <w:tc>
          <w:tcPr>
            <w:tcW w:w="13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w:t>
            </w:r>
          </w:p>
        </w:tc>
        <w:tc>
          <w:tcPr>
            <w:tcW w:w="1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0"/>
        </w:trPr>
        <w:tc>
          <w:tcPr>
            <w:tcW w:w="1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$0.01 par value</w:t>
            </w: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71"/>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80"/>
              <w:spacing w:after="0" w:line="271" w:lineRule="exact"/>
              <w:rPr>
                <w:sz w:val="20"/>
                <w:szCs w:val="20"/>
                <w:color w:val="auto"/>
              </w:rPr>
            </w:pPr>
            <w:r>
              <w:rPr>
                <w:rFonts w:ascii="Times New Roman" w:cs="Times New Roman" w:eastAsia="Times New Roman" w:hAnsi="Times New Roman"/>
                <w:sz w:val="18"/>
                <w:szCs w:val="18"/>
                <w:color w:val="auto"/>
              </w:rPr>
              <w:t>per share</w:t>
            </w:r>
            <w:r>
              <w:rPr>
                <w:rFonts w:ascii="Times New Roman" w:cs="Times New Roman" w:eastAsia="Times New Roman" w:hAnsi="Times New Roman"/>
                <w:sz w:val="29"/>
                <w:szCs w:val="29"/>
                <w:color w:val="auto"/>
                <w:vertAlign w:val="superscript"/>
              </w:rPr>
              <w:t>(3)</w:t>
            </w:r>
          </w:p>
        </w:tc>
        <w:tc>
          <w:tcPr>
            <w:tcW w:w="11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457(c)</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15,966,530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w:t>
            </w:r>
          </w:p>
        </w:tc>
        <w:tc>
          <w:tcPr>
            <w:tcW w:w="16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$ 29,538,080.50</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0.00015310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4,522.28</w:t>
            </w:r>
          </w:p>
        </w:tc>
      </w:tr>
      <w:tr>
        <w:trPr>
          <w:trHeight w:val="198"/>
        </w:trPr>
        <w:tc>
          <w:tcPr>
            <w:tcW w:w="1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Fees Previously</w:t>
            </w: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Paid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Carry Forward</w:t>
            </w: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1380" w:type="dxa"/>
            <w:vAlign w:val="bottom"/>
            <w:shd w:val="clear" w:color="auto" w:fill="CCEEFF"/>
          </w:tcPr>
          <w:p>
            <w:pPr>
              <w:spacing w:after="0"/>
              <w:rPr>
                <w:sz w:val="19"/>
                <w:szCs w:val="19"/>
                <w:color w:val="auto"/>
              </w:rPr>
            </w:pPr>
          </w:p>
        </w:tc>
        <w:tc>
          <w:tcPr>
            <w:tcW w:w="3820" w:type="dxa"/>
            <w:vAlign w:val="bottom"/>
            <w:gridSpan w:val="7"/>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$ 29,538,080.50</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0.00015310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4,522.28</w:t>
            </w:r>
          </w:p>
        </w:tc>
      </w:tr>
      <w:tr>
        <w:trPr>
          <w:trHeight w:val="209"/>
        </w:trPr>
        <w:tc>
          <w:tcPr>
            <w:tcW w:w="138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8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23"/>
        </w:trPr>
        <w:tc>
          <w:tcPr>
            <w:tcW w:w="13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8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4,522.28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61"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this registration statement shall also cover any additional shares of the registrant’s securities that become issuable by reason of any share splits, share dividends or similar transactions.</w:t>
      </w:r>
    </w:p>
    <w:p>
      <w:pPr>
        <w:ind w:left="340" w:hanging="332"/>
        <w:spacing w:after="0" w:line="250"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Rules 457(c) solely for purposes of calculating the registration fee, based on the average of the high and low prices of the Registrant’s common stock as reported on the Nasdaq Capital Market on January 29, 2025 ($1.85 per share of common stock).</w:t>
      </w: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an aggregate of 15,966,530 shares of the Registrant’s common stock issuable upon the exercise of outstanding warrants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1."/>
      <w:numFmt w:val="decimal"/>
      <w:start w:val="1"/>
    </w:lvl>
  </w:abstractNum>
  <w:abstractNum w:abstractNumId="33">
    <w:nsid w:val="1BA026FA"/>
    <w:multiLevelType w:val="hybridMultilevel"/>
    <w:lvl w:ilvl="0">
      <w:lvlJc w:val="left"/>
      <w:lvlText w:val="%1."/>
      <w:numFmt w:val="decimal"/>
      <w:start w:val="5"/>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1)"/>
      <w:numFmt w:val="decimal"/>
      <w:start w:val="1"/>
    </w:lvl>
  </w:abstractNum>
  <w:abstractNum w:abstractNumId="37">
    <w:nsid w:val="70C6A529"/>
    <w:multiLevelType w:val="hybridMultilevel"/>
    <w:lvl w:ilvl="0">
      <w:lvlJc w:val="left"/>
      <w:lvlText w:val="(%1)"/>
      <w:numFmt w:val="decimal"/>
      <w:start w:val="1"/>
    </w:lvl>
  </w:abstractNum>
  <w:abstractNum w:abstractNumId="38">
    <w:nsid w:val="520EEDD1"/>
    <w:multiLevelType w:val="hybridMultilevel"/>
    <w:lvl w:ilvl="0">
      <w:lvlJc w:val="left"/>
      <w:lvlText w:val="(%1)"/>
      <w:numFmt w:val="decimal"/>
      <w:start w:val="1"/>
    </w:lvl>
  </w:abstractNum>
  <w:abstractNum w:abstractNumId="39">
    <w:nsid w:val="374A3FE6"/>
    <w:multiLevelType w:val="hybridMultilevel"/>
    <w:lvl w:ilvl="0">
      <w:lvlJc w:val="left"/>
      <w:lvlText w:val="(%1)"/>
      <w:numFmt w:val="lowerRoman"/>
      <w:start w:val="2"/>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1)"/>
      <w:numFmt w:val="decimal"/>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1)"/>
      <w:numFmt w:val="decimal"/>
      <w:start w:val="1"/>
    </w:lvl>
  </w:abstractNum>
  <w:abstractNum w:abstractNumId="45">
    <w:nsid w:val="1CF10FD8"/>
    <w:multiLevelType w:val="hybridMultilevel"/>
    <w:lvl w:ilvl="0">
      <w:lvlJc w:val="left"/>
      <w:lvlText w:val="(%1)"/>
      <w:numFmt w:val="decimal"/>
      <w:start w:val="5"/>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
      <w:numFmt w:val="bullet"/>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1)"/>
      <w:numFmt w:val="lowerRoman"/>
      <w:start w:val="2"/>
    </w:lvl>
  </w:abstractNum>
  <w:abstractNum w:abstractNumId="56">
    <w:nsid w:val="7E0C57B1"/>
    <w:multiLevelType w:val="hybridMultilevel"/>
    <w:lvl w:ilvl="0">
      <w:lvlJc w:val="left"/>
      <w:lvlText w:val="(*)"/>
      <w:numFmt w:val="bullet"/>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
      <w:numFmt w:val="bullet"/>
      <w:start w:val="1"/>
    </w:lvl>
  </w:abstractNum>
  <w:abstractNum w:abstractNumId="59">
    <w:nsid w:val="310C50B3"/>
    <w:multiLevelType w:val="hybridMultilevel"/>
    <w:lvl w:ilvl="0">
      <w:lvlJc w:val="left"/>
      <w:lvlText w:val="●"/>
      <w:numFmt w:val="bullet"/>
      <w:start w:val="1"/>
    </w:lvl>
  </w:abstractNum>
  <w:abstractNum w:abstractNumId="60">
    <w:nsid w:val="5FF87E05"/>
    <w:multiLevelType w:val="hybridMultilevel"/>
    <w:lvl w:ilvl="0">
      <w:lvlJc w:val="left"/>
      <w:lvlText w:val="(%1)"/>
      <w:numFmt w:val="lowerLetter"/>
      <w:start w:val="1"/>
    </w:lvl>
  </w:abstractNum>
  <w:abstractNum w:abstractNumId="61">
    <w:nsid w:val="2F305DEF"/>
    <w:multiLevelType w:val="hybridMultilevel"/>
    <w:lvl w:ilvl="0">
      <w:lvlJc w:val="left"/>
      <w:lvlText w:val="*"/>
      <w:numFmt w:val="bullet"/>
      <w:start w:val="1"/>
    </w:lvl>
    <w:lvl w:ilvl="1">
      <w:lvlJc w:val="left"/>
      <w:lvlText w:val="%2"/>
      <w:numFmt w:val="decimal"/>
      <w:start w:val="107"/>
    </w:lvl>
  </w:abstractNum>
  <w:abstractNum w:abstractNumId="62">
    <w:nsid w:val="25A70BF7"/>
    <w:multiLevelType w:val="hybridMultilevel"/>
    <w:lvl w:ilvl="0">
      <w:lvlJc w:val="left"/>
      <w:lvlText w:val="(%1)"/>
      <w:numFmt w:val="lowerRoman"/>
      <w:start w:val="1"/>
    </w:lvl>
  </w:abstractNum>
  <w:abstractNum w:abstractNumId="63">
    <w:nsid w:val="1DBABF00"/>
    <w:multiLevelType w:val="hybridMultilevel"/>
    <w:lvl w:ilvl="0">
      <w:lvlJc w:val="left"/>
      <w:lvlText w:val="(%1)"/>
      <w:numFmt w:val="decimal"/>
      <w:start w:val="2"/>
    </w:lvl>
  </w:abstractNum>
  <w:abstractNum w:abstractNumId="64">
    <w:nsid w:val="4AD084E9"/>
    <w:multiLevelType w:val="hybridMultilevel"/>
    <w:lvl w:ilvl="0">
      <w:lvlJc w:val="left"/>
      <w:lvlText w:val="(%1)"/>
      <w:numFmt w:val="decimal"/>
      <w:start w:val="5"/>
    </w:lvl>
  </w:abstractNum>
  <w:abstractNum w:abstractNumId="65">
    <w:nsid w:val="1F48EAA1"/>
    <w:multiLevelType w:val="hybridMultilevel"/>
    <w:lvl w:ilvl="0">
      <w:lvlJc w:val="left"/>
      <w:lvlText w:val="(%1)"/>
      <w:numFmt w:val="lowerLetter"/>
      <w:start w:val="2"/>
    </w:lvl>
  </w:abstractNum>
  <w:abstractNum w:abstractNumId="66">
    <w:nsid w:val="1381823A"/>
    <w:multiLevelType w:val="hybridMultilevel"/>
    <w:lvl w:ilvl="0">
      <w:lvlJc w:val="left"/>
      <w:lvlText w:val="(%1)"/>
      <w:numFmt w:val="lowerLetter"/>
      <w:start w:val="8"/>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88" Type="http://schemas.openxmlformats.org/officeDocument/2006/relationships/image" Target="media/image160.png"/><Relationship Id="rId212" Type="http://schemas.openxmlformats.org/officeDocument/2006/relationships/image" Target="media/image161.png"/><Relationship Id="rId234" Type="http://schemas.openxmlformats.org/officeDocument/2006/relationships/image" Target="media/image162.png"/><Relationship Id="rId235" Type="http://schemas.openxmlformats.org/officeDocument/2006/relationships/image" Target="media/image163.png"/><Relationship Id="rId236" Type="http://schemas.openxmlformats.org/officeDocument/2006/relationships/image" Target="media/image164.png"/><Relationship Id="rId237" Type="http://schemas.openxmlformats.org/officeDocument/2006/relationships/image" Target="media/image165.png"/><Relationship Id="rId238" Type="http://schemas.openxmlformats.org/officeDocument/2006/relationships/image" Target="media/image166.png"/><Relationship Id="rId239" Type="http://schemas.openxmlformats.org/officeDocument/2006/relationships/image" Target="media/image167.jpeg"/><Relationship Id="rId240" Type="http://schemas.openxmlformats.org/officeDocument/2006/relationships/image" Target="media/image168.png"/><Relationship Id="rId241" Type="http://schemas.openxmlformats.org/officeDocument/2006/relationships/image" Target="media/image169.png"/><Relationship Id="rId242" Type="http://schemas.openxmlformats.org/officeDocument/2006/relationships/image" Target="media/image170.png"/><Relationship Id="rId243" Type="http://schemas.openxmlformats.org/officeDocument/2006/relationships/image" Target="media/image171.png"/><Relationship Id="rId167" Type="http://schemas.openxmlformats.org/officeDocument/2006/relationships/hyperlink" Target="https://www.sec.gov/Archives/edgar/data/883975/000119312516682077/d161430dex21.htm" TargetMode="External"/><Relationship Id="rId168" Type="http://schemas.openxmlformats.org/officeDocument/2006/relationships/hyperlink" Target="https://www.sec.gov/Archives/edgar/data/883975/000095013407005808/f27726exv3w1.htm" TargetMode="External"/><Relationship Id="rId169" Type="http://schemas.openxmlformats.org/officeDocument/2006/relationships/hyperlink" Target="https://www.sec.gov/Archives/edgar/data/883975/000119312516779597/d296933dex31.htm" TargetMode="External"/><Relationship Id="rId170" Type="http://schemas.openxmlformats.org/officeDocument/2006/relationships/hyperlink" Target="https://www.sec.gov/Archives/edgar/data/883975/000149315218012872/ex3-1.htm" TargetMode="External"/><Relationship Id="rId171" Type="http://schemas.openxmlformats.org/officeDocument/2006/relationships/hyperlink" Target="https://www.sec.gov/Archives/edgar/data/883975/000129993316002374/exhibit1.htm" TargetMode="External"/><Relationship Id="rId172" Type="http://schemas.openxmlformats.org/officeDocument/2006/relationships/hyperlink" Target="https://www.sec.gov/Archives/edgar/data/883975/000149315218017395/ex3-1.htm" TargetMode="External"/><Relationship Id="rId173" Type="http://schemas.openxmlformats.org/officeDocument/2006/relationships/hyperlink" Target="https://www.sec.gov/Archives/edgar/data/883975/000149315219013998/ex3-1.htm" TargetMode="External"/><Relationship Id="rId174" Type="http://schemas.openxmlformats.org/officeDocument/2006/relationships/hyperlink" Target="https://www.sec.gov/Archives/edgar/data/883975/000149315221010347/ex3-1.htm" TargetMode="External"/><Relationship Id="rId175" Type="http://schemas.openxmlformats.org/officeDocument/2006/relationships/hyperlink" Target="https://www.sec.gov/Archives/edgar/data/883975/000149315220006338/ex4-10.htm" TargetMode="External"/><Relationship Id="rId176" Type="http://schemas.openxmlformats.org/officeDocument/2006/relationships/hyperlink" Target="https://www.sec.gov/Archives/edgar/data/883975/000149315222029541/ex4-2.htm" TargetMode="External"/><Relationship Id="rId177" Type="http://schemas.openxmlformats.org/officeDocument/2006/relationships/hyperlink" Target="https://www.sec.gov/Archives/edgar/data/883975/000149315222029541/ex4-4.htm" TargetMode="External"/><Relationship Id="rId178" Type="http://schemas.openxmlformats.org/officeDocument/2006/relationships/hyperlink" Target="https://www.sec.gov/Archives/edgar/data/883975/000149315223018718/ex4-1.htm" TargetMode="External"/><Relationship Id="rId179" Type="http://schemas.openxmlformats.org/officeDocument/2006/relationships/hyperlink" Target="https://www.sec.gov/Archives/edgar/data/883975/000149315223018932/ex4-2.htm" TargetMode="External"/><Relationship Id="rId180" Type="http://schemas.openxmlformats.org/officeDocument/2006/relationships/hyperlink" Target="https://www.sec.gov/Archives/edgar/data/883975/000149315223018932/ex10-2.htm" TargetMode="External"/><Relationship Id="rId181" Type="http://schemas.openxmlformats.org/officeDocument/2006/relationships/hyperlink" Target="https://www.sec.gov/Archives/edgar/data/883975/000149315223020309/ex4-1.htm" TargetMode="External"/><Relationship Id="rId182" Type="http://schemas.openxmlformats.org/officeDocument/2006/relationships/hyperlink" Target="https://www.sec.gov/Archives/edgar/data/883975/000149315223020309/ex4-2.htm" TargetMode="External"/><Relationship Id="rId183" Type="http://schemas.openxmlformats.org/officeDocument/2006/relationships/hyperlink" Target="https://www.sec.gov/Archives/edgar/data/883975/000149315223022814/ex4-1.htm" TargetMode="External"/><Relationship Id="rId184" Type="http://schemas.openxmlformats.org/officeDocument/2006/relationships/hyperlink" Target="https://www.sec.gov/Archives/edgar/data/883975/000149315223022814/ex4-2.htm" TargetMode="External"/><Relationship Id="rId185" Type="http://schemas.openxmlformats.org/officeDocument/2006/relationships/hyperlink" Target="https://www.sec.gov/Archives/edgar/data/883975/000149315224000109/ex4-1.htm" TargetMode="External"/><Relationship Id="rId186" Type="http://schemas.openxmlformats.org/officeDocument/2006/relationships/hyperlink" Target="https://www.sec.gov/Archives/edgar/data/883975/000149315224000109/ex4-2.htm" TargetMode="External"/><Relationship Id="rId187" Type="http://schemas.openxmlformats.org/officeDocument/2006/relationships/hyperlink" Target="https://www.sec.gov/Archives/edgar/data/883975/000149315224022560/ex4-1.htm" TargetMode="External"/><Relationship Id="rId189" Type="http://schemas.openxmlformats.org/officeDocument/2006/relationships/hyperlink" Target="https://www.sec.gov/Archives/edgar/data/883975/000149315224022560/ex4-2.htm" TargetMode="External"/><Relationship Id="rId190" Type="http://schemas.openxmlformats.org/officeDocument/2006/relationships/hyperlink" Target="https://www.sec.gov/Archives/edgar/data/883975/000149315225001133/ex4-1.htm" TargetMode="External"/><Relationship Id="rId191" Type="http://schemas.openxmlformats.org/officeDocument/2006/relationships/hyperlink" Target="https://www.sec.gov/Archives/edgar/data/883975/000149315225001133/ex4-2.htm" TargetMode="External"/><Relationship Id="rId192" Type="http://schemas.openxmlformats.org/officeDocument/2006/relationships/hyperlink" Target="https://www.sec.gov/Archives/edgar/data/883975/000149315225001559/ex4-1.htm" TargetMode="External"/><Relationship Id="rId193" Type="http://schemas.openxmlformats.org/officeDocument/2006/relationships/hyperlink" Target="https://www.sec.gov/Archives/edgar/data/883975/000149315225001559/ex4-2.htm" TargetMode="External"/><Relationship Id="rId194" Type="http://schemas.openxmlformats.org/officeDocument/2006/relationships/hyperlink" Target="https://www.sec.gov/Archives/edgar/data/883975/000119312516779729/d296933dex104.htm" TargetMode="External"/><Relationship Id="rId195" Type="http://schemas.openxmlformats.org/officeDocument/2006/relationships/hyperlink" Target="https://www.sec.gov/Archives/edgar/data/883975/000119312516779729/d296933dex105.htm" TargetMode="External"/><Relationship Id="rId196" Type="http://schemas.openxmlformats.org/officeDocument/2006/relationships/hyperlink" Target="https://www.sec.gov/Archives/edgar/data/883975/000149315217002678/ex10-14.htm" TargetMode="External"/><Relationship Id="rId197" Type="http://schemas.openxmlformats.org/officeDocument/2006/relationships/hyperlink" Target="https://www.sec.gov/Archives/edgar/data/883975/000149315217013222/ex10-1.htm" TargetMode="External"/><Relationship Id="rId198" Type="http://schemas.openxmlformats.org/officeDocument/2006/relationships/hyperlink" Target="https://www.sec.gov/Archives/edgar/data/883975/000149315218000286/ex10-1.htm" TargetMode="External"/><Relationship Id="rId199" Type="http://schemas.openxmlformats.org/officeDocument/2006/relationships/hyperlink" Target="https://www.sec.gov/Archives/edgar/data/883975/000149315220006338/ex10-9.htm" TargetMode="External"/><Relationship Id="rId200" Type="http://schemas.openxmlformats.org/officeDocument/2006/relationships/hyperlink" Target="https://www.sec.gov/Archives/edgar/data/883975/000149315217008987/def14a.htm" TargetMode="External"/><Relationship Id="rId201" Type="http://schemas.openxmlformats.org/officeDocument/2006/relationships/hyperlink" Target="https://www.sec.gov/Archives/edgar/data/883975/000149315220014354/def14a.htm" TargetMode="External"/><Relationship Id="rId202" Type="http://schemas.openxmlformats.org/officeDocument/2006/relationships/hyperlink" Target="https://www.sec.gov/Archives/edgar/data/883975/000149315220022543/ex4-2.htm" TargetMode="External"/><Relationship Id="rId203" Type="http://schemas.openxmlformats.org/officeDocument/2006/relationships/hyperlink" Target="https://www.sec.gov/Archives/edgar/data/883975/000149315220022543/ex4-3.htm" TargetMode="External"/><Relationship Id="rId204" Type="http://schemas.openxmlformats.org/officeDocument/2006/relationships/hyperlink" Target="https://www.sec.gov/Archives/edgar/data/883975/000149315220022543/ex4-4.htm" TargetMode="External"/><Relationship Id="rId205" Type="http://schemas.openxmlformats.org/officeDocument/2006/relationships/hyperlink" Target="https://www.sec.gov/Archives/edgar/data/883975/000149315220022543/ex4-5.htm" TargetMode="External"/><Relationship Id="rId206" Type="http://schemas.openxmlformats.org/officeDocument/2006/relationships/hyperlink" Target="https://www.sec.gov/Archives/edgar/data/883975/000149315220022543/ex4-6.htm" TargetMode="External"/><Relationship Id="rId207" Type="http://schemas.openxmlformats.org/officeDocument/2006/relationships/hyperlink" Target="https://www.sec.gov/Archives/edgar/data/883975/000149315221008148/ex10-1.htm" TargetMode="External"/><Relationship Id="rId208" Type="http://schemas.openxmlformats.org/officeDocument/2006/relationships/hyperlink" Target="https://www.sec.gov/Archives/edgar/data/883975/000149315221009469/ex10-1.htm" TargetMode="External"/><Relationship Id="rId209" Type="http://schemas.openxmlformats.org/officeDocument/2006/relationships/hyperlink" Target="https://www.sec.gov/Archives/edgar/data/883975/000149315221014052/ex10-1.htm" TargetMode="External"/><Relationship Id="rId210" Type="http://schemas.openxmlformats.org/officeDocument/2006/relationships/hyperlink" Target="https://www.sec.gov/Archives/edgar/data/883975/000149315222027872/ex10-1.htm" TargetMode="External"/><Relationship Id="rId211" Type="http://schemas.openxmlformats.org/officeDocument/2006/relationships/hyperlink" Target="https://www.sec.gov/Archives/edgar/data/883975/000149315222009272/ex10-1.htm" TargetMode="External"/><Relationship Id="rId213" Type="http://schemas.openxmlformats.org/officeDocument/2006/relationships/hyperlink" Target="https://www.sec.gov/Archives/edgar/data/883975/000149315222002881/ex10-1.htm" TargetMode="External"/><Relationship Id="rId214" Type="http://schemas.openxmlformats.org/officeDocument/2006/relationships/hyperlink" Target="https://www.sec.gov/Archives/edgar/data/883975/000149315223010223/ex10-21.htm" TargetMode="External"/><Relationship Id="rId215" Type="http://schemas.openxmlformats.org/officeDocument/2006/relationships/hyperlink" Target="https://www.sec.gov/Archives/edgar/data/883975/000149315222029541/ex10-1.htm" TargetMode="External"/><Relationship Id="rId216" Type="http://schemas.openxmlformats.org/officeDocument/2006/relationships/hyperlink" Target="https://www.sec.gov/Archives/edgar/data/883975/000149315223018456/ex10-1.htm" TargetMode="External"/><Relationship Id="rId217" Type="http://schemas.openxmlformats.org/officeDocument/2006/relationships/hyperlink" Target="https://www.sec.gov/Archives/edgar/data/883975/000149315223018456/ex10-2.htm" TargetMode="External"/><Relationship Id="rId218" Type="http://schemas.openxmlformats.org/officeDocument/2006/relationships/hyperlink" Target="https://www.sec.gov/Archives/edgar/data/883975/000149315223018456/ex10-3.htm" TargetMode="External"/><Relationship Id="rId219" Type="http://schemas.openxmlformats.org/officeDocument/2006/relationships/hyperlink" Target="https://www.sec.gov/Archives/edgar/data/883975/000149315223018456/ex10-4.htm" TargetMode="External"/><Relationship Id="rId220" Type="http://schemas.openxmlformats.org/officeDocument/2006/relationships/hyperlink" Target="https://www.sec.gov/Archives/edgar/data/883975/000149315223018718/ex10-1.htm" TargetMode="External"/><Relationship Id="rId221" Type="http://schemas.openxmlformats.org/officeDocument/2006/relationships/hyperlink" Target="https://www.sec.gov/Archives/edgar/data/883975/000149315223018932/ex10-1.htm" TargetMode="External"/><Relationship Id="rId222" Type="http://schemas.openxmlformats.org/officeDocument/2006/relationships/hyperlink" Target="https://www.sec.gov/Archives/edgar/data/883975/000149315223020309/ex10-1.htm" TargetMode="External"/><Relationship Id="rId223" Type="http://schemas.openxmlformats.org/officeDocument/2006/relationships/hyperlink" Target="https://www.sec.gov/Archives/edgar/data/883975/000149315223022814/ex10-1.htm" TargetMode="External"/><Relationship Id="rId224" Type="http://schemas.openxmlformats.org/officeDocument/2006/relationships/hyperlink" Target="https://www.sec.gov/Archives/edgar/data/883975/000149315223042204/ex10-1.htm" TargetMode="External"/><Relationship Id="rId225" Type="http://schemas.openxmlformats.org/officeDocument/2006/relationships/hyperlink" Target="https://www.sec.gov/Archives/edgar/data/883975/000149315224000109/ex10-1.htm" TargetMode="External"/><Relationship Id="rId226" Type="http://schemas.openxmlformats.org/officeDocument/2006/relationships/hyperlink" Target="https://www.sec.gov/Archives/edgar/data/883975/000149315224004231/ex10-1.htm" TargetMode="External"/><Relationship Id="rId227" Type="http://schemas.openxmlformats.org/officeDocument/2006/relationships/hyperlink" Target="https://www.sec.gov/Archives/edgar/data/883975/000149315224004231/ex10-2.htm" TargetMode="External"/><Relationship Id="rId228" Type="http://schemas.openxmlformats.org/officeDocument/2006/relationships/hyperlink" Target="https://www.sec.gov/Archives/edgar/data/883975/000149315224022560/ex10-1.htm" TargetMode="External"/><Relationship Id="rId229" Type="http://schemas.openxmlformats.org/officeDocument/2006/relationships/hyperlink" Target="https://www.sec.gov/Archives/edgar/data/883975/000149315224025813/ex5-1.htm" TargetMode="External"/><Relationship Id="rId230" Type="http://schemas.openxmlformats.org/officeDocument/2006/relationships/hyperlink" Target="https://www.sec.gov/Archives/edgar/data/883975/000149315225001133/ex10-1.htm" TargetMode="External"/><Relationship Id="rId231" Type="http://schemas.openxmlformats.org/officeDocument/2006/relationships/hyperlink" Target="https://www.sec.gov/Archives/edgar/data/883975/000149315225001559/ex10-1.htm" TargetMode="External"/><Relationship Id="rId232" Type="http://schemas.openxmlformats.org/officeDocument/2006/relationships/hyperlink" Target="https://www.sec.gov/Archives/edgar/data/883975/000149315217002678/ex21-1.htm" TargetMode="External"/><Relationship Id="rId233" Type="http://schemas.openxmlformats.org/officeDocument/2006/relationships/hyperlink" Target="https://www.sec.gov/Archives/edgar/data/883975/000149315224011521/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2025-02-04T15:39:46Z</dcterms:created>
  <dcterms:modified xsi:type="dcterms:W3CDTF">2025-02-04T15:39:46Z</dcterms:modified>
</cp:coreProperties>
</file>