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March 1, 2009</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1, 2009, StemCells, Inc. (the "Company") entered into an asset purchase agreement (the "APA") with Stem Cell Sciences Plc ("SCS"). Pursuant to the APA, and subject to customary closing conditions, the Company will acquire substantially all of the operating assets and liabilities of SCS (the "Acquisition") by acquiring certain contracts of SCS and all shares of Stem Cell Sciences Holdings Limited ("Holdings"), a wholly-owned subsidiary of SCS which in turns holds the operating subsidiaries that currently transact substantially all of the business of SCS (along with Holdings, collectively, the "Operating Subsidiaries"). Upon completion of the Acquisition, Holdings will continue to hold the operating subsidiaries, but as wholly-owned subsidiaries of the Company. A copy of the joint press release announcing the Acquisition is attached as Exhibit 99.1.</w:t>
      </w:r>
    </w:p>
    <w:p>
      <w:pPr>
        <w:spacing w:after="0" w:line="17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Among other things, the APA contains customary representations and warranties made by SCS to the Company, covenants regarding the conduct of the Operating Subsidiaries’ business pending completion of the Acquisition, consents and approvals required for, and conditions to, the completion of the Acquisition, and terms for interim financing that will be provided by the Company to SCS, as described below. The Acquisition is subject to the approval of the stockholders of SCS and is expected to close within the next 60 days. The Company has entered into voting agreements with certain stockholders of SCS, together holding over 30% of the voting power of SCS, pursuant to which such stockholders have irrevocably agreed to vote their shares in favor of the Acquisition.</w:t>
      </w:r>
    </w:p>
    <w:p>
      <w:pPr>
        <w:spacing w:after="0" w:line="15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consideration for the acquisition of substantially all of the operating assets and liabilities of SCS, the Company will issue to SCS, at the closing and except as provided below, 2,650,000 shares of the Company’s common stock (the "Consideration Shares"), valued at $4,134,000 as of February 27, 2009, plus waive certain commitments of SCS to repay approximately $715,00 0 in cash made available by the Company to SCS for working capital purposes. 20% of the Consideration Shares will be placed in escrow for the benefit of the Company for a twelve month period following closing of the Acquisition to satisfy any indemnification obligations that may arise. The actual number of Consideration Shares delivered to SCS at the closing will depend on the Operating Subsidiaries having at least an agreed-upon target amount of working capital. The Company will file a registration statement on Form S-3 for any resales of the Consideration Shares by SCS following the closing of the Acquisition.</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the APA, the Company and SCS also entered into a facility agreement on March 1, 2009 (the "Second Facility Agreement") pursuant to which the Company has agreed to lend to SCS up to an aggregate principal amount of $415,000, to be drawn down by SCS for bona fide operating and transaction expenses incurred prior to the closing of the Acquisition. Upon closing, the Company will waive SCS’ obligations to repay any amounts borrowed by SCS under the Second Facility Agreement as well as £200,000 in debt previously borrowed by SCS from the Company under a prior facility agreement entered into in December 2008. The principal amounts owed on both of these loans accrue interest at 8% per annum and such principal amounts and accrued interest will become due and payable on June 23, 2009 if the Acquisition does not occur prior to that date. The principal amount borrowed under the Second Facility Agreement will also become immediately repayable if the APA is terminated by the Company, under certain conditions, prior to June 23,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Apart from statements of historical fact, the text of this Form 8-K and the press release attached as Exhibit 99.1 hereto constitutes “forward-looking statements” within the meaning of federal securities laws, regarding, among other things, the proposed transaction between the Company and SCS, the expected timetable for completing the transaction, the future business operations of the Company and the combined company, the potential benefits and synergies arising from the proposed transaction, the Company’s ability to leverage the SCS assets and realize their value, and future opportunities for the combined company, including new product development and the ability to conduct clinical trials. The forward-looking statements contained in this Form 8-K and the press release speak only as of the dates of this Form 8-K and the press release, respectively. The Company does not undertake to update any of these forward-looking statements t 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uncertainty as to the timing of the stockholder meeting at which SCS’ stockholders will vote on approving the Acquisition and the transactions contemplated by the APA as well as uncertainties about whether the SCS stockholders will vote to approve the Acquisition, the timing of the completion of the Acquisition, the possibility that various closing conditions may not be satisfied, the effects of disruption from the Acquisition making it more difficult to maintain relationships with employees, licensees, other business partners or governmental entities, transaction costs, uncertainties regarding the Companyȁ 9;s ability to obtain the increased capital resources needed to continue its current research and development operations, including such operations of the combined company, and to conduct the research, preclinical development and clinical trials necessary for regulatory approvals; and other factors that are described under the heading “Risk Factors” in Item 1A of Part II of the Company’s most recent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3,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of StemCells, Inc., dated March 2,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1"/>
          <w:szCs w:val="21"/>
          <w:b w:val="1"/>
          <w:bCs w:val="1"/>
          <w:color w:val="auto"/>
        </w:rPr>
        <w:t>STEMCELLS, INC. TO ACQUIRE CELL-BASED DRUG DISCOVERY PLATFORMS AND RELATED BUSINESSES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 STEM</w:t>
      </w:r>
    </w:p>
    <w:p>
      <w:pPr>
        <w:jc w:val="center"/>
        <w:ind w:right="-39"/>
        <w:spacing w:after="0"/>
        <w:rPr>
          <w:sz w:val="20"/>
          <w:szCs w:val="20"/>
          <w:color w:val="auto"/>
        </w:rPr>
      </w:pPr>
      <w:r>
        <w:rPr>
          <w:rFonts w:ascii="Arial" w:cs="Arial" w:eastAsia="Arial" w:hAnsi="Arial"/>
          <w:sz w:val="22"/>
          <w:szCs w:val="22"/>
          <w:b w:val="1"/>
          <w:bCs w:val="1"/>
          <w:color w:val="auto"/>
        </w:rPr>
        <w:t>CELL SCIENCES PLC</w:t>
      </w:r>
    </w:p>
    <w:p>
      <w:pPr>
        <w:spacing w:after="0" w:line="182" w:lineRule="exact"/>
        <w:rPr>
          <w:sz w:val="20"/>
          <w:szCs w:val="20"/>
          <w:color w:val="auto"/>
        </w:rPr>
      </w:pPr>
    </w:p>
    <w:p>
      <w:pPr>
        <w:spacing w:after="0" w:line="280" w:lineRule="auto"/>
        <w:rPr>
          <w:sz w:val="20"/>
          <w:szCs w:val="20"/>
          <w:color w:val="auto"/>
        </w:rPr>
      </w:pPr>
      <w:r>
        <w:rPr>
          <w:rFonts w:ascii="Arial" w:cs="Arial" w:eastAsia="Arial" w:hAnsi="Arial"/>
          <w:sz w:val="19"/>
          <w:szCs w:val="19"/>
          <w:b w:val="1"/>
          <w:bCs w:val="1"/>
          <w:color w:val="auto"/>
        </w:rPr>
        <w:t xml:space="preserve">PALO ALTO, Calif., and LONDON, UK (March 2, 2009) </w:t>
      </w:r>
      <w:r>
        <w:rPr>
          <w:rFonts w:ascii="Arial" w:cs="Arial" w:eastAsia="Arial" w:hAnsi="Arial"/>
          <w:sz w:val="19"/>
          <w:szCs w:val="19"/>
          <w:color w:val="auto"/>
        </w:rPr>
        <w:t>– StemCells, Inc. (NASDAQ: STEM) and Stem Cell Sciences plc</w:t>
      </w:r>
      <w:r>
        <w:rPr>
          <w:rFonts w:ascii="Arial" w:cs="Arial" w:eastAsia="Arial" w:hAnsi="Arial"/>
          <w:sz w:val="19"/>
          <w:szCs w:val="19"/>
          <w:b w:val="1"/>
          <w:bCs w:val="1"/>
          <w:color w:val="auto"/>
        </w:rPr>
        <w:t xml:space="preserve"> </w:t>
      </w:r>
      <w:r>
        <w:rPr>
          <w:rFonts w:ascii="Arial" w:cs="Arial" w:eastAsia="Arial" w:hAnsi="Arial"/>
          <w:sz w:val="19"/>
          <w:szCs w:val="19"/>
          <w:color w:val="auto"/>
        </w:rPr>
        <w:t>(AIM: STEM, ASX: STC) announced today that they have entered into a definitive agreement pursuant to which StemCells will acquire the operating subsidiaries and certain related assets of Stem Cell Sciences (SCS) for 2,650,000 shares of StemCells common stock and approximately $715,000 in cash. Stem Cell Sciences is a UK-based company focused on commercializing applications of stem cell technologies for drug discovery and regenerative medicine research. StemCells, which is focused on the discovery and development of tissue-derived cellular products for therapeutic uses, will acquire upon completion of the acquisition:</w:t>
      </w:r>
    </w:p>
    <w:p>
      <w:pPr>
        <w:spacing w:after="0" w:line="151" w:lineRule="exact"/>
        <w:rPr>
          <w:sz w:val="20"/>
          <w:szCs w:val="20"/>
          <w:color w:val="auto"/>
        </w:rPr>
      </w:pPr>
    </w:p>
    <w:p>
      <w:pPr>
        <w:ind w:left="440" w:right="760" w:hanging="183"/>
        <w:spacing w:after="0" w:line="251" w:lineRule="auto"/>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proprietary cell technologies relating to embryonic stem cells, induced pluripotent stem (iPS) cells, and tissue-derived (adult) stem cells;</w:t>
      </w:r>
    </w:p>
    <w:p>
      <w:pPr>
        <w:spacing w:after="0" w:line="173" w:lineRule="exact"/>
        <w:rPr>
          <w:rFonts w:ascii="Arial" w:cs="Arial" w:eastAsia="Arial" w:hAnsi="Arial"/>
          <w:sz w:val="22"/>
          <w:szCs w:val="22"/>
          <w:color w:val="auto"/>
        </w:rPr>
      </w:pPr>
    </w:p>
    <w:p>
      <w:pPr>
        <w:ind w:left="440" w:right="420" w:hanging="183"/>
        <w:spacing w:after="0" w:line="251" w:lineRule="auto"/>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expertise and infrastructure for providing cell-based assays for drug discovery and screening, including automated robotic production and manipulation of stem and progenitor cells;</w:t>
      </w:r>
    </w:p>
    <w:p>
      <w:pPr>
        <w:spacing w:after="0" w:line="173" w:lineRule="exact"/>
        <w:rPr>
          <w:rFonts w:ascii="Arial" w:cs="Arial" w:eastAsia="Arial" w:hAnsi="Arial"/>
          <w:sz w:val="22"/>
          <w:szCs w:val="22"/>
          <w:color w:val="auto"/>
        </w:rPr>
      </w:pPr>
    </w:p>
    <w:p>
      <w:pPr>
        <w:ind w:left="440" w:hanging="183"/>
        <w:spacing w:after="0"/>
        <w:tabs>
          <w:tab w:leader="none" w:pos="440" w:val="left"/>
        </w:tabs>
        <w:numPr>
          <w:ilvl w:val="0"/>
          <w:numId w:val="2"/>
        </w:numPr>
        <w:rPr>
          <w:rFonts w:ascii="Arial" w:cs="Arial" w:eastAsia="Arial" w:hAnsi="Arial"/>
          <w:sz w:val="21"/>
          <w:szCs w:val="21"/>
          <w:color w:val="auto"/>
        </w:rPr>
      </w:pPr>
      <w:r>
        <w:rPr>
          <w:rFonts w:ascii="Arial" w:cs="Arial" w:eastAsia="Arial" w:hAnsi="Arial"/>
          <w:sz w:val="21"/>
          <w:szCs w:val="21"/>
          <w:color w:val="auto"/>
        </w:rPr>
        <w:t>patented gene insertion technology, with broad utility in drug screening and for applications in cell and gene therapy;</w:t>
      </w:r>
    </w:p>
    <w:p>
      <w:pPr>
        <w:spacing w:after="0" w:line="224" w:lineRule="exact"/>
        <w:rPr>
          <w:rFonts w:ascii="Arial" w:cs="Arial" w:eastAsia="Arial" w:hAnsi="Arial"/>
          <w:sz w:val="21"/>
          <w:szCs w:val="21"/>
          <w:color w:val="auto"/>
        </w:rPr>
      </w:pPr>
    </w:p>
    <w:p>
      <w:pPr>
        <w:ind w:left="440" w:right="800" w:hanging="183"/>
        <w:spacing w:after="0" w:line="181" w:lineRule="auto"/>
        <w:tabs>
          <w:tab w:leader="none" w:pos="440" w:val="left"/>
        </w:tabs>
        <w:numPr>
          <w:ilvl w:val="0"/>
          <w:numId w:val="2"/>
        </w:numPr>
        <w:rPr>
          <w:rFonts w:ascii="Arial" w:cs="Arial" w:eastAsia="Arial" w:hAnsi="Arial"/>
          <w:sz w:val="43"/>
          <w:szCs w:val="43"/>
          <w:color w:val="auto"/>
          <w:vertAlign w:val="superscript"/>
        </w:rPr>
      </w:pPr>
      <w:r>
        <w:rPr>
          <w:rFonts w:ascii="Arial" w:cs="Arial" w:eastAsia="Arial" w:hAnsi="Arial"/>
          <w:sz w:val="22"/>
          <w:szCs w:val="22"/>
          <w:color w:val="auto"/>
        </w:rPr>
        <w:t>the SC Proven</w:t>
      </w:r>
      <w:r>
        <w:rPr>
          <w:rFonts w:ascii="Arial" w:cs="Arial" w:eastAsia="Arial" w:hAnsi="Arial"/>
          <w:sz w:val="36"/>
          <w:szCs w:val="36"/>
          <w:color w:val="auto"/>
          <w:vertAlign w:val="superscript"/>
        </w:rPr>
        <w:t>®</w:t>
      </w:r>
      <w:r>
        <w:rPr>
          <w:rFonts w:ascii="Arial" w:cs="Arial" w:eastAsia="Arial" w:hAnsi="Arial"/>
          <w:sz w:val="22"/>
          <w:szCs w:val="22"/>
          <w:color w:val="auto"/>
        </w:rPr>
        <w:t xml:space="preserve"> media formulation and reagent business, including the iSTEM</w:t>
      </w:r>
      <w:r>
        <w:rPr>
          <w:rFonts w:ascii="Arial" w:cs="Arial" w:eastAsia="Arial" w:hAnsi="Arial"/>
          <w:sz w:val="36"/>
          <w:szCs w:val="36"/>
          <w:color w:val="auto"/>
          <w:vertAlign w:val="superscript"/>
        </w:rPr>
        <w:t>®,</w:t>
      </w:r>
      <w:r>
        <w:rPr>
          <w:rFonts w:ascii="Arial" w:cs="Arial" w:eastAsia="Arial" w:hAnsi="Arial"/>
          <w:sz w:val="22"/>
          <w:szCs w:val="22"/>
          <w:color w:val="auto"/>
        </w:rPr>
        <w:t xml:space="preserve"> 2i, 3i, Passaid™, HEScGRO™, and EScGRO™ proprietary media;</w:t>
      </w:r>
    </w:p>
    <w:p>
      <w:pPr>
        <w:spacing w:after="0" w:line="185" w:lineRule="exact"/>
        <w:rPr>
          <w:rFonts w:ascii="Arial" w:cs="Arial" w:eastAsia="Arial" w:hAnsi="Arial"/>
          <w:sz w:val="43"/>
          <w:szCs w:val="43"/>
          <w:color w:val="auto"/>
          <w:vertAlign w:val="superscript"/>
        </w:rPr>
      </w:pPr>
    </w:p>
    <w:p>
      <w:pPr>
        <w:ind w:left="440" w:right="400" w:hanging="183"/>
        <w:spacing w:after="0" w:line="251" w:lineRule="auto"/>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a portfolio of over twenty patent families claiming a range of technologies relevant to cell processing, reprogramming and manipulation and gene targeting; and</w:t>
      </w:r>
    </w:p>
    <w:p>
      <w:pPr>
        <w:spacing w:after="0" w:line="173" w:lineRule="exact"/>
        <w:rPr>
          <w:rFonts w:ascii="Arial" w:cs="Arial" w:eastAsia="Arial" w:hAnsi="Arial"/>
          <w:sz w:val="22"/>
          <w:szCs w:val="22"/>
          <w:color w:val="auto"/>
        </w:rPr>
      </w:pPr>
    </w:p>
    <w:p>
      <w:pPr>
        <w:ind w:left="440" w:right="140" w:hanging="183"/>
        <w:spacing w:after="0" w:line="251" w:lineRule="auto"/>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existing business and license relationships respecting SCS technologies entered into by several major life science companies, such as Merck and Millipore, among others.</w:t>
      </w:r>
    </w:p>
    <w:p>
      <w:pPr>
        <w:spacing w:after="0" w:line="173"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“The industrial logic of this acquisition is compelling,” said Martin McGlynn, President and CEO of StemCells. “StemCells has established itself as a world leader in tissue-derived stem and progenitor cells for therapeutic uses, while Stem Cell Sciences has focused on non-therapeutic applications for embryonic and tissue derived stem cells, such as cell-based assays for drug discovery and screening. This proposed acquisition will combine three distinct stem cell platforms, adult, embryonic and iPS cells, for both therapeutic and drug discovery applications, and will position StemCells to diversify and pursue near-term commercialization opportunities while continuing to develop our cell-based therapeutic products.”</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“StemCells, Inc. is the logical home for our businesses,” said Alastair Riddell, Chief Executive Officer of Stem Cell Sciences. “Our respective technologies and capabilities are highly complementary, and the Stem Cell Sciences Board is confident StemCells has the knowledge and resources to fully leverage these assets and realize their potential value.”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Terms of the Transaction</w:t>
      </w:r>
    </w:p>
    <w:p>
      <w:pPr>
        <w:spacing w:after="0" w:line="206" w:lineRule="exact"/>
        <w:rPr>
          <w:sz w:val="20"/>
          <w:szCs w:val="20"/>
          <w:color w:val="auto"/>
        </w:rPr>
      </w:pPr>
    </w:p>
    <w:p>
      <w:pPr>
        <w:ind w:right="360"/>
        <w:spacing w:after="0" w:line="252" w:lineRule="auto"/>
        <w:rPr>
          <w:sz w:val="20"/>
          <w:szCs w:val="20"/>
          <w:color w:val="auto"/>
        </w:rPr>
      </w:pPr>
      <w:r>
        <w:rPr>
          <w:rFonts w:ascii="Arial" w:cs="Arial" w:eastAsia="Arial" w:hAnsi="Arial"/>
          <w:sz w:val="21"/>
          <w:szCs w:val="21"/>
          <w:color w:val="auto"/>
        </w:rPr>
        <w:t>The transaction has been unanimously approved by the board of directors of each of the companies and is subject to customary closing conditions, including the approval of the shareholders of SCS in general meeting. Members of the SCS Board and other significant stockholders representing over 30% of the SCS shares outstanding have irrevocably agreed to vote in favor of the transaction. Approval by StemCells’ stockholders is not required.</w:t>
      </w:r>
    </w:p>
    <w:p>
      <w:pPr>
        <w:spacing w:after="0" w:line="174"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Under the terms of the asset purchase agreement, StemCells will acquire substantially all of the operating assets and liabilities of SCS, including its research and development operations in Cambridge, UK and near Melbourne, Australia, and substantially all of its intellectual property portfolio. It is expected that most of SCS’ approximately 20 full-time current staff will remain with StemCells upon completion of the transaction.</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As consideration for these assets, StemCells will, except as provided below, issue 2,650,000 shares of common stock to SCS. In addition, upon completion, StemCells will waive certain loan obligations of SCS to repay approximately $715,000 in cash made available by StemCells to SCS for its working capital purposes. The actual number of shares delivered to SCS at completion will depend on the acquired subsidiaries having at least an agreed-upon target amount of working capital. A portion of the consideration shares will be held in escrow for release in 12 months, subject to any claims for indemnification StemCells may make under the terms of the agreement.</w:t>
      </w:r>
    </w:p>
    <w:p>
      <w:pPr>
        <w:spacing w:after="0" w:line="188" w:lineRule="exact"/>
        <w:rPr>
          <w:sz w:val="20"/>
          <w:szCs w:val="20"/>
          <w:color w:val="auto"/>
        </w:rPr>
      </w:pPr>
    </w:p>
    <w:p>
      <w:pPr>
        <w:ind w:right="720"/>
        <w:spacing w:after="0" w:line="328" w:lineRule="auto"/>
        <w:rPr>
          <w:sz w:val="20"/>
          <w:szCs w:val="20"/>
          <w:color w:val="auto"/>
        </w:rPr>
      </w:pPr>
      <w:r>
        <w:rPr>
          <w:rFonts w:ascii="Arial" w:cs="Arial" w:eastAsia="Arial" w:hAnsi="Arial"/>
          <w:sz w:val="19"/>
          <w:szCs w:val="19"/>
          <w:color w:val="auto"/>
        </w:rPr>
        <w:t>The transaction is expected to close within two months, after which SCS expects to wind down its operations and distribute proceeds from the sale of the acquisition shares, less its transaction and wind-down expenses, to its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StemCells, Inc. is a clinical-stage biotechnology company focused on the discovery, development and commercialization of cell-based therapeutics to treat diseases of the central nervous system and liver. StemCells’ product development programs seek to repair or repopulate CNS and liver tissue that has been damaged or lost as a result of disease or injury. StemCells has pioneered the</w:t>
      </w:r>
    </w:p>
    <w:p>
      <w:pPr>
        <w:spacing w:after="0" w:line="2"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discovery and development of HuCNS-SC</w:t>
      </w:r>
      <w:r>
        <w:rPr>
          <w:rFonts w:ascii="Arial" w:cs="Arial" w:eastAsia="Arial" w:hAnsi="Arial"/>
          <w:sz w:val="33"/>
          <w:szCs w:val="33"/>
          <w:color w:val="auto"/>
          <w:vertAlign w:val="superscript"/>
        </w:rPr>
        <w:t>®</w:t>
      </w:r>
      <w:r>
        <w:rPr>
          <w:rFonts w:ascii="Arial" w:cs="Arial" w:eastAsia="Arial" w:hAnsi="Arial"/>
          <w:sz w:val="20"/>
          <w:szCs w:val="20"/>
          <w:color w:val="auto"/>
        </w:rPr>
        <w:t xml:space="preserve"> cells, its highly purified, expandable population of human neural stem cells. In January 2009, StemCells completed a six patient Phase I clinical trial of its proprietary HuCNS-SC product candidate as a treatment for neuronal ceroid lipofuscinosis (NCL), a rare and fatal neurodegenerative disease that affects infants and young children. StemCells has also received approval from the US Food and Drug Administration (FDA) to initiate a Phase I clinical trial</w:t>
      </w:r>
    </w:p>
    <w:p>
      <w:pPr>
        <w:sectPr>
          <w:pgSz w:w="11900" w:h="16838" w:orient="portrait"/>
          <w:cols w:equalWidth="0" w:num="1">
            <w:col w:w="11400"/>
          </w:cols>
          <w:pgMar w:left="240" w:top="112" w:right="259" w:bottom="0" w:gutter="0" w:footer="0" w:header="0"/>
        </w:sectPr>
      </w:pPr>
    </w:p>
    <w:bookmarkStart w:id="5" w:name="page6"/>
    <w:bookmarkEnd w:id="5"/>
    <w:p>
      <w:pPr>
        <w:jc w:val="both"/>
        <w:ind w:right="60"/>
        <w:spacing w:after="0" w:line="298" w:lineRule="auto"/>
        <w:rPr>
          <w:sz w:val="20"/>
          <w:szCs w:val="20"/>
          <w:color w:val="auto"/>
        </w:rPr>
      </w:pPr>
      <w:r>
        <w:rPr>
          <w:rFonts w:ascii="Arial" w:cs="Arial" w:eastAsia="Arial" w:hAnsi="Arial"/>
          <w:sz w:val="19"/>
          <w:szCs w:val="19"/>
          <w:color w:val="auto"/>
        </w:rPr>
        <w:t>of the HuCNS-SC cells to treat Pelizaeus-Merzbacher Disease (PMD), also a rare and fatal brain disorder that mainly affects young children. StemCells owns or has exclusive rights to approximately 50 issued or allowed U.S. patents and more than 150 granted or allowed non-U.S. patents. Further information about StemCells is available on its web site at: www.stemcellsinc.com.</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 Cell Sciences plc</w:t>
      </w:r>
    </w:p>
    <w:p>
      <w:pPr>
        <w:spacing w:after="0" w:line="14"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Stem Cell Sciences plc (SCS) is an international research and development company focusing on the commercial application of stem cell biology technologies for drug discovery and regenerative medicine research. SCS is now focusing on building revenues through the sale of products, collaborative research and licensing deals with international biotechnology and pharmaceutical companies. SCS has a substantial portfolio of patents and patent applications in both adult and embryonic stem cell fields. SCS has been active in the stem cell research field since 1994, principally focused on technologies to grow, differentiate, and purify adult and embryonic stem cells. These include technologies to permit the generation of highly purified stem cells and their differentiated progeny (specialized tissue cell types) for use in genetic, pharmacological and toxicological screens. Moreover, these technologies may be able to provide pure populations of appropriate cell types for transplantation therapies in the future. SCS has its main research base and headquarters in Cambridge, UK with a second research base in Monash near Melbourne, Australia.</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9"/>
          <w:szCs w:val="19"/>
          <w:i w:val="1"/>
          <w:iCs w:val="1"/>
          <w:color w:val="auto"/>
        </w:rPr>
        <w:t>Apart from statements of historical fact, the text of this press release constitutes forward-looking statements regarding, among other things, the proposed transaction between StemCells and SCS, the expected timetable for completing the transaction, the future business operations of StemCells, Inc. (the “Company”) and of the combined company, the potential benefits and synergies arising from the proposed transaction, the Company’s ability to leverage the SCS assets and realize their value, future opportunities for the combined company, new product development, including the ability to conduct clinical trials as well as its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uncertainty as to the timing of the shareholder meeting at which SCS’ shareholders will vote on approving the transaction and uncertainties on whether the SCS shareholders will vote to approve the transaction, the timing of the completion of the transaction, the possibility that various closing conditions may not be satisfied, the effects of disruption from the transaction making it more difficult to maintain relationships with employees, licensees, other business partners or governmental entities, transaction costs; risks whether the FDA or other applicable regulatory agencies will permit the Company to continue clinical testing in NCL, PMD or in future clinical trials of proposed therapies for other diseases or conditions despite the novel and unproven nature of the Company’s technologies; uncertainties about whether the Company will receive the necessary support of a clinical study center and its ethics board to initiate a clinical trial in PMD; uncertainties regarding the Company’s ability to obtain the increased capital resources needed to continue its current and planned research and development operations, including such operations of the combined company, and to conduct the research, preclinical development and clinical trials necessary for regulatory approvals;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and other factors that are described under the heading “Risk Factors” in Item 1A of Part II of the Company’s most recent Quarterly Report on Form 10-Q.</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9"/>
          <w:szCs w:val="19"/>
          <w:color w:val="auto"/>
        </w:rPr>
        <w:t>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SOURCE: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w:t>
      </w:r>
    </w:p>
    <w:p>
      <w:pPr>
        <w:spacing w:after="0"/>
        <w:rPr>
          <w:sz w:val="20"/>
          <w:szCs w:val="20"/>
          <w:color w:val="auto"/>
        </w:rPr>
      </w:pPr>
      <w:r>
        <w:rPr>
          <w:rFonts w:ascii="Arial" w:cs="Arial" w:eastAsia="Arial" w:hAnsi="Arial"/>
          <w:sz w:val="21"/>
          <w:szCs w:val="21"/>
          <w:color w:val="auto"/>
        </w:rPr>
        <w:t>Chief Financial Officer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650-475-3100, Ext. 105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irpr@stemcellsinc.com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r>
        <w:rPr>
          <w:rFonts w:ascii="Arial" w:cs="Arial" w:eastAsia="Arial" w:hAnsi="Arial"/>
          <w:sz w:val="19"/>
          <w:szCs w:val="19"/>
          <w:color w:val="auto"/>
        </w:rPr>
        <w:t>.</w:t>
      </w:r>
    </w:p>
    <w:p>
      <w:pPr>
        <w:spacing w:after="0" w:line="179" w:lineRule="exact"/>
        <w:rPr>
          <w:sz w:val="20"/>
          <w:szCs w:val="20"/>
          <w:color w:val="auto"/>
        </w:rPr>
      </w:pPr>
    </w:p>
    <w:p>
      <w:pPr>
        <w:sectPr>
          <w:pgSz w:w="11900" w:h="16838" w:orient="portrait"/>
          <w:cols w:equalWidth="0" w:num="2">
            <w:col w:w="3040" w:space="720"/>
            <w:col w:w="7660"/>
          </w:cols>
          <w:pgMar w:left="240" w:top="118"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w:t>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2019-12-10T10:20:17Z</dcterms:created>
  <dcterms:modified xsi:type="dcterms:W3CDTF">2019-12-10T10:20:17Z</dcterms:modified>
</cp:coreProperties>
</file>