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June 3, 2010</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Item 5.07 Submission of Matters to a Vote of Security Holders.</w:t>
      </w:r>
    </w:p>
    <w:p>
      <w:pPr>
        <w:spacing w:after="0" w:line="202" w:lineRule="exact"/>
        <w:rPr>
          <w:sz w:val="20"/>
          <w:szCs w:val="20"/>
          <w:color w:val="auto"/>
        </w:rPr>
      </w:pPr>
    </w:p>
    <w:p>
      <w:pPr>
        <w:jc w:val="both"/>
        <w:ind w:right="260"/>
        <w:spacing w:after="0" w:line="260" w:lineRule="auto"/>
        <w:rPr>
          <w:sz w:val="20"/>
          <w:szCs w:val="20"/>
          <w:color w:val="auto"/>
        </w:rPr>
      </w:pPr>
      <w:r>
        <w:rPr>
          <w:rFonts w:ascii="Arial" w:cs="Arial" w:eastAsia="Arial" w:hAnsi="Arial"/>
          <w:sz w:val="19"/>
          <w:szCs w:val="19"/>
          <w:color w:val="auto"/>
        </w:rPr>
        <w:t>On June 3, 2010, StemCells, Inc. (the “Company”) held its 2010 Annual Meeting of Stockholders (the “Annual Meeting”), at 2:00 p.m. local time, at the Company’s headquarters located at 3155 Porter Drive, Palo Alto, California, pursuant to notice duly given. Only stockholders of record as of the close of business on April 9, 2010 were entitled to vote at the Annual Meeting. As of April 9, 2010, there were 119,673,325 shares of Company common stock outstanding and entitled to vote at the Annual Meeting, of which 91,848,139 shares of Company common stock were represented, in person or by proxy, constituting a quorum.</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The final results of the stockholder vote on each proposal brought before the meeting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(a) Each of the two nominees to serve as Class I Directors for a three-year term expiring at the 2013 Annual Meeting were elected.</w:t>
      </w:r>
    </w:p>
    <w:p>
      <w:pPr>
        <w:spacing w:after="0" w:line="200" w:lineRule="exact"/>
        <w:rPr>
          <w:sz w:val="20"/>
          <w:szCs w:val="20"/>
          <w:color w:val="auto"/>
        </w:rPr>
      </w:pP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246"/>
        </w:trPr>
        <w:tc>
          <w:tcPr>
            <w:tcW w:w="3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Nominee</w:t>
            </w:r>
          </w:p>
        </w:tc>
        <w:tc>
          <w:tcPr>
            <w:tcW w:w="360" w:type="dxa"/>
            <w:vAlign w:val="bottom"/>
          </w:tcPr>
          <w:p>
            <w:pPr>
              <w:spacing w:after="0"/>
              <w:rPr>
                <w:sz w:val="21"/>
                <w:szCs w:val="21"/>
                <w:color w:val="auto"/>
              </w:rPr>
            </w:pPr>
          </w:p>
        </w:tc>
        <w:tc>
          <w:tcPr>
            <w:tcW w:w="20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Votes For</w:t>
            </w:r>
          </w:p>
        </w:tc>
        <w:tc>
          <w:tcPr>
            <w:tcW w:w="400" w:type="dxa"/>
            <w:vAlign w:val="bottom"/>
          </w:tcPr>
          <w:p>
            <w:pPr>
              <w:spacing w:after="0"/>
              <w:rPr>
                <w:sz w:val="21"/>
                <w:szCs w:val="21"/>
                <w:color w:val="auto"/>
              </w:rPr>
            </w:pPr>
          </w:p>
        </w:tc>
        <w:tc>
          <w:tcPr>
            <w:tcW w:w="21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Votes Withheld</w:t>
            </w:r>
          </w:p>
        </w:tc>
        <w:tc>
          <w:tcPr>
            <w:tcW w:w="380" w:type="dxa"/>
            <w:vAlign w:val="bottom"/>
          </w:tcPr>
          <w:p>
            <w:pPr>
              <w:spacing w:after="0"/>
              <w:rPr>
                <w:sz w:val="21"/>
                <w:szCs w:val="21"/>
                <w:color w:val="auto"/>
              </w:rPr>
            </w:pPr>
          </w:p>
        </w:tc>
        <w:tc>
          <w:tcPr>
            <w:tcW w:w="24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Broker Non-Votes</w:t>
            </w:r>
          </w:p>
        </w:tc>
      </w:tr>
      <w:tr>
        <w:trPr>
          <w:trHeight w:val="206"/>
        </w:trPr>
        <w:tc>
          <w:tcPr>
            <w:tcW w:w="3120" w:type="dxa"/>
            <w:vAlign w:val="bottom"/>
          </w:tcPr>
          <w:p>
            <w:pPr>
              <w:spacing w:after="0" w:line="207" w:lineRule="exact"/>
              <w:rPr>
                <w:sz w:val="20"/>
                <w:szCs w:val="20"/>
                <w:color w:val="auto"/>
              </w:rPr>
            </w:pPr>
            <w:r>
              <w:rPr>
                <w:rFonts w:ascii="Arial" w:cs="Arial" w:eastAsia="Arial" w:hAnsi="Arial"/>
                <w:sz w:val="20"/>
                <w:szCs w:val="20"/>
                <w:color w:val="auto"/>
              </w:rPr>
              <w:t>Eric Bjerkholt</w:t>
            </w:r>
          </w:p>
        </w:tc>
        <w:tc>
          <w:tcPr>
            <w:tcW w:w="360" w:type="dxa"/>
            <w:vAlign w:val="bottom"/>
          </w:tcPr>
          <w:p>
            <w:pPr>
              <w:spacing w:after="0"/>
              <w:rPr>
                <w:sz w:val="17"/>
                <w:szCs w:val="17"/>
                <w:color w:val="auto"/>
              </w:rPr>
            </w:pPr>
          </w:p>
        </w:tc>
        <w:tc>
          <w:tcPr>
            <w:tcW w:w="2020" w:type="dxa"/>
            <w:vAlign w:val="bottom"/>
          </w:tcPr>
          <w:p>
            <w:pPr>
              <w:jc w:val="right"/>
              <w:ind w:right="501"/>
              <w:spacing w:after="0" w:line="207" w:lineRule="exact"/>
              <w:rPr>
                <w:sz w:val="20"/>
                <w:szCs w:val="20"/>
                <w:color w:val="auto"/>
              </w:rPr>
            </w:pPr>
            <w:r>
              <w:rPr>
                <w:rFonts w:ascii="Arial" w:cs="Arial" w:eastAsia="Arial" w:hAnsi="Arial"/>
                <w:sz w:val="20"/>
                <w:szCs w:val="20"/>
                <w:color w:val="auto"/>
              </w:rPr>
              <w:t>16,390,960</w:t>
            </w:r>
          </w:p>
        </w:tc>
        <w:tc>
          <w:tcPr>
            <w:tcW w:w="400" w:type="dxa"/>
            <w:vAlign w:val="bottom"/>
          </w:tcPr>
          <w:p>
            <w:pPr>
              <w:spacing w:after="0"/>
              <w:rPr>
                <w:sz w:val="17"/>
                <w:szCs w:val="17"/>
                <w:color w:val="auto"/>
              </w:rPr>
            </w:pPr>
          </w:p>
        </w:tc>
        <w:tc>
          <w:tcPr>
            <w:tcW w:w="2120" w:type="dxa"/>
            <w:vAlign w:val="bottom"/>
          </w:tcPr>
          <w:p>
            <w:pPr>
              <w:jc w:val="right"/>
              <w:ind w:right="621"/>
              <w:spacing w:after="0" w:line="207" w:lineRule="exact"/>
              <w:rPr>
                <w:sz w:val="20"/>
                <w:szCs w:val="20"/>
                <w:color w:val="auto"/>
              </w:rPr>
            </w:pPr>
            <w:r>
              <w:rPr>
                <w:rFonts w:ascii="Arial" w:cs="Arial" w:eastAsia="Arial" w:hAnsi="Arial"/>
                <w:sz w:val="20"/>
                <w:szCs w:val="20"/>
                <w:color w:val="auto"/>
              </w:rPr>
              <w:t>1,587,821</w:t>
            </w:r>
          </w:p>
        </w:tc>
        <w:tc>
          <w:tcPr>
            <w:tcW w:w="380" w:type="dxa"/>
            <w:vAlign w:val="bottom"/>
          </w:tcPr>
          <w:p>
            <w:pPr>
              <w:spacing w:after="0"/>
              <w:rPr>
                <w:sz w:val="17"/>
                <w:szCs w:val="17"/>
                <w:color w:val="auto"/>
              </w:rPr>
            </w:pPr>
          </w:p>
        </w:tc>
        <w:tc>
          <w:tcPr>
            <w:tcW w:w="2440" w:type="dxa"/>
            <w:vAlign w:val="bottom"/>
          </w:tcPr>
          <w:p>
            <w:pPr>
              <w:jc w:val="right"/>
              <w:ind w:right="741"/>
              <w:spacing w:after="0" w:line="207" w:lineRule="exact"/>
              <w:rPr>
                <w:sz w:val="20"/>
                <w:szCs w:val="20"/>
                <w:color w:val="auto"/>
              </w:rPr>
            </w:pPr>
            <w:r>
              <w:rPr>
                <w:rFonts w:ascii="Arial" w:cs="Arial" w:eastAsia="Arial" w:hAnsi="Arial"/>
                <w:sz w:val="20"/>
                <w:szCs w:val="20"/>
                <w:color w:val="auto"/>
              </w:rPr>
              <w:t>73,869,358</w:t>
            </w:r>
          </w:p>
        </w:tc>
      </w:tr>
      <w:tr>
        <w:trPr>
          <w:trHeight w:val="250"/>
        </w:trPr>
        <w:tc>
          <w:tcPr>
            <w:tcW w:w="3120" w:type="dxa"/>
            <w:vAlign w:val="bottom"/>
          </w:tcPr>
          <w:p>
            <w:pPr>
              <w:spacing w:after="0"/>
              <w:rPr>
                <w:sz w:val="20"/>
                <w:szCs w:val="20"/>
                <w:color w:val="auto"/>
              </w:rPr>
            </w:pPr>
            <w:r>
              <w:rPr>
                <w:rFonts w:ascii="Arial" w:cs="Arial" w:eastAsia="Arial" w:hAnsi="Arial"/>
                <w:sz w:val="20"/>
                <w:szCs w:val="20"/>
                <w:color w:val="auto"/>
              </w:rPr>
              <w:t>John Schwartz, Ph.D.</w:t>
            </w:r>
          </w:p>
        </w:tc>
        <w:tc>
          <w:tcPr>
            <w:tcW w:w="2380" w:type="dxa"/>
            <w:vAlign w:val="bottom"/>
            <w:gridSpan w:val="2"/>
          </w:tcPr>
          <w:p>
            <w:pPr>
              <w:jc w:val="right"/>
              <w:ind w:right="501"/>
              <w:spacing w:after="0"/>
              <w:rPr>
                <w:sz w:val="20"/>
                <w:szCs w:val="20"/>
                <w:color w:val="auto"/>
              </w:rPr>
            </w:pPr>
            <w:r>
              <w:rPr>
                <w:rFonts w:ascii="Arial" w:cs="Arial" w:eastAsia="Arial" w:hAnsi="Arial"/>
                <w:sz w:val="20"/>
                <w:szCs w:val="20"/>
                <w:color w:val="auto"/>
              </w:rPr>
              <w:t>15,976,736</w:t>
            </w:r>
          </w:p>
        </w:tc>
        <w:tc>
          <w:tcPr>
            <w:tcW w:w="2520" w:type="dxa"/>
            <w:vAlign w:val="bottom"/>
            <w:gridSpan w:val="2"/>
          </w:tcPr>
          <w:p>
            <w:pPr>
              <w:jc w:val="right"/>
              <w:ind w:right="621"/>
              <w:spacing w:after="0"/>
              <w:rPr>
                <w:sz w:val="20"/>
                <w:szCs w:val="20"/>
                <w:color w:val="auto"/>
              </w:rPr>
            </w:pPr>
            <w:r>
              <w:rPr>
                <w:rFonts w:ascii="Arial" w:cs="Arial" w:eastAsia="Arial" w:hAnsi="Arial"/>
                <w:sz w:val="20"/>
                <w:szCs w:val="20"/>
                <w:color w:val="auto"/>
              </w:rPr>
              <w:t>2,002,045</w:t>
            </w:r>
          </w:p>
        </w:tc>
        <w:tc>
          <w:tcPr>
            <w:tcW w:w="2820" w:type="dxa"/>
            <w:vAlign w:val="bottom"/>
            <w:gridSpan w:val="2"/>
          </w:tcPr>
          <w:p>
            <w:pPr>
              <w:jc w:val="right"/>
              <w:ind w:right="741"/>
              <w:spacing w:after="0"/>
              <w:rPr>
                <w:sz w:val="20"/>
                <w:szCs w:val="20"/>
                <w:color w:val="auto"/>
              </w:rPr>
            </w:pPr>
            <w:r>
              <w:rPr>
                <w:rFonts w:ascii="Arial" w:cs="Arial" w:eastAsia="Arial" w:hAnsi="Arial"/>
                <w:sz w:val="20"/>
                <w:szCs w:val="20"/>
                <w:color w:val="auto"/>
              </w:rPr>
              <w:t>73,869,358</w:t>
            </w:r>
          </w:p>
        </w:tc>
      </w:tr>
    </w:tbl>
    <w:p>
      <w:pPr>
        <w:spacing w:after="0" w:line="182" w:lineRule="exact"/>
        <w:rPr>
          <w:sz w:val="20"/>
          <w:szCs w:val="20"/>
          <w:color w:val="auto"/>
        </w:rPr>
      </w:pPr>
    </w:p>
    <w:p>
      <w:pPr>
        <w:ind w:right="700" w:firstLine="8"/>
        <w:spacing w:after="0" w:line="260" w:lineRule="auto"/>
        <w:tabs>
          <w:tab w:leader="none" w:pos="277"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appointment of Grant Thornton LLP as the Company’s independent registered public accounting firm for the fiscal year ending December 31, 2010 was ratified.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Arial" w:cs="Arial" w:eastAsia="Arial" w:hAnsi="Arial"/>
                <w:sz w:val="20"/>
                <w:szCs w:val="20"/>
                <w:color w:val="auto"/>
              </w:rPr>
              <w:t>Votes For</w:t>
            </w:r>
          </w:p>
        </w:tc>
        <w:tc>
          <w:tcPr>
            <w:tcW w:w="380" w:type="dxa"/>
            <w:vAlign w:val="bottom"/>
          </w:tcPr>
          <w:p>
            <w:pPr>
              <w:spacing w:after="0"/>
              <w:rPr>
                <w:sz w:val="21"/>
                <w:szCs w:val="21"/>
                <w:color w:val="auto"/>
              </w:rPr>
            </w:pPr>
          </w:p>
        </w:tc>
        <w:tc>
          <w:tcPr>
            <w:tcW w:w="3140" w:type="dxa"/>
            <w:vAlign w:val="bottom"/>
          </w:tcPr>
          <w:p>
            <w:pPr>
              <w:jc w:val="right"/>
              <w:ind w:right="921"/>
              <w:spacing w:after="0"/>
              <w:rPr>
                <w:sz w:val="20"/>
                <w:szCs w:val="20"/>
                <w:color w:val="auto"/>
              </w:rPr>
            </w:pPr>
            <w:r>
              <w:rPr>
                <w:rFonts w:ascii="Arial" w:cs="Arial" w:eastAsia="Arial" w:hAnsi="Arial"/>
                <w:sz w:val="20"/>
                <w:szCs w:val="20"/>
                <w:color w:val="auto"/>
              </w:rPr>
              <w:t>Votes Against</w:t>
            </w:r>
          </w:p>
        </w:tc>
        <w:tc>
          <w:tcPr>
            <w:tcW w:w="380" w:type="dxa"/>
            <w:vAlign w:val="bottom"/>
          </w:tcPr>
          <w:p>
            <w:pPr>
              <w:spacing w:after="0"/>
              <w:rPr>
                <w:sz w:val="21"/>
                <w:szCs w:val="21"/>
                <w:color w:val="auto"/>
              </w:rPr>
            </w:pPr>
          </w:p>
        </w:tc>
        <w:tc>
          <w:tcPr>
            <w:tcW w:w="2420" w:type="dxa"/>
            <w:vAlign w:val="bottom"/>
          </w:tcPr>
          <w:p>
            <w:pPr>
              <w:jc w:val="center"/>
              <w:spacing w:after="0"/>
              <w:rPr>
                <w:sz w:val="20"/>
                <w:szCs w:val="20"/>
                <w:color w:val="auto"/>
              </w:rPr>
            </w:pPr>
            <w:r>
              <w:rPr>
                <w:rFonts w:ascii="Arial" w:cs="Arial" w:eastAsia="Arial" w:hAnsi="Arial"/>
                <w:sz w:val="20"/>
                <w:szCs w:val="20"/>
                <w:color w:val="auto"/>
                <w:w w:val="89"/>
              </w:rPr>
              <w:t>Abstentions</w:t>
            </w:r>
          </w:p>
        </w:tc>
        <w:tc>
          <w:tcPr>
            <w:tcW w:w="2100" w:type="dxa"/>
            <w:vAlign w:val="bottom"/>
            <w:gridSpan w:val="3"/>
          </w:tcPr>
          <w:p>
            <w:pPr>
              <w:ind w:left="400"/>
              <w:spacing w:after="0"/>
              <w:rPr>
                <w:sz w:val="20"/>
                <w:szCs w:val="20"/>
                <w:color w:val="auto"/>
              </w:rPr>
            </w:pPr>
            <w:r>
              <w:rPr>
                <w:rFonts w:ascii="Arial" w:cs="Arial" w:eastAsia="Arial" w:hAnsi="Arial"/>
                <w:sz w:val="20"/>
                <w:szCs w:val="20"/>
                <w:color w:val="auto"/>
              </w:rPr>
              <w:t>Broker Non-Votes</w:t>
            </w:r>
          </w:p>
        </w:tc>
      </w:tr>
      <w:tr>
        <w:trPr>
          <w:trHeight w:val="244"/>
        </w:trPr>
        <w:tc>
          <w:tcPr>
            <w:tcW w:w="300" w:type="dxa"/>
            <w:vAlign w:val="bottom"/>
          </w:tcPr>
          <w:p>
            <w:pPr>
              <w:spacing w:after="0"/>
              <w:rPr>
                <w:sz w:val="21"/>
                <w:szCs w:val="21"/>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88,122,363</w:t>
            </w:r>
          </w:p>
        </w:tc>
        <w:tc>
          <w:tcPr>
            <w:tcW w:w="380" w:type="dxa"/>
            <w:vAlign w:val="bottom"/>
          </w:tcPr>
          <w:p>
            <w:pPr>
              <w:spacing w:after="0"/>
              <w:rPr>
                <w:sz w:val="21"/>
                <w:szCs w:val="21"/>
                <w:color w:val="auto"/>
              </w:rPr>
            </w:pPr>
          </w:p>
        </w:tc>
        <w:tc>
          <w:tcPr>
            <w:tcW w:w="3140" w:type="dxa"/>
            <w:vAlign w:val="bottom"/>
            <w:tcBorders>
              <w:top w:val="single" w:sz="8" w:color="auto"/>
            </w:tcBorders>
          </w:tcPr>
          <w:p>
            <w:pPr>
              <w:jc w:val="right"/>
              <w:ind w:right="1121"/>
              <w:spacing w:after="0"/>
              <w:rPr>
                <w:sz w:val="20"/>
                <w:szCs w:val="20"/>
                <w:color w:val="auto"/>
              </w:rPr>
            </w:pPr>
            <w:r>
              <w:rPr>
                <w:rFonts w:ascii="Arial" w:cs="Arial" w:eastAsia="Arial" w:hAnsi="Arial"/>
                <w:sz w:val="20"/>
                <w:szCs w:val="20"/>
                <w:color w:val="auto"/>
              </w:rPr>
              <w:t>2,804,540</w:t>
            </w:r>
          </w:p>
        </w:tc>
        <w:tc>
          <w:tcPr>
            <w:tcW w:w="380" w:type="dxa"/>
            <w:vAlign w:val="bottom"/>
          </w:tcPr>
          <w:p>
            <w:pPr>
              <w:spacing w:after="0"/>
              <w:rPr>
                <w:sz w:val="21"/>
                <w:szCs w:val="21"/>
                <w:color w:val="auto"/>
              </w:rPr>
            </w:pPr>
          </w:p>
        </w:tc>
        <w:tc>
          <w:tcPr>
            <w:tcW w:w="2420" w:type="dxa"/>
            <w:vAlign w:val="bottom"/>
            <w:tcBorders>
              <w:top w:val="single" w:sz="8" w:color="auto"/>
            </w:tcBorders>
          </w:tcPr>
          <w:p>
            <w:pPr>
              <w:jc w:val="right"/>
              <w:ind w:right="801"/>
              <w:spacing w:after="0"/>
              <w:rPr>
                <w:sz w:val="20"/>
                <w:szCs w:val="20"/>
                <w:color w:val="auto"/>
              </w:rPr>
            </w:pPr>
            <w:r>
              <w:rPr>
                <w:rFonts w:ascii="Arial" w:cs="Arial" w:eastAsia="Arial" w:hAnsi="Arial"/>
                <w:sz w:val="20"/>
                <w:szCs w:val="20"/>
                <w:color w:val="auto"/>
              </w:rPr>
              <w:t>898,269</w:t>
            </w:r>
          </w:p>
        </w:tc>
        <w:tc>
          <w:tcPr>
            <w:tcW w:w="400" w:type="dxa"/>
            <w:vAlign w:val="bottom"/>
          </w:tcPr>
          <w:p>
            <w:pPr>
              <w:spacing w:after="0"/>
              <w:rPr>
                <w:sz w:val="21"/>
                <w:szCs w:val="21"/>
                <w:color w:val="auto"/>
              </w:rPr>
            </w:pPr>
          </w:p>
        </w:tc>
        <w:tc>
          <w:tcPr>
            <w:tcW w:w="1420" w:type="dxa"/>
            <w:vAlign w:val="bottom"/>
            <w:tcBorders>
              <w:top w:val="single" w:sz="8" w:color="auto"/>
            </w:tcBorders>
          </w:tcPr>
          <w:p>
            <w:pPr>
              <w:jc w:val="right"/>
              <w:ind w:right="381"/>
              <w:spacing w:after="0"/>
              <w:rPr>
                <w:sz w:val="20"/>
                <w:szCs w:val="20"/>
                <w:color w:val="auto"/>
              </w:rPr>
            </w:pPr>
            <w:r>
              <w:rPr>
                <w:rFonts w:ascii="Arial" w:cs="Arial" w:eastAsia="Arial" w:hAnsi="Arial"/>
                <w:sz w:val="20"/>
                <w:szCs w:val="20"/>
                <w:color w:val="auto"/>
              </w:rPr>
              <w:t>0</w:t>
            </w:r>
          </w:p>
        </w:tc>
        <w:tc>
          <w:tcPr>
            <w:tcW w:w="280" w:type="dxa"/>
            <w:vAlign w:val="bottom"/>
          </w:tcPr>
          <w:p>
            <w:pPr>
              <w:spacing w:after="0"/>
              <w:rPr>
                <w:sz w:val="21"/>
                <w:szCs w:val="21"/>
                <w:color w:val="auto"/>
              </w:rPr>
            </w:pPr>
          </w:p>
        </w:tc>
      </w:tr>
      <w:tr>
        <w:trPr>
          <w:trHeight w:val="206"/>
        </w:trPr>
        <w:tc>
          <w:tcPr>
            <w:tcW w:w="300" w:type="dxa"/>
            <w:vAlign w:val="bottom"/>
            <w:tcBorders>
              <w:bottom w:val="single" w:sz="8" w:color="808080"/>
            </w:tcBorders>
          </w:tcPr>
          <w:p>
            <w:pPr>
              <w:spacing w:after="0"/>
              <w:rPr>
                <w:sz w:val="17"/>
                <w:szCs w:val="17"/>
                <w:color w:val="auto"/>
              </w:rPr>
            </w:pPr>
          </w:p>
        </w:tc>
        <w:tc>
          <w:tcPr>
            <w:tcW w:w="27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1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June 7, 2010</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Kenneth B.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B.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2019-12-10T10:15:56Z</dcterms:created>
  <dcterms:modified xsi:type="dcterms:W3CDTF">2019-12-10T10:15:56Z</dcterms:modified>
</cp:coreProperties>
</file>