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14, 2026, Microbot Medical Inc. (the “Company”) issued a press release announcing that it recorded revenue resulting from its limited market release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during the first quarter of 2026, and that the Company’s recent transition to the full market release has resulted in increased revenue for the second quarter of 2026, which has already exceeded Q1 revenue, as utilization and adoption of the LIBERTY System accelerates across multiple sales territories.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14, 2026, the Company announced that it recorded revenue resulting from its limited market release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during the first quarter of 2026, and that the Company’s recent transition to the full market release has resulted in increased revenue for the second quarter of 2026, which has already exceeded Q1 revenue, as utilization and adoption of the LIBERTY System accelerates across multiple sales territories.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Successfully Transitions to Commercial Operations as It Records Revenue Resulting from Its Limited Market Release During the First Quarter of 2026</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Recent transition to the Full Market Release has already resulted in increased revenue for the current Q2, which has already exceeded Q1 revenue, as utilization and adoption of the LIBERTY System accelerates across multiple sales territories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experiencing increase in recurring customer orders, new accounts and growing pipeline of potential future accounts</w:t>
      </w:r>
    </w:p>
    <w:p>
      <w:pPr>
        <w:spacing w:after="0" w:line="2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HINGHAM, Mass., May 14, 2026 </w:t>
      </w:r>
      <w:r>
        <w:rPr>
          <w:rFonts w:ascii="Times New Roman" w:cs="Times New Roman" w:eastAsia="Times New Roman" w:hAnsi="Times New Roman"/>
          <w:sz w:val="18"/>
          <w:szCs w:val="18"/>
          <w:color w:val="auto"/>
        </w:rPr>
        <w:t>— Microbot Medical Inc. (Nasdaq: MBOT), developer and distributor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it recorded revenue during its fiscal quarter ended March 31, 2026, benefiting from the Limited Market Release (LMR) of the LIBERTY System which took place during that period. Earlier this quarter, the Company commenced the Full Market Release (FMR) of the LIBERTY system, and revenue mid-way through the second quarter has already exceeded total first quarter revenue, driven by the number of accounts since the end of the LMR having more than doubled. Currently, hospitals in six states have adopted the LIBERTY system, including Georgia, Florida, New York, Michigan, Massachusetts, and North Carolina.</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Earlier this month, Boston (MA) became the first city and state in which the Company has multiple accounts using the LIBERTY system, which the Company believes reflects growing commercial momentum. This demonstrates that interest from physicians and hospitals is translating into new accounts across key sales territories, including two of the three sites that participated in the ACCESS-PVI pivotal clinical trial, which serves as a strong validation of the added value that it brings. Moreover, the breadth of the procedures that have been performed using the LIBERTY System includes what the Company believes is the world’s first robotic Prostatic Artery Embolization (PAE) for Benign Prostatic Hyperplasia (BPH), robotic Genicular Artery Embolization (GAE), a minimally invasive, non-surgical outpatient procedure designed to treat chronic knee pain, typically caused by osteoarthritis, robotic Y-90 radioembolization mapping and treatment for liver cancer, and others.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during the first quarter was demonstrated across multiple metrics, including the continued progress of the limited market release leading to us commence the Full Market Release, the number of accounts that adopted the LIBERTY system and the users that deployed it for varied procedures,” commented Harel Gadot, Chairman, President and CEO. “Our momentum so far during the second quarter is encouraging and reinforces our confidence as we have more than doubled the number of accounts and expanded our footprint into several new cities and states since the commencement of the Full Market Release. Additionally, we believe that customer enthusiasm and satisfaction remain high, supported by recurring orders to support procedures over the coming weeks and months. Our newest territories in the Midwest and Mid-Atlantic, which were launched in early April, have already secured accounts, further validating our commercial execution strategy, and it emboldens the team as we continue to roll out the commercial strategy to penetrate population-rich regions in the U.S. in the second half of the year along with commercial readiness activities in international markets.”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commercial adoption to accelerate as recent value-enhancing developments, such as updated guidelines on occupational radiation and musculoskeletal protection adopted by at least nine medical societies and supported by the American Medical Association (AMA), could help drive adoption of the LIBERTY System. These industry tailwinds, along with continued visibility at major conferences such as SIR and the upcoming Annual Global Embolization Symposium &amp; Technologies (GEST) Conference taking place in New York City this week, are expected to support continued U.S. commercial adoption and facilitate the Company’s growth as it builds a global commercial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2026-05-14T07:33:04Z</dcterms:created>
  <dcterms:modified xsi:type="dcterms:W3CDTF">2026-05-14T07:33:04Z</dcterms:modified>
</cp:coreProperties>
</file>