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28, 2025</w:t>
      </w:r>
    </w:p>
    <w:p>
      <w:pPr>
        <w:spacing w:after="0" w:line="2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333-290848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680" w:type="dxa"/>
        <w:tblCellMar>
          <w:top w:w="0" w:type="dxa"/>
          <w:left w:w="0" w:type="dxa"/>
          <w:bottom w:w="0" w:type="dxa"/>
          <w:right w:w="0" w:type="dxa"/>
        </w:tblCellMar>
      </w:tblPr>
      <w:tr>
        <w:trPr>
          <w:trHeight w:val="220"/>
        </w:trPr>
        <w:tc>
          <w:tcPr>
            <w:tcW w:w="416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94-3078125</w:t>
            </w:r>
          </w:p>
        </w:tc>
      </w:tr>
      <w:tr>
        <w:trPr>
          <w:trHeight w:val="216"/>
        </w:trPr>
        <w:tc>
          <w:tcPr>
            <w:tcW w:w="416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3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16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3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175 Derby St., Bld. 27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Hingham, MA 02043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Harel Gadot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175 Derby St., Bld. 27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Hingham, MA 02043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Stephen E. Fox,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Mikayla K. Kolahifar, J.D.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Ruskin Moscou Faltischek, P.C.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1425 RXR Plaza</w:t>
      </w:r>
    </w:p>
    <w:p>
      <w:pPr>
        <w:jc w:val="center"/>
        <w:spacing w:after="0" w:line="192" w:lineRule="auto"/>
        <w:rPr>
          <w:sz w:val="20"/>
          <w:szCs w:val="20"/>
          <w:color w:val="auto"/>
        </w:rPr>
      </w:pPr>
      <w:r>
        <w:rPr>
          <w:rFonts w:ascii="Times New Roman" w:cs="Times New Roman" w:eastAsia="Times New Roman" w:hAnsi="Times New Roman"/>
          <w:sz w:val="18"/>
          <w:szCs w:val="18"/>
          <w:b w:val="1"/>
          <w:bCs w:val="1"/>
          <w:color w:val="auto"/>
        </w:rPr>
        <w:t>East Tower, 15</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b w:val="1"/>
          <w:bCs w:val="1"/>
          <w:color w:val="auto"/>
        </w:rPr>
        <w:t>Uniondale, New York 11556-1425</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(516) 663-6600</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From time to time after the effective date of this registration statement, as determined by the Registrant.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41" w:right="339" w:bottom="0" w:gutter="0" w:footer="0" w:header="0"/>
        </w:sectPr>
      </w:pPr>
    </w:p>
    <w:p>
      <w:pPr>
        <w:spacing w:after="0" w:line="176"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7"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3240" w:space="720"/>
            <w:col w:w="1520" w:space="720"/>
            <w:col w:w="2640" w:space="720"/>
            <w:col w:w="1680"/>
          </w:cols>
          <w:pgMar w:left="320" w:top="441" w:right="339" w:bottom="0" w:gutter="0" w:footer="0" w:header="0"/>
          <w:type w:val="continuous"/>
        </w:sectPr>
      </w:pPr>
    </w:p>
    <w:bookmarkStart w:id="1" w:name="page2"/>
    <w:bookmarkEnd w:id="1"/>
    <w:p>
      <w:pPr>
        <w:ind w:left="6200"/>
        <w:spacing w:after="0" w:line="207" w:lineRule="exact"/>
        <w:tabs>
          <w:tab w:leader="none" w:pos="95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This Registration Statement shall hereafter become effective in accordance with the provisions of Section 8(a) of the Securities Act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1933.</w:t>
      </w:r>
    </w:p>
    <w:p>
      <w:pPr>
        <w:spacing w:after="0" w:line="203"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If the Securities and Exchange Commission resumes full operation before the Registration Statement becomes effective, we may file an amendment to this Registration Statement requesting a delay or change in the effectiveness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455295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Amendment No. 1 (“Amendment No. 1”) to the Registration Statement on Form S-3 (File No. 333-290848) of Microbot Medical Inc. (the “Registration Statement”) is being filed solely for the purpose of (a) including language provided by Rule 473(b) of the Securities Act of 1933 for the automatic effectiveness of the Registration Statement 20 days following the filing of Amendment No. 1 and (b) updating a cross-reference in the Exhibit Index. This Amendment No. 1 does not modify any provision of the prospectus that forms a part of the Registration Statement. Accordingly, a preliminary prospectus has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various expenses in connection with the sale and distribution of the securities being registered, all of which are being borne by us.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06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6,592.60</w:t>
            </w:r>
          </w:p>
        </w:tc>
        <w:tc>
          <w:tcPr>
            <w:tcW w:w="8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80" w:type="dxa"/>
            <w:vAlign w:val="bottom"/>
            <w:shd w:val="clear" w:color="auto" w:fill="CCEEFF"/>
          </w:tcPr>
          <w:p>
            <w:pPr>
              <w:spacing w:after="0"/>
              <w:rPr>
                <w:sz w:val="18"/>
                <w:szCs w:val="18"/>
                <w:color w:val="auto"/>
              </w:rPr>
            </w:pPr>
          </w:p>
        </w:tc>
      </w:tr>
      <w:tr>
        <w:trPr>
          <w:trHeight w:val="229"/>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6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3,407.40</w:t>
            </w:r>
          </w:p>
        </w:tc>
        <w:tc>
          <w:tcPr>
            <w:tcW w:w="80" w:type="dxa"/>
            <w:vAlign w:val="bottom"/>
            <w:tcBorders>
              <w:bottom w:val="single" w:sz="8" w:color="CCEEFF"/>
            </w:tcBorders>
          </w:tcPr>
          <w:p>
            <w:pPr>
              <w:spacing w:after="0"/>
              <w:rPr>
                <w:sz w:val="19"/>
                <w:szCs w:val="19"/>
                <w:color w:val="auto"/>
              </w:rPr>
            </w:pPr>
          </w:p>
        </w:tc>
      </w:tr>
      <w:tr>
        <w:trPr>
          <w:trHeight w:val="223"/>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27,000.00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(“DGCL”) permits, in general, a Delaware corporation, to indemnify any person who was or is a party to any proceeding (other than an action by, or in the right of, the corporation) by reason of the fact that he or she is or was a director or officer of the corporation, or served another business enterprise in any capacity at the request of the corporation, against liability incurred in connection with such proceeding, including the expenses (including attorneys’ fees), judgments, fines, and amounts paid in settlement actually and reasonably incurred by him in connection with such proceeding if such person acted in good faith and in a manner he or she reasonably believed to be in, or not opposed to, the best interests of the corporation and, in criminal actions or proceedings, additionally had no reasonable cause to believe that his or her conduct was unlawful. A Delaware corporation’s power to indemnify applies to actions brought by or in the right of the corporation, but only to the extent of expenses (including attorneys’ fees) actually and reasonably incurred by the person in connection with the defense or settlement of the action or suit, provided that no indemnification shall be provided in such actions in the event of any adjudication of negligence or misconduct in the performance of such person’s duties to the corporation, unless a court believes that in light of all the circumstances indemnification should apply. Section 145 of the DGCL also permits, in general, a Delaware corporation to purchase and maintain insurance on behalf of any person who is or was a director or officer of the corporation, or served another entity in any capacity at the request of the corporation, against liability incurred by such person in such capacity, whether or not the corporation would have the power to indemnify such person against such liability.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that involve intentional misconduct or a knowing violation of law; (iii) under Section 174 of the DGCL; or (iv) for any transaction from which the director derived an improper personal benefit.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that these indemnification provisions and insurance are necessary to attract and retain qualified directors and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These indemnification agreements may require the Company, among other things, to indemnify its directors and officers for some expenses (including attorneys’ fees) judgments, fines, and settlement amounts incurred by a director or officer in any action or proceeding arising out of his or her service as one of the Company’s directors or officers, or any of its subsidiaries or any other company or enterprise to which the person provides services at our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exhibits to this registration statement are listed in the Exhibit Index to this registration statement, which Exhibit Index is hereby incorporated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580" w:hanging="248"/>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81"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629"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paragraphs (a)(1)(i), (a)(1)(ii), and (a)(1)(iii)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340" w:firstLine="316"/>
        <w:spacing w:after="0" w:line="282" w:lineRule="auto"/>
        <w:tabs>
          <w:tab w:leader="none" w:pos="946"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23"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75"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both"/>
        <w:ind w:left="8" w:firstLine="316"/>
        <w:spacing w:after="0" w:line="261" w:lineRule="auto"/>
        <w:tabs>
          <w:tab w:leader="none" w:pos="58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79" w:lineRule="exact"/>
        <w:rPr>
          <w:rFonts w:ascii="Times New Roman" w:cs="Times New Roman" w:eastAsia="Times New Roman" w:hAnsi="Times New Roman"/>
          <w:sz w:val="18"/>
          <w:szCs w:val="18"/>
          <w:color w:val="auto"/>
        </w:rPr>
      </w:pPr>
    </w:p>
    <w:p>
      <w:pPr>
        <w:ind w:left="1188" w:hanging="216"/>
        <w:spacing w:after="0"/>
        <w:tabs>
          <w:tab w:leader="none" w:pos="1188"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w:t>
      </w:r>
    </w:p>
    <w:p>
      <w:pPr>
        <w:spacing w:after="0" w:line="27"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424;</w:t>
      </w:r>
    </w:p>
    <w:p>
      <w:pPr>
        <w:spacing w:after="0" w:line="206" w:lineRule="exact"/>
        <w:rPr>
          <w:rFonts w:ascii="Times New Roman" w:cs="Times New Roman" w:eastAsia="Times New Roman" w:hAnsi="Times New Roman"/>
          <w:sz w:val="18"/>
          <w:szCs w:val="18"/>
          <w:color w:val="auto"/>
        </w:rPr>
      </w:pPr>
    </w:p>
    <w:p>
      <w:pPr>
        <w:ind w:left="328" w:right="20" w:firstLine="644"/>
        <w:spacing w:after="0" w:line="282" w:lineRule="auto"/>
        <w:tabs>
          <w:tab w:leader="none" w:pos="1231"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328" w:firstLine="644"/>
        <w:spacing w:after="0" w:line="282" w:lineRule="auto"/>
        <w:tabs>
          <w:tab w:leader="none" w:pos="1317"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268" w:hanging="296"/>
        <w:spacing w:after="0"/>
        <w:tabs>
          <w:tab w:leader="none" w:pos="1268"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jc w:val="both"/>
        <w:ind w:left="8" w:hanging="8"/>
        <w:spacing w:after="0" w:line="258" w:lineRule="auto"/>
        <w:tabs>
          <w:tab w:leader="none" w:pos="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jc w:val="both"/>
        <w:ind w:left="8" w:hanging="8"/>
        <w:spacing w:after="0" w:line="255" w:lineRule="auto"/>
        <w:tabs>
          <w:tab w:leader="none" w:pos="25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268605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Hingham, State of Massachusetts, on the 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October, 2025.</w:t>
      </w:r>
    </w:p>
    <w:p>
      <w:pPr>
        <w:spacing w:after="0" w:line="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Harel Gadot</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Chairman, President and Chief Executive Officer</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jc w:val="center"/>
              <w:ind w:right="215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0" w:type="dxa"/>
            <w:vAlign w:val="bottom"/>
          </w:tcPr>
          <w:p>
            <w:pPr>
              <w:spacing w:after="0"/>
              <w:rPr>
                <w:sz w:val="20"/>
                <w:szCs w:val="20"/>
                <w:color w:val="auto"/>
              </w:rPr>
            </w:pPr>
          </w:p>
        </w:tc>
        <w:tc>
          <w:tcPr>
            <w:tcW w:w="22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25"/>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Harel Gadot</w:t>
            </w:r>
          </w:p>
        </w:tc>
        <w:tc>
          <w:tcPr>
            <w:tcW w:w="220" w:type="dxa"/>
            <w:vAlign w:val="bottom"/>
          </w:tcPr>
          <w:p>
            <w:pPr>
              <w:spacing w:after="0"/>
              <w:rPr>
                <w:sz w:val="24"/>
                <w:szCs w:val="24"/>
                <w:color w:val="auto"/>
              </w:rPr>
            </w:pPr>
          </w:p>
        </w:tc>
        <w:tc>
          <w:tcPr>
            <w:tcW w:w="56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28, 2025</w:t>
            </w:r>
          </w:p>
        </w:tc>
      </w:tr>
      <w:tr>
        <w:trPr>
          <w:trHeight w:val="232"/>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220" w:type="dxa"/>
            <w:vAlign w:val="bottom"/>
          </w:tcPr>
          <w:p>
            <w:pPr>
              <w:spacing w:after="0"/>
              <w:rPr>
                <w:sz w:val="20"/>
                <w:szCs w:val="20"/>
                <w:color w:val="auto"/>
              </w:rPr>
            </w:pPr>
          </w:p>
        </w:tc>
        <w:tc>
          <w:tcPr>
            <w:tcW w:w="56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20"/>
                <w:szCs w:val="20"/>
                <w:color w:val="auto"/>
              </w:rPr>
            </w:pPr>
          </w:p>
        </w:tc>
      </w:tr>
      <w:tr>
        <w:trPr>
          <w:trHeight w:val="410"/>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Rachel Vaknin</w:t>
            </w:r>
          </w:p>
        </w:tc>
        <w:tc>
          <w:tcPr>
            <w:tcW w:w="220" w:type="dxa"/>
            <w:vAlign w:val="bottom"/>
          </w:tcPr>
          <w:p>
            <w:pPr>
              <w:spacing w:after="0"/>
              <w:rPr>
                <w:sz w:val="24"/>
                <w:szCs w:val="24"/>
                <w:color w:val="auto"/>
              </w:rPr>
            </w:pPr>
          </w:p>
        </w:tc>
        <w:tc>
          <w:tcPr>
            <w:tcW w:w="56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28, 2025</w:t>
            </w:r>
          </w:p>
        </w:tc>
      </w:tr>
      <w:tr>
        <w:trPr>
          <w:trHeight w:val="232"/>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220" w:type="dxa"/>
            <w:vAlign w:val="bottom"/>
          </w:tcPr>
          <w:p>
            <w:pPr>
              <w:spacing w:after="0"/>
              <w:rPr>
                <w:sz w:val="20"/>
                <w:szCs w:val="20"/>
                <w:color w:val="auto"/>
              </w:rPr>
            </w:pPr>
          </w:p>
        </w:tc>
        <w:tc>
          <w:tcPr>
            <w:tcW w:w="56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40" w:type="dxa"/>
            <w:vAlign w:val="bottom"/>
          </w:tcPr>
          <w:p>
            <w:pPr>
              <w:spacing w:after="0"/>
              <w:rPr>
                <w:sz w:val="20"/>
                <w:szCs w:val="20"/>
                <w:color w:val="auto"/>
              </w:rPr>
            </w:pPr>
          </w:p>
        </w:tc>
      </w:tr>
      <w:tr>
        <w:trPr>
          <w:trHeight w:val="41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380" w:type="dxa"/>
            <w:vAlign w:val="bottom"/>
            <w:gridSpan w:val="2"/>
          </w:tcPr>
          <w:p>
            <w:pPr>
              <w:jc w:val="center"/>
              <w:ind w:right="246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28, 2025</w:t>
            </w:r>
          </w:p>
        </w:tc>
      </w:tr>
      <w:tr>
        <w:trPr>
          <w:trHeight w:val="232"/>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Tal Wenderow</w:t>
            </w: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380" w:type="dxa"/>
            <w:vAlign w:val="bottom"/>
            <w:gridSpan w:val="2"/>
          </w:tcPr>
          <w:p>
            <w:pPr>
              <w:jc w:val="center"/>
              <w:ind w:right="246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28, 2025</w:t>
            </w:r>
          </w:p>
        </w:tc>
      </w:tr>
      <w:tr>
        <w:trPr>
          <w:trHeight w:val="232"/>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David J. Wilson</w:t>
            </w: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380" w:type="dxa"/>
            <w:vAlign w:val="bottom"/>
            <w:gridSpan w:val="2"/>
          </w:tcPr>
          <w:p>
            <w:pPr>
              <w:jc w:val="center"/>
              <w:ind w:right="246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28, 2025</w:t>
            </w:r>
          </w:p>
        </w:tc>
      </w:tr>
      <w:tr>
        <w:trPr>
          <w:trHeight w:val="232"/>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Prattipati Laxminarain</w:t>
            </w: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380" w:type="dxa"/>
            <w:vAlign w:val="bottom"/>
            <w:gridSpan w:val="2"/>
          </w:tcPr>
          <w:p>
            <w:pPr>
              <w:jc w:val="center"/>
              <w:ind w:right="246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28, 2025</w:t>
            </w:r>
          </w:p>
        </w:tc>
      </w:tr>
      <w:tr>
        <w:trPr>
          <w:trHeight w:val="232"/>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Scott Burell</w:t>
            </w: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380" w:type="dxa"/>
            <w:vAlign w:val="bottom"/>
            <w:gridSpan w:val="2"/>
          </w:tcPr>
          <w:p>
            <w:pPr>
              <w:jc w:val="center"/>
              <w:ind w:right="246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28, 2025</w:t>
            </w:r>
          </w:p>
        </w:tc>
      </w:tr>
      <w:tr>
        <w:trPr>
          <w:trHeight w:val="232"/>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Martin Madden</w:t>
            </w: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380" w:type="dxa"/>
            <w:vAlign w:val="bottom"/>
            <w:gridSpan w:val="2"/>
          </w:tcPr>
          <w:p>
            <w:pPr>
              <w:jc w:val="center"/>
              <w:ind w:right="246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28, 2025</w:t>
            </w:r>
          </w:p>
        </w:tc>
      </w:tr>
      <w:tr>
        <w:trPr>
          <w:trHeight w:val="232"/>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Aileen Stockburger</w:t>
            </w: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By: </w:t>
            </w:r>
            <w:r>
              <w:rPr>
                <w:rFonts w:ascii="Times New Roman" w:cs="Times New Roman" w:eastAsia="Times New Roman" w:hAnsi="Times New Roman"/>
                <w:sz w:val="18"/>
                <w:szCs w:val="18"/>
                <w:i w:val="1"/>
                <w:iCs w:val="1"/>
                <w:color w:val="auto"/>
              </w:rPr>
              <w:t>/s/ Harel Gadot</w:t>
            </w: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32"/>
        </w:trPr>
        <w:tc>
          <w:tcPr>
            <w:tcW w:w="680" w:type="dxa"/>
            <w:vAlign w:val="bottom"/>
          </w:tcPr>
          <w:p>
            <w:pPr>
              <w:spacing w:after="0"/>
              <w:rPr>
                <w:sz w:val="20"/>
                <w:szCs w:val="20"/>
                <w:color w:val="auto"/>
              </w:rPr>
            </w:pPr>
          </w:p>
        </w:tc>
        <w:tc>
          <w:tcPr>
            <w:tcW w:w="2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Harel Gadot, Attorney-in-Fact</w:t>
            </w:r>
          </w:p>
        </w:tc>
        <w:tc>
          <w:tcPr>
            <w:tcW w:w="22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6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4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4"/>
                <w:szCs w:val="14"/>
                <w:color w:val="auto"/>
              </w:rPr>
            </w:pPr>
          </w:p>
        </w:tc>
        <w:tc>
          <w:tcPr>
            <w:tcW w:w="10140" w:type="dxa"/>
            <w:vAlign w:val="bottom"/>
            <w:tcBorders>
              <w:top w:val="single" w:sz="8" w:color="auto"/>
              <w:bottom w:val="single" w:sz="8" w:color="0000EE"/>
            </w:tcBorders>
            <w:gridSpan w:val="23"/>
          </w:tcPr>
          <w:p>
            <w:pPr>
              <w:spacing w:after="0" w:line="169"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Agreement and Plan of Merger and Reorganization, dated as of August 15, 2016, by and among StemCells, Inc., C&amp;RD Israel Ltd. and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Microbot Medical Ltd. (incorporated by reference to the Company’s Current Report on Form 8-K filed on August 15, 2016).</w:t>
              </w:r>
            </w:hyperlink>
          </w:p>
        </w:tc>
        <w:tc>
          <w:tcPr>
            <w:tcW w:w="1160" w:type="dxa"/>
            <w:vAlign w:val="bottom"/>
            <w:gridSpan w:val="6"/>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Restated Certificate of Incorporation of the Company (incorporated by reference to the Company’s Annual Report on Form 10-K for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fiscal year ended December 31, 2006 and filed on March 15, 2007).</w:t>
              </w:r>
            </w:hyperlink>
          </w:p>
        </w:tc>
        <w:tc>
          <w:tcPr>
            <w:tcW w:w="5260" w:type="dxa"/>
            <w:vAlign w:val="bottom"/>
            <w:gridSpan w:val="9"/>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Certificate of Amendment to the Restated Certificate of Incorporation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Report on Form 8-K filed on November 29, 2016).</w:t>
              </w:r>
            </w:hyperlink>
          </w:p>
        </w:tc>
        <w:tc>
          <w:tcPr>
            <w:tcW w:w="6480" w:type="dxa"/>
            <w:vAlign w:val="bottom"/>
            <w:gridSpan w:val="11"/>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8-K filed on September 4, 2018).</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Amended and Restated By-Laws of the Company (incorporated by reference to the Company’s Current Report on Form 8-K filed on May 3,</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22">
              <w:r>
                <w:rPr>
                  <w:rFonts w:ascii="Times New Roman" w:cs="Times New Roman" w:eastAsia="Times New Roman" w:hAnsi="Times New Roman"/>
                  <w:sz w:val="18"/>
                  <w:szCs w:val="18"/>
                  <w:color w:val="0000EE"/>
                  <w:w w:val="94"/>
                </w:rPr>
                <w:t>2016).</w:t>
              </w:r>
            </w:hyperlink>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8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7"/>
                <w:szCs w:val="17"/>
                <w:color w:val="auto"/>
              </w:rPr>
            </w:pPr>
          </w:p>
        </w:tc>
        <w:tc>
          <w:tcPr>
            <w:tcW w:w="94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Certificate of Elimination (incorporated by reference to the Company’s Current Report on Form 8-K filed on December 12, 2018).</w:t>
              </w:r>
            </w:hyperlink>
          </w:p>
        </w:tc>
        <w:tc>
          <w:tcPr>
            <w:tcW w:w="740" w:type="dxa"/>
            <w:vAlign w:val="bottom"/>
            <w:gridSpan w:val="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8-K filed on September 11, 2019).</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Amendment to Section 5 of the Amended and Restated By-Laws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Report on Form 8-K filed on May 3, 2021).</w:t>
              </w:r>
            </w:hyperlink>
          </w:p>
        </w:tc>
        <w:tc>
          <w:tcPr>
            <w:tcW w:w="6980" w:type="dxa"/>
            <w:vAlign w:val="bottom"/>
            <w:gridSpan w:val="1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Amendment to Section 2.5 of the Amended and Restated By-Laws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Report on Form 8-K filed on April 15, 2025).</w:t>
              </w:r>
            </w:hyperlink>
          </w:p>
        </w:tc>
        <w:tc>
          <w:tcPr>
            <w:tcW w:w="6860" w:type="dxa"/>
            <w:vAlign w:val="bottom"/>
            <w:gridSpan w:val="1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Certificate of Amendment to Certificate of Incorporation (incorporated by reference to the Company’s Current Report on Form 8-K filed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June 11, 2025).</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Description of the Company’s Securities (incorporated by reference to the Registrant’s Quarterly Report on Form 10-Q for the fiscal quarter</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ended June 30, 2025).</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Form of Wainwright Warrant (incorporated by reference to the Registrant’s Current Report on Form 8-K filed on October 25, 2022).</w:t>
              </w:r>
            </w:hyperlink>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Form of Wainwright Warrant (incorporated by reference to the Registrant’s Current Report on Form 8-K filed on May 23, 2023).</w:t>
              </w:r>
            </w:hyperlink>
          </w:p>
        </w:tc>
        <w:tc>
          <w:tcPr>
            <w:tcW w:w="240" w:type="dxa"/>
            <w:vAlign w:val="bottom"/>
            <w:tcBorders>
              <w:top w:val="single" w:sz="8" w:color="0000EE"/>
            </w:tcBorders>
            <w:gridSpan w:val="2"/>
          </w:tcPr>
          <w:p>
            <w:pPr>
              <w:spacing w:after="0"/>
              <w:rPr>
                <w:sz w:val="17"/>
                <w:szCs w:val="17"/>
                <w:color w:val="auto"/>
              </w:rPr>
            </w:pPr>
          </w:p>
        </w:tc>
        <w:tc>
          <w:tcPr>
            <w:tcW w:w="62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7"/>
                <w:szCs w:val="17"/>
                <w:color w:val="auto"/>
              </w:rPr>
            </w:pPr>
          </w:p>
        </w:tc>
        <w:tc>
          <w:tcPr>
            <w:tcW w:w="9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Form of Wainwright Warrant (incorporated by reference to the Registrant’s Current Report on Form 8-K filed on May 24, 2023).</w:t>
              </w:r>
            </w:hyperlink>
          </w:p>
        </w:tc>
        <w:tc>
          <w:tcPr>
            <w:tcW w:w="860" w:type="dxa"/>
            <w:vAlign w:val="bottom"/>
            <w:gridSpan w:val="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Form of Warrant Amendment Agreement (incorporated by reference to the Registrant’s Current Report on Form 8-K filed on May 24,</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32">
              <w:r>
                <w:rPr>
                  <w:rFonts w:ascii="Times New Roman" w:cs="Times New Roman" w:eastAsia="Times New Roman" w:hAnsi="Times New Roman"/>
                  <w:sz w:val="18"/>
                  <w:szCs w:val="18"/>
                  <w:color w:val="0000EE"/>
                  <w:w w:val="94"/>
                </w:rPr>
                <w:t>2023).</w:t>
              </w:r>
            </w:hyperlink>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Form of Wainwright Warrant (incorporated by reference to the Registrant’s Current Report on Form 8-K filed on June 6, 2023).</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7"/>
                <w:szCs w:val="17"/>
                <w:color w:val="auto"/>
              </w:rPr>
            </w:pPr>
          </w:p>
        </w:tc>
        <w:tc>
          <w:tcPr>
            <w:tcW w:w="9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Form of Wainwright Warrant (incorporated by reference to the Registrant’s Current Report on Form 8-K filed on June 28, 2023).</w:t>
              </w:r>
            </w:hyperlink>
          </w:p>
        </w:tc>
        <w:tc>
          <w:tcPr>
            <w:tcW w:w="860" w:type="dxa"/>
            <w:vAlign w:val="bottom"/>
            <w:gridSpan w:val="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Form of Placement Agent Investment Option (incorporated by reference to the Registrant’s Current Report on Form 8-K filed on January 2,</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35">
              <w:r>
                <w:rPr>
                  <w:rFonts w:ascii="Times New Roman" w:cs="Times New Roman" w:eastAsia="Times New Roman" w:hAnsi="Times New Roman"/>
                  <w:sz w:val="18"/>
                  <w:szCs w:val="18"/>
                  <w:color w:val="0000EE"/>
                  <w:w w:val="94"/>
                </w:rPr>
                <w:t>2024).</w:t>
              </w:r>
            </w:hyperlink>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8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Form of Placement Agent Investment Option (incorporated by reference to the Registrant’s Current Report on Form 8-K filed on June 4,</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36">
              <w:r>
                <w:rPr>
                  <w:rFonts w:ascii="Times New Roman" w:cs="Times New Roman" w:eastAsia="Times New Roman" w:hAnsi="Times New Roman"/>
                  <w:sz w:val="18"/>
                  <w:szCs w:val="18"/>
                  <w:color w:val="0000EE"/>
                  <w:w w:val="94"/>
                </w:rPr>
                <w:t>2024).</w:t>
              </w:r>
            </w:hyperlink>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8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Form of Placement Agent Investment Option (incorporated by reference to the Registrant’s Current Report on Form 8-K filed on January 7,</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37">
              <w:r>
                <w:rPr>
                  <w:rFonts w:ascii="Times New Roman" w:cs="Times New Roman" w:eastAsia="Times New Roman" w:hAnsi="Times New Roman"/>
                  <w:sz w:val="18"/>
                  <w:szCs w:val="18"/>
                  <w:color w:val="0000EE"/>
                  <w:w w:val="94"/>
                </w:rPr>
                <w:t>2025).</w:t>
              </w:r>
            </w:hyperlink>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8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Form of Placement Agent Investment Option (incorporated by reference to the Registrant’s Current Report on Form 8-K filed on January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38">
              <w:r>
                <w:rPr>
                  <w:rFonts w:ascii="Times New Roman" w:cs="Times New Roman" w:eastAsia="Times New Roman" w:hAnsi="Times New Roman"/>
                  <w:sz w:val="18"/>
                  <w:szCs w:val="18"/>
                  <w:color w:val="0000EE"/>
                  <w:w w:val="97"/>
                </w:rPr>
                <w:t>10, 2025).</w:t>
              </w:r>
            </w:hyperlink>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Form of Series J Preferred Investment Option (incorporated by reference to the Registrant’s Current Report on Form 8-K filed on September</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39">
              <w:r>
                <w:rPr>
                  <w:rFonts w:ascii="Times New Roman" w:cs="Times New Roman" w:eastAsia="Times New Roman" w:hAnsi="Times New Roman"/>
                  <w:sz w:val="18"/>
                  <w:szCs w:val="18"/>
                  <w:color w:val="0000EE"/>
                  <w:w w:val="97"/>
                </w:rPr>
                <w:t>16, 2025).</w:t>
              </w:r>
            </w:hyperlink>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Form of Placement Agent Investment Option (incorporated by reference to the Registrant’s Current Report on Form 8-K filed on February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40">
              <w:r>
                <w:rPr>
                  <w:rFonts w:ascii="Times New Roman" w:cs="Times New Roman" w:eastAsia="Times New Roman" w:hAnsi="Times New Roman"/>
                  <w:sz w:val="18"/>
                  <w:szCs w:val="18"/>
                  <w:color w:val="0000EE"/>
                  <w:w w:val="95"/>
                </w:rPr>
                <w:t>11, 2025).</w:t>
              </w:r>
            </w:hyperlink>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Form of Placement Agent Investment Option (incorporated by reference to the Registrant’s Current Report on Form 8-K filed on September</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41">
              <w:r>
                <w:rPr>
                  <w:rFonts w:ascii="Times New Roman" w:cs="Times New Roman" w:eastAsia="Times New Roman" w:hAnsi="Times New Roman"/>
                  <w:sz w:val="18"/>
                  <w:szCs w:val="18"/>
                  <w:color w:val="0000EE"/>
                  <w:w w:val="97"/>
                </w:rPr>
                <w:t>16, 2025).</w:t>
              </w:r>
            </w:hyperlink>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7"/>
                <w:szCs w:val="17"/>
                <w:color w:val="auto"/>
              </w:rPr>
            </w:pPr>
          </w:p>
        </w:tc>
        <w:tc>
          <w:tcPr>
            <w:tcW w:w="3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Opinion of Ruskin Moscou Faltischek, P.C.</w:t>
              </w:r>
            </w:hyperlink>
          </w:p>
        </w:tc>
        <w:tc>
          <w:tcPr>
            <w:tcW w:w="7000" w:type="dxa"/>
            <w:vAlign w:val="bottom"/>
            <w:gridSpan w:val="1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Consent of Ruskin Moscou Faltischek, P.C. (contained in Exhibit 5.1).</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3060" w:type="dxa"/>
            <w:vAlign w:val="bottom"/>
            <w:gridSpan w:val="8"/>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7"/>
                <w:szCs w:val="17"/>
                <w:color w:val="auto"/>
              </w:rPr>
            </w:pPr>
          </w:p>
        </w:tc>
        <w:tc>
          <w:tcPr>
            <w:tcW w:w="6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Consent of Brightman Almagor Zohar &amp; Co., a firm in the Deloitte Global Network.</w:t>
              </w:r>
            </w:hyperlink>
          </w:p>
        </w:tc>
        <w:tc>
          <w:tcPr>
            <w:tcW w:w="4040" w:type="dxa"/>
            <w:vAlign w:val="bottom"/>
            <w:gridSpan w:val="7"/>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Power of Attorney (included on the signature page hereto).</w:t>
              </w:r>
            </w:hyperlink>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7"/>
                <w:szCs w:val="17"/>
                <w:color w:val="auto"/>
              </w:rPr>
            </w:pPr>
          </w:p>
        </w:tc>
        <w:tc>
          <w:tcPr>
            <w:tcW w:w="11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45">
              <w:r>
                <w:rPr>
                  <w:rFonts w:ascii="Times New Roman" w:cs="Times New Roman" w:eastAsia="Times New Roman" w:hAnsi="Times New Roman"/>
                  <w:sz w:val="18"/>
                  <w:szCs w:val="18"/>
                  <w:color w:val="0000EE"/>
                  <w:w w:val="97"/>
                </w:rPr>
                <w:t>Filing Fee Table</w:t>
              </w:r>
            </w:hyperlink>
          </w:p>
        </w:tc>
        <w:tc>
          <w:tcPr>
            <w:tcW w:w="3060" w:type="dxa"/>
            <w:vAlign w:val="bottom"/>
            <w:tcBorders>
              <w:top w:val="single" w:sz="8" w:color="0000EE"/>
            </w:tcBorders>
            <w:gridSpan w:val="8"/>
          </w:tcPr>
          <w:p>
            <w:pPr>
              <w:spacing w:after="0"/>
              <w:rPr>
                <w:sz w:val="17"/>
                <w:szCs w:val="17"/>
                <w:color w:val="auto"/>
              </w:rPr>
            </w:pPr>
          </w:p>
        </w:tc>
        <w:tc>
          <w:tcPr>
            <w:tcW w:w="5900" w:type="dxa"/>
            <w:vAlign w:val="bottom"/>
            <w:gridSpan w:val="10"/>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
    <w:nsid w:val="19495CFF"/>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2">
    <w:nsid w:val="2AE8944A"/>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
    <w:nsid w:val="625558EC"/>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46" Type="http://schemas.openxmlformats.org/officeDocument/2006/relationships/image" Target="media/image11.png"/><Relationship Id="rId47" Type="http://schemas.openxmlformats.org/officeDocument/2006/relationships/image" Target="media/image12.png"/><Relationship Id="rId18" Type="http://schemas.openxmlformats.org/officeDocument/2006/relationships/hyperlink" Target="https://www.sec.gov/Archives/edgar/data/883975/000119312516682077/d161430dex21.htm" TargetMode="External"/><Relationship Id="rId19" Type="http://schemas.openxmlformats.org/officeDocument/2006/relationships/hyperlink" Target="https://www.sec.gov/Archives/edgar/data/883975/000095013407005808/f27726exv3w1.htm" TargetMode="External"/><Relationship Id="rId20" Type="http://schemas.openxmlformats.org/officeDocument/2006/relationships/hyperlink" Target="https://www.sec.gov/Archives/edgar/data/883975/000119312516779597/d296933dex31.htm" TargetMode="External"/><Relationship Id="rId21" Type="http://schemas.openxmlformats.org/officeDocument/2006/relationships/hyperlink" Target="https://www.sec.gov/Archives/edgar/data/883975/000149315218012872/ex3-1.htm" TargetMode="External"/><Relationship Id="rId22" Type="http://schemas.openxmlformats.org/officeDocument/2006/relationships/hyperlink" Target="https://www.sec.gov/Archives/edgar/data/883975/000129993316002374/exhibit1.htm" TargetMode="External"/><Relationship Id="rId23" Type="http://schemas.openxmlformats.org/officeDocument/2006/relationships/hyperlink" Target="https://www.sec.gov/Archives/edgar/data/883975/000149315218017395/ex3-1.htm" TargetMode="External"/><Relationship Id="rId24" Type="http://schemas.openxmlformats.org/officeDocument/2006/relationships/hyperlink" Target="https://www.sec.gov/Archives/edgar/data/883975/000149315219013998/ex3-1.htm" TargetMode="External"/><Relationship Id="rId25" Type="http://schemas.openxmlformats.org/officeDocument/2006/relationships/hyperlink" Target="https://www.sec.gov/Archives/edgar/data/883975/000149315221010347/ex3-1.htm" TargetMode="External"/><Relationship Id="rId26" Type="http://schemas.openxmlformats.org/officeDocument/2006/relationships/hyperlink" Target="https://www.sec.gov/Archives/edgar/data/883975/000164117225004707/ex3-1.htm" TargetMode="External"/><Relationship Id="rId27" Type="http://schemas.openxmlformats.org/officeDocument/2006/relationships/hyperlink" Target="https://www.sec.gov/Archives/edgar/data/883975/000164117225014622/ex3-1.htm" TargetMode="External"/><Relationship Id="rId28" Type="http://schemas.openxmlformats.org/officeDocument/2006/relationships/hyperlink" Target="https://www.sec.gov/Archives/edgar/data/883975/000164117225023206/ex4-1.htm" TargetMode="External"/><Relationship Id="rId29" Type="http://schemas.openxmlformats.org/officeDocument/2006/relationships/hyperlink" Target="https://www.sec.gov/Archives/edgar/data/883975/000149315222029541/ex4-4.htm" TargetMode="External"/><Relationship Id="rId30" Type="http://schemas.openxmlformats.org/officeDocument/2006/relationships/hyperlink" Target="https://www.sec.gov/Archives/edgar/data/883975/000149315223018718/ex4-1.htm" TargetMode="External"/><Relationship Id="rId31" Type="http://schemas.openxmlformats.org/officeDocument/2006/relationships/hyperlink" Target="https://www.sec.gov/Archives/edgar/data/883975/000149315223018932/ex4-2.htm" TargetMode="External"/><Relationship Id="rId32" Type="http://schemas.openxmlformats.org/officeDocument/2006/relationships/hyperlink" Target="https://www.sec.gov/Archives/edgar/data/883975/000149315223018932/ex10-2.htm" TargetMode="External"/><Relationship Id="rId33" Type="http://schemas.openxmlformats.org/officeDocument/2006/relationships/hyperlink" Target="https://www.sec.gov/Archives/edgar/data/883975/000149315223020309/ex4-2.htm" TargetMode="External"/><Relationship Id="rId34" Type="http://schemas.openxmlformats.org/officeDocument/2006/relationships/hyperlink" Target="https://www.sec.gov/Archives/edgar/data/883975/000149315223022814/ex4-2.htm" TargetMode="External"/><Relationship Id="rId35" Type="http://schemas.openxmlformats.org/officeDocument/2006/relationships/hyperlink" Target="https://www.sec.gov/Archives/edgar/data/883975/000149315224000109/ex4-2.htm" TargetMode="External"/><Relationship Id="rId36" Type="http://schemas.openxmlformats.org/officeDocument/2006/relationships/hyperlink" Target="https://www.sec.gov/Archives/edgar/data/883975/000149315224022560/ex4-2.htm" TargetMode="External"/><Relationship Id="rId37" Type="http://schemas.openxmlformats.org/officeDocument/2006/relationships/hyperlink" Target="https://www.sec.gov/Archives/edgar/data/883975/000149315225001133/ex4-2.htm" TargetMode="External"/><Relationship Id="rId38" Type="http://schemas.openxmlformats.org/officeDocument/2006/relationships/hyperlink" Target="https://www.sec.gov/Archives/edgar/data/883975/000149315225001559/ex4-2.htm" TargetMode="External"/><Relationship Id="rId39" Type="http://schemas.openxmlformats.org/officeDocument/2006/relationships/hyperlink" Target="https://www.sec.gov/Archives/edgar/data/883975/000149315225013743/ex4-1.htm" TargetMode="External"/><Relationship Id="rId40" Type="http://schemas.openxmlformats.org/officeDocument/2006/relationships/hyperlink" Target="https://www.sec.gov/Archives/edgar/data/883975/000149315225005820/ex4-2.htm" TargetMode="External"/><Relationship Id="rId41" Type="http://schemas.openxmlformats.org/officeDocument/2006/relationships/hyperlink" Target="https://www.sec.gov/Archives/edgar/data/883975/000149315225013743/ex4-2.htm" TargetMode="External"/><Relationship Id="rId42" Type="http://schemas.openxmlformats.org/officeDocument/2006/relationships/hyperlink" Target="https://www.sec.gov/Archives/edgar/data/883975/000149315225017896/ex5-1.htm" TargetMode="External"/><Relationship Id="rId43" Type="http://schemas.openxmlformats.org/officeDocument/2006/relationships/hyperlink" Target="https://www.sec.gov/Archives/edgar/data/883975/000149315225017896/ex23-2.htm" TargetMode="External"/><Relationship Id="rId44" Type="http://schemas.openxmlformats.org/officeDocument/2006/relationships/hyperlink" Target="https://www.sec.gov/Archives/edgar/data/883975/000149315225017896/forms-3.htm#a_014" TargetMode="External"/><Relationship Id="rId45" Type="http://schemas.openxmlformats.org/officeDocument/2006/relationships/hyperlink" Target="https://www.sec.gov/Archives/edgar/data/883975/000149315225017896/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2025-10-28T16:43:02Z</dcterms:created>
  <dcterms:modified xsi:type="dcterms:W3CDTF">2025-10-28T16:43:02Z</dcterms:modified>
</cp:coreProperties>
</file>