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039"/>
        <w:spacing w:after="0" w:line="238" w:lineRule="auto"/>
        <w:rPr>
          <w:sz w:val="20"/>
          <w:szCs w:val="20"/>
          <w:color w:val="auto"/>
        </w:rPr>
      </w:pPr>
      <w:r>
        <w:rPr>
          <w:rFonts w:ascii="Courier New" w:cs="Courier New" w:eastAsia="Courier New" w:hAnsi="Courier New"/>
          <w:sz w:val="18"/>
          <w:szCs w:val="18"/>
          <w:color w:val="auto"/>
        </w:rPr>
        <w:t>Washington, D.C. 20549</w:t>
      </w:r>
    </w:p>
    <w:p>
      <w:pPr>
        <w:ind w:left="2740"/>
        <w:spacing w:after="0"/>
        <w:rPr>
          <w:sz w:val="20"/>
          <w:szCs w:val="20"/>
          <w:color w:val="auto"/>
        </w:rPr>
      </w:pPr>
      <w:r>
        <w:rPr>
          <w:rFonts w:ascii="Courier New" w:cs="Courier New" w:eastAsia="Courier New" w:hAnsi="Courier New"/>
          <w:sz w:val="18"/>
          <w:szCs w:val="18"/>
          <w:color w:val="auto"/>
        </w:rPr>
        <w:t>________________</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SCHEDULE 13G/A</w:t>
      </w:r>
    </w:p>
    <w:p>
      <w:pPr>
        <w:ind w:left="2740"/>
        <w:spacing w:after="0" w:line="238" w:lineRule="auto"/>
        <w:rPr>
          <w:sz w:val="20"/>
          <w:szCs w:val="20"/>
          <w:color w:val="auto"/>
        </w:rPr>
      </w:pPr>
      <w:r>
        <w:rPr>
          <w:rFonts w:ascii="Courier New" w:cs="Courier New" w:eastAsia="Courier New" w:hAnsi="Courier New"/>
          <w:sz w:val="18"/>
          <w:szCs w:val="18"/>
          <w:color w:val="auto"/>
        </w:rPr>
        <w:t>________________</w:t>
      </w:r>
    </w:p>
    <w:p>
      <w:pPr>
        <w:spacing w:after="0" w:line="202"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jc w:val="center"/>
        <w:ind w:right="29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Common Stock, $.01 par value</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232923 10 2</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w:t>
      </w:r>
    </w:p>
    <w:p>
      <w:pPr>
        <w:spacing w:after="0" w:line="207" w:lineRule="exact"/>
        <w:rPr>
          <w:sz w:val="24"/>
          <w:szCs w:val="24"/>
          <w:color w:val="auto"/>
        </w:rPr>
      </w:pPr>
    </w:p>
    <w:p>
      <w:pPr>
        <w:ind w:left="540" w:right="2319" w:hanging="532"/>
        <w:spacing w:after="0" w:line="275"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rFonts w:ascii="Courier New" w:cs="Courier New" w:eastAsia="Courier New" w:hAnsi="Courier New"/>
          <w:sz w:val="16"/>
          <w:szCs w:val="16"/>
          <w:color w:val="auto"/>
        </w:rPr>
      </w:pPr>
    </w:p>
    <w:p>
      <w:pPr>
        <w:ind w:left="540" w:right="21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232923 10 2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ABOVE PERSON</w:t>
      </w:r>
    </w:p>
    <w:p>
      <w:pPr>
        <w:ind w:left="1160"/>
        <w:spacing w:after="0"/>
        <w:rPr>
          <w:sz w:val="20"/>
          <w:szCs w:val="20"/>
          <w:color w:val="auto"/>
        </w:rPr>
      </w:pPr>
      <w:r>
        <w:rPr>
          <w:rFonts w:ascii="Courier New" w:cs="Courier New" w:eastAsia="Courier New" w:hAnsi="Courier New"/>
          <w:sz w:val="18"/>
          <w:szCs w:val="18"/>
          <w:color w:val="auto"/>
        </w:rPr>
        <w:t>Ardsley Advisory Partners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 **</w:t>
      </w:r>
    </w:p>
    <w:p>
      <w:pPr>
        <w:ind w:left="7180"/>
        <w:spacing w:after="0" w:line="238" w:lineRule="auto"/>
        <w:tabs>
          <w:tab w:leader="none" w:pos="7680" w:val="left"/>
        </w:tabs>
        <w:rPr>
          <w:sz w:val="20"/>
          <w:szCs w:val="20"/>
          <w:color w:val="auto"/>
        </w:rPr>
      </w:pPr>
      <w:r>
        <w:rPr>
          <w:rFonts w:ascii="Courier New" w:cs="Courier New" w:eastAsia="Courier New" w:hAnsi="Courier New"/>
          <w:sz w:val="18"/>
          <w:szCs w:val="18"/>
          <w:color w:val="auto"/>
        </w:rPr>
        <w:t>(a)</w:t>
        <w:tab/>
        <w:t>[ ]</w:t>
      </w:r>
    </w:p>
    <w:p>
      <w:pPr>
        <w:ind w:left="7180"/>
        <w:spacing w:after="0"/>
        <w:tabs>
          <w:tab w:leader="none" w:pos="768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160"/>
        <w:spacing w:after="0" w:line="238" w:lineRule="auto"/>
        <w:rPr>
          <w:sz w:val="20"/>
          <w:szCs w:val="20"/>
          <w:color w:val="auto"/>
        </w:rPr>
      </w:pPr>
      <w:r>
        <w:rPr>
          <w:rFonts w:ascii="Courier New" w:cs="Courier New" w:eastAsia="Courier New" w:hAnsi="Courier New"/>
          <w:sz w:val="18"/>
          <w:szCs w:val="18"/>
          <w:color w:val="auto"/>
        </w:rPr>
        <w:t>Connecticut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833,000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852"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w:t>
      </w:r>
    </w:p>
    <w:p>
      <w:pPr>
        <w:spacing w:after="0" w:line="200" w:lineRule="exact"/>
        <w:rPr>
          <w:sz w:val="20"/>
          <w:szCs w:val="20"/>
          <w:color w:val="auto"/>
        </w:rPr>
      </w:pPr>
    </w:p>
    <w:p>
      <w:pPr>
        <w:sectPr>
          <w:pgSz w:w="11900" w:h="16838" w:orient="portrait"/>
          <w:cols w:equalWidth="0" w:num="2">
            <w:col w:w="960" w:space="620"/>
            <w:col w:w="8639"/>
          </w:cols>
          <w:pgMar w:left="240" w:top="142" w:right="1440" w:bottom="1440" w:gutter="0" w:footer="0" w:header="0"/>
        </w:sectPr>
      </w:pPr>
    </w:p>
    <w:p>
      <w:pPr>
        <w:spacing w:after="0" w:line="18" w:lineRule="exact"/>
        <w:rPr>
          <w:sz w:val="20"/>
          <w:szCs w:val="20"/>
          <w:color w:val="auto"/>
        </w:rPr>
      </w:pPr>
    </w:p>
    <w:p>
      <w:pPr>
        <w:spacing w:after="0"/>
        <w:tabs>
          <w:tab w:leader="none" w:pos="1560" w:val="left"/>
          <w:tab w:leader="none" w:pos="2100" w:val="left"/>
        </w:tabs>
        <w:rPr>
          <w:sz w:val="20"/>
          <w:szCs w:val="20"/>
          <w:color w:val="auto"/>
        </w:rPr>
      </w:pPr>
      <w:r>
        <w:rPr>
          <w:rFonts w:ascii="Courier New" w:cs="Courier New" w:eastAsia="Courier New" w:hAnsi="Courier New"/>
          <w:sz w:val="18"/>
          <w:szCs w:val="18"/>
          <w:color w:val="auto"/>
        </w:rPr>
        <w:t>PERSON 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ectPr>
          <w:pgSz w:w="11900" w:h="16838" w:orient="portrait"/>
          <w:cols w:equalWidth="0" w:num="1">
            <w:col w:w="10219"/>
          </w:cols>
          <w:pgMar w:left="240" w:top="142" w:right="1440" w:bottom="1440" w:gutter="0" w:footer="0" w:header="0"/>
          <w:type w:val="continuous"/>
        </w:sectPr>
      </w:pPr>
    </w:p>
    <w:p>
      <w:pPr>
        <w:ind w:left="2220"/>
        <w:spacing w:after="0" w:line="238" w:lineRule="auto"/>
        <w:rPr>
          <w:sz w:val="20"/>
          <w:szCs w:val="20"/>
          <w:color w:val="auto"/>
        </w:rPr>
      </w:pPr>
      <w:r>
        <w:rPr>
          <w:rFonts w:ascii="Courier New" w:cs="Courier New" w:eastAsia="Courier New" w:hAnsi="Courier New"/>
          <w:sz w:val="18"/>
          <w:szCs w:val="18"/>
          <w:color w:val="auto"/>
        </w:rPr>
        <w:t>833,000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5479" w:hanging="525"/>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833,000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060"/>
        <w:spacing w:after="0"/>
        <w:tabs>
          <w:tab w:leader="none" w:pos="768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w:t>
      </w:r>
    </w:p>
    <w:p>
      <w:pPr>
        <w:ind w:left="1060"/>
        <w:spacing w:after="0" w:line="238" w:lineRule="auto"/>
        <w:rPr>
          <w:sz w:val="20"/>
          <w:szCs w:val="20"/>
          <w:color w:val="auto"/>
        </w:rPr>
      </w:pPr>
      <w:r>
        <w:rPr>
          <w:rFonts w:ascii="Courier New" w:cs="Courier New" w:eastAsia="Courier New" w:hAnsi="Courier New"/>
          <w:sz w:val="18"/>
          <w:szCs w:val="18"/>
          <w:color w:val="auto"/>
        </w:rPr>
        <w:t>BY AMOUNT IN ROW (9)</w:t>
      </w:r>
    </w:p>
    <w:p>
      <w:pPr>
        <w:ind w:left="1160"/>
        <w:spacing w:after="0"/>
        <w:rPr>
          <w:sz w:val="20"/>
          <w:szCs w:val="20"/>
          <w:color w:val="auto"/>
        </w:rPr>
      </w:pPr>
      <w:r>
        <w:rPr>
          <w:rFonts w:ascii="Courier New" w:cs="Courier New" w:eastAsia="Courier New" w:hAnsi="Courier New"/>
          <w:sz w:val="18"/>
          <w:szCs w:val="18"/>
          <w:color w:val="auto"/>
        </w:rPr>
        <w:t>5.4%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160" w:right="6319" w:hanging="731"/>
        <w:spacing w:after="0" w:line="235" w:lineRule="auto"/>
        <w:tabs>
          <w:tab w:leader="none" w:pos="105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2740" w:right="4519" w:hanging="1152"/>
        <w:spacing w:after="0" w:line="470" w:lineRule="auto"/>
        <w:tabs>
          <w:tab w:leader="none" w:pos="189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 PAGE 2 OF 5 PAGES</w:t>
      </w:r>
    </w:p>
    <w:p>
      <w:pPr>
        <w:sectPr>
          <w:pgSz w:w="11900" w:h="16838" w:orient="portrait"/>
          <w:cols w:equalWidth="0" w:num="1">
            <w:col w:w="10219"/>
          </w:cols>
          <w:pgMar w:left="240" w:top="142" w:right="1440" w:bottom="1440" w:gutter="0" w:footer="0" w:header="0"/>
          <w:type w:val="continuous"/>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232923 10 2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w:t>
      </w:r>
    </w:p>
    <w:p>
      <w:pPr>
        <w:spacing w:after="0" w:line="4" w:lineRule="exact"/>
        <w:rPr>
          <w:rFonts w:ascii="Courier New" w:cs="Courier New" w:eastAsia="Courier New" w:hAnsi="Courier New"/>
          <w:sz w:val="18"/>
          <w:szCs w:val="18"/>
          <w:color w:val="auto"/>
        </w:rPr>
      </w:pPr>
    </w:p>
    <w:p>
      <w:pPr>
        <w:ind w:left="1160" w:right="7059" w:hanging="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ABOVE PERSON Philip J. Hempleman</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 **</w:t>
      </w:r>
    </w:p>
    <w:p>
      <w:pPr>
        <w:ind w:left="7180"/>
        <w:spacing w:after="0" w:line="238" w:lineRule="auto"/>
        <w:tabs>
          <w:tab w:leader="none" w:pos="7680" w:val="left"/>
        </w:tabs>
        <w:rPr>
          <w:sz w:val="20"/>
          <w:szCs w:val="20"/>
          <w:color w:val="auto"/>
        </w:rPr>
      </w:pPr>
      <w:r>
        <w:rPr>
          <w:rFonts w:ascii="Courier New" w:cs="Courier New" w:eastAsia="Courier New" w:hAnsi="Courier New"/>
          <w:sz w:val="18"/>
          <w:szCs w:val="18"/>
          <w:color w:val="auto"/>
        </w:rPr>
        <w:t>(a)</w:t>
        <w:tab/>
        <w:t>[ ]</w:t>
      </w:r>
    </w:p>
    <w:p>
      <w:pPr>
        <w:ind w:left="7180"/>
        <w:spacing w:after="0"/>
        <w:tabs>
          <w:tab w:leader="none" w:pos="768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160" w:right="5359" w:hanging="625"/>
        <w:spacing w:after="0" w:line="235" w:lineRule="auto"/>
        <w:tabs>
          <w:tab w:leader="none" w:pos="105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833,000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6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612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833,000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5479" w:hanging="525"/>
        <w:spacing w:after="0" w:line="235"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1160"/>
        <w:spacing w:after="0"/>
        <w:rPr>
          <w:sz w:val="20"/>
          <w:szCs w:val="20"/>
          <w:color w:val="auto"/>
        </w:rPr>
      </w:pPr>
      <w:r>
        <w:rPr>
          <w:rFonts w:ascii="Courier New" w:cs="Courier New" w:eastAsia="Courier New" w:hAnsi="Courier New"/>
          <w:sz w:val="18"/>
          <w:szCs w:val="18"/>
          <w:color w:val="auto"/>
        </w:rPr>
        <w:t>833,000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060"/>
        <w:spacing w:after="0"/>
        <w:tabs>
          <w:tab w:leader="none" w:pos="7680" w:val="left"/>
        </w:tabs>
        <w:rPr>
          <w:sz w:val="20"/>
          <w:szCs w:val="20"/>
          <w:color w:val="auto"/>
        </w:rPr>
      </w:pPr>
      <w:r>
        <w:rPr>
          <w:rFonts w:ascii="Courier New" w:cs="Courier New" w:eastAsia="Courier New" w:hAnsi="Courier New"/>
          <w:sz w:val="18"/>
          <w:szCs w:val="18"/>
          <w:color w:val="auto"/>
        </w:rPr>
        <w:t>IN ROW (9) EXCLUDES CERTAIN SHARES **</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1060" w:right="6199" w:hanging="631"/>
        <w:spacing w:after="0" w:line="268" w:lineRule="auto"/>
        <w:tabs>
          <w:tab w:leader="none" w:pos="1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1060" w:hanging="631"/>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ind w:left="116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2740" w:right="4519" w:hanging="1152"/>
        <w:spacing w:after="0" w:line="470" w:lineRule="auto"/>
        <w:tabs>
          <w:tab w:leader="none" w:pos="189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 PAGE 3 OF 5 PAGES</w:t>
      </w:r>
    </w:p>
    <w:p>
      <w:pPr>
        <w:sectPr>
          <w:pgSz w:w="11900" w:h="16838" w:orient="portrait"/>
          <w:cols w:equalWidth="0" w:num="1">
            <w:col w:w="10219"/>
          </w:cols>
          <w:pgMar w:left="240" w:top="1122" w:right="1440" w:bottom="1440" w:gutter="0" w:footer="0" w:header="0"/>
        </w:sectPr>
      </w:pPr>
    </w:p>
    <w:bookmarkStart w:id="3" w:name="page4"/>
    <w:bookmarkEnd w:id="3"/>
    <w:p>
      <w:pPr>
        <w:ind w:right="1999" w:firstLine="1159"/>
        <w:spacing w:after="0" w:line="268" w:lineRule="auto"/>
        <w:rPr>
          <w:sz w:val="20"/>
          <w:szCs w:val="20"/>
          <w:color w:val="auto"/>
        </w:rPr>
      </w:pPr>
      <w:r>
        <w:rPr>
          <w:rFonts w:ascii="Courier New" w:cs="Courier New" w:eastAsia="Courier New" w:hAnsi="Courier New"/>
          <w:sz w:val="16"/>
          <w:szCs w:val="16"/>
          <w:color w:val="auto"/>
        </w:rPr>
        <w:t>The Schedule 13G initially filed for the year ended December 31, 1993 of (i) Ardsley Advisory Partners and (ii) Philip J. Hempleman relating to the common stock, par value of $.01 per share (the "Common Stock"), issued by CytoTherapeutics, Inc. (the "Company") is hereby amended by this Amendment No.</w:t>
      </w:r>
    </w:p>
    <w:p>
      <w:pPr>
        <w:spacing w:after="0" w:line="234" w:lineRule="auto"/>
        <w:rPr>
          <w:sz w:val="20"/>
          <w:szCs w:val="20"/>
          <w:color w:val="auto"/>
        </w:rPr>
      </w:pPr>
      <w:r>
        <w:rPr>
          <w:rFonts w:ascii="Courier New" w:cs="Courier New" w:eastAsia="Courier New" w:hAnsi="Courier New"/>
          <w:sz w:val="18"/>
          <w:szCs w:val="18"/>
          <w:color w:val="auto"/>
        </w:rPr>
        <w:t>3 to the Schedule 13G as follows:</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Item 4 is hereby replaced in its entirety by the following:</w:t>
      </w:r>
    </w:p>
    <w:p>
      <w:pPr>
        <w:spacing w:after="0" w:line="207" w:lineRule="exact"/>
        <w:rPr>
          <w:sz w:val="20"/>
          <w:szCs w:val="20"/>
          <w:color w:val="auto"/>
        </w:rPr>
      </w:pPr>
    </w:p>
    <w:p>
      <w:pPr>
        <w:ind w:left="1700" w:right="5779" w:hanging="533"/>
        <w:spacing w:after="0" w:line="470" w:lineRule="auto"/>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833,000</w:t>
      </w:r>
    </w:p>
    <w:p>
      <w:pPr>
        <w:spacing w:after="0" w:line="6" w:lineRule="exact"/>
        <w:rPr>
          <w:rFonts w:ascii="Courier New" w:cs="Courier New" w:eastAsia="Courier New" w:hAnsi="Courier New"/>
          <w:sz w:val="18"/>
          <w:szCs w:val="18"/>
          <w:color w:val="auto"/>
        </w:rPr>
      </w:pPr>
    </w:p>
    <w:p>
      <w:pPr>
        <w:ind w:left="1700" w:hanging="533"/>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7" w:lineRule="exact"/>
        <w:rPr>
          <w:sz w:val="20"/>
          <w:szCs w:val="20"/>
          <w:color w:val="auto"/>
        </w:rPr>
      </w:pPr>
    </w:p>
    <w:p>
      <w:pPr>
        <w:ind w:left="1160" w:right="2199"/>
        <w:spacing w:after="0" w:line="237" w:lineRule="auto"/>
        <w:rPr>
          <w:sz w:val="20"/>
          <w:szCs w:val="20"/>
          <w:color w:val="auto"/>
        </w:rPr>
      </w:pPr>
      <w:r>
        <w:rPr>
          <w:rFonts w:ascii="Courier New" w:cs="Courier New" w:eastAsia="Courier New" w:hAnsi="Courier New"/>
          <w:sz w:val="18"/>
          <w:szCs w:val="18"/>
          <w:color w:val="auto"/>
        </w:rPr>
        <w:t>5.4% (based on the 15,428,576 shares of Common Stock reported to be outstanding as of October 31, 1996, as reflected in the Company's quarterly report on Form 10-Q filed with the Securities and Exchange Commission by the Company for the quarter ended September 30, 1996.)</w:t>
      </w:r>
    </w:p>
    <w:p>
      <w:pPr>
        <w:spacing w:after="0" w:line="203" w:lineRule="exact"/>
        <w:rPr>
          <w:sz w:val="20"/>
          <w:szCs w:val="20"/>
          <w:color w:val="auto"/>
        </w:rPr>
      </w:pPr>
    </w:p>
    <w:p>
      <w:pPr>
        <w:ind w:left="1700" w:hanging="533"/>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220" w:right="3779" w:hanging="527"/>
        <w:spacing w:after="0" w:line="470" w:lineRule="auto"/>
        <w:tabs>
          <w:tab w:leader="none" w:pos="22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11" w:lineRule="exact"/>
        <w:rPr>
          <w:rFonts w:ascii="Courier New" w:cs="Courier New" w:eastAsia="Courier New" w:hAnsi="Courier New"/>
          <w:sz w:val="18"/>
          <w:szCs w:val="18"/>
          <w:color w:val="auto"/>
        </w:rPr>
      </w:pPr>
    </w:p>
    <w:p>
      <w:pPr>
        <w:ind w:left="2220" w:right="3579" w:hanging="527"/>
        <w:spacing w:after="0" w:line="470" w:lineRule="auto"/>
        <w:tabs>
          <w:tab w:leader="none" w:pos="22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833,000</w:t>
      </w:r>
    </w:p>
    <w:p>
      <w:pPr>
        <w:spacing w:after="0" w:line="11" w:lineRule="exact"/>
        <w:rPr>
          <w:rFonts w:ascii="Courier New" w:cs="Courier New" w:eastAsia="Courier New" w:hAnsi="Courier New"/>
          <w:sz w:val="18"/>
          <w:szCs w:val="18"/>
          <w:color w:val="auto"/>
        </w:rPr>
      </w:pPr>
    </w:p>
    <w:p>
      <w:pPr>
        <w:ind w:left="2220" w:right="2319" w:hanging="527"/>
        <w:spacing w:after="0" w:line="470" w:lineRule="auto"/>
        <w:tabs>
          <w:tab w:leader="none" w:pos="2325"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11" w:lineRule="exact"/>
        <w:rPr>
          <w:rFonts w:ascii="Courier New" w:cs="Courier New" w:eastAsia="Courier New" w:hAnsi="Courier New"/>
          <w:sz w:val="18"/>
          <w:szCs w:val="18"/>
          <w:color w:val="auto"/>
        </w:rPr>
      </w:pPr>
    </w:p>
    <w:p>
      <w:pPr>
        <w:ind w:left="2220" w:right="4199" w:hanging="527"/>
        <w:spacing w:after="0" w:line="235" w:lineRule="auto"/>
        <w:tabs>
          <w:tab w:leader="none" w:pos="22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rFonts w:ascii="Courier New" w:cs="Courier New" w:eastAsia="Courier New" w:hAnsi="Courier New"/>
          <w:sz w:val="18"/>
          <w:szCs w:val="18"/>
          <w:color w:val="auto"/>
        </w:rPr>
      </w:pP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833,000</w:t>
      </w:r>
    </w:p>
    <w:p>
      <w:pPr>
        <w:spacing w:after="0" w:line="207" w:lineRule="exact"/>
        <w:rPr>
          <w:sz w:val="20"/>
          <w:szCs w:val="20"/>
          <w:color w:val="auto"/>
        </w:rPr>
      </w:pPr>
    </w:p>
    <w:p>
      <w:pPr>
        <w:ind w:right="1779" w:firstLine="1159"/>
        <w:spacing w:after="0" w:line="238" w:lineRule="auto"/>
        <w:rPr>
          <w:sz w:val="20"/>
          <w:szCs w:val="20"/>
          <w:color w:val="auto"/>
        </w:rPr>
      </w:pPr>
      <w:r>
        <w:rPr>
          <w:rFonts w:ascii="Courier New" w:cs="Courier New" w:eastAsia="Courier New" w:hAnsi="Courier New"/>
          <w:sz w:val="18"/>
          <w:szCs w:val="18"/>
          <w:color w:val="auto"/>
        </w:rPr>
        <w:t>By virtue of Mr. Hempleman's position as managing partner of Ardsley Advisory Partners, a Connecticut general partnership ("Ardsley"), Mr. Hempleman may be deemed to have the shared power to vote or direct the vote of, and the shared power to dispose or direct the disposition of, the 833,000 shares of Common Stock of the Company held by the discretionary accounts managed by Ardsley and Mr. Hempleman (including accounts of certain clients, including investment partnerships for which (i) Ardsley serves as the management company and (ii) a general partnership comprised of the partners that comprise Ardsley serves as general partner, the "Discretionary Accounts"), constituting 5.4% of the 15,428,576 shares of Common Stock outstanding as of October 31, 1996, as reflected in the quarterly report of the Company on Form 10-Q filed with the Securities and Exchange Commission by the Company for the quarter ended September 30, 1996, and, therefore, Mr. Hempleman may be deemed to be the beneficial owner of such Common Stock.</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Item 6 is hereby replaced in its entirety by the following:</w:t>
      </w:r>
    </w:p>
    <w:p>
      <w:pPr>
        <w:spacing w:after="0" w:line="207"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This Schedule 13G is filed by Ardsley, which is an investment adviser registered under Section 203 of the Investment Advisers Act of 1940, as amended, with respect to the 833,000 shares of Common Stock held at December 31, 1996 by the Discretionary Accounts managed by Ardsley and Mr. Hempleman.</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By reason of the provisions of Rule 13d-3 under the Act, Ardsley and Mr. Hempleman may each be deemed to own beneficially the shares of Common Stock owned by the Discretionary Accounts. Each client for whose account Ardsley had purchased Common Stock has the right to receive or the power to direct the receipt of dividends from, or the proceeds from the sale of, such Common Stock purchased for his account. No such client has any of the foregoing rights with respect to more than five percent of the class of securities identified in Item 2(d). There is no agreement or understanding among such persons to act together for the purpose of acquiring, holding, voting or disposing of any such securities.</w:t>
      </w:r>
    </w:p>
    <w:p>
      <w:pPr>
        <w:sectPr>
          <w:pgSz w:w="11900" w:h="16838" w:orient="portrait"/>
          <w:cols w:equalWidth="0" w:num="1">
            <w:col w:w="10219"/>
          </w:cols>
          <w:pgMar w:left="240" w:top="925" w:right="1440" w:bottom="0" w:gutter="0" w:footer="0" w:header="0"/>
        </w:sectPr>
      </w:pPr>
    </w:p>
    <w:bookmarkStart w:id="4" w:name="page5"/>
    <w:bookmarkEnd w:id="4"/>
    <w:p>
      <w:pPr>
        <w:ind w:right="2099" w:firstLine="1053"/>
        <w:spacing w:after="0" w:line="237" w:lineRule="auto"/>
        <w:rPr>
          <w:sz w:val="20"/>
          <w:szCs w:val="20"/>
          <w:color w:val="auto"/>
        </w:rPr>
      </w:pPr>
      <w:r>
        <w:rPr>
          <w:rFonts w:ascii="Courier New" w:cs="Courier New" w:eastAsia="Courier New" w:hAnsi="Courier New"/>
          <w:sz w:val="18"/>
          <w:szCs w:val="18"/>
          <w:color w:val="auto"/>
        </w:rPr>
        <w:t>To the knowledge of Ardsley, no other person has the right to receive or the power to direct the receipt of dividends from, or the proceeds from the sale of, a number of such Common Stock which represents more than five percent of the number of outstanding shares of Common Stock.</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142" w:right="1440" w:bottom="1440" w:gutter="0" w:footer="0" w:header="0"/>
        </w:sectPr>
      </w:pPr>
    </w:p>
    <w:bookmarkStart w:id="5" w:name="page6"/>
    <w:bookmarkEnd w:id="5"/>
    <w:p>
      <w:pPr>
        <w:spacing w:after="0" w:line="200" w:lineRule="exact"/>
        <w:rPr>
          <w:sz w:val="20"/>
          <w:szCs w:val="20"/>
          <w:color w:val="auto"/>
        </w:rPr>
      </w:pPr>
    </w:p>
    <w:p>
      <w:pPr>
        <w:spacing w:after="0" w:line="293" w:lineRule="exact"/>
        <w:rPr>
          <w:sz w:val="20"/>
          <w:szCs w:val="20"/>
          <w:color w:val="auto"/>
        </w:rPr>
      </w:pPr>
    </w:p>
    <w:p>
      <w:pPr>
        <w:spacing w:after="0"/>
        <w:tabs>
          <w:tab w:leader="none" w:pos="1140" w:val="left"/>
          <w:tab w:leader="none" w:pos="2840" w:val="left"/>
        </w:tabs>
        <w:rPr>
          <w:sz w:val="20"/>
          <w:szCs w:val="20"/>
          <w:color w:val="auto"/>
        </w:rPr>
      </w:pPr>
      <w:r>
        <w:rPr>
          <w:rFonts w:ascii="Courier New" w:cs="Courier New" w:eastAsia="Courier New" w:hAnsi="Courier New"/>
          <w:sz w:val="18"/>
          <w:szCs w:val="18"/>
          <w:color w:val="auto"/>
        </w:rPr>
        <w:t>ITEM 10.</w:t>
        <w:tab/>
        <w:t>CERTIFICATION.</w:t>
      </w:r>
      <w:r>
        <w:rPr>
          <w:sz w:val="20"/>
          <w:szCs w:val="20"/>
          <w:color w:val="auto"/>
        </w:rPr>
        <w:tab/>
      </w:r>
      <w:r>
        <w:rPr>
          <w:rFonts w:ascii="Courier New" w:cs="Courier New" w:eastAsia="Courier New" w:hAnsi="Courier New"/>
          <w:sz w:val="16"/>
          <w:szCs w:val="16"/>
          <w:color w:val="auto"/>
        </w:rPr>
        <w:t>(if filing pursuant to Rule 13d-1(b))</w:t>
      </w:r>
    </w:p>
    <w:p>
      <w:pPr>
        <w:spacing w:after="0" w:line="207" w:lineRule="exact"/>
        <w:rPr>
          <w:sz w:val="20"/>
          <w:szCs w:val="20"/>
          <w:color w:val="auto"/>
        </w:rPr>
      </w:pPr>
    </w:p>
    <w:p>
      <w:pPr>
        <w:ind w:right="1999" w:firstLine="1159"/>
        <w:spacing w:after="0" w:line="237" w:lineRule="auto"/>
        <w:rPr>
          <w:sz w:val="20"/>
          <w:szCs w:val="20"/>
          <w:color w:val="auto"/>
        </w:rPr>
      </w:pPr>
      <w:r>
        <w:rPr>
          <w:rFonts w:ascii="Courier New" w:cs="Courier New" w:eastAsia="Courier New" w:hAnsi="Courier New"/>
          <w:sz w:val="18"/>
          <w:szCs w:val="18"/>
          <w:color w:val="auto"/>
        </w:rPr>
        <w:t>By signing below Ardsley Advisory Partners and Philip J. Hempleman certify that, to the best of their knowledge and belief, the securities referred to above were acquired in the ordinary course of business,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and belief, the undersigned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February 6, 1997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PHILIP J. HEMPLEMAN</w:t>
      </w:r>
    </w:p>
    <w:p>
      <w:pPr>
        <w:ind w:left="3380"/>
        <w:spacing w:after="0" w:line="238" w:lineRule="auto"/>
        <w:rPr>
          <w:sz w:val="20"/>
          <w:szCs w:val="20"/>
          <w:color w:val="auto"/>
        </w:rPr>
      </w:pPr>
      <w:r>
        <w:rPr>
          <w:rFonts w:ascii="Courier New" w:cs="Courier New" w:eastAsia="Courier New" w:hAnsi="Courier New"/>
          <w:sz w:val="18"/>
          <w:szCs w:val="18"/>
          <w:color w:val="auto"/>
        </w:rPr>
        <w:t>Philip J. Hempleman, as</w:t>
      </w:r>
    </w:p>
    <w:p>
      <w:pPr>
        <w:ind w:left="3380"/>
        <w:spacing w:after="0"/>
        <w:rPr>
          <w:sz w:val="20"/>
          <w:szCs w:val="20"/>
          <w:color w:val="auto"/>
        </w:rPr>
      </w:pPr>
      <w:r>
        <w:rPr>
          <w:rFonts w:ascii="Courier New" w:cs="Courier New" w:eastAsia="Courier New" w:hAnsi="Courier New"/>
          <w:sz w:val="18"/>
          <w:szCs w:val="18"/>
          <w:color w:val="auto"/>
        </w:rPr>
        <w:t>Managing Partner of</w:t>
      </w:r>
    </w:p>
    <w:p>
      <w:pPr>
        <w:ind w:left="3380"/>
        <w:spacing w:after="0" w:line="237" w:lineRule="auto"/>
        <w:rPr>
          <w:sz w:val="20"/>
          <w:szCs w:val="20"/>
          <w:color w:val="auto"/>
        </w:rPr>
      </w:pPr>
      <w:r>
        <w:rPr>
          <w:rFonts w:ascii="Courier New" w:cs="Courier New" w:eastAsia="Courier New" w:hAnsi="Courier New"/>
          <w:sz w:val="18"/>
          <w:szCs w:val="18"/>
          <w:color w:val="auto"/>
        </w:rPr>
        <w:t>Ardsley Advisory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PHILIP J. HEMPLEMAN</w:t>
      </w:r>
    </w:p>
    <w:p>
      <w:pPr>
        <w:ind w:left="3380"/>
        <w:spacing w:after="0" w:line="238" w:lineRule="auto"/>
        <w:rPr>
          <w:sz w:val="20"/>
          <w:szCs w:val="20"/>
          <w:color w:val="auto"/>
        </w:rPr>
      </w:pPr>
      <w:r>
        <w:rPr>
          <w:rFonts w:ascii="Courier New" w:cs="Courier New" w:eastAsia="Courier New" w:hAnsi="Courier New"/>
          <w:sz w:val="18"/>
          <w:szCs w:val="18"/>
          <w:color w:val="auto"/>
        </w:rPr>
        <w:t>Philip J. Hempleman</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3"/>
    </w:lvl>
  </w:abstractNum>
  <w:abstractNum w:abstractNumId="3">
    <w:nsid w:val="1190CDE7"/>
    <w:multiLevelType w:val="hybridMultilevel"/>
    <w:lvl w:ilvl="0">
      <w:lvlJc w:val="left"/>
      <w:lvlText w:val="(%1)"/>
      <w:numFmt w:val="decimal"/>
      <w:start w:val="4"/>
    </w:lvl>
  </w:abstractNum>
  <w:abstractNum w:abstractNumId="4">
    <w:nsid w:val="66EF438D"/>
    <w:multiLevelType w:val="hybridMultilevel"/>
    <w:lvl w:ilvl="0">
      <w:lvlJc w:val="left"/>
      <w:lvlText w:val="(%1)"/>
      <w:numFmt w:val="decimal"/>
      <w:start w:val="9"/>
    </w:lvl>
  </w:abstractNum>
  <w:abstractNum w:abstractNumId="5">
    <w:nsid w:val="140E0F76"/>
    <w:multiLevelType w:val="hybridMultilevel"/>
    <w:lvl w:ilvl="0">
      <w:lvlJc w:val="left"/>
      <w:lvlText w:val="(%1)"/>
      <w:numFmt w:val="decimal"/>
      <w:start w:val="10"/>
    </w:lvl>
  </w:abstractNum>
  <w:abstractNum w:abstractNumId="6">
    <w:nsid w:val="3352255A"/>
    <w:multiLevelType w:val="hybridMultilevel"/>
    <w:lvl w:ilvl="0">
      <w:lvlJc w:val="left"/>
      <w:lvlText w:val="(%1)"/>
      <w:numFmt w:val="decimal"/>
      <w:start w:val="11"/>
    </w:lvl>
  </w:abstractNum>
  <w:abstractNum w:abstractNumId="7">
    <w:nsid w:val="109CF92E"/>
    <w:multiLevelType w:val="hybridMultilevel"/>
    <w:lvl w:ilvl="0">
      <w:lvlJc w:val="left"/>
      <w:lvlText w:val="(%1)"/>
      <w:numFmt w:val="decimal"/>
      <w:start w:val="12"/>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3"/>
    </w:lvl>
  </w:abstractNum>
  <w:abstractNum w:abstractNumId="11">
    <w:nsid w:val="41A7C4C9"/>
    <w:multiLevelType w:val="hybridMultilevel"/>
    <w:lvl w:ilvl="0">
      <w:lvlJc w:val="left"/>
      <w:lvlText w:val="(%1)"/>
      <w:numFmt w:val="decimal"/>
      <w:start w:val="4"/>
    </w:lvl>
  </w:abstractNum>
  <w:abstractNum w:abstractNumId="12">
    <w:nsid w:val="6B68079A"/>
    <w:multiLevelType w:val="hybridMultilevel"/>
    <w:lvl w:ilvl="0">
      <w:lvlJc w:val="left"/>
      <w:lvlText w:val="(%1)"/>
      <w:numFmt w:val="decimal"/>
      <w:start w:val="9"/>
    </w:lvl>
  </w:abstractNum>
  <w:abstractNum w:abstractNumId="13">
    <w:nsid w:val="4E6AFB66"/>
    <w:multiLevelType w:val="hybridMultilevel"/>
    <w:lvl w:ilvl="0">
      <w:lvlJc w:val="left"/>
      <w:lvlText w:val="(%1)"/>
      <w:numFmt w:val="decimal"/>
      <w:start w:val="10"/>
    </w:lvl>
  </w:abstractNum>
  <w:abstractNum w:abstractNumId="14">
    <w:nsid w:val="25E45D32"/>
    <w:multiLevelType w:val="hybridMultilevel"/>
    <w:lvl w:ilvl="0">
      <w:lvlJc w:val="left"/>
      <w:lvlText w:val="(%1)"/>
      <w:numFmt w:val="decimal"/>
      <w:start w:val="11"/>
    </w:lvl>
  </w:abstractNum>
  <w:abstractNum w:abstractNumId="15">
    <w:nsid w:val="519B500D"/>
    <w:multiLevelType w:val="hybridMultilevel"/>
    <w:lvl w:ilvl="0">
      <w:lvlJc w:val="left"/>
      <w:lvlText w:val="(%1)"/>
      <w:numFmt w:val="decimal"/>
      <w:start w:val="12"/>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2019-12-13T22:00:19Z</dcterms:created>
  <dcterms:modified xsi:type="dcterms:W3CDTF">2019-12-13T22:00:19Z</dcterms:modified>
</cp:coreProperties>
</file>