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in the Prospectus with the information contained in our Quarterly Report on Form 10-Q for the fiscal quarter ended June 30, 2024, filed with the Securities and Exchange Commission on August 14, 2024 (the “10-Q”). Accordingly, we have attached the 10-Q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August 13, 2024, the closing price of our common stock was $1.00.</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0"/>
          <w:szCs w:val="20"/>
          <w:color w:val="auto"/>
        </w:rPr>
      </w:pPr>
    </w:p>
    <w:p>
      <w:pPr>
        <w:ind w:left="3880" w:right="1720" w:hanging="3872"/>
        <w:spacing w:after="0" w:line="479"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38" w:lineRule="exact"/>
        <w:rPr>
          <w:sz w:val="20"/>
          <w:szCs w:val="20"/>
          <w:color w:val="auto"/>
        </w:rPr>
      </w:pPr>
    </w:p>
    <w:p>
      <w:pPr>
        <w:ind w:left="3920" w:right="1700" w:hanging="3912"/>
        <w:spacing w:after="0" w:line="500" w:lineRule="auto"/>
        <w:tabs>
          <w:tab w:leader="none" w:pos="3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956" w:right="339" w:bottom="964" w:gutter="0" w:footer="0" w:header="0"/>
        </w:sectPr>
      </w:pPr>
    </w:p>
    <w:p>
      <w:pPr>
        <w:spacing w:after="0" w:line="20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31"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p>
      <w:pPr>
        <w:spacing w:after="0" w:line="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i w:val="1"/>
          <w:iCs w:val="1"/>
          <w:color w:val="auto"/>
        </w:rPr>
        <w:t>Identification No.)</w:t>
      </w:r>
    </w:p>
    <w:p>
      <w:pPr>
        <w:spacing w:after="0" w:line="200" w:lineRule="exact"/>
        <w:rPr>
          <w:sz w:val="20"/>
          <w:szCs w:val="20"/>
          <w:color w:val="auto"/>
        </w:rPr>
      </w:pPr>
    </w:p>
    <w:p>
      <w:pPr>
        <w:sectPr>
          <w:pgSz w:w="11900" w:h="16838" w:orient="portrait"/>
          <w:cols w:equalWidth="0" w:num="2">
            <w:col w:w="7080" w:space="720"/>
            <w:col w:w="3440"/>
          </w:cols>
          <w:pgMar w:left="320" w:top="956" w:right="339" w:bottom="964"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(Address of principal executive offices)</w:t>
      </w:r>
    </w:p>
    <w:p>
      <w:pPr>
        <w:sectPr>
          <w:pgSz w:w="11900" w:h="16838" w:orient="portrait"/>
          <w:cols w:equalWidth="0" w:num="1">
            <w:col w:w="11240"/>
          </w:cols>
          <w:pgMar w:left="320" w:top="956" w:right="339" w:bottom="964"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(Registrant’s Telephone Number, Including Area Code)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(Former name, former address and former fiscal year, if changed since last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56" w:right="339" w:bottom="964" w:gutter="0" w:footer="0" w:header="0"/>
          <w:type w:val="continuous"/>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3240" w:space="720"/>
            <w:col w:w="7280"/>
          </w:cols>
          <w:pgMar w:left="320" w:top="956" w:right="339" w:bottom="964" w:gutter="0" w:footer="0" w:header="0"/>
          <w:type w:val="continuous"/>
        </w:sectPr>
      </w:pPr>
    </w:p>
    <w:p>
      <w:pPr>
        <w:spacing w:after="0" w:line="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240" w:space="720"/>
            <w:col w:w="3200" w:space="720"/>
            <w:col w:w="3360"/>
          </w:cols>
          <w:pgMar w:left="320" w:top="956" w:right="339" w:bottom="964" w:gutter="0" w:footer="0" w:header="0"/>
          <w:type w:val="continuous"/>
        </w:sectPr>
      </w:pPr>
    </w:p>
    <w:p>
      <w:pPr>
        <w:spacing w:after="0" w:line="77"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16,504,433 shares of Common Stock, $0.01 par value at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6" w:right="339" w:bottom="964"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40" w:type="dxa"/>
            <w:vAlign w:val="bottom"/>
            <w:gridSpan w:val="8"/>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66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5"/>
          </w:tcPr>
          <w:p>
            <w:pPr>
              <w:jc w:val="center"/>
              <w:ind w:right="4320"/>
              <w:spacing w:after="0"/>
              <w:rPr>
                <w:sz w:val="20"/>
                <w:szCs w:val="20"/>
                <w:color w:val="auto"/>
              </w:rPr>
            </w:pPr>
            <w:r>
              <w:rPr>
                <w:rFonts w:ascii="Times New Roman" w:cs="Times New Roman" w:eastAsia="Times New Roman" w:hAnsi="Times New Roman"/>
                <w:sz w:val="18"/>
                <w:szCs w:val="18"/>
                <w:color w:val="auto"/>
                <w:w w:val="97"/>
              </w:rPr>
              <w:t>Index</w:t>
            </w:r>
          </w:p>
        </w:tc>
        <w:tc>
          <w:tcPr>
            <w:tcW w:w="6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60" w:type="dxa"/>
            <w:vAlign w:val="bottom"/>
            <w:shd w:val="clear" w:color="auto" w:fill="CCEEFF"/>
          </w:tcPr>
          <w:p>
            <w:pPr>
              <w:spacing w:after="0"/>
              <w:rPr>
                <w:sz w:val="18"/>
                <w:szCs w:val="18"/>
                <w:color w:val="auto"/>
              </w:rPr>
            </w:pPr>
          </w:p>
        </w:tc>
      </w:tr>
      <w:tr>
        <w:trPr>
          <w:trHeight w:val="216"/>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660" w:type="dxa"/>
            <w:vAlign w:val="bottom"/>
          </w:tcPr>
          <w:p>
            <w:pPr>
              <w:spacing w:after="0"/>
              <w:rPr>
                <w:sz w:val="18"/>
                <w:szCs w:val="18"/>
                <w:color w:val="auto"/>
              </w:rPr>
            </w:pPr>
          </w:p>
        </w:tc>
      </w:tr>
      <w:tr>
        <w:trPr>
          <w:trHeight w:val="196"/>
        </w:trPr>
        <w:tc>
          <w:tcPr>
            <w:tcW w:w="83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Balance Sheets as of June 30, 2024 (Unaudited) and December 31, 2023 (Audited)</w:t>
            </w:r>
          </w:p>
        </w:tc>
        <w:tc>
          <w:tcPr>
            <w:tcW w:w="220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0000EE"/>
              </w:rPr>
              <w:t>nterim Condensed Consolidated Statements of Comprehensive Loss for the Three and Six Months Ended June 30, 2024 and 2023 (Unaudited)</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Shareholders’ Equity for the Three and Six Months Ended June 30, 2024 and 2023 (Unaudited)</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Cash Flows for the Six Months Ended June 30, 2024 and 2023 (Unaudited)</w:t>
            </w:r>
          </w:p>
        </w:tc>
        <w:tc>
          <w:tcPr>
            <w:tcW w:w="2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Condensed Consolidated Financial Statements</w:t>
            </w:r>
          </w:p>
        </w:tc>
        <w:tc>
          <w:tcPr>
            <w:tcW w:w="6000" w:type="dxa"/>
            <w:vAlign w:val="bottom"/>
            <w:tcBorders>
              <w:bottom w:val="single" w:sz="8" w:color="CCEEFF"/>
            </w:tcBorders>
            <w:gridSpan w:val="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60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6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460" w:type="dxa"/>
            <w:vAlign w:val="bottom"/>
            <w:tcBorders>
              <w:top w:val="single" w:sz="8" w:color="CCEEFF"/>
            </w:tcBorders>
            <w:gridSpan w:val="10"/>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920" w:type="dxa"/>
            <w:vAlign w:val="bottom"/>
            <w:tcBorders>
              <w:bottom w:val="single" w:sz="8" w:color="CCEEFF"/>
            </w:tcBorders>
            <w:gridSpan w:val="1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640" w:type="dxa"/>
            <w:vAlign w:val="bottom"/>
            <w:tcBorders>
              <w:top w:val="single" w:sz="8" w:color="CCEEFF"/>
            </w:tcBorders>
            <w:gridSpan w:val="8"/>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64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gridSpan w:val="3"/>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4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740" w:type="dxa"/>
            <w:vAlign w:val="bottom"/>
          </w:tcPr>
          <w:p>
            <w:pPr>
              <w:spacing w:after="0"/>
              <w:rPr>
                <w:sz w:val="21"/>
                <w:szCs w:val="21"/>
                <w:color w:val="auto"/>
              </w:rPr>
            </w:pP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74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gridSpan w:val="2"/>
          </w:tcPr>
          <w:p>
            <w:pPr>
              <w:spacing w:after="0"/>
              <w:rPr>
                <w:sz w:val="18"/>
                <w:szCs w:val="18"/>
                <w:color w:val="auto"/>
              </w:rPr>
            </w:pPr>
          </w:p>
        </w:tc>
      </w:tr>
      <w:tr>
        <w:trPr>
          <w:trHeight w:val="216"/>
        </w:trPr>
        <w:tc>
          <w:tcPr>
            <w:tcW w:w="47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ASSETS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legal expenses</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7,138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47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47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3G</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4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47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0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of June 30, 2024 and December 31, 2023;</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15,965,633 and 11,707,317 shares issued and outstanding</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June 30, 2024 and December 31, 2023, respectively.</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(84,337)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Interim Condensed Consolidated Statements of Comprehensive Loss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ectPr>
          <w:pgSz w:w="11900" w:h="16838" w:orient="portrait"/>
          <w:cols w:equalWidth="0" w:num="1">
            <w:col w:w="11240"/>
          </w:cols>
          <w:pgMar w:left="320" w:top="684" w:right="339" w:bottom="1440" w:gutter="0" w:footer="0" w:header="0"/>
        </w:sectPr>
      </w:pPr>
    </w:p>
    <w:p>
      <w:pPr>
        <w:spacing w:after="0" w:line="20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p>
      <w:pPr>
        <w:spacing w:after="0" w:line="4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5715</wp:posOffset>
            </wp:positionV>
            <wp:extent cx="20916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7" w:lineRule="exact"/>
        <w:rPr>
          <w:sz w:val="20"/>
          <w:szCs w:val="20"/>
          <w:color w:val="auto"/>
        </w:rPr>
      </w:pPr>
    </w:p>
    <w:p>
      <w:pPr>
        <w:ind w:left="484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2040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sectPr>
          <w:pgSz w:w="11900" w:h="16838" w:orient="portrait"/>
          <w:cols w:equalWidth="0" w:num="2">
            <w:col w:w="7740" w:space="720"/>
            <w:col w:w="27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6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(1,417)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(1,365)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(2,586)</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3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(1,094)</w:t>
            </w:r>
          </w:p>
        </w:tc>
        <w:tc>
          <w:tcPr>
            <w:tcW w:w="480" w:type="dxa"/>
            <w:vAlign w:val="bottom"/>
          </w:tcPr>
          <w:p>
            <w:pPr>
              <w:spacing w:after="0"/>
              <w:rPr>
                <w:sz w:val="20"/>
                <w:szCs w:val="20"/>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tcPr>
          <w:p>
            <w:pPr>
              <w:spacing w:after="0"/>
              <w:rPr>
                <w:sz w:val="20"/>
                <w:szCs w:val="20"/>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4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r>
      <w:tr>
        <w:trPr>
          <w:trHeight w:val="257"/>
        </w:trPr>
        <w:tc>
          <w:tcPr>
            <w:tcW w:w="40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(0.33)</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151"/>
        </w:trPr>
        <w:tc>
          <w:tcPr>
            <w:tcW w:w="40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weighted average common shares</w:t>
            </w: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14,846,584</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9,198,806</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14,451,279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8,609,325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6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7,890,628</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3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16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3,576,689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r>
      <w:tr>
        <w:trPr>
          <w:trHeight w:val="23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6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11,707,317</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1,685,682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shd w:val="clear" w:color="auto" w:fill="CCEEFF"/>
          </w:tcPr>
          <w:p>
            <w:pPr>
              <w:spacing w:after="0"/>
              <w:rPr>
                <w:sz w:val="20"/>
                <w:szCs w:val="20"/>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1,005,965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March 31, 2024 (Unaudited)</w:t>
            </w:r>
          </w:p>
        </w:tc>
        <w:tc>
          <w:tcPr>
            <w:tcW w:w="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14,398,964</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4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gridSpan w:val="2"/>
            <w:shd w:val="clear" w:color="auto" w:fill="CCEEFF"/>
          </w:tcPr>
          <w:p>
            <w:pPr>
              <w:spacing w:after="0"/>
              <w:rPr>
                <w:sz w:val="21"/>
                <w:szCs w:val="21"/>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1,566,669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4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r>
      <w:tr>
        <w:trPr>
          <w:trHeight w:val="217"/>
        </w:trPr>
        <w:tc>
          <w:tcPr>
            <w:tcW w:w="4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June 30, 2024 (Unaudited)</w:t>
            </w: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15,965,633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$333. See Note 4A.</w:t>
      </w:r>
    </w:p>
    <w:p>
      <w:pPr>
        <w:spacing w:after="0" w:line="27"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3G.</w:t>
      </w:r>
    </w:p>
    <w:p>
      <w:pPr>
        <w:spacing w:after="0" w:line="9"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$328, of which approximately $52 had not been paid as of June 30, 2024. See also Note 4B.</w:t>
      </w:r>
    </w:p>
    <w:p>
      <w:pPr>
        <w:spacing w:after="0" w:line="202"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4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(4,836)</w:t>
            </w:r>
          </w:p>
        </w:tc>
        <w:tc>
          <w:tcPr>
            <w:tcW w:w="15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3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expenses</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46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Deferred issuance expenses</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June 30, 2024, the Company had cash equivalents and marketable securities balance of approximately $6,462,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Condensed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six-month period ended June 30,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3,997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w:t>
            </w:r>
          </w:p>
        </w:tc>
        <w:tc>
          <w:tcPr>
            <w:tcW w:w="2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June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for awards that qualify as “plain-vanilla”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June 30,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See also Notes 3C and 5C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June 30,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Through June 30, 2024, the Company has not sold any shares of common stock pursuant to the ATM Agreement. See Note 5A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The Company’s opposition is due to be filed on September 26,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The Company’s management is unable to predict the likelihood of securing additional capital; therefore, as of June 30, 2024, the Company has not recorded a liability for any contingent bonus. See also Note 5B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June 2024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E and series F preferred investment options and concluded that they should be classified as equity.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For some of the performance-based grants, as of June 30, 2024, the Company estimated that such performance conditions will be met, and therefore, the Company recorded a total expense of $8 in the second quarter of 2024. For other performance-based grants that the Company’s management believes are tied to the Company’s ability to secure additional capital, the Company did not record an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Reinstatement of ATM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From July 1, 2024 through August 9, 2024, the Company issued an aggregate of 538,800 shares of the Company’s common stock under the ATM Agreement for aggregate gross proceeds to the Company of approximately $584.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Contingent Bonus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Compensation Committee of the Board of Directors of the Company approved the payment of the first 50% of the contingent bonus to the Company’s CEO in the amount of approximately $149, and approved the payments of the second 50% of the contingent bonuses to the Company’s CFO and CTO in the aggregate amount of approximately $61.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Return of CardioSert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Using our LIBERTY® Endovascular Robotic Surgical System, we are developing the first ever fully disposable robot for various endovascular interventional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Surgical System</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right="20"/>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3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As a result, we recently were granted ISO 13485 certification for our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we believe it will help streamline our transition into this revised FDA regulation.</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have received the FDA’s approval to proceed with our pivotal human clinical trial as part</w:t>
      </w:r>
    </w:p>
    <w:p>
      <w:pPr>
        <w:jc w:val="both"/>
        <w:spacing w:after="0" w:line="209" w:lineRule="auto"/>
        <w:rPr>
          <w:sz w:val="20"/>
          <w:szCs w:val="20"/>
          <w:color w:val="auto"/>
        </w:rPr>
      </w:pPr>
      <w:r>
        <w:rPr>
          <w:rFonts w:ascii="Times New Roman" w:cs="Times New Roman" w:eastAsia="Times New Roman" w:hAnsi="Times New Roman"/>
          <w:sz w:val="18"/>
          <w:szCs w:val="18"/>
          <w:color w:val="auto"/>
        </w:rPr>
        <w:t>of our 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 Kettering Cancer Center,</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New 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the Company expects the results will support the future marketing submission to the FDA and subsequent commercialization.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parallel to commencing the pivotal human clinical trial, we are completing our biocompatibility tests as required by our IDE application.</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FDA in the first half of 2025. Due to recent changes in the regulations that govern the production and distribution of medical devices in Europe (EU MDR), where the Company has already achieved the first step of obtaining the ISO 13485 certification, the Company now anticipates CE Mark approval in the second half of 2026. However, we can give no assurance that we will meet either or both of these projected milestones, if ever.</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NovaCross</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 in Israel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filing date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Six Months Ended June 30,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six month periods ended June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740" w:type="dxa"/>
            <w:vAlign w:val="bottom"/>
          </w:tcPr>
          <w:p>
            <w:pPr>
              <w:spacing w:after="0"/>
              <w:rPr>
                <w:sz w:val="21"/>
                <w:szCs w:val="21"/>
                <w:color w:val="auto"/>
              </w:rPr>
            </w:pPr>
          </w:p>
        </w:tc>
        <w:tc>
          <w:tcPr>
            <w:tcW w:w="13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r>
      <w:tr>
        <w:trPr>
          <w:trHeight w:val="216"/>
        </w:trPr>
        <w:tc>
          <w:tcPr>
            <w:tcW w:w="47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(1,417)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(2,586)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(2,309)</w:t>
            </w: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six months ended June 30, 2024 compared to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due to deduction of government grants and decrease in expenses related to the outsourcing of the manufacturing of the Company’s LIBERTY product offset by increase in payroll related to cost reduction plan in Q2 2023.</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June 30, 2024 compared to June 30, 2023 was primarily due to increase in payroll expenses, offset by deduction of government grants and decrease in expenses related to the outsourcing of the manufacturing of the Company’s LIBERTY product.</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increase in general and administrative expenses for the six months ended June 30, 2024 compared to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due to increase in legal expenses, stock base compensation related to new grants and payroll expenses related to cost reduction plan in Q2 2023, offset by decrease in travel and investor relation expenses.</w:t>
      </w:r>
    </w:p>
    <w:p>
      <w:pPr>
        <w:spacing w:after="0" w:line="17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June 30, 2024 compared to June 30, 2023 was primarily due to increase in legal expenses, stock base compensation expenses and payroll expenses related to cost reduction plan in Q2 2023, offset by investor relation expenses.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six months ended June 30, 2024 compared to June 30,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recorded due to changes in exchange rates.</w:t>
      </w:r>
    </w:p>
    <w:p>
      <w:pPr>
        <w:spacing w:after="0" w:line="16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increase in financing income, net for the three months ended June 30, 2024 compared to June 30, 2023, was primarily due to increase in interest income offset by expenses recorded due to changes in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June 30,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June 30, 2024, Microbot has raised cash proceeds of approximately $72.1 million and incurred a total cumulative loss of approximately $84.3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June 30,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 IIA on</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 in the aggregate amount of approximately $530,000. Subsequent to June 30,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$5.08 million in gross proceeds, before fees and expenses of approximately $661,000, from financing activities through June 30, 2024, and raised an aggregate of approximately $584,000 in gross proceeds through our recently reinstated At-the-Market Agreement with HC Wainwright (the “ATM Agreement”) since July 1, 2024. To the extent available, Microbot intends to raise capital through future public and private issuances of debt and/or equity securities, including continuing to raise capital, if available, pursuant to the ATM Agreement until the maximum of $4,819,905 is raised.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condensed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(4,377)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(5,057)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18"/>
                <w:szCs w:val="18"/>
                <w:color w:val="auto"/>
              </w:rPr>
            </w:pPr>
          </w:p>
        </w:tc>
      </w:tr>
      <w:tr>
        <w:trPr>
          <w:trHeight w:val="24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6,719</w:t>
            </w:r>
          </w:p>
        </w:tc>
        <w:tc>
          <w:tcPr>
            <w:tcW w:w="80" w:type="dxa"/>
            <w:vAlign w:val="bottom"/>
            <w:shd w:val="clear" w:color="auto" w:fill="CCEEFF"/>
          </w:tcPr>
          <w:p>
            <w:pPr>
              <w:spacing w:after="0"/>
              <w:rPr>
                <w:sz w:val="21"/>
                <w:szCs w:val="21"/>
                <w:color w:val="auto"/>
              </w:rPr>
            </w:pPr>
          </w:p>
        </w:tc>
      </w:tr>
      <w:tr>
        <w:trPr>
          <w:trHeight w:val="217"/>
        </w:trPr>
        <w:tc>
          <w:tcPr>
            <w:tcW w:w="6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64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used in operating activities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from investing activities was mainly due to an increase in purchases of marketable securities and decrease of proceeds from maturities of marketable securities, offset by an increase of proceeds from sales of marketable securities.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provided by financing activities was due to decrease in net proceeds received from fundraising events during the period ended June 30, 2024 compared to the period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June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2024. Based on that review and evaluation, the Chief Executive Officer and Chief Financial Officer, along with the management of the Company, have determined that as of June 30,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Additionally, the Plaintiffs and the Company each agreed to fully release the other from all claims arising out of the Financing, the SPA and/or the allegations and claims asserted in the Lawsuit, subject to customary carve-outs.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3.H. Mona Litigation:”, to the financial statements included earlier in this Quarterly Report on Form 10-Q.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Microbot Medical Ltd. (incorporated by reference to the Company’s Current Report on Form 8-K filed on August 15, 2016).</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 fiscal</w:t>
              </w:r>
            </w:hyperlink>
          </w:p>
        </w:tc>
      </w:tr>
      <w:tr>
        <w:trPr>
          <w:trHeight w:val="196"/>
        </w:trPr>
        <w:tc>
          <w:tcPr>
            <w:tcW w:w="920" w:type="dxa"/>
            <w:vAlign w:val="bottom"/>
          </w:tcPr>
          <w:p>
            <w:pPr>
              <w:spacing w:after="0"/>
              <w:rPr>
                <w:sz w:val="17"/>
                <w:szCs w:val="17"/>
                <w:color w:val="auto"/>
              </w:rPr>
            </w:pPr>
          </w:p>
        </w:tc>
        <w:tc>
          <w:tcPr>
            <w:tcW w:w="4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year ended December 31, 2006 and filed on March 15, 2007).</w:t>
              </w:r>
            </w:hyperlink>
          </w:p>
        </w:tc>
        <w:tc>
          <w:tcPr>
            <w:tcW w:w="5880" w:type="dxa"/>
            <w:vAlign w:val="bottom"/>
            <w:gridSpan w:val="1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Report on Form 8-K filed on November 29, 2016)</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 8-</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K filed on September 4, 2018).</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By-Laws of the Company (incorporated by reference to the Company’s Current Report on Form 8-K filed on May 3,</w:t>
              </w:r>
            </w:hyperlink>
          </w:p>
        </w:tc>
      </w:tr>
      <w:tr>
        <w:trPr>
          <w:trHeight w:val="196"/>
        </w:trPr>
        <w:tc>
          <w:tcPr>
            <w:tcW w:w="9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2">
              <w:r>
                <w:rPr>
                  <w:rFonts w:ascii="Times New Roman" w:cs="Times New Roman" w:eastAsia="Times New Roman" w:hAnsi="Times New Roman"/>
                  <w:sz w:val="18"/>
                  <w:szCs w:val="18"/>
                  <w:color w:val="0000EE"/>
                  <w:w w:val="95"/>
                </w:rPr>
                <w:t>2016)</w:t>
              </w:r>
            </w:hyperlink>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Elimination (incorporated by reference to the Company’s Current Report on Form 8-K filed on December 12, 2018).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 8-</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K filed on September 11, 2019).</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to Section 5 of the Amended and Restated By-Laws of the Company (incorporated by reference to the Company’s Current Report</w:t>
              </w:r>
            </w:hyperlink>
          </w:p>
        </w:tc>
      </w:tr>
      <w:tr>
        <w:trPr>
          <w:trHeight w:val="196"/>
        </w:trPr>
        <w:tc>
          <w:tcPr>
            <w:tcW w:w="92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on Form 8-K filed on May 3, 2021).</w:t>
              </w:r>
            </w:hyperlink>
          </w:p>
        </w:tc>
        <w:tc>
          <w:tcPr>
            <w:tcW w:w="7720" w:type="dxa"/>
            <w:vAlign w:val="bottom"/>
            <w:gridSpan w:val="1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 ended</w:t>
              </w:r>
            </w:hyperlink>
          </w:p>
        </w:tc>
      </w:tr>
      <w:tr>
        <w:trPr>
          <w:trHeight w:val="196"/>
        </w:trPr>
        <w:tc>
          <w:tcPr>
            <w:tcW w:w="9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December 31, 2019).</w:t>
              </w:r>
            </w:hyperlink>
          </w:p>
        </w:tc>
        <w:tc>
          <w:tcPr>
            <w:tcW w:w="878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c>
          <w:tcPr>
            <w:tcW w:w="94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c>
          <w:tcPr>
            <w:tcW w:w="76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Warrant Amendment Agreement (incorporated by reference to the Registrant’s Current Report on Form 8-K filed on May 24, 2023)</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Series C Warrant (incorporated by reference to the Registrant’s Current Report on Form 8-K filed on June 6, 2023)</w:t>
              </w:r>
            </w:hyperlink>
          </w:p>
        </w:tc>
        <w:tc>
          <w:tcPr>
            <w:tcW w:w="22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Series D Warrant (incorporated by reference to the Registrant’s Current Report on Form 8-K filed on June 28, 2023)</w:t>
              </w:r>
            </w:hyperlink>
          </w:p>
        </w:tc>
        <w:tc>
          <w:tcPr>
            <w:tcW w:w="120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c>
          <w:tcPr>
            <w:tcW w:w="18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7">
              <w:r>
                <w:rPr>
                  <w:rFonts w:ascii="Times New Roman" w:cs="Times New Roman" w:eastAsia="Times New Roman" w:hAnsi="Times New Roman"/>
                  <w:sz w:val="18"/>
                  <w:szCs w:val="18"/>
                  <w:color w:val="0000EE"/>
                  <w:w w:val="95"/>
                </w:rPr>
                <w:t>2024)</w:t>
              </w:r>
            </w:hyperlink>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Series F Warrant (incorporated by reference to the Registrant’s Current Report on Form 8-K filed on June 4, 2024)</w:t>
              </w:r>
            </w:hyperlink>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Wainwright Warrant (incorporated by reference to the Registrant’s Current Report on Form 8-K filed on June 4, 2024)</w:t>
              </w:r>
            </w:hyperlink>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Securities Purchase Agreement, dated as of June 3, 2024, by and among the Company and the purchasers party thereto. (incorporated</w:t>
              </w:r>
            </w:hyperlink>
          </w:p>
        </w:tc>
      </w:tr>
      <w:tr>
        <w:trPr>
          <w:trHeight w:val="196"/>
        </w:trPr>
        <w:tc>
          <w:tcPr>
            <w:tcW w:w="92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by reference to Exhibit 10.1 to the Registrant’s Current Report on Form 8-K filed on June 4, 2024)</w:t>
              </w:r>
            </w:hyperlink>
          </w:p>
        </w:tc>
        <w:tc>
          <w:tcPr>
            <w:tcW w:w="3220" w:type="dxa"/>
            <w:vAlign w:val="bottom"/>
            <w:gridSpan w:val="1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Amendment to the At the Market Offering Agreement, dated July 1, 2024, by and between Microbot Medical Inc. and H.C. Wainwright &amp; Co.,</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LLC (incorporated by reference to the Registrant’s Current Report on Form 8-K filed on July 1, 2024)</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Harel Gadot, Chairman, President and Chief Executive Officer</w:t>
            </w:r>
          </w:p>
        </w:tc>
        <w:tc>
          <w:tcPr>
            <w:tcW w:w="1680" w:type="dxa"/>
            <w:vAlign w:val="bottom"/>
            <w:tcBorders>
              <w:top w:val="single" w:sz="8" w:color="0000EE"/>
            </w:tcBorders>
            <w:gridSpan w:val="2"/>
          </w:tcPr>
          <w:p>
            <w:pPr>
              <w:spacing w:after="0"/>
              <w:rPr>
                <w:sz w:val="17"/>
                <w:szCs w:val="17"/>
                <w:color w:val="auto"/>
              </w:rPr>
            </w:pPr>
          </w:p>
        </w:tc>
        <w:tc>
          <w:tcPr>
            <w:tcW w:w="2980" w:type="dxa"/>
            <w:vAlign w:val="bottom"/>
            <w:gridSpan w:val="1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360" w:type="dxa"/>
            <w:vAlign w:val="bottom"/>
            <w:gridSpan w:val="15"/>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8280" w:type="dxa"/>
            <w:vAlign w:val="bottom"/>
            <w:gridSpan w:val="21"/>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920" w:type="dxa"/>
            <w:vAlign w:val="bottom"/>
          </w:tcPr>
          <w:p>
            <w:pPr>
              <w:spacing w:after="0"/>
              <w:rPr>
                <w:sz w:val="18"/>
                <w:szCs w:val="18"/>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spacing w:after="0" w:line="198" w:lineRule="exact"/>
        <w:rPr>
          <w:sz w:val="20"/>
          <w:szCs w:val="20"/>
          <w:color w:val="auto"/>
        </w:rPr>
      </w:pPr>
    </w:p>
    <w:p>
      <w:pPr>
        <w:ind w:left="5540" w:right="3800" w:hanging="5532"/>
        <w:spacing w:after="0" w:line="532"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June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Rachel Vaknin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38" Type="http://schemas.openxmlformats.org/officeDocument/2006/relationships/hyperlink" Target="https://www.sec.gov/Archives/edgar/data/883975/000119312516682077/d161430dex21.htm" TargetMode="External"/><Relationship Id="rId39" Type="http://schemas.openxmlformats.org/officeDocument/2006/relationships/hyperlink" Target="https://www.sec.gov/Archives/edgar/data/883975/000095013407005808/f27726exv3w1.htm" TargetMode="External"/><Relationship Id="rId40" Type="http://schemas.openxmlformats.org/officeDocument/2006/relationships/hyperlink" Target="https://www.sec.gov/Archives/edgar/data/883975/000119312516779729/d296933dex31.htm" TargetMode="External"/><Relationship Id="rId41" Type="http://schemas.openxmlformats.org/officeDocument/2006/relationships/hyperlink" Target="https://www.sec.gov/Archives/edgar/data/883975/000149315218012872/ex3-1.htm" TargetMode="External"/><Relationship Id="rId42" Type="http://schemas.openxmlformats.org/officeDocument/2006/relationships/hyperlink" Target="https://www.sec.gov/Archives/edgar/data/883975/000129993316002374/exhibit1.htm" TargetMode="External"/><Relationship Id="rId43" Type="http://schemas.openxmlformats.org/officeDocument/2006/relationships/hyperlink" Target="https://www.sec.gov/Archives/edgar/data/883975/000149315218017395/ex3-1.htm" TargetMode="External"/><Relationship Id="rId44" Type="http://schemas.openxmlformats.org/officeDocument/2006/relationships/hyperlink" Target="https://www.sec.gov/Archives/edgar/data/883975/000149315219013998/ex3-1.htm" TargetMode="External"/><Relationship Id="rId45" Type="http://schemas.openxmlformats.org/officeDocument/2006/relationships/hyperlink" Target="https://www.sec.gov/Archives/edgar/data/883975/000149315221010347/ex3-1.htm" TargetMode="External"/><Relationship Id="rId46" Type="http://schemas.openxmlformats.org/officeDocument/2006/relationships/hyperlink" Target="https://www.sec.gov/Archives/edgar/data/883975/000149315220006338/ex4-10.htm" TargetMode="External"/><Relationship Id="rId47" Type="http://schemas.openxmlformats.org/officeDocument/2006/relationships/hyperlink" Target="https://www.sec.gov/Archives/edgar/data/883975/000149315222029541/ex4-2.htm" TargetMode="External"/><Relationship Id="rId48" Type="http://schemas.openxmlformats.org/officeDocument/2006/relationships/hyperlink" Target="https://www.sec.gov/Archives/edgar/data/883975/000149315222029541/ex4-4.htm" TargetMode="External"/><Relationship Id="rId49" Type="http://schemas.openxmlformats.org/officeDocument/2006/relationships/hyperlink" Target="https://www.sec.gov/Archives/edgar/data/883975/000149315223018718/ex4-1.htm" TargetMode="External"/><Relationship Id="rId50" Type="http://schemas.openxmlformats.org/officeDocument/2006/relationships/hyperlink" Target="https://www.sec.gov/Archives/edgar/data/883975/000149315223018932/ex4-2.htm" TargetMode="External"/><Relationship Id="rId51" Type="http://schemas.openxmlformats.org/officeDocument/2006/relationships/hyperlink" Target="https://www.sec.gov/Archives/edgar/data/883975/000149315223018932/ex10-2.htm" TargetMode="External"/><Relationship Id="rId52" Type="http://schemas.openxmlformats.org/officeDocument/2006/relationships/hyperlink" Target="https://www.sec.gov/Archives/edgar/data/883975/000149315223020309/ex4-1.htm" TargetMode="External"/><Relationship Id="rId53" Type="http://schemas.openxmlformats.org/officeDocument/2006/relationships/hyperlink" Target="https://www.sec.gov/Archives/edgar/data/883975/000149315223020309/ex4-2.htm" TargetMode="External"/><Relationship Id="rId54" Type="http://schemas.openxmlformats.org/officeDocument/2006/relationships/hyperlink" Target="https://www.sec.gov/Archives/edgar/data/883975/000149315223022814/ex4-1.htm" TargetMode="External"/><Relationship Id="rId55" Type="http://schemas.openxmlformats.org/officeDocument/2006/relationships/hyperlink" Target="https://www.sec.gov/Archives/edgar/data/883975/000149315223022814/ex4-2.htm" TargetMode="External"/><Relationship Id="rId56" Type="http://schemas.openxmlformats.org/officeDocument/2006/relationships/hyperlink" Target="https://www.sec.gov/Archives/edgar/data/883975/000149315224000109/ex4-1.htm" TargetMode="External"/><Relationship Id="rId57" Type="http://schemas.openxmlformats.org/officeDocument/2006/relationships/hyperlink" Target="https://www.sec.gov/Archives/edgar/data/883975/000149315224000109/ex4-2.htm" TargetMode="External"/><Relationship Id="rId58" Type="http://schemas.openxmlformats.org/officeDocument/2006/relationships/hyperlink" Target="https://www.sec.gov/Archives/edgar/data/883975/000149315224022560/ex4-1.htm" TargetMode="External"/><Relationship Id="rId59" Type="http://schemas.openxmlformats.org/officeDocument/2006/relationships/hyperlink" Target="https://www.sec.gov/Archives/edgar/data/883975/000149315224022560/ex4-2.htm" TargetMode="External"/><Relationship Id="rId60" Type="http://schemas.openxmlformats.org/officeDocument/2006/relationships/hyperlink" Target="https://www.sec.gov/Archives/edgar/data/883975/000149315224022560/ex10-1.htm" TargetMode="External"/><Relationship Id="rId61" Type="http://schemas.openxmlformats.org/officeDocument/2006/relationships/hyperlink" Target="https://www.sec.gov/Archives/edgar/data/883975/00014931522402581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2024-08-15T06:34:28Z</dcterms:created>
  <dcterms:modified xsi:type="dcterms:W3CDTF">2024-08-15T06:34:28Z</dcterms:modified>
</cp:coreProperties>
</file>