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22,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22, 2025, Microbot Medical Inc. (the “Company”) issued a press release announcing the appointment of Christina Bailey as the Company’s new Vice President of Sales.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Expands Commercial Leadership with Appointment of Christina Bailey as VP of Sales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Continues to Strengthen Organizational Infrastructure with Success-Driven Medical Device Veteran</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HINGHAM, Mass., July22, 2025 </w:t>
      </w:r>
      <w:r>
        <w:rPr>
          <w:rFonts w:ascii="Times New Roman" w:cs="Times New Roman" w:eastAsia="Times New Roman" w:hAnsi="Times New Roman"/>
          <w:sz w:val="18"/>
          <w:szCs w:val="18"/>
          <w:color w:val="auto"/>
        </w:rPr>
        <w:t>— Microbot Medical Inc. (Nasdaq: MBOT), developer of the innovative LIBERTY® Endovascular Robotic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appointment of Christina Bailey as its new Vice President of Sales. A two-time U.S. Olympian with 20 years of medical device sales experience, Ms. Bailey has successfully led commercial teams to achieve sales goals. She will report directly to Harel Gadot, the Company’s CEO, President and Chairman.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Bailey has held a variety of sales leadership roles. She has worked with notable companies like Boston Scientific, Abbott, Stryker and Intuitive Surgical that have equipped her with the insights necessary to drive growth and innovation. As the Vice President of US Sales at Endologix, her leadership in building and scaling the sales team while achieving sales milestones demonstrate her capability to lead crucial product launches. Ms. Bailey serves as a Board Member for USA Hockey. As a member of the U.S.A. Women’s Hockey Team, she won a gold medal at the 1998 Winter Olympics held in Nagano, Japan.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“Christina is a sales leader with a track record of building and working within high-performing teams across her professional and Olympic careers,” commented Mr. Gadot. “We believe her leadership will strengthen our commercial efforts as she begins establishing an experienced and mission-driven sales team to support our anticipated launch of LIBERTY.”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is an investigational device pending FDA 510(k) clearance, and is currently not available for sale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redefine endovascular robotics and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the Company’s need for and ability to obtain additional working capital to continue its transition to a commercially focused company, market conditions, risks inherent in the development and/or commercialization of the LIBERTY Endovascular Robotic System, uncertainty in the results of regulatory pathways and regulatory approvals, including whether the FDA will timely grant 510(k) clearance to commercially market the LIBERTY Endovascular Robotic System in the United States if at all,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w:t>
      </w:r>
    </w:p>
    <w:p>
      <w:pPr>
        <w:spacing w:after="0" w:line="10"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2025-07-22T07:32:14Z</dcterms:created>
  <dcterms:modified xsi:type="dcterms:W3CDTF">2025-07-22T07:32:14Z</dcterms:modified>
</cp:coreProperties>
</file>