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5"/>
          <w:szCs w:val="15"/>
          <w:color w:val="auto"/>
        </w:rPr>
        <w:t>AS FILED WITH THE SECURITIES AND EXCHANGE COMMISSION ON JULY 2, 2001</w:t>
      </w:r>
    </w:p>
    <w:p>
      <w:pPr>
        <w:spacing w:after="0" w:line="342" w:lineRule="exact"/>
        <w:rPr>
          <w:sz w:val="24"/>
          <w:szCs w:val="24"/>
          <w:color w:val="auto"/>
        </w:rPr>
      </w:pPr>
    </w:p>
    <w:p>
      <w:pPr>
        <w:ind w:left="4780"/>
        <w:spacing w:after="0"/>
        <w:rPr>
          <w:sz w:val="20"/>
          <w:szCs w:val="20"/>
          <w:color w:val="auto"/>
        </w:rPr>
      </w:pPr>
      <w:r>
        <w:rPr>
          <w:rFonts w:ascii="Courier New" w:cs="Courier New" w:eastAsia="Courier New" w:hAnsi="Courier New"/>
          <w:sz w:val="15"/>
          <w:szCs w:val="15"/>
          <w:color w:val="auto"/>
        </w:rPr>
        <w:t>REGISTRATION NO. 333-61726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41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1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jc w:val="center"/>
        <w:ind w:right="41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PRE-EFFECTIVE AMENDMENT NO. 2 TO</w:t>
      </w:r>
    </w:p>
    <w:p>
      <w:pPr>
        <w:spacing w:after="0" w:line="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4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260"/>
          </w:cols>
          <w:pgMar w:left="240" w:top="571" w:right="399" w:bottom="0" w:gutter="0" w:footer="0" w:header="0"/>
        </w:sectPr>
      </w:pPr>
    </w:p>
    <w:p>
      <w:pPr>
        <w:spacing w:after="0" w:line="3" w:lineRule="exact"/>
        <w:rPr>
          <w:sz w:val="24"/>
          <w:szCs w:val="24"/>
          <w:color w:val="auto"/>
        </w:rPr>
      </w:pPr>
    </w:p>
    <w:p>
      <w:pPr>
        <w:ind w:left="520" w:hanging="354"/>
        <w:spacing w:after="0" w:line="264"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80"/>
        <w:spacing w:after="0"/>
        <w:rPr>
          <w:sz w:val="20"/>
          <w:szCs w:val="20"/>
          <w:color w:val="auto"/>
        </w:rPr>
      </w:pPr>
      <w:r>
        <w:rPr>
          <w:rFonts w:ascii="Courier New" w:cs="Courier New" w:eastAsia="Courier New" w:hAnsi="Courier New"/>
          <w:sz w:val="15"/>
          <w:szCs w:val="15"/>
          <w:color w:val="auto"/>
        </w:rPr>
        <w:t>2836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3" w:lineRule="exact"/>
        <w:rPr>
          <w:sz w:val="24"/>
          <w:szCs w:val="24"/>
          <w:color w:val="auto"/>
        </w:rPr>
      </w:pPr>
    </w:p>
    <w:p>
      <w:pPr>
        <w:sectPr>
          <w:pgSz w:w="11900" w:h="16838" w:orient="portrait"/>
          <w:cols w:equalWidth="0" w:num="3">
            <w:col w:w="2660" w:space="520"/>
            <w:col w:w="2660" w:space="720"/>
            <w:col w:w="4700"/>
          </w:cols>
          <w:pgMar w:left="240" w:top="571" w:right="399" w:bottom="0" w:gutter="0" w:footer="0" w:header="0"/>
          <w:type w:val="continuous"/>
        </w:sectPr>
      </w:pPr>
    </w:p>
    <w:p>
      <w:pPr>
        <w:spacing w:after="0" w:line="127"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(650) 475-3100</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IRIS BREST, ESQ.</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(650) 475-3100</w:t>
      </w:r>
    </w:p>
    <w:p>
      <w:pPr>
        <w:spacing w:after="0" w:line="3" w:lineRule="exact"/>
        <w:rPr>
          <w:sz w:val="24"/>
          <w:szCs w:val="24"/>
          <w:color w:val="auto"/>
        </w:rPr>
      </w:pPr>
    </w:p>
    <w:p>
      <w:pPr>
        <w:jc w:val="center"/>
        <w:ind w:right="418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9"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of agent for service)</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COPIES TO:</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GEOFFREY B. DAVIS, ESQ.</w:t>
      </w:r>
    </w:p>
    <w:p>
      <w:pPr>
        <w:spacing w:after="0" w:line="1" w:lineRule="exact"/>
        <w:rPr>
          <w:sz w:val="24"/>
          <w:szCs w:val="24"/>
          <w:color w:val="auto"/>
        </w:rPr>
      </w:pPr>
    </w:p>
    <w:p>
      <w:pPr>
        <w:jc w:val="center"/>
        <w:ind w:right="4180"/>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One International Place</w:t>
      </w:r>
    </w:p>
    <w:p>
      <w:pPr>
        <w:spacing w:after="0" w:line="1"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Boston, Massachusetts 02110</w:t>
      </w:r>
    </w:p>
    <w:p>
      <w:pPr>
        <w:spacing w:after="0" w:line="1" w:lineRule="exact"/>
        <w:rPr>
          <w:sz w:val="24"/>
          <w:szCs w:val="24"/>
          <w:color w:val="auto"/>
        </w:rPr>
      </w:pPr>
    </w:p>
    <w:p>
      <w:pPr>
        <w:ind w:left="3460" w:hanging="540"/>
        <w:spacing w:after="0"/>
        <w:tabs>
          <w:tab w:leader="none" w:pos="346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951-7000</w:t>
      </w:r>
    </w:p>
    <w:p>
      <w:pPr>
        <w:ind w:left="3180" w:hanging="527"/>
        <w:spacing w:after="0"/>
        <w:tabs>
          <w:tab w:leader="none" w:pos="3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951-7050 (fax)</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4620"/>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5" w:lineRule="exact"/>
        <w:rPr>
          <w:sz w:val="24"/>
          <w:szCs w:val="24"/>
          <w:color w:val="auto"/>
        </w:rPr>
      </w:pPr>
    </w:p>
    <w:p>
      <w:pPr>
        <w:ind w:right="4260"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5" w:lineRule="exact"/>
        <w:rPr>
          <w:sz w:val="24"/>
          <w:szCs w:val="24"/>
          <w:color w:val="auto"/>
        </w:rPr>
      </w:pPr>
    </w:p>
    <w:p>
      <w:pPr>
        <w:ind w:right="43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If delivery of the prospectus is expected to be made pursuant to Rule 434,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please check the following box. / /</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260"/>
          </w:cols>
          <w:pgMar w:left="240" w:top="571"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240" w:right="260" w:hanging="798"/>
        <w:spacing w:after="0" w:line="271"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9"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PROPOSED MAXIMUM</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OFFERING PRICE PER</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PROPOSED MAXIMUM</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pacing w:after="0" w:line="179" w:lineRule="exact"/>
        <w:rPr>
          <w:sz w:val="24"/>
          <w:szCs w:val="24"/>
          <w:color w:val="auto"/>
        </w:rPr>
      </w:pPr>
    </w:p>
    <w:p>
      <w:pPr>
        <w:sectPr>
          <w:pgSz w:w="11900" w:h="16838" w:orient="portrait"/>
          <w:cols w:equalWidth="0" w:num="5">
            <w:col w:w="3620" w:space="720"/>
            <w:col w:w="1060" w:space="540"/>
            <w:col w:w="1600" w:space="260"/>
            <w:col w:w="1600" w:space="440"/>
            <w:col w:w="1420"/>
          </w:cols>
          <w:pgMar w:left="240" w:top="571" w:right="399"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$.01 per share(4)...</w:t>
      </w:r>
    </w:p>
    <w:p>
      <w:pPr>
        <w:spacing w:after="0" w:line="20" w:lineRule="exact"/>
        <w:rPr>
          <w:sz w:val="24"/>
          <w:szCs w:val="24"/>
          <w:color w:val="auto"/>
        </w:rPr>
      </w:pPr>
      <w:r>
        <w:rPr>
          <w:sz w:val="24"/>
          <w:szCs w:val="24"/>
          <w:color w:val="auto"/>
        </w:rPr>
        <w:br w:type="column"/>
      </w:r>
    </w:p>
    <w:p>
      <w:pPr>
        <w:jc w:val="right"/>
        <w:spacing w:after="0" w:line="271" w:lineRule="auto"/>
        <w:rPr>
          <w:sz w:val="20"/>
          <w:szCs w:val="20"/>
          <w:color w:val="auto"/>
        </w:rPr>
      </w:pPr>
      <w:r>
        <w:rPr>
          <w:rFonts w:ascii="Courier New" w:cs="Courier New" w:eastAsia="Courier New" w:hAnsi="Courier New"/>
          <w:sz w:val="14"/>
          <w:szCs w:val="14"/>
          <w:color w:val="auto"/>
        </w:rPr>
        <w:t>up to 10,000,000(1) 350,000</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$31,914,894(3)</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$ 1,102,500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$7,979</w:t>
      </w:r>
    </w:p>
    <w:p>
      <w:pPr>
        <w:spacing w:after="0" w:line="1" w:lineRule="exact"/>
        <w:rPr>
          <w:sz w:val="24"/>
          <w:szCs w:val="24"/>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276</w:t>
      </w:r>
    </w:p>
    <w:p>
      <w:pPr>
        <w:sectPr>
          <w:pgSz w:w="11900" w:h="16838" w:orient="portrait"/>
          <w:cols w:equalWidth="0" w:num="5">
            <w:col w:w="3900" w:space="180"/>
            <w:col w:w="1680" w:space="620"/>
            <w:col w:w="1060" w:space="720"/>
            <w:col w:w="1400" w:space="720"/>
            <w:col w:w="980"/>
          </w:cols>
          <w:pgMar w:left="240" w:top="571" w:right="399" w:bottom="0" w:gutter="0" w:footer="0" w:header="0"/>
          <w:type w:val="continuous"/>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10,350,000</w:t>
            </w:r>
          </w:p>
        </w:tc>
        <w:tc>
          <w:tcPr>
            <w:tcW w:w="20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$33,017,394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$8,255(6)</w:t>
            </w:r>
          </w:p>
        </w:tc>
      </w:tr>
      <w:tr>
        <w:trPr>
          <w:trHeight w:val="512"/>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Estimated solely for the purpose of calculating the</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registration fee</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pursuant to Rule 457(o) of the Securities Act of 1933.</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price per share will vary based on the volume-weighted average daily</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price of the Company's common stock during the drawdown periods described in</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this registration statement.</w:t>
            </w:r>
          </w:p>
        </w:tc>
        <w:tc>
          <w:tcPr>
            <w:tcW w:w="2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This represents the maximum fair market value of shares sold to Sativum</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Investments Limited under the common stock purchase</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agreement. The maximum</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net proceeds the Company can receive is $30,000,000</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less an aggregate cash</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placement fee of 3% of net proceeds payable to its placement agents Pacific</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Crest Securities, Inc. and Granite Financial Group,</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Issuable upon exercise of the warrants issued to Sativum Investments</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Limited, Pacific Crest Securities, Inc. and Granite</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Financial Group, Inc.</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Estimated solely for the purpose of calculating the</w:t>
            </w:r>
          </w:p>
        </w:tc>
        <w:tc>
          <w:tcPr>
            <w:tcW w:w="2740" w:type="dxa"/>
            <w:vAlign w:val="bottom"/>
          </w:tcPr>
          <w:p>
            <w:pPr>
              <w:ind w:left="80"/>
              <w:spacing w:after="0"/>
              <w:rPr>
                <w:sz w:val="20"/>
                <w:szCs w:val="20"/>
                <w:color w:val="auto"/>
              </w:rPr>
            </w:pPr>
            <w:r>
              <w:rPr>
                <w:rFonts w:ascii="Courier New" w:cs="Courier New" w:eastAsia="Courier New" w:hAnsi="Courier New"/>
                <w:sz w:val="15"/>
                <w:szCs w:val="15"/>
                <w:color w:val="auto"/>
              </w:rPr>
              <w:t>registration fee</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pursuant to Rule 457(c) of the Securities Act of 1933, based on the average</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high and low prices as reported on the Nasdaq National Market on</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May 18, 2001.</w:t>
            </w:r>
          </w:p>
        </w:tc>
        <w:tc>
          <w:tcPr>
            <w:tcW w:w="2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Paid May 25, 2001</w:t>
            </w:r>
          </w:p>
        </w:tc>
        <w:tc>
          <w:tcPr>
            <w:tcW w:w="2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4580" w:type="dxa"/>
            <w:vAlign w:val="bottom"/>
          </w:tcPr>
          <w:p>
            <w:pPr>
              <w:ind w:left="1900"/>
              <w:spacing w:after="0"/>
              <w:rPr>
                <w:sz w:val="20"/>
                <w:szCs w:val="20"/>
                <w:color w:val="auto"/>
              </w:rPr>
            </w:pPr>
            <w:r>
              <w:rPr>
                <w:rFonts w:ascii="Courier New" w:cs="Courier New" w:eastAsia="Courier New" w:hAnsi="Courier New"/>
                <w:sz w:val="15"/>
                <w:szCs w:val="15"/>
                <w:color w:val="auto"/>
                <w:w w:val="98"/>
              </w:rPr>
              <w:t>------------------------------</w:t>
            </w:r>
          </w:p>
        </w:tc>
        <w:tc>
          <w:tcPr>
            <w:tcW w:w="2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74" w:lineRule="exact"/>
        <w:rPr>
          <w:sz w:val="20"/>
          <w:szCs w:val="20"/>
          <w:color w:val="auto"/>
        </w:rPr>
      </w:pPr>
    </w:p>
    <w:p>
      <w:pPr>
        <w:ind w:left="9" w:right="398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089"/>
          </w:cols>
          <w:pgMar w:left="231" w:top="139" w:right="579"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10,350,000 SHARES OF COMMON STOCK</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This prospectus relates to up to 10,000,000 shares of common stock that we may issue from time to time at our discretion to Sativum Investments Limited and 350,000 shares of common stock issuable upon the exercise of warrants. See "Common Stock Purchase Agreement" beginning on page 53.</w:t>
      </w:r>
    </w:p>
    <w:p>
      <w:pPr>
        <w:spacing w:after="0" w:line="200" w:lineRule="exact"/>
        <w:rPr>
          <w:sz w:val="20"/>
          <w:szCs w:val="20"/>
          <w:color w:val="auto"/>
        </w:rPr>
      </w:pPr>
    </w:p>
    <w:p>
      <w:pPr>
        <w:spacing w:after="0" w:line="31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price at which we will sell the shares to Sativum will be equal to 94% of the average of the volume weighted average prices of our common stock during the twenty trading days immediately following our request to sell shares to Sativum. Sativum may resell those shares, and the warrant holders may resell shares issuable upon exercise of warrants, using this prospectus.</w:t>
      </w:r>
    </w:p>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Sativum is an "underwriter" within the meaning of the Securities Act of 1933 in connection with its sales.</w:t>
      </w:r>
    </w:p>
    <w:p>
      <w:pPr>
        <w:spacing w:after="0" w:line="34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under the symbol "STEM." The last reported sale price for our common stock on the Nasdaq National Market on June 29, 2001 was $4.72 per share.</w:t>
      </w:r>
    </w:p>
    <w:p>
      <w:pPr>
        <w:spacing w:after="0" w:line="34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SECURITIES OFFERED HEREBY INVOLVE A HIGH DEGREE OF RISK.</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SEE "RISK FACTORS" BEGINNING ON PAGE 5.</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DATE OF THIS PROSPECTUS IS JULY 2, 2001.</w:t>
      </w:r>
    </w:p>
    <w:p>
      <w:pPr>
        <w:sectPr>
          <w:pgSz w:w="11900" w:h="16838" w:orient="portrait"/>
          <w:cols w:equalWidth="0" w:num="1">
            <w:col w:w="10219"/>
          </w:cols>
          <w:pgMar w:left="240" w:top="457"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Related Party Transactions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Common Stock Purchase Agreement</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Drawdown Procedure and the Stock</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Purchases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Documents by</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7" w:right="1440" w:bottom="1440" w:gutter="0" w:footer="0" w:header="0"/>
        </w:sectPr>
      </w:pPr>
    </w:p>
    <w:bookmarkStart w:id="4" w:name="page5"/>
    <w:bookmarkEnd w:id="4"/>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7" w:right="1440" w:bottom="1440" w:gutter="0" w:footer="0" w:header="0"/>
        </w:sectPr>
      </w:pPr>
    </w:p>
    <w:bookmarkStart w:id="5" w:name="page6"/>
    <w:bookmarkEnd w:id="5"/>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MODEX SHARES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April 30, 2001, we sold 103,577 shares in Modex Therapeutics, Ltd.,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Swiss biotherapeutics company, for a net price of 87.30 Swiss Francs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converts to approximately $50.30, for total proceeds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$5,200,000, net of commissions and fees. We no longer hold any shares of Modex.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"Business--Corporate Collaboration."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AGREEMENT RELATING TO EQUITY LINE</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 For more details on the equity line, see "Common Stock Purchase Agreement" elsewhere in this prospectus.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NEW PATENTS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June 7, 2001, we announced the issuance to us of two new patents that further our proprietary position in our neural and pancreatic research programs. The first patent is a process patent that covers a novel method to separate neural stem cells for growth in culture. The second patent covers a unique model useful for identifying stem cells for the pancreas and liver. With these new patents, we now own or have exclusive license to 25 issued U.S. patents in the neural stem cell field, as well as fifteen U.S. applications, including two that have been allowed, and pending foreign counterparts.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SHARES AND WARRANTS TO MILLENNIUM PARTNERS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June 8, 2001, Millennium Partners, L.P. exercised an option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of our common stock. At the closing on June 21, 2001, Millennium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457,750 shares of our common stock at $4.3692 per share. We received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 of the purchase price at the closing on June 21, 2001, and we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the remaining $500,000 upon effectiveness of a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covering the shares purchased by Millennium and issuable upon exercise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received by Millennium. Millennium also received a warrant to purchase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50,352 shares of our common stock at a price per share of $4.7664. This warrant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callable by us at any time at $7.944 per underlying share. In addition,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Millennium received an adjustable warrant similar to the adjustable warrant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to Millennium on August 3, 2000. See "Description of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Stock--Warrants." The registration statement of which this prospectus forms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does not cover the shares purchased by or issuable to Millennium.</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59"/>
        <w:spacing w:after="0" w:line="238" w:lineRule="auto"/>
        <w:rPr>
          <w:sz w:val="20"/>
          <w:szCs w:val="20"/>
          <w:color w:val="auto"/>
        </w:rPr>
      </w:pPr>
      <w:r>
        <w:rPr>
          <w:rFonts w:ascii="Courier New" w:cs="Courier New" w:eastAsia="Courier New" w:hAnsi="Courier New"/>
          <w:sz w:val="15"/>
          <w:szCs w:val="15"/>
          <w:color w:val="auto"/>
        </w:rPr>
        <w:t>Up to 10,350,000 shares of common stock. None of these shares will be offered by us.</w:t>
      </w:r>
    </w:p>
    <w:p>
      <w:pPr>
        <w:spacing w:after="0" w:line="172"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5"/>
          <w:szCs w:val="15"/>
          <w:color w:val="auto"/>
        </w:rPr>
        <w:t>Up to 10,000,000 of these shares may be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offered for resale by Sativum Investments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Limited. We may require Sativum to purchase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up to $30,000,000 of shares of our common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stock from time to time at our discretion at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 discount to a market-based price at the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time of each sale to Sativum. The number of</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shares sold by us to Sativum and resold 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this prospectus may be significantly lower</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than 10,000,000 shares. See "Common Stock</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Purchase Agreement and "Risk Factors--Risks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Related to the Equity Line and Our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Condition."</w:t>
      </w:r>
    </w:p>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remaining 350,000 shares, issuable upon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exercise of warrants, may be offered for</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resale by this prospectus by Sativum, Pacific</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Crest Securities Inc., Granite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Group Inc. or their transferees.</w:t>
      </w:r>
    </w:p>
    <w:p>
      <w:pPr>
        <w:sectPr>
          <w:pgSz w:w="11900" w:h="16838" w:orient="portrait"/>
          <w:cols w:equalWidth="0" w:num="1">
            <w:col w:w="10219"/>
          </w:cols>
          <w:pgMar w:left="240" w:top="460" w:right="1440" w:bottom="1440" w:gutter="0" w:footer="0" w:header="0"/>
          <w:type w:val="continuous"/>
        </w:sectPr>
      </w:pPr>
    </w:p>
    <w:p>
      <w:pPr>
        <w:spacing w:after="0" w:line="174" w:lineRule="exact"/>
        <w:rPr>
          <w:sz w:val="20"/>
          <w:szCs w:val="20"/>
          <w:color w:val="auto"/>
        </w:rPr>
      </w:pPr>
    </w:p>
    <w:p>
      <w:pPr>
        <w:spacing w:after="0" w:line="271" w:lineRule="auto"/>
        <w:rPr>
          <w:sz w:val="20"/>
          <w:szCs w:val="20"/>
          <w:color w:val="auto"/>
        </w:rPr>
      </w:pPr>
      <w:r>
        <w:rPr>
          <w:rFonts w:ascii="Courier New" w:cs="Courier New" w:eastAsia="Courier New" w:hAnsi="Courier New"/>
          <w:sz w:val="14"/>
          <w:szCs w:val="14"/>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2059"/>
        <w:spacing w:after="0"/>
        <w:rPr>
          <w:sz w:val="20"/>
          <w:szCs w:val="20"/>
          <w:color w:val="auto"/>
        </w:rPr>
      </w:pPr>
      <w:r>
        <w:rPr>
          <w:rFonts w:ascii="Courier New" w:cs="Courier New" w:eastAsia="Courier New" w:hAnsi="Courier New"/>
          <w:sz w:val="15"/>
          <w:szCs w:val="15"/>
          <w:color w:val="auto"/>
        </w:rPr>
        <w:t>Up to 36,808,211 shares of common stock, assuming that 10,350,000 shares are issued under the common stock purchase agreement and the warrants. We are not permitted to issue more than 3,922,606 shares pursuant to the common stock purchase agreement without stockholder approval, which we have not yet sought or received. In calculating the number of shares of common stock, we did not include 4,133,926 shares issuable upon exercise of options outstanding as of March 31, 2001, warrants or shares issuable upon conversion of our 6% cumulative convertible preferred stock. See "Capitalization."</w:t>
      </w:r>
    </w:p>
    <w:p>
      <w:pPr>
        <w:spacing w:after="0" w:line="181"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We will not receive any of the proceeds of the resale of shares by Sativum, Pacific Crest or Granite. We will, however, receive proceeds from sales of shares to Sativum under the common stock purchase agreement and upon exercise of warrants by Sativum, Pacific Crest or Granite, and we intend to use these net proceeds for general corporate purposes. See "Use of Proceeds."</w:t>
      </w:r>
    </w:p>
    <w:p>
      <w:pPr>
        <w:spacing w:after="0" w:line="175"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STEM</w:t>
      </w:r>
    </w:p>
    <w:p>
      <w:pPr>
        <w:spacing w:after="0" w:line="200"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460" w:right="1440" w:bottom="1440" w:gutter="0" w:footer="0" w:header="0"/>
          <w:type w:val="continuous"/>
        </w:sectPr>
      </w:pPr>
    </w:p>
    <w:bookmarkStart w:id="7" w:name="page8"/>
    <w:bookmarkEnd w:id="7"/>
    <w:p>
      <w:pPr>
        <w:jc w:val="center"/>
        <w:ind w:right="346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4" w:lineRule="exact"/>
        <w:rPr>
          <w:sz w:val="20"/>
          <w:szCs w:val="20"/>
          <w:color w:val="auto"/>
        </w:rPr>
      </w:pPr>
    </w:p>
    <w:p>
      <w:pPr>
        <w:ind w:right="3460" w:firstLine="355"/>
        <w:spacing w:after="0" w:line="262" w:lineRule="auto"/>
        <w:rPr>
          <w:sz w:val="20"/>
          <w:szCs w:val="20"/>
          <w:color w:val="auto"/>
        </w:rPr>
      </w:pPr>
      <w:r>
        <w:rPr>
          <w:rFonts w:ascii="Courier New" w:cs="Courier New" w:eastAsia="Courier New" w:hAnsi="Courier New"/>
          <w:sz w:val="14"/>
          <w:szCs w:val="14"/>
          <w:color w:val="auto"/>
        </w:rPr>
        <w:t>The following tables summarize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YEAR</w:t>
            </w:r>
          </w:p>
        </w:tc>
        <w:tc>
          <w:tcPr>
            <w:tcW w:w="2300" w:type="dxa"/>
            <w:vAlign w:val="bottom"/>
            <w:gridSpan w:val="4"/>
          </w:tcPr>
          <w:p>
            <w:pPr>
              <w:spacing w:after="0"/>
              <w:rPr>
                <w:sz w:val="20"/>
                <w:szCs w:val="20"/>
                <w:color w:val="auto"/>
              </w:rPr>
            </w:pPr>
            <w:r>
              <w:rPr>
                <w:rFonts w:ascii="Courier New" w:cs="Courier New" w:eastAsia="Courier New" w:hAnsi="Courier New"/>
                <w:sz w:val="15"/>
                <w:szCs w:val="15"/>
                <w:color w:val="auto"/>
              </w:rPr>
              <w:t>ENDED DECEMBER 31,</w:t>
            </w:r>
          </w:p>
        </w:tc>
        <w:tc>
          <w:tcPr>
            <w:tcW w:w="180" w:type="dxa"/>
            <w:vAlign w:val="bottom"/>
          </w:tcPr>
          <w:p>
            <w:pPr>
              <w:spacing w:after="0"/>
              <w:rPr>
                <w:sz w:val="14"/>
                <w:szCs w:val="14"/>
                <w:color w:val="auto"/>
              </w:rPr>
            </w:pPr>
          </w:p>
        </w:tc>
        <w:tc>
          <w:tcPr>
            <w:tcW w:w="16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7"/>
                <w:szCs w:val="7"/>
                <w:color w:val="auto"/>
                <w:w w:val="76"/>
              </w:rPr>
              <w: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2001</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3560" w:type="dxa"/>
            <w:vAlign w:val="bottom"/>
            <w:gridSpan w:val="7"/>
          </w:tcPr>
          <w:p>
            <w:pPr>
              <w:spacing w:after="0"/>
              <w:rPr>
                <w:sz w:val="20"/>
                <w:szCs w:val="20"/>
                <w:color w:val="auto"/>
              </w:rPr>
            </w:pPr>
            <w:r>
              <w:rPr>
                <w:rFonts w:ascii="Courier New" w:cs="Courier New" w:eastAsia="Courier New" w:hAnsi="Courier New"/>
                <w:sz w:val="15"/>
                <w:szCs w:val="15"/>
                <w:color w:val="auto"/>
                <w:w w:val="98"/>
              </w:rPr>
              <w:t>THOUSANDS, EXCEPT INCOME PER SHARE DATA)</w:t>
            </w: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 and grants............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8,803</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5,022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Gain on sale of investment..................................</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1,428</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2,550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9,984</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5,979</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907</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1,644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6,048</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3,327</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w:t>
            </w:r>
          </w:p>
        </w:tc>
      </w:tr>
      <w:tr>
        <w:trPr>
          <w:trHeight w:val="853"/>
        </w:trPr>
        <w:tc>
          <w:tcPr>
            <w:tcW w:w="54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AS OF</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center"/>
              <w:ind w:left="188"/>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THOUSANDS)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 marketable securities............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$ 6,069</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$ 4,499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16,356</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29,795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2,605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22,982</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5" w:lineRule="exact"/>
        <w:rPr>
          <w:sz w:val="20"/>
          <w:szCs w:val="20"/>
          <w:color w:val="auto"/>
        </w:rPr>
      </w:pPr>
    </w:p>
    <w:p>
      <w:pPr>
        <w:ind w:right="3460" w:firstLine="355"/>
        <w:spacing w:after="0" w:line="259" w:lineRule="auto"/>
        <w:rPr>
          <w:sz w:val="20"/>
          <w:szCs w:val="20"/>
          <w:color w:val="auto"/>
        </w:rPr>
      </w:pPr>
      <w:r>
        <w:rPr>
          <w:rFonts w:ascii="Courier New" w:cs="Courier New" w:eastAsia="Courier New" w:hAnsi="Courier New"/>
          <w:sz w:val="14"/>
          <w:szCs w:val="14"/>
          <w:color w:val="auto"/>
        </w:rPr>
        <w:t>In July 1999 we began restructuring the company to focus solely on our stem cell technology. As part of this restructuring we terminated all activities related to our former encapsulated cell technology and we relocated our headquarters from Rhode Island to California. The results shown for the year ended December 31, 1999 and 2000 includes $6,047,806 and $3,327,360, respectively, in expenses related to the restructuring. For more information on this restructuring see "Business" and "Management's Discussion and Analysis of Financial Condition and Results of Operations" and our consolidated financial statements and notes included elsewhere in this prospectus.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2000, in connection with our investment in Modex Therapeutics,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Swiss biotechnology company that completed an initial public offering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we realized a $1,427,686 gain and recognized an increase in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our remaining holdings of $16,356,334 as of December 31, 2000.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March 31, 2001, we realized a gain of $2,550,000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further sales of Modex shares. After a subsequent sale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2001, we no longer hold any shares of Modex. For more information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see "Recent Developments" and "Management's Discussion and Analysis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Results of Operations" and our 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and notes included elsewhere in this prospectus.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60"/>
          </w:cols>
          <w:pgMar w:left="240" w:top="457" w:right="1199"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OFFERING INVOLVES A HIGH DEGREE OF RISK. YOU SHOULD CAREFULLY CONSIDER THE RISKS DESCRIBED BELOW AND THE OTHER INFORMATION IN THIS PROSPECTUS BEFORE MAKING AN INVESTMENT DECISION REGARDING STEMCELLS, INC.OUR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6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RISKS RELATED TO OUR BUSINESS</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COMMERCIALLY ACCEPTABLE PRODUCTS.</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72" w:lineRule="exact"/>
        <w:rPr>
          <w:sz w:val="20"/>
          <w:szCs w:val="20"/>
          <w:color w:val="auto"/>
        </w:rPr>
      </w:pPr>
    </w:p>
    <w:p>
      <w:pPr>
        <w:ind w:left="520" w:hanging="174"/>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survive and persist in the desired location;</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intended therapeutic benefits;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therapeutic benefits equal to or better than the standard of treatment at the time of testing.</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63"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DIVERTS FUNDING FROM OUR STEM CELL RESEARCH AND DEVELOPMENT.</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which we own.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In March 2001, our landlord approved a sublease of part of the premises.</w:t>
      </w:r>
    </w:p>
    <w:p>
      <w:pPr>
        <w:spacing w:after="0" w:line="16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Equity and debt financings alone may not be sufficient to fund the cost of developing our stem cell technologies, and we may need to rely on our ability to reach partnering arrangements to provide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7" w:right="1440" w:bottom="1440" w:gutter="0" w:footer="0" w:header="0"/>
        </w:sectPr>
      </w:pPr>
    </w:p>
    <w:bookmarkStart w:id="9" w:name="page10"/>
    <w:bookmarkEnd w:id="9"/>
    <w:p>
      <w:pPr>
        <w:ind w:right="3219"/>
        <w:spacing w:after="0"/>
        <w:rPr>
          <w:sz w:val="20"/>
          <w:szCs w:val="20"/>
          <w:color w:val="auto"/>
        </w:rPr>
      </w:pPr>
      <w:r>
        <w:rPr>
          <w:rFonts w:ascii="Courier New" w:cs="Courier New" w:eastAsia="Courier New" w:hAnsi="Courier New"/>
          <w:sz w:val="15"/>
          <w:szCs w:val="15"/>
          <w:color w:val="auto"/>
        </w:rPr>
        <w:t>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83"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have incurred $130,229,646 in operating losses through March 31, 2001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164" w:lineRule="exact"/>
        <w:rPr>
          <w:sz w:val="20"/>
          <w:szCs w:val="20"/>
          <w:color w:val="auto"/>
        </w:rPr>
      </w:pPr>
    </w:p>
    <w:p>
      <w:pPr>
        <w:ind w:right="3919" w:firstLine="355"/>
        <w:spacing w:after="0" w:line="271" w:lineRule="auto"/>
        <w:rPr>
          <w:sz w:val="20"/>
          <w:szCs w:val="20"/>
          <w:color w:val="auto"/>
        </w:rPr>
      </w:pPr>
      <w:r>
        <w:rPr>
          <w:rFonts w:ascii="Courier New" w:cs="Courier New" w:eastAsia="Courier New" w:hAnsi="Courier New"/>
          <w:sz w:val="14"/>
          <w:szCs w:val="14"/>
          <w:color w:val="auto"/>
        </w:rPr>
        <w:t>IF WE ARE UNABLE TO PROTECT OUR PATENTS AND PROPRIETARY RIGHTS, OUR BUSINESS, FINANCIAL CONDITION AND RESULTS OF OPERATION WILL BE HARMED.</w:t>
      </w:r>
    </w:p>
    <w:p>
      <w:pPr>
        <w:spacing w:after="0" w:line="15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0" w:right="1440" w:bottom="1440" w:gutter="0" w:footer="0" w:header="0"/>
        </w:sectPr>
      </w:pPr>
    </w:p>
    <w:bookmarkStart w:id="10" w:name="page11"/>
    <w:bookmarkEnd w:id="10"/>
    <w:p>
      <w:pPr>
        <w:ind w:right="3119" w:firstLine="355"/>
        <w:spacing w:after="0"/>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9"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IF OTHERS ARE FIRST TO DISCOVER AND PATENT THE STEM CELLS WE ARE SEEKING TO DISCOVER, WE COULD BE BLOCKED FROM FURTHER WORK ON THOSE STEM CELLS.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75"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WE MAY BE UNABLE TO OBTAIN NECESSARY LICENSES TO THIRD PARTY PATENTS AND OTHER RIGHTS.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178"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16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the ones we are developing, or that would render our technology obsolete or non-competitive.</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0" w:right="1440" w:bottom="1440" w:gutter="0" w:footer="0" w:header="0"/>
        </w:sectPr>
      </w:pPr>
    </w:p>
    <w:bookmarkStart w:id="11" w:name="page12"/>
    <w:bookmarkEnd w:id="11"/>
    <w:p>
      <w:pPr>
        <w:ind w:right="3299"/>
        <w:spacing w:after="0" w:line="264" w:lineRule="auto"/>
        <w:rPr>
          <w:sz w:val="20"/>
          <w:szCs w:val="20"/>
          <w:color w:val="auto"/>
        </w:rPr>
      </w:pPr>
      <w:r>
        <w:rPr>
          <w:rFonts w:ascii="Courier New" w:cs="Courier New" w:eastAsia="Courier New" w:hAnsi="Courier New"/>
          <w:sz w:val="14"/>
          <w:szCs w:val="14"/>
          <w:color w:val="auto"/>
        </w:rPr>
        <w:t>ability to gather market acceptance and market share. With respect to clinical testing, competition may delay progress by limiting the number of clinical investigators and patients available to test our potential products.</w:t>
      </w:r>
    </w:p>
    <w:p>
      <w:pPr>
        <w:spacing w:after="0" w:line="159"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DEVELOPMENT OF OUR TECHNOLOGY IS SUBJECT TO AND RESTRICTED BY EXTENSIVE GOVERNMENT REGULATION.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highly dependent on the principal members of our management and scientific staff and some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333"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HEALTH CARE INSURERS AND OTHER ORGANIZATIONS MAY NOT PAY FOR OUR PRODUCTS OR MAY IMPOSE LIMITS ON REIMBURSEMENTS.</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12" w:name="page13"/>
    <w:bookmarkEnd w:id="12"/>
    <w:p>
      <w:pPr>
        <w:ind w:right="3119"/>
        <w:spacing w:after="0"/>
        <w:rPr>
          <w:sz w:val="20"/>
          <w:szCs w:val="20"/>
          <w:color w:val="auto"/>
        </w:rPr>
      </w:pPr>
      <w:r>
        <w:rPr>
          <w:rFonts w:ascii="Courier New" w:cs="Courier New" w:eastAsia="Courier New" w:hAnsi="Courier New"/>
          <w:sz w:val="15"/>
          <w:szCs w:val="15"/>
          <w:color w:val="auto"/>
        </w:rPr>
        <w:t>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RISKS RELATED TO THE EQUITY LINE AND OUR FINANCIAL CONDITION</w:t>
      </w:r>
    </w:p>
    <w:p>
      <w:pPr>
        <w:spacing w:after="0" w:line="174"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we are unable to draw down on the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BE UNABLE TO ACCESS ALL OR PART OF OUR EQUITY LINE.</w:t>
      </w:r>
    </w:p>
    <w:p>
      <w:pPr>
        <w:spacing w:after="0" w:line="174" w:lineRule="exact"/>
        <w:rPr>
          <w:sz w:val="20"/>
          <w:szCs w:val="20"/>
          <w:color w:val="auto"/>
        </w:rPr>
      </w:pPr>
    </w:p>
    <w:p>
      <w:pPr>
        <w:ind w:right="4019" w:firstLine="355"/>
        <w:spacing w:after="0" w:line="258" w:lineRule="auto"/>
        <w:rPr>
          <w:sz w:val="20"/>
          <w:szCs w:val="20"/>
          <w:color w:val="auto"/>
        </w:rPr>
      </w:pPr>
      <w:r>
        <w:rPr>
          <w:rFonts w:ascii="Courier New" w:cs="Courier New" w:eastAsia="Courier New" w:hAnsi="Courier New"/>
          <w:sz w:val="14"/>
          <w:szCs w:val="14"/>
          <w:color w:val="auto"/>
        </w:rPr>
        <w:t>If the trading volume and/or price of our common stock falls below established levels, then we will not be able to draw down all of the</w:t>
      </w:r>
    </w:p>
    <w:p>
      <w:pPr>
        <w:ind w:right="3119"/>
        <w:spacing w:after="0"/>
        <w:rPr>
          <w:sz w:val="20"/>
          <w:szCs w:val="20"/>
          <w:color w:val="auto"/>
        </w:rPr>
      </w:pPr>
      <w:r>
        <w:rPr>
          <w:rFonts w:ascii="Courier New" w:cs="Courier New" w:eastAsia="Courier New" w:hAnsi="Courier New"/>
          <w:sz w:val="15"/>
          <w:szCs w:val="15"/>
          <w:color w:val="auto"/>
        </w:rPr>
        <w:t>$30 million committed by Sativum pursuant to the equity line. In addition, we may choose not to draw down some or all of the equity line. If we do not receive stockholder approval to issue more than 3,922,606 shares under the equity line, we also will not be able to access some of the funds in the equity line. Furthermore, if our common stock is delisted from the Nasdaq National Market, or if we experience a material adverse change to our business, operations, properties or financial condition that is not cured within 30 days of the change, the common stock purchase agreement will terminate. If we are unable to meet the conditions to a drawdown in the common stock purchase agreement, we will not be able to draw down any funds until those conditions are met. See "Common Stock Purchase Agreement."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0" w:right="1440" w:bottom="1440" w:gutter="0" w:footer="0" w:header="0"/>
        </w:sectPr>
      </w:pPr>
    </w:p>
    <w:bookmarkStart w:id="13" w:name="page14"/>
    <w:bookmarkEnd w:id="13"/>
    <w:p>
      <w:pPr>
        <w:ind w:right="3219" w:firstLine="355"/>
        <w:spacing w:after="0" w:line="239" w:lineRule="auto"/>
        <w:rPr>
          <w:sz w:val="20"/>
          <w:szCs w:val="20"/>
          <w:color w:val="auto"/>
        </w:rPr>
      </w:pPr>
      <w:r>
        <w:rPr>
          <w:rFonts w:ascii="Courier New" w:cs="Courier New" w:eastAsia="Courier New" w:hAnsi="Courier New"/>
          <w:sz w:val="15"/>
          <w:szCs w:val="15"/>
          <w:color w:val="auto"/>
        </w:rPr>
        <w:t>OUR COMMON STOCK PURCHASE AGREEMENT WITH SATIVUM AND THE ISSUANCE OF SHARES TO SATIVUM THEREUNDER MAY CAUSE SIGNIFICANT DILUTION TO OUR STOCKHOLDERS OR CONTRIBUTE TO A PERCEIVED RISK OF DILUTION.</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resale by Sativum of the common stock that it purchases from us will increase the number of our publicly traded shares, which could depress the market price of our common stock. Moreover, because all the shares we sell to Sativum will be available for immediate resale, the prospect of our sales to Sativum could depress the market price for our common stock. The shares of our common stock issuable to Sativum under the equity line will be sold at a 6% discount to the volume-weighted average daily price of our common stock during the applicable drawdown period, and the proceeds paid to us upon each drawdown will be net of an aggregate 3% placement fee to our placement agents, Pacific Crest Securities Inc. and Granite Financial Group, Inc., so we will be required to issue more shares than would be necessary at a market price to receive a given amount of cash proceeds. If we require Sativum to purchase our common stock at a time when our stock price is low, our existing common stockholders will experience substantial dilution. The perceived risk of dilution may cause some stockholders to sell their shares or encourage short sales, which may contribute to a downward movement in the market price of our common stock.</w:t>
      </w:r>
    </w:p>
    <w:p>
      <w:pPr>
        <w:spacing w:after="0" w:line="163"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OUR COMMON STOCK PRICE DROPS SIGNIFICANTLY, WE MAY BE DELISTED FROM THE NASDAQ NATIONAL MARKET, WHICH COULD ELIMINATE THE TRADING MARKET FOR OUR COMMON STOCK.</w:t>
      </w:r>
    </w:p>
    <w:p>
      <w:pPr>
        <w:spacing w:after="0" w:line="17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$4,000,000 in net tangible assets and $5,000,000 market value of the public float. The public float excludes shares held directly or indirectly by any of our officers, directors and holders of 10% or more of our outstanding common stock. As of March 31, 2001, we had approximately $15.4 million of net tangible assets. As of May 24, 2001, the market value of our public float was approximately $71.6 million, and the lowest bid price of our common stock since March 31, 2001 was $1.47. We cannot assure you that we will continue to meet these listing criteria. The issuance by us of shares of common stock to Sativum, or the subsequent resale by Sativum of those shares, in either case at a discount to the market price, may cause the trading price of our common stock to fall to a level below the Nasdaq minimum bid price requirement. Failure to meet these maintenance criteria may result in the delisting of our common stock from the Nasdaq National Market. If our common stock is delisted and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If our common stock were delisted from the Nasdaq National Market, we would not be able to draw down any additional funds on the equity line, and we also may be required to pay damages to other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0" w:right="1440" w:bottom="1440" w:gutter="0" w:footer="0" w:header="0"/>
        </w:sectPr>
      </w:pPr>
    </w:p>
    <w:bookmarkStart w:id="14" w:name="page15"/>
    <w:bookmarkEnd w:id="14"/>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INDUSTRY AND MARKET DATA</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not receive any of the proceeds from the sale of shares offered by Sativum under this prospectus. However, we will receive the net sale price of any common stock we sell to Sativum under the terms of the common stock purchase agreement described in this prospectus. We intend to use the net proceeds from any sales to Sativum primarily for general corporate purposes. Our management will have significant flexibility and discretion in applying the net proceeds received by us. Pending any use, we will invest the net proceeds of any common stock sold to Sativum in short-term, investment grade, interest-bearing securities.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5" w:name="page16"/>
    <w:bookmarkEnd w:id="15"/>
    <w:p>
      <w:pPr>
        <w:jc w:val="center"/>
        <w:ind w:right="3219"/>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Our common stock is quoted on the Nasdaq National Market under the symbol "STEM." The following table sets forth the high and low sale prices of our common stock for the periods indicated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0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HIGH</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0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20.00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There were approximately 287 record holders of our common stock as of April 25, 2001. On June 29, 2001, the reported last sale price on the Nasdaq National Market for our common stock was $4.72 per share.</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within the next five years.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7" w:right="1440" w:bottom="1440" w:gutter="0" w:footer="0" w:header="0"/>
        </w:sectPr>
      </w:pPr>
    </w:p>
    <w:bookmarkStart w:id="16" w:name="page17"/>
    <w:bookmarkEnd w:id="16"/>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presents our consolidated capitalization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2001. This table excludes:</w:t>
      </w:r>
    </w:p>
    <w:p>
      <w:pPr>
        <w:spacing w:after="0" w:line="174" w:lineRule="exact"/>
        <w:rPr>
          <w:sz w:val="20"/>
          <w:szCs w:val="20"/>
          <w:color w:val="auto"/>
        </w:rPr>
      </w:pPr>
    </w:p>
    <w:p>
      <w:pPr>
        <w:ind w:left="520" w:right="3119" w:hanging="174"/>
        <w:spacing w:after="0" w:line="238"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4,133,926 shares of common stock issuable upon the exercise of outstanding stock options and warrants as follows:</w:t>
      </w:r>
    </w:p>
    <w:p>
      <w:pPr>
        <w:spacing w:after="0" w:line="174" w:lineRule="exact"/>
        <w:rPr>
          <w:rFonts w:ascii="Courier New" w:cs="Courier New" w:eastAsia="Courier New" w:hAnsi="Courier New"/>
          <w:sz w:val="15"/>
          <w:szCs w:val="15"/>
          <w:color w:val="auto"/>
        </w:rPr>
      </w:pPr>
    </w:p>
    <w:p>
      <w:pPr>
        <w:ind w:left="700" w:right="3119" w:hanging="265"/>
        <w:spacing w:after="0" w:line="239"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31, 2001, 3,164,618 shares of common stock issuable upon the exercise of stock options pursuant to our stock option plans at a weighted average price of $4.11 per share.</w:t>
      </w:r>
    </w:p>
    <w:p>
      <w:pPr>
        <w:spacing w:after="0" w:line="175" w:lineRule="exact"/>
        <w:rPr>
          <w:rFonts w:ascii="Courier New" w:cs="Courier New" w:eastAsia="Courier New" w:hAnsi="Courier New"/>
          <w:sz w:val="15"/>
          <w:szCs w:val="15"/>
          <w:color w:val="auto"/>
        </w:rPr>
      </w:pPr>
    </w:p>
    <w:p>
      <w:pPr>
        <w:jc w:val="both"/>
        <w:ind w:left="700" w:right="3399" w:hanging="265"/>
        <w:spacing w:after="0" w:line="271"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622,469 shares of common stock issuable upon the exercise of warrants held by Millennium Partners, at an exercise price of $0.01 per share.</w:t>
      </w:r>
    </w:p>
    <w:p>
      <w:pPr>
        <w:spacing w:after="0" w:line="153" w:lineRule="exact"/>
        <w:rPr>
          <w:rFonts w:ascii="Courier New" w:cs="Courier New" w:eastAsia="Courier New" w:hAnsi="Courier New"/>
          <w:sz w:val="14"/>
          <w:szCs w:val="14"/>
          <w:color w:val="auto"/>
        </w:rPr>
      </w:pPr>
    </w:p>
    <w:p>
      <w:pPr>
        <w:ind w:left="700" w:right="3399" w:hanging="265"/>
        <w:spacing w:after="0" w:line="239"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171,839 shares of common stock issuable upon the exercise of warrants held by Millennium Partners at a weighted average exercise price of $4.89 per share.</w:t>
      </w:r>
    </w:p>
    <w:p>
      <w:pPr>
        <w:spacing w:after="0" w:line="175" w:lineRule="exact"/>
        <w:rPr>
          <w:rFonts w:ascii="Courier New" w:cs="Courier New" w:eastAsia="Courier New" w:hAnsi="Courier New"/>
          <w:sz w:val="15"/>
          <w:szCs w:val="15"/>
          <w:color w:val="auto"/>
        </w:rPr>
      </w:pPr>
    </w:p>
    <w:p>
      <w:pPr>
        <w:ind w:left="700" w:right="3399" w:hanging="265"/>
        <w:spacing w:after="0" w:line="239"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of common stock issuable upon the exercise of warrants granted to May Davis Group, Inc. and four of its affiliates at an exercise price of $5.0375 per share.</w:t>
      </w:r>
    </w:p>
    <w:p>
      <w:pPr>
        <w:spacing w:after="0" w:line="175" w:lineRule="exact"/>
        <w:rPr>
          <w:rFonts w:ascii="Courier New" w:cs="Courier New" w:eastAsia="Courier New" w:hAnsi="Courier New"/>
          <w:sz w:val="15"/>
          <w:szCs w:val="15"/>
          <w:color w:val="auto"/>
        </w:rPr>
      </w:pPr>
    </w:p>
    <w:p>
      <w:pPr>
        <w:ind w:left="700" w:right="3219" w:hanging="265"/>
        <w:spacing w:after="0" w:line="239"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issuable upon the exercise of warrants at $6.58 per share held by holders of our 6% cumulative convertible preferred stock.</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457,750 shares of common stock sold to Millennium Partners on June 21, 2001 and shares issuable upon exercise of an adjustable warrant issued to Millennium on June 21, 2001.</w:t>
      </w:r>
    </w:p>
    <w:p>
      <w:pPr>
        <w:spacing w:after="0" w:line="175" w:lineRule="exact"/>
        <w:rPr>
          <w:rFonts w:ascii="Courier New" w:cs="Courier New" w:eastAsia="Courier New" w:hAnsi="Courier New"/>
          <w:sz w:val="15"/>
          <w:szCs w:val="15"/>
          <w:color w:val="auto"/>
        </w:rPr>
      </w:pPr>
    </w:p>
    <w:p>
      <w:pPr>
        <w:jc w:val="both"/>
        <w:ind w:left="520" w:right="3219" w:hanging="174"/>
        <w:spacing w:after="0" w:line="239"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shares of preferred stock into shares of common stock at $3.77 per share.</w:t>
      </w:r>
    </w:p>
    <w:p>
      <w:pPr>
        <w:spacing w:after="0" w:line="175"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(UNAUDITED)</w:t>
            </w:r>
          </w:p>
        </w:tc>
      </w:tr>
      <w:tr>
        <w:trPr>
          <w:trHeight w:val="341"/>
        </w:trPr>
        <w:tc>
          <w:tcPr>
            <w:tcW w:w="54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21,458,211 shares issued....................</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7" w:name="page18"/>
    <w:bookmarkEnd w:id="17"/>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3640" w:firstLine="355"/>
        <w:spacing w:after="0"/>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right="3460" w:firstLine="355"/>
        <w:spacing w:after="0"/>
        <w:rPr>
          <w:sz w:val="20"/>
          <w:szCs w:val="20"/>
          <w:color w:val="auto"/>
        </w:rPr>
      </w:pPr>
      <w:r>
        <w:rPr>
          <w:rFonts w:ascii="Courier New" w:cs="Courier New" w:eastAsia="Courier New" w:hAnsi="Courier New"/>
          <w:sz w:val="15"/>
          <w:szCs w:val="15"/>
          <w:color w:val="auto"/>
        </w:rPr>
        <w:t>The consolidated historical financial data presented below as of December 31, 1996, 1997, 1998, 1999 and 2000 and for the years then ended are derived from our consolidated financial statements, which have been audited by Ernst &amp; Young LLP, our independent auditors. The selected consolidated financial data as of March 31, 2001, and for the three months ended March 31, 2000 and 2001 are derived from our unaudited financial statements. In the opinion of our management, the unaudited financial statements have been prepared on the same basis as the audited consolidated financial statements and include all adjustments (consisting only of normal recurring adjustments) necessary for a fair presentation of the financial position and results of operations for such periods. The selected consolidated financial data for the three months ended March 31, 2001 are not necessarily indicative of the results that may be expected for the year ended December 31, 2001 or any other future period.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46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6"/>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60" w:type="dxa"/>
            <w:vAlign w:val="bottom"/>
            <w:gridSpan w:val="9"/>
          </w:tcPr>
          <w:p>
            <w:pPr>
              <w:jc w:val="right"/>
              <w:ind w:right="466"/>
              <w:spacing w:after="0"/>
              <w:rPr>
                <w:sz w:val="20"/>
                <w:szCs w:val="20"/>
                <w:color w:val="auto"/>
              </w:rPr>
            </w:pPr>
            <w:r>
              <w:rPr>
                <w:rFonts w:ascii="Courier New" w:cs="Courier New" w:eastAsia="Courier New" w:hAnsi="Courier New"/>
                <w:sz w:val="15"/>
                <w:szCs w:val="15"/>
                <w:color w:val="auto"/>
              </w:rPr>
              <w:t>(IN THOUSANDS, EXCEPT INCOME PER SHARE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and grants............................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7,104</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$ 10,617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Gain on sale of investment..............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18,604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9,984</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5,979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8,344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ECT wind-down and corporate relocation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5"/>
              </w:rPr>
              <w:t>Net income (loss).......................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(13,759)</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6"/>
              </w:rPr>
              <w:t>$(18,114)</w:t>
            </w:r>
          </w:p>
        </w:tc>
        <w:tc>
          <w:tcPr>
            <w:tcW w:w="9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3"/>
              </w:rPr>
              <w:t>$(12,628)</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$(11,125)</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Basic and diluted net income (loss) per</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share applicable to common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8"/>
              </w:rPr>
              <w:t>stockholders before cumulative effect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of a change in accounting principle...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(0.57)</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accounting principle..................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 per share applicable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to common stockholders................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(0.58)</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net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20,989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Shares used in computing diluted income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22,405</w:t>
            </w:r>
          </w:p>
        </w:tc>
      </w:tr>
      <w:tr>
        <w:trPr>
          <w:trHeight w:val="853"/>
        </w:trPr>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4"/>
                <w:szCs w:val="4"/>
                <w:color w:val="auto"/>
                <w:w w:val="72"/>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Cash, cash equivalents and marketable securities.....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$42,607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$ 4,760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$ 6,069</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$ 4,499</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Restricted investments...............................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8,413</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Total assets.........................................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58,397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44,301</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32,866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21,507</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Long-term debt, including capitalized leases.........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8,223</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4,108</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3,762</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Redeemable common stock..............................</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8,159</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5,583</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Stockholders' equity.................................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34,747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28,900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17,897</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15,462</w:t>
            </w:r>
          </w:p>
        </w:tc>
      </w:tr>
      <w:tr>
        <w:trPr>
          <w:trHeight w:val="512"/>
        </w:trPr>
        <w:tc>
          <w:tcPr>
            <w:tcW w:w="3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60"/>
          </w:cols>
          <w:pgMar w:left="240" w:top="457" w:right="1099" w:bottom="1440" w:gutter="0" w:footer="0" w:header="0"/>
        </w:sectPr>
      </w:pPr>
    </w:p>
    <w:bookmarkStart w:id="18" w:name="page19"/>
    <w:bookmarkEnd w:id="18"/>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OF OUR FINANCIAL CONDITION AND RESULTS OF OPERATIONS FOR THE THREE MONTHS ENDED MARCH 31, 2001 AND 2000 AND THE YEARS ENDED DECEMBER 31, 2000, 1999 AND 1998 SHOULD BE READ IN CONJUNCTION WITH THE "SELECTED CONSOLIDATED FINANCIAL DATA" SECTION OF THIS PROSPECTUS AND OUR CONSOLIDATED FINANCIAL STATEMENTS AND NOTES TO THOSE STATEMENTS AND OTHER FINANCIAL INFORMATION INCLUDED ELSEWHERE IN THIS PROSPECTUS. THE FORWARD-LOOKING STATEMENTS IN THIS DISCUSSION REGARDING OUR EXPECTATIONS REGARDING OUR FUTURE PERFORMANCE, LIQUIDITY AND CAPITAL RESOURCES AND OTHER NON-HISTORICAL STATEMENTS IN THIS DISCUSSION INVOLVE NUMEROUS RISKS AND UNCERTAINTIES AS DESCRIBED IN THE "RISK FACTORS" SECTION OF THIS PROSPECTUS. OUR ACTUAL RESULTS MAY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At the beginning of 1999,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As a result of a restructuring in the second half of 1999, our sole focus is now on our stem cell technology. The year 2000 was a year of transition, in which we completed the consolidation and restructuring of our operations. Comparisons with results of operations prior to 2000 are correspondingly less meaningful than they may be under other circumstances.</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or partnering revenues will be available when needed or on terms acceptable to us.</w:t>
      </w:r>
    </w:p>
    <w:p>
      <w:pPr>
        <w:spacing w:after="0" w:line="180"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sale of marketable securities and the initiation or termination of research collaborations, in addition to the winding-down of terminated research and development programs referred to above.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THREE MONTHS ENDED MARCH 31, 2001 AND 2000</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the three months ended March 31, 2001, revenues from grants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There was no such revenue for the three months ended March 31, 2000.</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On January 9, 2001, we sold 22,616 Modex shares for a net price of 182.00 Swiss francs per share, which converts to $112.76 per share, for total proceeds and a realized gain of $2,550,000.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9" w:name="page20"/>
    <w:bookmarkEnd w:id="19"/>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for the three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were $234,386. In December 2000, we created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$1,780,578 related to the carrying costs for the Rhode Island facilities through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At March 31, 2001 the reserve was $1,381,946.</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 was part of the bond payments related to the Rhode Island facilities. Interest expense for the same period in 2000 was $68,858. The decrease in 2001 was attributable to lower outstanding debt and capital lease balances in 2001 compared to 2000.</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Other income for the three months ended March 31, 2001 was $180,389, which was a refund from the Citizens Bank of Rhode Island for an overpayment of property taxes in prior years.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income for the three months ended March 31, 2001 was $268,541 or $0.01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as compared to net loss of $1,794,258, or $0.09 per share,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period in 2000. The decrease in net loss of $2,062,800 or 115%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in 2000 was primarily attributable to a realized gain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$2,550,230 from the sale of a portion of our Modex investment, offset by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expenses attributable to an increase in personnel and the costs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our move to a larger facility.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decrease in revenues from 1998 to 1999 to 2000 resulted primarily from the June 1999 termination of the Astra agreement.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20" w:name="page21"/>
    <w:bookmarkEnd w:id="20"/>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totaled $3,327,000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$6,048,000 for 2000 and 1999, respectively. No such expenses were incurred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1999 expenses included accruals of approximately $1.6 million for employee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costs, $1.9 million in losses and reserves for the write-down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patents and fixed assets, $1.2 million for our costs of settlement of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funding agreement with RIPSAT, $700,000 of estimated additional carrying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through June 30, 2000, and other related expenses totaling $760,000.</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because we were unable to dispose of them as we had expected. We have created a reserve of $1,780,000 related to the carrying costs for the Rhode Island facilities through 2001. In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174" w:lineRule="exact"/>
        <w:rPr>
          <w:sz w:val="20"/>
          <w:szCs w:val="20"/>
          <w:color w:val="auto"/>
        </w:rPr>
      </w:pPr>
    </w:p>
    <w:p>
      <w:pPr>
        <w:jc w:val="both"/>
        <w:ind w:right="3479" w:firstLine="355"/>
        <w:spacing w:after="0" w:line="239"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 investment in Modex. Modex</w:t>
      </w:r>
    </w:p>
    <w:p>
      <w:pPr>
        <w:spacing w:after="0" w:line="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Therapeutics, Ltd., a Swiss biotechnology company that completed an initial public offering on June 23, 2000, and is publicly traded on the Swiss Neue Market exchange.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wind-down of our encapsulated cell technology research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June 1999, as well as expenses related to the wind-down of our encapsulated cell technology research and our other Rhode Island operations, the transfer of our corporate headquarters to California and an accrual for the our estimate of the costs of settlement of a funding agreement with RIPSAT.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176" w:lineRule="exact"/>
        <w:rPr>
          <w:sz w:val="20"/>
          <w:szCs w:val="20"/>
          <w:color w:val="auto"/>
        </w:rPr>
      </w:pPr>
    </w:p>
    <w:p>
      <w:pPr>
        <w:ind w:right="3839" w:firstLine="355"/>
        <w:spacing w:after="0" w:line="271" w:lineRule="auto"/>
        <w:rPr>
          <w:sz w:val="20"/>
          <w:szCs w:val="20"/>
          <w:color w:val="auto"/>
        </w:rPr>
      </w:pPr>
      <w:r>
        <w:rPr>
          <w:rFonts w:ascii="Courier New" w:cs="Courier New" w:eastAsia="Courier New" w:hAnsi="Courier New"/>
          <w:sz w:val="14"/>
          <w:szCs w:val="14"/>
          <w:color w:val="auto"/>
        </w:rPr>
        <w:t>We had unrestricted cash and cash equivalents totaling $4,499,000 at March 31, 2001. Cash equivalents are invested in money market funds.</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7" w:right="1440" w:bottom="1440" w:gutter="0" w:footer="0" w:header="0"/>
        </w:sectPr>
      </w:pPr>
    </w:p>
    <w:bookmarkStart w:id="21" w:name="page22"/>
    <w:bookmarkEnd w:id="21"/>
    <w:p>
      <w:pPr>
        <w:ind w:right="3119" w:firstLine="355"/>
        <w:spacing w:after="0"/>
        <w:rPr>
          <w:sz w:val="20"/>
          <w:szCs w:val="20"/>
          <w:color w:val="auto"/>
        </w:rPr>
      </w:pPr>
      <w:r>
        <w:rPr>
          <w:rFonts w:ascii="Courier New" w:cs="Courier New" w:eastAsia="Courier New" w:hAnsi="Courier New"/>
          <w:sz w:val="15"/>
          <w:szCs w:val="15"/>
          <w:color w:val="auto"/>
        </w:rPr>
        <w:t>In the third quarter of 1999, we announced restructuring plans to wind down operations relating to our ECT and to focus our resources on the research and development of our platform of proprietary stem cell technologies. We terminated approximately 68 full time employees and, in October 1999, relocated our corporate headquarters to California. As part of our restructuring of operations and relocation of corporate headquarters to California, we identified a significant amount of excess fixed assets. In December 1999, we completed the disposition of those excess fixed assets, from which we received more than $746,000.</w:t>
      </w:r>
    </w:p>
    <w:p>
      <w:pPr>
        <w:spacing w:after="0" w:line="177"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we retained certain non-exclusive rights to use ECT in combination with our proprietary stem cell technologies and in the field of vaccines for prevention and treatment of infectious diseases.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 we were not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7"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22" w:name="page23"/>
    <w:bookmarkEnd w:id="22"/>
    <w:p>
      <w:pPr>
        <w:ind w:right="3219"/>
        <w:spacing w:after="0"/>
        <w:rPr>
          <w:sz w:val="20"/>
          <w:szCs w:val="20"/>
          <w:color w:val="auto"/>
        </w:rPr>
      </w:pPr>
      <w:r>
        <w:rPr>
          <w:rFonts w:ascii="Courier New" w:cs="Courier New" w:eastAsia="Courier New" w:hAnsi="Courier New"/>
          <w:sz w:val="15"/>
          <w:szCs w:val="15"/>
          <w:color w:val="auto"/>
        </w:rPr>
        <w:t>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Any unconverted preferred stock will be converted to common stock, at the applicable conversion price, on April 13, 2002. The warrants expire on April 13, 2005.</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is entitled, pursuant to an adjustable 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On January 27, 2001, the Fund's adjustable warrant became exercisable for 463,369 shares of our common stock, and the Fund purchased all of those shares on March 30, 2001, for $4,634. On April 27, 2001, the Fund's adjustable warrant became exercisable for an additional 622,469 shares of our common stock, and the warrant has not been exercised with respect to those shares. The Fund also received on August 3, 2000 a warrant to purchase up to 101,587 shares of common stock at $4.725 per share. This warrant is callable by us at $7.875 per underlying share.</w:t>
      </w:r>
    </w:p>
    <w:p>
      <w:pPr>
        <w:spacing w:after="0" w:line="188"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addition, the Fund was granted an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on</w:t>
      </w:r>
    </w:p>
    <w:p>
      <w:pPr>
        <w:spacing w:after="0" w:line="2"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August 23, 2000 a warrant to purchase up to 19,900 shares of common stock at $6.03 per share. This warrant is callable by us at any time at $10.05 per underlying share.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June 8, 2001, the Fund exercised its remaining option to purchase $2 million of our common stock. At the closing on June 21, 2001, the Fund purchased 457,750 shares of our common stock at $4.3692 per share. The Fund paid $1,500,000 of the purchase price at the closing and will pay the remainder upon effectiveness of a registration statement covering the shares purchased by the Fund and issuable upon exercise of the warrants received by the Fund. The registration statement of which this prospectus forms a part does not cover the shares purchased by or issuable to the Fund. In connection with the closing, the Fund received an adjustable warrant similar to the adjustable warrant issued on August 3, 2000. The Fund also received a warrant to purchase 50,352 shares of our common stock at a price per share of $4.7664. This warrant is callable by us at any time at $7.944 per underlying share.</w:t>
      </w:r>
    </w:p>
    <w:p>
      <w:pPr>
        <w:spacing w:after="0" w:line="180"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We have sold all of our shares of Modex Therapeutics, Ltd. Our final sale of Modex shares occurred on April 30, 2001, when we realized a gain of $5,232,168 net of commissions and other fees. All other sales occurred prior to March 31, 2001. In addition, on April 30, 2001, we sold Modex our rights to future payments under the agreement between us and Neurotech S.A. for $300,000.</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23" w:name="page24"/>
    <w:bookmarkEnd w:id="23"/>
    <w:p>
      <w:pPr>
        <w:ind w:right="3119" w:firstLine="355"/>
        <w:spacing w:after="0" w:line="259"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drawdown and the amount of each drawdown. For more details on the equity line, see "Common Stock Purchase Agreement" elsewhere in this prospectus.</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may, but are not required to, draw down on the equity line from time to time as necessary and possible under the terms of the facility. We also intend to pursue opportunities to obtain additional financing in the future through grants and collaborative research arrangements. We are permitted under the terms of the equity line to pursue unrelated debt and equity financing other than other stand-by equity based credit facilities.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through December 2001.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The statement requires us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Because we had no derivative instruments and do not currently engage in hedging activities, the adoption of Statement No. 133 on January 1, 2001 had no impact on our results of operations or financial position.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24" w:name="page25"/>
    <w:bookmarkEnd w:id="24"/>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33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that are essential to life. When cells are damaged or destroyed, they no longer produce, metabolize or accurately regulate these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 considered replacing failing cells that are no longer producing</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7" w:right="1440" w:bottom="1440"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6"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obtaining the cells often requires significant surgical procedures. The challenge, therefore, has been three-fold:</w:t>
      </w:r>
    </w:p>
    <w:p>
      <w:pPr>
        <w:spacing w:after="0" w:line="159" w:lineRule="exact"/>
        <w:rPr>
          <w:sz w:val="20"/>
          <w:szCs w:val="20"/>
          <w:color w:val="auto"/>
        </w:rPr>
      </w:pPr>
    </w:p>
    <w:p>
      <w:pPr>
        <w:ind w:left="520" w:hanging="174"/>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we can use to expand these rare cells in sufficient quantities for effective transplants; and</w:t>
      </w:r>
    </w:p>
    <w:p>
      <w:pPr>
        <w:spacing w:after="0" w:line="174"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we can use for transplantation into individuals whose own cells are not suitable because of disease or other reasons.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cells modified by a cancer gene, an unpurified mixture of many different cell types, or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hosts accept CNS stem cells that are transplanted into them, and that the cells continue to migrate and specialize to produce mature neurons and glial cells.</w:t>
      </w:r>
    </w:p>
    <w:p>
      <w:pPr>
        <w:spacing w:after="0" w:line="17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4" w:lineRule="exact"/>
        <w:rPr>
          <w:sz w:val="20"/>
          <w:szCs w:val="20"/>
          <w:color w:val="auto"/>
        </w:rPr>
      </w:pPr>
    </w:p>
    <w:p>
      <w:pPr>
        <w:ind w:left="520"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alliances in these key areas.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4" w:lineRule="exact"/>
        <w:rPr>
          <w:sz w:val="20"/>
          <w:szCs w:val="20"/>
          <w:color w:val="auto"/>
        </w:rPr>
      </w:pPr>
    </w:p>
    <w:p>
      <w:pPr>
        <w:ind w:left="520" w:right="3659" w:hanging="174"/>
        <w:spacing w:after="0" w:line="238"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4" w:lineRule="exact"/>
        <w:rPr>
          <w:rFonts w:ascii="Courier New" w:cs="Courier New" w:eastAsia="Courier New" w:hAnsi="Courier New"/>
          <w:sz w:val="15"/>
          <w:szCs w:val="15"/>
          <w:color w:val="auto"/>
        </w:rPr>
      </w:pPr>
    </w:p>
    <w:p>
      <w:pPr>
        <w:ind w:left="520" w:right="3299" w:hanging="174"/>
        <w:spacing w:after="0" w:line="239"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Stem cells exist for many systems of the human body: the blood and immune system; the central and peripheral nervous systems (including the brain); and the liver, pancreas endocrine, and skin systems. These cells are responsible for organ regeneration during normal cell replacement and, to a limited extent, after injury. We believe that further research and development will allow stem cells to be cultivated and administered in ways that enhance their natural function, so as to form the basis of therapies that will replace specific subsets of cells that disease, injury or genetic defect has damaged or destroyed.</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Our published studies show that these cultured and expanded cells give rise to all three major cell types of the central nervous system. Also, a separate study that we sponsored that used these cultured stem and progenitor cells showed that the cells are accepted, migrate, and successfully specialize to produce neurons and glial cells.</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More recently, we announced the results of a new study that showed that markers present on the surface of freshly obtained brain cells can successfully isolate human central nervous system stem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to therapies that are based on cells derived from cancer cells, cells modified by a cancer gene, an unpurified mixture of cell types, or animal-derived cells. We have also filed an improved process patent for the growth and expansion of these purified normal human central nervous system cells.</w:t>
      </w:r>
    </w:p>
    <w:p>
      <w:pPr>
        <w:spacing w:after="0" w:line="16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to research and develop human central nervous system stem and progenitor cell-based therapies for these diseases.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research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loss of nervous system tissue.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devoted substantial resources to research the isolation and development of a series of stem and progenitor cells that would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our primary research and product development programs. The table is qualified in its entirety by reference to the more detailed descriptions of such programs appearing elsewhere in this prospectus. We continually evaluate our research and product development and reallocate resources in light of experimental results, commercial potential, availability of third party funding, likelihood of near-term efficacy, collaboration success or significant technology enhancement, or other relevant factors. Our research and product development programs are in early stages of development and will require substantial resources to commercialize.</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7" w:right="1440" w:bottom="1440" w:gutter="0" w:footer="0" w:header="0"/>
        </w:sectPr>
      </w:pPr>
    </w:p>
    <w:bookmarkStart w:id="28" w:name="page29"/>
    <w:bookmarkEnd w:id="28"/>
    <w:p>
      <w:pPr>
        <w:ind w:left="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00" w:lineRule="exact"/>
        <w:rPr>
          <w:sz w:val="20"/>
          <w:szCs w:val="20"/>
          <w:color w:val="auto"/>
        </w:rPr>
      </w:pPr>
    </w:p>
    <w:p>
      <w:pPr>
        <w:spacing w:after="0" w:line="313" w:lineRule="exact"/>
        <w:rPr>
          <w:sz w:val="20"/>
          <w:szCs w:val="20"/>
          <w:color w:val="auto"/>
        </w:rPr>
      </w:pPr>
    </w:p>
    <w:p>
      <w:pPr>
        <w:ind w:left="449"/>
        <w:spacing w:after="0"/>
        <w:tabs>
          <w:tab w:leader="none" w:pos="574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1" w:lineRule="exact"/>
        <w:rPr>
          <w:sz w:val="20"/>
          <w:szCs w:val="20"/>
          <w:color w:val="auto"/>
        </w:rPr>
      </w:pPr>
    </w:p>
    <w:p>
      <w:pPr>
        <w:ind w:left="9"/>
        <w:spacing w:after="0"/>
        <w:tabs>
          <w:tab w:leader="none" w:pos="41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889"/>
        <w:spacing w:after="0"/>
        <w:tabs>
          <w:tab w:leader="none" w:pos="644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8"/>
          </w:cols>
          <w:pgMar w:left="231" w:top="457" w:right="1440" w:bottom="1440" w:gutter="0" w:footer="0" w:header="0"/>
        </w:sectPr>
      </w:pPr>
    </w:p>
    <w:p>
      <w:pPr>
        <w:spacing w:after="0" w:line="174" w:lineRule="exact"/>
        <w:rPr>
          <w:sz w:val="20"/>
          <w:szCs w:val="20"/>
          <w:color w:val="auto"/>
        </w:rPr>
      </w:pPr>
    </w:p>
    <w:p>
      <w:pPr>
        <w:ind w:left="9" w:right="255"/>
        <w:spacing w:after="0" w:line="239" w:lineRule="auto"/>
        <w:rPr>
          <w:sz w:val="20"/>
          <w:szCs w:val="20"/>
          <w:color w:val="auto"/>
        </w:rPr>
      </w:pPr>
      <w:r>
        <w:rPr>
          <w:rFonts w:ascii="Courier New" w:cs="Courier New" w:eastAsia="Courier New" w:hAnsi="Courier New"/>
          <w:sz w:val="15"/>
          <w:szCs w:val="15"/>
          <w:color w:val="auto"/>
        </w:rPr>
        <w:t>Repair or replace damaged central nervous system tissue (including spinal cord, degenerated retinas and tissue affected by certain genetic disorders)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45" w:right="1439" w:hanging="345"/>
        <w:spacing w:after="0"/>
        <w:tabs>
          <w:tab w:leader="none" w:pos="3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3" w:lineRule="exact"/>
        <w:rPr>
          <w:rFonts w:ascii="Courier New" w:cs="Courier New" w:eastAsia="Courier New" w:hAnsi="Courier New"/>
          <w:sz w:val="15"/>
          <w:szCs w:val="15"/>
          <w:color w:val="auto"/>
        </w:rPr>
      </w:pPr>
    </w:p>
    <w:p>
      <w:pPr>
        <w:ind w:left="345" w:right="1619" w:hanging="345"/>
        <w:spacing w:after="0" w:line="258" w:lineRule="auto"/>
        <w:tabs>
          <w:tab w:leader="none" w:pos="34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the ability of neurosphere-initiating stem cells from human brain</w:t>
      </w:r>
    </w:p>
    <w:p>
      <w:pPr>
        <w:ind w:left="345" w:right="1359" w:hanging="345"/>
        <w:spacing w:after="0"/>
        <w:tabs>
          <w:tab w:leader="none" w:pos="3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72"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ind w:left="789"/>
        <w:spacing w:after="0"/>
        <w:tabs>
          <w:tab w:leader="none" w:pos="6549" w:val="left"/>
        </w:tabs>
        <w:rPr>
          <w:sz w:val="20"/>
          <w:szCs w:val="20"/>
          <w:color w:val="auto"/>
        </w:rPr>
      </w:pPr>
      <w:r>
        <w:rPr>
          <w:rFonts w:ascii="Courier New" w:cs="Courier New" w:eastAsia="Courier New" w:hAnsi="Courier New"/>
          <w:sz w:val="15"/>
          <w:szCs w:val="15"/>
          <w:color w:val="auto"/>
        </w:rPr>
        <w:t>PANCREAS ISLET STEM CELL</w:t>
      </w:r>
      <w:r>
        <w:rPr>
          <w:sz w:val="20"/>
          <w:szCs w:val="20"/>
          <w:color w:val="auto"/>
        </w:rPr>
        <w:tab/>
      </w:r>
      <w:r>
        <w:rPr>
          <w:rFonts w:ascii="Courier New" w:cs="Courier New" w:eastAsia="Courier New" w:hAnsi="Courier New"/>
          <w:sz w:val="14"/>
          <w:szCs w:val="14"/>
          <w:color w:val="auto"/>
        </w:rPr>
        <w:t>RESEARCH</w:t>
      </w:r>
    </w:p>
    <w:p>
      <w:pPr>
        <w:sectPr>
          <w:pgSz w:w="11900" w:h="16838" w:orient="portrait"/>
          <w:cols w:equalWidth="0" w:num="1">
            <w:col w:w="10228"/>
          </w:cols>
          <w:pgMar w:left="231" w:top="457" w:right="1440" w:bottom="1440" w:gutter="0" w:footer="0" w:header="0"/>
          <w:type w:val="continuous"/>
        </w:sectPr>
      </w:pPr>
    </w:p>
    <w:p>
      <w:pPr>
        <w:spacing w:after="0" w:line="174" w:lineRule="exact"/>
        <w:rPr>
          <w:sz w:val="20"/>
          <w:szCs w:val="20"/>
          <w:color w:val="auto"/>
        </w:rPr>
      </w:pPr>
    </w:p>
    <w:p>
      <w:pPr>
        <w:ind w:left="9" w:right="435"/>
        <w:spacing w:after="0" w:line="238"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left="345" w:right="1439" w:hanging="345"/>
        <w:spacing w:after="0" w:line="239" w:lineRule="auto"/>
        <w:tabs>
          <w:tab w:leader="none" w:pos="34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markers on the surface of cells to isolate and culture islet stem cells of the pancreas</w:t>
      </w:r>
    </w:p>
    <w:p>
      <w:pPr>
        <w:spacing w:after="0" w:line="1"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71"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ind w:left="1249"/>
        <w:spacing w:after="0"/>
        <w:rPr>
          <w:sz w:val="20"/>
          <w:szCs w:val="20"/>
          <w:color w:val="auto"/>
        </w:rPr>
      </w:pPr>
      <w:r>
        <w:rPr>
          <w:rFonts w:ascii="Courier New" w:cs="Courier New" w:eastAsia="Courier New" w:hAnsi="Courier New"/>
          <w:sz w:val="15"/>
          <w:szCs w:val="15"/>
          <w:color w:val="auto"/>
        </w:rPr>
        <w:t>LIVER STEM CELL</w:t>
      </w:r>
    </w:p>
    <w:p>
      <w:pPr>
        <w:spacing w:after="0" w:line="3" w:lineRule="exact"/>
        <w:rPr>
          <w:sz w:val="20"/>
          <w:szCs w:val="20"/>
          <w:color w:val="auto"/>
        </w:rPr>
      </w:pPr>
    </w:p>
    <w:p>
      <w:pPr>
        <w:ind w:left="9" w:right="515"/>
        <w:spacing w:after="0" w:line="239"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 w:lineRule="exact"/>
        <w:rPr>
          <w:sz w:val="20"/>
          <w:szCs w:val="20"/>
          <w:color w:val="auto"/>
        </w:rPr>
      </w:pPr>
      <w:r>
        <w:rPr>
          <w:sz w:val="20"/>
          <w:szCs w:val="20"/>
          <w:color w:val="auto"/>
        </w:rPr>
        <w:br w:type="column"/>
      </w:r>
    </w:p>
    <w:p>
      <w:pPr>
        <w:jc w:val="center"/>
        <w:ind w:right="1094"/>
        <w:spacing w:after="0"/>
        <w:rPr>
          <w:sz w:val="20"/>
          <w:szCs w:val="20"/>
          <w:color w:val="auto"/>
        </w:rPr>
      </w:pPr>
      <w:r>
        <w:rPr>
          <w:rFonts w:ascii="Courier New" w:cs="Courier New" w:eastAsia="Courier New" w:hAnsi="Courier New"/>
          <w:sz w:val="15"/>
          <w:szCs w:val="15"/>
          <w:color w:val="auto"/>
        </w:rPr>
        <w:t>RESEARCH</w:t>
      </w:r>
    </w:p>
    <w:p>
      <w:pPr>
        <w:spacing w:after="0" w:line="3" w:lineRule="exact"/>
        <w:rPr>
          <w:sz w:val="20"/>
          <w:szCs w:val="20"/>
          <w:color w:val="auto"/>
        </w:rPr>
      </w:pPr>
    </w:p>
    <w:p>
      <w:pPr>
        <w:ind w:left="345" w:right="1439" w:hanging="345"/>
        <w:spacing w:after="0" w:line="239" w:lineRule="auto"/>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5"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200"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spacing w:after="0" w:line="1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62"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Currently, our portfolio of stem cell technology results from our exclusive licensing of central nervous system, stem and progenitor cell technology, animal models for the identification and/or testing of stem and progenitor cells and our own research and development efforts. We believe that therapies using stem cells represent a fundamentally new approach to the treatment of diseases caused by lost or damaged tissue. We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4" w:lineRule="exact"/>
        <w:rPr>
          <w:sz w:val="20"/>
          <w:szCs w:val="20"/>
          <w:color w:val="auto"/>
        </w:rPr>
      </w:pPr>
    </w:p>
    <w:p>
      <w:pPr>
        <w:ind w:left="9" w:right="3479" w:firstLine="355"/>
        <w:spacing w:after="0" w:line="262" w:lineRule="auto"/>
        <w:rPr>
          <w:sz w:val="20"/>
          <w:szCs w:val="20"/>
          <w:color w:val="auto"/>
        </w:rPr>
      </w:pPr>
      <w:r>
        <w:rPr>
          <w:rFonts w:ascii="Courier New" w:cs="Courier New" w:eastAsia="Courier New" w:hAnsi="Courier New"/>
          <w:sz w:val="14"/>
          <w:szCs w:val="14"/>
          <w:color w:val="auto"/>
        </w:rPr>
        <w:t>We began our work with central nervous system stem and progenitor cell cultures in collaboration with NeuroSpheres, Ltd., in 1992. We believe NeuroSpheres first invented these cultures. Further, NeuroSpheres granted us exclusive, worldwide licenses, encompassing all uses, to numerous inventions</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457" w:right="1440" w:bottom="1440" w:gutter="0" w:footer="0" w:header="0"/>
          <w:type w:val="continuous"/>
        </w:sectPr>
      </w:pPr>
    </w:p>
    <w:bookmarkStart w:id="29" w:name="page30"/>
    <w:bookmarkEnd w:id="29"/>
    <w:p>
      <w:pPr>
        <w:ind w:right="3219"/>
        <w:spacing w:after="0" w:line="264" w:lineRule="auto"/>
        <w:rPr>
          <w:sz w:val="20"/>
          <w:szCs w:val="20"/>
          <w:color w:val="auto"/>
        </w:rPr>
      </w:pPr>
      <w:r>
        <w:rPr>
          <w:rFonts w:ascii="Courier New" w:cs="Courier New" w:eastAsia="Courier New" w:hAnsi="Courier New"/>
          <w:sz w:val="14"/>
          <w:szCs w:val="14"/>
          <w:color w:val="auto"/>
        </w:rPr>
        <w:t>and associated patents and patent applications. These inventions and associated patents and patent applications are subsequently noted in the section entitled "License Agreements and Sponsored Research Agreements--NeuroSpheres, Ltd."</w:t>
      </w:r>
    </w:p>
    <w:p>
      <w:pPr>
        <w:spacing w:after="0" w:line="159"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1997, our scientists invented a reproducible method for growing human central nervous system, stem and progenitor cells in cultures. In preclinical IN VITRO and early IN VIVO studies, we demonstrated that these cells specialize into all three of the cell types of the central nervous system, or CNS.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The US Patent and Trademark Office has since allowed a patent on those methods. We are expanding our preclinical efforts toward the goal of selecting the proper indications to pursue.</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This patent covered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using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The unmodified cells are normal human CNS stem cells and, therefore, may be especially suitable for transplantation. In addition, the cells may provide a safer and more effective alternative to therapies based on cells derived from cancer cells or from an unpurified mix of many different cell types, or from animal derived cells.</w:t>
      </w:r>
    </w:p>
    <w:p>
      <w:pPr>
        <w:spacing w:after="0" w:line="176"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took purified and expanded stem cells and transplanted them into the normal brains of immunodeficient mouse hosts, where they took hold and grew into neurons and glial cells.</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30" w:name="page31"/>
    <w:bookmarkEnd w:id="30"/>
    <w:p>
      <w:pPr>
        <w:ind w:right="3119" w:firstLine="355"/>
        <w:spacing w:after="0"/>
        <w:rPr>
          <w:sz w:val="20"/>
          <w:szCs w:val="20"/>
          <w:color w:val="auto"/>
        </w:rPr>
      </w:pPr>
      <w:r>
        <w:rPr>
          <w:rFonts w:ascii="Courier New" w:cs="Courier New" w:eastAsia="Courier New" w:hAnsi="Courier New"/>
          <w:sz w:val="15"/>
          <w:szCs w:val="15"/>
          <w:color w:val="auto"/>
        </w:rPr>
        <w:t>Throughout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7"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299" w:hanging="174"/>
        <w:spacing w:after="0" w:line="239"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In addition, this technology could provide a unique animal model for the testing of drugs that act on human brain cells either for effectiveness of the drug against the disease or its toxicity to human nerve cells.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Nora Sarvetnick, Ph.D., of The Scripps Research Institute, in collaboration with some of our senior researchers, has conducted our discovery program directed to the identification, isolation and culturing of the pancreas stem and progenitor cells. It is our intention to bring the research on stem and progenitor cells of the pancreas in house. We expect that Dr. Sarvetnick will continue to consult with us.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0" w:right="1440" w:bottom="1440" w:gutter="0" w:footer="0" w:header="0"/>
        </w:sectPr>
      </w:pPr>
    </w:p>
    <w:bookmarkStart w:id="31" w:name="page32"/>
    <w:bookmarkEnd w:id="31"/>
    <w:p>
      <w:pPr>
        <w:ind w:right="3219" w:firstLine="355"/>
        <w:spacing w:after="0" w:line="258"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Dr. Sarvetnick and her research team identified these novel markers as being unique to the pancreas islet stem cell for which we have now filed a US patent application. In collaboration with</w:t>
      </w:r>
    </w:p>
    <w:p>
      <w:pPr>
        <w:spacing w:after="0" w:line="1"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Dr. Sarvetnick, we continue to advance the discovery program directed at the identification, isolation and culturing of pancreas stem and progenitor cells using this technology.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4"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In addition, we obtained a worldwide exclusive license to a novel mouse model of liver failure for evaluating cell transplantation developed by Dr. Grompe.</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In 1999, our researchers devised a culture assay that we will use in our efforts to identify liver stem and progenitor cells. In addition to supporting the growth of an early human liver bipotent progenitor cell, it is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Further, we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Failing to meet this criteria caused AstraZeneca to terminate the collaboration in June 1999.</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California. We subleased a portion of our former corporate headquarters building and our pilot manufacturing and cell processing facility in Rhode Island are actively seeking to sublease, assign or sell our interest in the remainder.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0" w:right="1440" w:bottom="1440" w:gutter="0" w:footer="0" w:header="0"/>
        </w:sectPr>
      </w:pPr>
    </w:p>
    <w:bookmarkStart w:id="32" w:name="page33"/>
    <w:bookmarkEnd w:id="32"/>
    <w:p>
      <w:pPr>
        <w:ind w:right="3219" w:firstLine="355"/>
        <w:spacing w:after="0"/>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transferred these rights to royalties and other payments to Modex. We retained certain non-exclusive rights to use the ECT in combination with our proprietary stem cell technology, and in the field of vaccines for prevention and treatment of infectious diseases.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September 26, 1997, we acquired by merger the California corporation StemCells, Inc., currently StemCells California, Inc.,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July 1996, we, together with certain founding scientists, established Modex Therapeutics, Ltd., a Swiss biotherapeutics company, to pursue extensions of our former technology of ECT for certain applications outside the central nervous system. We, along with the scientists, formed Modex, headquartered in Lausanne, Switzerland,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continued to hold approximately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 $112.76 per share, for total proceeds of approximately $2,550,000. In connection with this sale, we agreed not to resell any more of our remaining 103,577 Modex shares until April 12, 2001. On April 30, 2001, we sold our remaining 103,577 Modex shares for a net price of 87.30 Swiss francs per share, which converts to approximately $50.30, for proceeds from that sale of approximately $5,200,000.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In addition, we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76"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Our research agreement with Scripps expired on November 14, 2000. It is our intention to bring the research on stem and progenitor cells of the pancreas in house. Dr. Nora Sarvetnick, who led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0" w:right="1440" w:bottom="1440" w:gutter="0" w:footer="0" w:header="0"/>
        </w:sectPr>
      </w:pPr>
    </w:p>
    <w:bookmarkStart w:id="33" w:name="page34"/>
    <w:bookmarkEnd w:id="33"/>
    <w:p>
      <w:pPr>
        <w:ind w:right="3119"/>
        <w:spacing w:after="0"/>
        <w:rPr>
          <w:sz w:val="20"/>
          <w:szCs w:val="20"/>
          <w:color w:val="auto"/>
        </w:rPr>
      </w:pPr>
      <w:r>
        <w:rPr>
          <w:rFonts w:ascii="Courier New" w:cs="Courier New" w:eastAsia="Courier New" w:hAnsi="Courier New"/>
          <w:sz w:val="15"/>
          <w:szCs w:val="15"/>
          <w:color w:val="auto"/>
        </w:rPr>
        <w:t>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In addition, these license agreements are subject to early termination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In addition, we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entered into a number of license agreements with commercial and non-profit institutions, as well as a number of research-plus-license agreements with academic organizations. The research agreements provide that we will fund certain research costs, and in return, will possess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Celgene has now acquired Signal. Each agreement with Signal will terminate at the expiration of all patents licensed under it, but the licensing party can terminate earlier if the other party breaches its obligations under the agreement or declares bankruptcy. Further,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NEUROSPHERES, LTD.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through appropriate testing and by banking representative vials of large-scale cultures. Commercial production is expected to involve expansion of banked cells and packaging them in appropriate containers after formulating the cells in an effective carrier. In addition, the carrier may be used to improve the stability and acceptance of the stem cells or their progeny. Our stem and progenitor cell programs are still in an early stage and, therefore, all of the issues surrounding the manufacture of stem and progenitor cell products are not yet clear.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We intend to have the marketing of our products undertaken by such partners, although we may seek to retain limited marketing rights in specific narrow markets where the product may be addressed by a specialty or niche sales force.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believe that proprietary protection of our inventions will be of major importance to our future business. We possess an aggressive program of vigorously seeking and protecting our intellectual property which we believe might be useful in connection with our products. In addition, we believe that our know-how will provide a significant competitive advantage, and we intend to continue to develop and protect our proprietary know-how. We may also from time to time seek to acquire licenses to important externally developed technologies.</w:t>
      </w:r>
    </w:p>
    <w:p>
      <w:pPr>
        <w:spacing w:after="0" w:line="16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possess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7" w:right="1440" w:bottom="1440" w:gutter="0" w:footer="0" w:header="0"/>
        </w:sectPr>
      </w:pPr>
    </w:p>
    <w:bookmarkStart w:id="35" w:name="page36"/>
    <w:bookmarkEnd w:id="35"/>
    <w:p>
      <w:pPr>
        <w:ind w:right="3479"/>
        <w:spacing w:after="0" w:line="239" w:lineRule="auto"/>
        <w:rPr>
          <w:sz w:val="20"/>
          <w:szCs w:val="20"/>
          <w:color w:val="auto"/>
        </w:rPr>
      </w:pPr>
      <w:r>
        <w:rPr>
          <w:rFonts w:ascii="Courier New" w:cs="Courier New" w:eastAsia="Courier New" w:hAnsi="Courier New"/>
          <w:sz w:val="15"/>
          <w:szCs w:val="15"/>
          <w:color w:val="auto"/>
        </w:rPr>
        <w:t>neural stem cell therapy area includes 25 issued U.S. patents. An additional fifteen patent applications are pending, four of which the U.S. Patent and Trademark Office has allowed.</w:t>
      </w:r>
    </w:p>
    <w:p>
      <w:pPr>
        <w:spacing w:after="0" w:line="175"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We own, or have filed, the following United States Patents and patent applications:</w:t>
      </w:r>
    </w:p>
    <w:p>
      <w:pPr>
        <w:spacing w:after="0" w:line="172" w:lineRule="exact"/>
        <w:rPr>
          <w:sz w:val="20"/>
          <w:szCs w:val="20"/>
          <w:color w:val="auto"/>
        </w:rPr>
      </w:pPr>
    </w:p>
    <w:p>
      <w:pPr>
        <w:ind w:left="520" w:hanging="174"/>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5,968,829 (Human CNS neural stem cells)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6,103,530 (Human CNS neural stem cells--culture media)</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6,238,922 (Use of collagenase in the preparation of neural stem cell cultures)</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6,242,666 (An animal model for identifying a common stem/progenitor to liver cells and pancreatic cells)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99/11758 (Cultures of human CNS neural stem cells)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00/36091 (An animal model for identifying a common stem/progenitor to liver cells and pancreatic cells)</w:t>
      </w:r>
    </w:p>
    <w:p>
      <w:pPr>
        <w:spacing w:after="0" w:line="174"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WO98/50526 (Generation, characterization, and isolation of neuroepithelial stem cells and lineage restricted intermediate precursor)</w:t>
      </w:r>
    </w:p>
    <w:p>
      <w:pPr>
        <w:spacing w:after="0" w:line="175"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00/50572 (Use of collagenase in the preparation of neural stem cell cultures)</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00/47762 (Enriched neural stem cell populations and methods of identifying, isolating, and enriching neural stem cells)</w:t>
      </w:r>
    </w:p>
    <w:p>
      <w:pPr>
        <w:spacing w:after="0" w:line="175"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Neurospheres Holdings Ltd.:</w:t>
      </w:r>
    </w:p>
    <w:p>
      <w:pPr>
        <w:spacing w:after="0" w:line="172" w:lineRule="exact"/>
        <w:rPr>
          <w:sz w:val="20"/>
          <w:szCs w:val="20"/>
          <w:color w:val="auto"/>
        </w:rPr>
      </w:pPr>
    </w:p>
    <w:p>
      <w:pPr>
        <w:ind w:left="520"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5,851,832 (IN VITRO proliferation)</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5,750,376 (IN VITRO genetic modification)</w:t>
      </w:r>
    </w:p>
    <w:p>
      <w:pPr>
        <w:spacing w:after="0" w:line="174" w:lineRule="exact"/>
        <w:rPr>
          <w:rFonts w:ascii="Courier New" w:cs="Courier New" w:eastAsia="Courier New" w:hAnsi="Courier New"/>
          <w:sz w:val="15"/>
          <w:szCs w:val="15"/>
          <w:color w:val="auto"/>
        </w:rPr>
      </w:pPr>
    </w:p>
    <w:p>
      <w:pPr>
        <w:ind w:left="520" w:right="3219" w:hanging="174"/>
        <w:spacing w:after="0" w:line="271" w:lineRule="auto"/>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Patent Number 5,981,165 (IN VITRO production of dopaminergic cells from mammalian central nervous system multipotent stem cell compositions)</w:t>
      </w:r>
    </w:p>
    <w:p>
      <w:pPr>
        <w:spacing w:after="0" w:line="153" w:lineRule="exact"/>
        <w:rPr>
          <w:rFonts w:ascii="Courier New" w:cs="Courier New" w:eastAsia="Courier New" w:hAnsi="Courier New"/>
          <w:sz w:val="14"/>
          <w:szCs w:val="14"/>
          <w:color w:val="auto"/>
        </w:rPr>
      </w:pPr>
    </w:p>
    <w:p>
      <w:pPr>
        <w:ind w:left="520" w:right="365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6,093,531 (Generation of hematopoietic cells from multipotent neural stem cells)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5,980,885 (Methods for inducing IN VIVO proliferation of precursor cells)</w:t>
      </w:r>
    </w:p>
    <w:p>
      <w:pPr>
        <w:spacing w:after="0" w:line="174"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6,071,889 (Methods for IN VIVO transfer of a nucleic acid sequence to proliferating neural cells)</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6,165,783 (Methods of inducing differentiation of multipotent neural stem cells)</w:t>
      </w:r>
    </w:p>
    <w:p>
      <w:pPr>
        <w:spacing w:after="0" w:line="174"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93/01275 (Mammalian central nervous system multipotent stem cell compositions)</w:t>
      </w:r>
    </w:p>
    <w:p>
      <w:pPr>
        <w:spacing w:after="0" w:line="174"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94/09119 (Remyelination using mammalian central nervous system multipotent stem cell compositions)</w:t>
      </w:r>
    </w:p>
    <w:p>
      <w:pPr>
        <w:spacing w:after="0" w:line="174" w:lineRule="exact"/>
        <w:rPr>
          <w:rFonts w:ascii="Courier New" w:cs="Courier New" w:eastAsia="Courier New" w:hAnsi="Courier New"/>
          <w:sz w:val="15"/>
          <w:szCs w:val="15"/>
          <w:color w:val="auto"/>
        </w:rPr>
      </w:pPr>
    </w:p>
    <w:p>
      <w:pPr>
        <w:ind w:left="520" w:right="3479" w:hanging="174"/>
        <w:spacing w:after="0" w:line="239"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94/10292 (Biological factors useful in differentiating mammalian central nervous system multipotent stem cell compositions)</w:t>
      </w:r>
    </w:p>
    <w:p>
      <w:pPr>
        <w:spacing w:after="0" w:line="175"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94/16718 (Genetically engineered mammalian central nervous system multipotent stem cell compositions)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0" w:right="1440" w:bottom="1440" w:gutter="0" w:footer="0" w:header="0"/>
        </w:sectPr>
      </w:pPr>
    </w:p>
    <w:bookmarkStart w:id="36" w:name="page37"/>
    <w:bookmarkEnd w:id="36"/>
    <w:p>
      <w:pPr>
        <w:ind w:left="520" w:right="365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96/15224 (Differentiation of mammalian central nervous system multipotent stem cell compositions)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99/2196 (Erythropoietin-mediated neurogenesis)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99/16863 (Generation of hematopoietic cells)</w:t>
      </w:r>
    </w:p>
    <w:p>
      <w:pPr>
        <w:spacing w:after="0" w:line="174"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98/22127 (Pretreatment with growth factors to protect against CNS damage)</w:t>
      </w:r>
    </w:p>
    <w:p>
      <w:pPr>
        <w:spacing w:after="0" w:line="174"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97/3560 (IN SITU manipulation of cells of the hippocampus)</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96/09543 (IN VITRO models of CNS functions and dysfunctions)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95/13364 (IN SITU modification and manipulation of stem cells of the CNS)</w:t>
      </w:r>
    </w:p>
    <w:p>
      <w:pPr>
        <w:spacing w:after="0" w:line="174" w:lineRule="exact"/>
        <w:rPr>
          <w:rFonts w:ascii="Courier New" w:cs="Courier New" w:eastAsia="Courier New" w:hAnsi="Courier New"/>
          <w:sz w:val="15"/>
          <w:szCs w:val="15"/>
          <w:color w:val="auto"/>
        </w:rPr>
      </w:pPr>
    </w:p>
    <w:p>
      <w:pPr>
        <w:ind w:left="520" w:right="3219" w:hanging="174"/>
        <w:spacing w:after="0" w:line="271"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Number WO 96/15226 (IN VITRO production of dopaminergic cells from mammalian central nervous system multipotent stem cell composition)</w:t>
      </w:r>
    </w:p>
    <w:p>
      <w:pPr>
        <w:spacing w:after="0" w:line="153" w:lineRule="exact"/>
        <w:rPr>
          <w:rFonts w:ascii="Courier New" w:cs="Courier New" w:eastAsia="Courier New" w:hAnsi="Courier New"/>
          <w:sz w:val="14"/>
          <w:szCs w:val="14"/>
          <w:color w:val="auto"/>
        </w:rPr>
      </w:pPr>
    </w:p>
    <w:p>
      <w:pPr>
        <w:ind w:left="520" w:right="419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96/15266 (Regulation of neural stem cell proliferation).</w:t>
      </w:r>
    </w:p>
    <w:p>
      <w:pPr>
        <w:spacing w:after="0" w:line="175"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the University of California, San Diego:</w:t>
      </w:r>
    </w:p>
    <w:p>
      <w:pPr>
        <w:spacing w:after="0" w:line="172" w:lineRule="exact"/>
        <w:rPr>
          <w:sz w:val="20"/>
          <w:szCs w:val="20"/>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5,776,948 (Method of production of neuroblasts)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6,013,521 (Method of production of neuroblasts)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6,020,197 (Method of production of neuroblasts)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94/16059 (Method of production of neuroblasts)</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00/52143 (Methods of enriching a population of uncultured cells).</w:t>
      </w:r>
    </w:p>
    <w:p>
      <w:pPr>
        <w:spacing w:after="0" w:line="175"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the California Institute of Technology:</w:t>
      </w:r>
    </w:p>
    <w:p>
      <w:pPr>
        <w:spacing w:after="0" w:line="175" w:lineRule="exact"/>
        <w:rPr>
          <w:sz w:val="20"/>
          <w:szCs w:val="20"/>
          <w:color w:val="auto"/>
        </w:rPr>
      </w:pPr>
    </w:p>
    <w:p>
      <w:pPr>
        <w:ind w:left="520" w:right="339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5,629,159 (Immortalization and disimmortalization of cells)</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96/40877 (Immortalization and disimmortalization of cells)</w:t>
      </w:r>
    </w:p>
    <w:p>
      <w:pPr>
        <w:spacing w:after="0" w:line="174"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Patent Number 5,935,811 (Neuron restrictive silencer factor proteins)</w:t>
      </w:r>
    </w:p>
    <w:p>
      <w:pPr>
        <w:spacing w:after="0" w:line="182" w:lineRule="exact"/>
        <w:rPr>
          <w:rFonts w:ascii="Courier New" w:cs="Courier New" w:eastAsia="Courier New" w:hAnsi="Courier New"/>
          <w:sz w:val="14"/>
          <w:szCs w:val="14"/>
          <w:color w:val="auto"/>
        </w:rPr>
      </w:pPr>
    </w:p>
    <w:p>
      <w:pPr>
        <w:ind w:left="520" w:right="383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96/27665 (Neuron restrictive silencer factor proteins)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5,589,376 (Mammalian neural crest stem cells)</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5,824,489 (Methods for isolating mammalian multipotent neural crest stem cells)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94/02593 (Mammalian neural crest stem cells)</w:t>
      </w:r>
    </w:p>
    <w:p>
      <w:pPr>
        <w:spacing w:after="0" w:line="174"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5,654,183 (Genetically engineered mammalian neural crest stem cells)</w:t>
      </w:r>
    </w:p>
    <w:p>
      <w:pPr>
        <w:spacing w:after="0" w:line="174"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5,928,947 (Mammalian multipotent neural crest stem cells)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5,693,482 (IN VITRO neural crest stem cell assay)</w:t>
      </w:r>
    </w:p>
    <w:p>
      <w:pPr>
        <w:spacing w:after="0" w:line="174"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6,001,654 (Methods for differentiating neural stem cells to neurons or smooth muscle cells (TGFb))</w:t>
      </w:r>
    </w:p>
    <w:p>
      <w:pPr>
        <w:spacing w:after="0" w:line="174"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98/48001 (Methods for differentiating neural stem cells to neurons or smooth muscle cells (TGFb))</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0" w:right="1440" w:bottom="1440" w:gutter="0" w:footer="0" w:header="0"/>
        </w:sectPr>
      </w:pPr>
    </w:p>
    <w:bookmarkStart w:id="37" w:name="page38"/>
    <w:bookmarkEnd w:id="37"/>
    <w:p>
      <w:pPr>
        <w:ind w:left="520" w:right="311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5,672,499 (Methods for immortalizing multipotent neural crest stem cells)</w:t>
      </w:r>
    </w:p>
    <w:p>
      <w:pPr>
        <w:spacing w:after="0" w:line="174"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5,849,553 (Immortalizing and disimmortalizing multipotent neural crest stem cells)</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6,033,906 (Differentiating mammalian neural stem cells to glial cells using neuregulins).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rely upon trade secret protection for our confidential and proprietary information and take active measures to control access to that information. For instance, 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it believes may be important to the development of its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We do, however,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possess significant products approved or in development that could be competitive with our potential products.</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addition, we may face competition from companies that filed patent applications relating to the use of genetically modified cells to treat disease, disorder or injury. We may be required to seek licenses from these competitors in order to commercialize certain of our proposed products.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0" w:right="1440" w:bottom="1440" w:gutter="0" w:footer="0" w:header="0"/>
        </w:sectPr>
      </w:pPr>
    </w:p>
    <w:bookmarkStart w:id="38" w:name="page39"/>
    <w:bookmarkEnd w:id="38"/>
    <w:p>
      <w:pPr>
        <w:ind w:left="9" w:right="3119" w:firstLine="355"/>
        <w:spacing w:after="0"/>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Our research and development activities are subject to regulation by numerous governmental authorities in the United States and other countries. The future manufacturing and marketing of our potential products will be likewise regulated.</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and the Public Health Service Act, as well as other Federal and state statutes and regulations, govern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APPROVAL</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3" w:lineRule="exact"/>
        <w:rPr>
          <w:sz w:val="20"/>
          <w:szCs w:val="20"/>
          <w:color w:val="auto"/>
        </w:rPr>
      </w:pPr>
    </w:p>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460" w:right="1440" w:bottom="1440" w:gutter="0" w:footer="0" w:header="0"/>
        </w:sectPr>
      </w:pPr>
    </w:p>
    <w:p>
      <w:pPr>
        <w:spacing w:after="0" w:line="174" w:lineRule="exact"/>
        <w:rPr>
          <w:sz w:val="20"/>
          <w:szCs w:val="20"/>
          <w:color w:val="auto"/>
        </w:rPr>
      </w:pPr>
    </w:p>
    <w:p>
      <w:pPr>
        <w:ind w:left="9" w:hanging="9"/>
        <w:spacing w:after="0" w:line="238" w:lineRule="auto"/>
        <w:tabs>
          <w:tab w:leader="none" w:pos="2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laboratory and animal tests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75" w:lineRule="exact"/>
        <w:rPr>
          <w:sz w:val="20"/>
          <w:szCs w:val="20"/>
          <w:color w:val="auto"/>
        </w:rPr>
      </w:pPr>
    </w:p>
    <w:p>
      <w:pPr>
        <w:sectPr>
          <w:pgSz w:w="11900" w:h="16838" w:orient="portrait"/>
          <w:cols w:equalWidth="0" w:num="2">
            <w:col w:w="3189" w:space="620"/>
            <w:col w:w="6419"/>
          </w:cols>
          <w:pgMar w:left="231" w:top="460" w:right="1440" w:bottom="1440" w:gutter="0" w:footer="0" w:header="0"/>
          <w:type w:val="continuous"/>
        </w:sectPr>
      </w:pPr>
    </w:p>
    <w:p>
      <w:pPr>
        <w:ind w:left="9" w:hanging="9"/>
        <w:spacing w:after="0"/>
        <w:tabs>
          <w:tab w:leader="none" w:pos="2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 for an Investigational New Drug Exemption, or IND, which must become effective before human clinical trials in the U.S. may commence</w:t>
      </w:r>
    </w:p>
    <w:p>
      <w:pPr>
        <w:spacing w:after="0" w:line="20" w:lineRule="exact"/>
        <w:rPr>
          <w:sz w:val="20"/>
          <w:szCs w:val="20"/>
          <w:color w:val="auto"/>
        </w:rPr>
      </w:pPr>
      <w:r>
        <w:rPr>
          <w:sz w:val="20"/>
          <w:szCs w:val="20"/>
          <w:color w:val="auto"/>
        </w:rPr>
        <w:br w:type="column"/>
      </w:r>
    </w:p>
    <w:p>
      <w:pPr>
        <w:ind w:right="1979"/>
        <w:spacing w:after="0" w:line="261" w:lineRule="auto"/>
        <w:rPr>
          <w:sz w:val="20"/>
          <w:szCs w:val="20"/>
          <w:color w:val="auto"/>
        </w:rPr>
      </w:pPr>
      <w:r>
        <w:rPr>
          <w:rFonts w:ascii="Courier New" w:cs="Courier New" w:eastAsia="Courier New" w:hAnsi="Courier New"/>
          <w:sz w:val="14"/>
          <w:szCs w:val="14"/>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629" w:space="180"/>
            <w:col w:w="6419"/>
          </w:cols>
          <w:pgMar w:left="231" w:top="460" w:right="1440" w:bottom="1440" w:gutter="0" w:footer="0" w:header="0"/>
          <w:type w:val="continuous"/>
        </w:sectPr>
      </w:pPr>
    </w:p>
    <w:p>
      <w:pPr>
        <w:spacing w:after="0" w:line="132"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28"/>
          </w:cols>
          <w:pgMar w:left="231" w:top="460" w:right="1440" w:bottom="1440" w:gutter="0" w:footer="0" w:header="0"/>
          <w:type w:val="continuous"/>
        </w:sectPr>
      </w:pPr>
    </w:p>
    <w:bookmarkStart w:id="39" w:name="page40"/>
    <w:bookmarkEnd w:id="39"/>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969"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9" w:hanging="9"/>
        <w:spacing w:after="0" w:line="239" w:lineRule="auto"/>
        <w:tabs>
          <w:tab w:leader="none" w:pos="27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 w:right="180" w:hanging="9"/>
        <w:spacing w:after="0" w:line="238" w:lineRule="auto"/>
        <w:tabs>
          <w:tab w:leader="none" w:pos="2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in a small number of patients under the supervision of a qualified physician. Clinical trials are conducted in accordance with protocols that detail the objectives of the study, steps to monitor safety and the efficacy criteria to be evaluated. Any product administered in a U.S. clinical trial must be manufactured in accordance with clinical Good Manufacturing Practices, or cGMP, which the FDA determines. Each protocol is submitted to the FDA as part of the IND. An independent Institutional Review Board, or IRB, at the institution at which the study is conducted must approve the protocol for each clinical study and obtain the informed consent of all participants. The IRB will consider, among other things, the existing information on the product, ethical factors, the safety of human subjects, the potential benefits of the therapy and the possible liability of the institution.</w:t>
      </w:r>
    </w:p>
    <w:p>
      <w:pPr>
        <w:spacing w:after="0" w:line="186" w:lineRule="exact"/>
        <w:rPr>
          <w:sz w:val="20"/>
          <w:szCs w:val="20"/>
          <w:color w:val="auto"/>
        </w:rPr>
      </w:pPr>
    </w:p>
    <w:p>
      <w:pPr>
        <w:ind w:right="1979"/>
        <w:spacing w:after="0" w:line="238"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5" w:lineRule="exact"/>
        <w:rPr>
          <w:sz w:val="20"/>
          <w:szCs w:val="20"/>
          <w:color w:val="auto"/>
        </w:rPr>
      </w:pPr>
    </w:p>
    <w:p>
      <w:pPr>
        <w:ind w:left="800" w:right="2059" w:hanging="260"/>
        <w:spacing w:after="0" w:line="261"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subjects to test for adverse reactions, dosage tolerance, absorption and distribution, metabolism, excretion and clinical pharmacology.</w:t>
      </w:r>
    </w:p>
    <w:p>
      <w:pPr>
        <w:spacing w:after="0" w:line="161" w:lineRule="exact"/>
        <w:rPr>
          <w:rFonts w:ascii="Courier New" w:cs="Courier New" w:eastAsia="Courier New" w:hAnsi="Courier New"/>
          <w:sz w:val="14"/>
          <w:szCs w:val="14"/>
          <w:color w:val="auto"/>
        </w:rPr>
      </w:pPr>
    </w:p>
    <w:p>
      <w:pPr>
        <w:ind w:left="800" w:right="2059" w:hanging="260"/>
        <w:spacing w:after="0" w:line="259"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studies a limited patient population to (i) determine the efficacy of the product for specific targeted indications and populations, (ii) determine optimal dosage and dosage tolerance and (iii) identify possible adverse effects and safety risks. When a dose is chosen and a candidate product proves to be effective and safe in Phase II evaluations, Phase III trials begin.</w:t>
      </w:r>
    </w:p>
    <w:p>
      <w:pPr>
        <w:spacing w:after="0" w:line="165" w:lineRule="exact"/>
        <w:rPr>
          <w:rFonts w:ascii="Courier New" w:cs="Courier New" w:eastAsia="Courier New" w:hAnsi="Courier New"/>
          <w:sz w:val="14"/>
          <w:szCs w:val="14"/>
          <w:color w:val="auto"/>
        </w:rPr>
      </w:pPr>
    </w:p>
    <w:p>
      <w:pPr>
        <w:ind w:left="800" w:right="2239" w:hanging="260"/>
        <w:spacing w:after="0" w:line="261"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 and test further for safety within an expanded patient population, generally at multiple study sites.</w:t>
      </w:r>
    </w:p>
    <w:p>
      <w:pPr>
        <w:spacing w:after="0" w:line="162" w:lineRule="exact"/>
        <w:rPr>
          <w:sz w:val="20"/>
          <w:szCs w:val="20"/>
          <w:color w:val="auto"/>
        </w:rPr>
      </w:pPr>
    </w:p>
    <w:p>
      <w:pPr>
        <w:ind w:right="2059"/>
        <w:spacing w:after="0" w:line="239"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require discontinuance at any time if significant safety issues arise.</w:t>
      </w:r>
    </w:p>
    <w:p>
      <w:pPr>
        <w:spacing w:after="0" w:line="176"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5"/>
          <w:szCs w:val="15"/>
          <w:color w:val="auto"/>
        </w:rPr>
        <w:t>The results of the preclinical and clinical studies are submitted to the FDA.</w:t>
      </w:r>
    </w:p>
    <w:p>
      <w:pPr>
        <w:spacing w:after="0" w:line="200" w:lineRule="exact"/>
        <w:rPr>
          <w:sz w:val="20"/>
          <w:szCs w:val="20"/>
          <w:color w:val="auto"/>
        </w:rPr>
      </w:pPr>
    </w:p>
    <w:p>
      <w:pPr>
        <w:sectPr>
          <w:pgSz w:w="11900" w:h="16838" w:orient="portrait"/>
          <w:cols w:equalWidth="0" w:num="2">
            <w:col w:w="3469" w:space="340"/>
            <w:col w:w="6419"/>
          </w:cols>
          <w:pgMar w:left="231" w:top="969" w:right="1440" w:bottom="1440" w:gutter="0" w:footer="0" w:header="0"/>
          <w:type w:val="continuous"/>
        </w:sectPr>
      </w:pPr>
    </w:p>
    <w:p>
      <w:pPr>
        <w:spacing w:after="0" w:line="14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28"/>
          </w:cols>
          <w:pgMar w:left="231" w:top="969" w:right="1440" w:bottom="1440" w:gutter="0" w:footer="0" w:header="0"/>
          <w:type w:val="continuous"/>
        </w:sectPr>
      </w:pPr>
    </w:p>
    <w:bookmarkStart w:id="40" w:name="page41"/>
    <w:bookmarkEnd w:id="40"/>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969" w:right="1440" w:bottom="1440" w:gutter="0" w:footer="0" w:header="0"/>
        </w:sectPr>
      </w:pPr>
    </w:p>
    <w:p>
      <w:pPr>
        <w:spacing w:after="0" w:line="171" w:lineRule="exact"/>
        <w:rPr>
          <w:sz w:val="20"/>
          <w:szCs w:val="20"/>
          <w:color w:val="auto"/>
        </w:rPr>
      </w:pPr>
    </w:p>
    <w:p>
      <w:pPr>
        <w:ind w:left="269" w:hanging="269"/>
        <w:spacing w:after="0"/>
        <w:tabs>
          <w:tab w:leader="none" w:pos="2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59"/>
        <w:spacing w:after="0"/>
        <w:rPr>
          <w:sz w:val="20"/>
          <w:szCs w:val="20"/>
          <w:color w:val="auto"/>
        </w:rPr>
      </w:pPr>
      <w:r>
        <w:rPr>
          <w:rFonts w:ascii="Courier New" w:cs="Courier New" w:eastAsia="Courier New" w:hAnsi="Courier New"/>
          <w:sz w:val="15"/>
          <w:szCs w:val="15"/>
          <w:color w:val="auto"/>
        </w:rPr>
        <w:t>The testing and approval process will require substantial time, effort and expense. A number of factors, including relative risks and benefits demonstrated in clinical trials, the availability of alternative treatments and the severity of the disease affect the timing. The FDA might request additional animal studies which would also add to the time.</w:t>
      </w:r>
    </w:p>
    <w:p>
      <w:pPr>
        <w:spacing w:after="0" w:line="200" w:lineRule="exact"/>
        <w:rPr>
          <w:sz w:val="20"/>
          <w:szCs w:val="20"/>
          <w:color w:val="auto"/>
        </w:rPr>
      </w:pPr>
    </w:p>
    <w:p>
      <w:pPr>
        <w:sectPr>
          <w:pgSz w:w="11900" w:h="16838" w:orient="portrait"/>
          <w:cols w:equalWidth="0" w:num="2">
            <w:col w:w="3549" w:space="260"/>
            <w:col w:w="6419"/>
          </w:cols>
          <w:pgMar w:left="231" w:top="969" w:right="1440" w:bottom="1440" w:gutter="0" w:footer="0" w:header="0"/>
          <w:type w:val="continuous"/>
        </w:sectPr>
      </w:pPr>
    </w:p>
    <w:p>
      <w:pPr>
        <w:spacing w:after="0" w:line="14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After the FDA approves the initial indications and the manufacturing facility, it might require further clinical trials to grant approval to use the product for additional indications. The FDA may also require unusual or restrictive post-marketing testing and surveillance to monitor for adverse effects, which could involve significant expense. It may also elect to grant only conditional approvals.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MANUFACTURING REQUIREMENTS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However, what constitutes cGMP may change as the state of the art of manufacturing changes. Domestic manufacturing facilities are subject to regular FDA inspections for cGMP compliance. The FDA normally holds inspections at least every two years. The FDA, as well as foreign regulatory authorities with reciprocal inspection agreements, may periodically inspect foreign manufacturing facilities. Foreign authorities may also inspect domestic manufacturing facilities.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ORPHAN DRUG ACT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Drug manufacturers can also seek orphan drug status for treatments for diseases or conditions that affect more than 200,000 individuals in the United States if the manufacturer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receive a seven-year period of marketing exclusivity in the United States for that product. While the marketing exclusivity of an orphan drug would prevent other sponsors from obtaining approval of the same compound for the same indication, it would not prevent other types of products from being approved for the same use.</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FDA REGULATIONS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on researchers who have a financial interest in the outcome of their research. Under the proposed regulations, the FDA could apply heightened scrutiny to studies conducted by such researchers when reviewing applications to the FDA. Certain of our collaborators have stock options or other equity interests in us that could subject such collaborators and us to the proposed regulations.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it might take. Restrictions exist on the testing or use of cells, whether human or non-human.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969" w:right="1440"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OTHER REGULATIONS</w:t>
      </w:r>
    </w:p>
    <w:p>
      <w:pPr>
        <w:spacing w:after="0" w:line="174"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In addition, we are also subject to regulations under the Occupational Safety and Health Act, the Environmental Protection Act, the Toxic Substances Control Act and other foreign, Federal, state and local regulations.</w:t>
      </w:r>
    </w:p>
    <w:p>
      <w:pPr>
        <w:spacing w:after="0" w:line="159"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Outside the United States, we will be subject to regulations that govern the import of drugs, as well as foreign regulatory requirements governing human clinical trials and marketing approval. The requirements vary widely from country to country. In particular, the European Union, or EU, is revising its regulatory approach to high tech products, and representatives from the United States, Japan and the EU are in the process of harmonizing the regulations for the registration of pharmaceutical products in these three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continuing efforts of governmental and third party payers to contain or reduce the cost of health care have affected the revenues and profitability of some health-care related companies. Payers are increasingly attempting to limit both coverage and the level of reimbursement for new therapeutic products that the FDA approves. In some cases, they are refusing to provide any coverage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May 23, 2001, we had 28 full-time employees, eight of whom have Ph.D. degrees. The equivalent of 21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 We believe our relationships with our employees are good.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63" w:lineRule="exact"/>
        <w:rPr>
          <w:sz w:val="20"/>
          <w:szCs w:val="20"/>
          <w:color w:val="auto"/>
        </w:rPr>
      </w:pPr>
    </w:p>
    <w:p>
      <w:pPr>
        <w:ind w:left="520" w:right="3479" w:hanging="174"/>
        <w:spacing w:after="0" w:line="239"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7" w:right="1440" w:bottom="1440" w:gutter="0" w:footer="0" w:header="0"/>
        </w:sectPr>
      </w:pPr>
    </w:p>
    <w:bookmarkStart w:id="42" w:name="page43"/>
    <w:bookmarkEnd w:id="42"/>
    <w:p>
      <w:pPr>
        <w:ind w:left="174" w:right="3119"/>
        <w:spacing w:after="0" w:line="239" w:lineRule="auto"/>
        <w:rPr>
          <w:sz w:val="20"/>
          <w:szCs w:val="20"/>
          <w:color w:val="auto"/>
        </w:rPr>
      </w:pPr>
      <w:r>
        <w:rPr>
          <w:rFonts w:ascii="Courier New" w:cs="Courier New" w:eastAsia="Courier New" w:hAnsi="Courier New"/>
          <w:sz w:val="15"/>
          <w:szCs w:val="15"/>
          <w:color w:val="auto"/>
        </w:rPr>
        <w:t>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6" w:lineRule="exact"/>
        <w:rPr>
          <w:sz w:val="20"/>
          <w:szCs w:val="20"/>
          <w:color w:val="auto"/>
        </w:rPr>
      </w:pPr>
    </w:p>
    <w:p>
      <w:pPr>
        <w:ind w:left="174" w:right="3119" w:hanging="174"/>
        <w:spacing w:after="0" w:line="239" w:lineRule="auto"/>
        <w:tabs>
          <w:tab w:leader="none" w:pos="17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5" w:lineRule="exact"/>
        <w:rPr>
          <w:rFonts w:ascii="Courier New" w:cs="Courier New" w:eastAsia="Courier New" w:hAnsi="Courier New"/>
          <w:sz w:val="15"/>
          <w:szCs w:val="15"/>
          <w:color w:val="auto"/>
        </w:rPr>
      </w:pPr>
    </w:p>
    <w:p>
      <w:pPr>
        <w:ind w:left="174" w:right="3579" w:hanging="174"/>
        <w:spacing w:after="0" w:line="239" w:lineRule="auto"/>
        <w:tabs>
          <w:tab w:leader="none" w:pos="17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4"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873"/>
          </w:cols>
          <w:pgMar w:left="586" w:top="460" w:right="1440" w:bottom="1440" w:gutter="0" w:footer="0" w:header="0"/>
        </w:sectPr>
      </w:pPr>
    </w:p>
    <w:bookmarkStart w:id="43" w:name="page44"/>
    <w:bookmarkEnd w:id="43"/>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EXECUTIVE OFFICERS AND KEY EMPLOYEES</w:t>
      </w:r>
    </w:p>
    <w:p>
      <w:pPr>
        <w:spacing w:after="0" w:line="174"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name, age as of December 31, 2000, and position of each of our executive officers, key members of management, and directors.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AGE</w:t>
            </w:r>
          </w:p>
        </w:tc>
        <w:tc>
          <w:tcPr>
            <w:tcW w:w="396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John J. Schwartz,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67</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Martin</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M. McGlynn.........................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President and Chief Executive</w:t>
            </w:r>
          </w:p>
        </w:tc>
      </w:tr>
      <w:tr>
        <w:trPr>
          <w:trHeight w:val="171"/>
        </w:trPr>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Mark J. Levin.............................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Roger M. Perlmutter</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Irving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L. Weissman,</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Ann Tsukamoto,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Operations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Ronnda</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Bartel,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342"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J. SCHWARTZ, PH.D., was elected to the board of directors in</w:t>
      </w:r>
    </w:p>
    <w:p>
      <w:pPr>
        <w:spacing w:after="0" w:line="3" w:lineRule="exact"/>
        <w:rPr>
          <w:rFonts w:ascii="Courier New" w:cs="Courier New" w:eastAsia="Courier New" w:hAnsi="Courier New"/>
          <w:sz w:val="15"/>
          <w:szCs w:val="15"/>
          <w:color w:val="auto"/>
        </w:rPr>
      </w:pPr>
    </w:p>
    <w:p>
      <w:pPr>
        <w:ind w:left="16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66" w:lineRule="exact"/>
        <w:rPr>
          <w:rFonts w:ascii="Courier New" w:cs="Courier New" w:eastAsia="Courier New" w:hAnsi="Courier New"/>
          <w:sz w:val="15"/>
          <w:szCs w:val="15"/>
          <w:color w:val="auto"/>
        </w:rPr>
      </w:pPr>
    </w:p>
    <w:p>
      <w:pPr>
        <w:ind w:left="169" w:right="321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MARTIN M. MCGLYNN joined us on January 15, 2001 when he was appointed President and Chief Executive Officer of us and our wholly-owned subsidiary, StemCells California, Inc. From 1994 until he joined us,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78" w:lineRule="exact"/>
        <w:rPr>
          <w:rFonts w:ascii="Courier New" w:cs="Courier New" w:eastAsia="Courier New" w:hAnsi="Courier New"/>
          <w:sz w:val="15"/>
          <w:szCs w:val="15"/>
          <w:color w:val="auto"/>
        </w:rPr>
      </w:pPr>
    </w:p>
    <w:p>
      <w:pPr>
        <w:ind w:left="169" w:right="2959" w:hanging="169"/>
        <w:spacing w:after="0" w:line="238" w:lineRule="auto"/>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 J. LEVIN is a founder and has served as a director since our inception in 1988. From inception until January 1990 and from May 1990 until</w:t>
      </w:r>
    </w:p>
    <w:p>
      <w:pPr>
        <w:spacing w:after="0" w:line="4" w:lineRule="exact"/>
        <w:rPr>
          <w:rFonts w:ascii="Courier New" w:cs="Courier New" w:eastAsia="Courier New" w:hAnsi="Courier New"/>
          <w:sz w:val="15"/>
          <w:szCs w:val="15"/>
          <w:color w:val="auto"/>
        </w:rPr>
      </w:pPr>
    </w:p>
    <w:p>
      <w:pPr>
        <w:ind w:left="16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February 1991, Mr. Levin served as our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and Chief Executive Officer of Millennium Pharmaceuticals, Inc., a biotechnology company. Mr. Levin is also currently on the boards of directors of Focal, Inc. and Tularik, Inc.</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457" w:right="1440" w:bottom="1440" w:gutter="0" w:footer="0" w:header="0"/>
        </w:sectPr>
      </w:pPr>
    </w:p>
    <w:bookmarkStart w:id="44" w:name="page45"/>
    <w:bookmarkEnd w:id="44"/>
    <w:p>
      <w:pPr>
        <w:ind w:left="169" w:right="3399"/>
        <w:spacing w:after="0" w:line="239" w:lineRule="auto"/>
        <w:rPr>
          <w:sz w:val="20"/>
          <w:szCs w:val="20"/>
          <w:color w:val="auto"/>
        </w:rPr>
      </w:pPr>
      <w:r>
        <w:rPr>
          <w:rFonts w:ascii="Courier New" w:cs="Courier New" w:eastAsia="Courier New" w:hAnsi="Courier New"/>
          <w:sz w:val="15"/>
          <w:szCs w:val="15"/>
          <w:color w:val="auto"/>
        </w:rPr>
        <w:t>February 1997. Dr Perlmutter has been a member of the board of directors of The Irvington Institute for Immunological Research since 1997 and of the Institute for Systems Biology since 1999.</w:t>
      </w:r>
    </w:p>
    <w:p>
      <w:pPr>
        <w:spacing w:after="0" w:line="175" w:lineRule="exact"/>
        <w:rPr>
          <w:sz w:val="20"/>
          <w:szCs w:val="20"/>
          <w:color w:val="auto"/>
        </w:rPr>
      </w:pPr>
    </w:p>
    <w:p>
      <w:pPr>
        <w:ind w:left="169" w:right="3219" w:hanging="169"/>
        <w:spacing w:after="0" w:line="258" w:lineRule="auto"/>
        <w:tabs>
          <w:tab w:leader="none" w:pos="16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IRVING L. WEISSMAN, M.D., has served as a director since September 1997. He has been a consultant to us since September 1997 and is the Chairman of our Scientific Advisory Board. He is the Karel and Avice Beekhuis Professor of Cancer Biology, Professor of Pathology and Professor of Developmental Biology at Stanford University. Dr. Weissman is a cofounder of SyStemix, Inc., and a former Chairman of its Scientific Advisory Board. He has served on the Scientific Advisory Boards of Amgen Inc., DNAX and T-Cell Sciences, Inc.</w:t>
      </w: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Dr. Weissman is a member of the National Academy of Sciences.</w:t>
      </w:r>
    </w:p>
    <w:p>
      <w:pPr>
        <w:spacing w:after="0" w:line="174"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ANN TSUKAMOTO, PH.D., joined us in November 1997 as Senior Director, Scientific Operations, and was appointed Vice President, Scientific Operations in June 1998. From 1989 until she joined us, Dr. Tsukamoto was employed at SyStemix, Inc., where she served in various research capacities before transitioning to the position of Director of Clinical Science. At</w:t>
      </w:r>
    </w:p>
    <w:p>
      <w:pPr>
        <w:spacing w:after="0" w:line="3" w:lineRule="exact"/>
        <w:rPr>
          <w:rFonts w:ascii="Courier New" w:cs="Courier New" w:eastAsia="Courier New" w:hAnsi="Courier New"/>
          <w:sz w:val="15"/>
          <w:szCs w:val="15"/>
          <w:color w:val="auto"/>
        </w:rPr>
      </w:pPr>
    </w:p>
    <w:p>
      <w:pPr>
        <w:ind w:left="16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w:t>
      </w:r>
    </w:p>
    <w:p>
      <w:pPr>
        <w:ind w:left="16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 Tsukamoto is an inventor on six issued U.S. Patents related to the human hematopoietic stem cell. As of March 5, 2001, Dr. Tsukamoto became a member of the Board of Directors for the Society of Regenerative Medicine and Stem Cell Biology.</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RONNDA BARTEL, PH.D., joined us in July 1998, as Senior Director, Cell Development, and was appointed Vice President, Scientific Development in April 2000. From 1995 until her employment with us,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COMPOSITION</w:t>
      </w:r>
    </w:p>
    <w:p>
      <w:pPr>
        <w:spacing w:after="0" w:line="174"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Our certificate of incorporation and by-laws provide for the classification of the board of directors into three classes, as nearly equal in number as possible, with the term of office of one class expiring each year. Dr. Weissman is in the class of directors whose term expires at our annual meeting in 2002. Mr. McGlynn and Dr. Perlmutter are in the class of directors whose term expires in 2003. Mr. Levin and Dr. Schwartz are in the class of directors whose term expires in 2004. There are no family relationships between any of our directors or executive officers. Our executive officers are elected by, and serve at the discretion of, the board of directors.</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left="9" w:right="3399" w:firstLine="355"/>
        <w:spacing w:after="0" w:line="238" w:lineRule="auto"/>
        <w:rPr>
          <w:sz w:val="20"/>
          <w:szCs w:val="20"/>
          <w:color w:val="auto"/>
        </w:rPr>
      </w:pPr>
      <w:r>
        <w:rPr>
          <w:rFonts w:ascii="Courier New" w:cs="Courier New" w:eastAsia="Courier New" w:hAnsi="Courier New"/>
          <w:sz w:val="15"/>
          <w:szCs w:val="15"/>
          <w:color w:val="auto"/>
        </w:rPr>
        <w:t>We currently pay no additional remuneration to Mr. McGlynn, our president and chief executive officer, for his service as a director.</w:t>
      </w:r>
    </w:p>
    <w:p>
      <w:pPr>
        <w:spacing w:after="0" w:line="175"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One of our non-employee directors, Dr. Weissman, also serves us as a compensated consultant. See "Related Party Transactions--Compensation Paid to Dr. Weissman."</w:t>
      </w:r>
    </w:p>
    <w:p>
      <w:pPr>
        <w:spacing w:after="0" w:line="175"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We have adopted the following methodology for compensating our directors: upon election or appointment to an initial term on the board, we will grant a director an option to purchase 20,000 shares at fair market value, which option will vest ratably over 3 years. On the third anniversary date, 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each payable in options to purchase our common stock at $.25 per share.</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460"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board of directors has an audit committee and a compensation and stock option committee. The board may also establish other committees to assist in the discharge of its responsibilities.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Dr. Perlmutter and Mr. Levin make up the audit committee.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duties of the compensation and stock option committee are to make recommendations to the board and our management concerning salaries in general, determine executive compensation, and approve incentive compensation. The compensation and stock option committee is currently comprised of Mr. Levin and Dr. Schwartz.</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2000: Mr. Levin and Dr. Schwartz. In 1989, 1990 and 1991, Mr. Levin was one of our executive officers.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entered into a consulting services agreement with Dr. Schwartz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27, 1998, as amended December 19, 1998, for strategic business advice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counseling services, including assistance in the negotiation and consummation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collaboration transactions specified by us. Dr. Schwartz was elected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on December 19, 1998 and became a member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stock option committee on that date. During the 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1999, we made payments to Dr. Schwartz under the consulting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 and the letter agreement dated December 19, 1998 and amended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July 1, 1999, under which he served as a Director and Chairman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See "Related Party Transactions." Both the consulting services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letter agreement were terminated as of March 31, 2001.</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believe the terms of these agreements were no less favorable to us than could have been obtained from unaffiliated third parties.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7" w:right="1440" w:bottom="1440" w:gutter="0" w:footer="0" w:header="0"/>
        </w:sectPr>
      </w:pPr>
    </w:p>
    <w:bookmarkStart w:id="46" w:name="page47"/>
    <w:bookmarkEnd w:id="46"/>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219" w:firstLine="355"/>
        <w:spacing w:after="0" w:line="261"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Officers during the fiscal years ended December 31, 2000, 1999 and 1998 and the two other most highly compensated executive officers who served in such capacities during the fiscal year ended December 31, 2000. There were no other persons serving as executive officers at the end of such fiscal year.</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ANNUAL COMPENSATION</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28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4780" w:type="dxa"/>
            <w:vAlign w:val="bottom"/>
          </w:tcPr>
          <w:p>
            <w:pPr>
              <w:ind w:left="960"/>
              <w:spacing w:after="0"/>
              <w:rPr>
                <w:sz w:val="20"/>
                <w:szCs w:val="20"/>
                <w:color w:val="auto"/>
              </w:rPr>
            </w:pPr>
            <w:r>
              <w:rPr>
                <w:rFonts w:ascii="Courier New" w:cs="Courier New" w:eastAsia="Courier New" w:hAnsi="Courier New"/>
                <w:sz w:val="15"/>
                <w:szCs w:val="15"/>
                <w:color w:val="auto"/>
              </w:rPr>
              <w:t>NAME AND PRINCIPAL POSITION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BONUS($)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186,538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36,031</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Acting President and Chief Executive Officer(1)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48,000</w:t>
            </w: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RICHARD M. ROSE M.D.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309,632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279,974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4,667(3)</w:t>
            </w:r>
          </w:p>
        </w:tc>
      </w:tr>
      <w:tr>
        <w:trPr>
          <w:trHeight w:val="171"/>
        </w:trPr>
        <w:tc>
          <w:tcPr>
            <w:tcW w:w="478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286,553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150,000(4)</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11,330(5)</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ANN TSUKAMOTO,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159,054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4,783(6)</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Operations</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RONNDA BARTEL,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129,668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3,245(7)</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Development</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357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3579" w:hanging="349"/>
        <w:spacing w:after="0" w:line="271" w:lineRule="auto"/>
        <w:tabs>
          <w:tab w:leader="none" w:pos="3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 Plan.</w:t>
      </w:r>
    </w:p>
    <w:p>
      <w:pPr>
        <w:spacing w:after="0" w:line="153" w:lineRule="exact"/>
        <w:rPr>
          <w:rFonts w:ascii="Courier New" w:cs="Courier New" w:eastAsia="Courier New" w:hAnsi="Courier New"/>
          <w:sz w:val="14"/>
          <w:szCs w:val="14"/>
          <w:color w:val="auto"/>
        </w:rPr>
      </w:pPr>
    </w:p>
    <w:p>
      <w:pPr>
        <w:ind w:left="349" w:right="3119" w:hanging="349"/>
        <w:spacing w:after="0" w:line="238"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Tsukamoto.</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Bartel.</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GRANTS IN LAST YEAR</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grants in 2000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Dunbar, the only named executive officer to be granted options in 2000.</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457" w:right="1440" w:bottom="1440" w:gutter="0" w:footer="0" w:header="0"/>
        </w:sectPr>
      </w:pPr>
    </w:p>
    <w:bookmarkStart w:id="47" w:name="page48"/>
    <w:bookmarkEnd w:id="47"/>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9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8"/>
              </w:rPr>
              <w:t>OPTION GRANTS IN LAST YEAR</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PERCENT OF</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AT ASSUMED ANNUAL RATES OF</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STOCK PRICE APPRECIATION FOR</w:t>
            </w: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GRANTED TO</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OPTION TERM</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EXPIRATION</w:t>
            </w: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SHARES)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2000(1)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($/SHARE)(2)</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DATE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George W. Dunbar, Jr.......</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73,000(3)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1.094</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271,998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307,120</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345,580</w:t>
            </w:r>
          </w:p>
        </w:tc>
      </w:tr>
      <w:tr>
        <w:trPr>
          <w:trHeight w:val="171"/>
        </w:trPr>
        <w:tc>
          <w:tcPr>
            <w:tcW w:w="2380" w:type="dxa"/>
            <w:vAlign w:val="bottom"/>
          </w:tcPr>
          <w:p>
            <w:pPr>
              <w:spacing w:after="0"/>
              <w:rPr>
                <w:sz w:val="14"/>
                <w:szCs w:val="14"/>
                <w:color w:val="auto"/>
              </w:rPr>
            </w:pP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12,031(3)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4.156</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13,162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19,467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26,371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800" w:hanging="349"/>
        <w:spacing w:after="0" w:line="238" w:lineRule="auto"/>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granted options covering 330,031 shares of common stock to employees in the fiscal year ended December 31, 2000.</w:t>
      </w:r>
    </w:p>
    <w:p>
      <w:pPr>
        <w:spacing w:after="0" w:line="174"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options for 85,031 shares were fully vested.</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EXERCISES IN LAST YEAR AND YEAR-END OPTION VALUES</w:t>
      </w:r>
    </w:p>
    <w:p>
      <w:pPr>
        <w:spacing w:after="0" w:line="174"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2000 by the named executive officers and the value of such officers' unexercised options on December 31, 2000.</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AGGREGATED OPTION EXERCISES IN 2000 AND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OPTIONS AT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1"/>
        </w:trPr>
        <w:tc>
          <w:tcPr>
            <w:tcW w:w="238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FISCAL YEAR-END</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FISCAL YEAR-END($)(1)</w:t>
            </w:r>
          </w:p>
        </w:tc>
      </w:tr>
      <w:tr>
        <w:trPr>
          <w:trHeight w:val="171"/>
        </w:trPr>
        <w:tc>
          <w:tcPr>
            <w:tcW w:w="23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865,328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42,000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209,160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24,031</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11,248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78,082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33,168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29,638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35,161</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33,230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43,058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20" w:hanging="349"/>
        <w:spacing w:after="0"/>
        <w:tabs>
          <w:tab w:leader="none" w:pos="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is based on the difference between the aggregate option exercise price and the fair market value as of December 31, 2000. The fair market value of the common stock is based on the closing price of the our common stock on December 29, 2000 (the last trading day of 2000) on the Nasdaq National Market, which was $2.50.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CONTRACTS, TERMINATION OF EMPLOYMENT AND CHANGE OF CONTROL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ARRANGEMENTS</w:t>
      </w:r>
    </w:p>
    <w:p>
      <w:pPr>
        <w:spacing w:after="0" w:line="174"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us without cause or by</w:t>
      </w: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729"/>
          </w:cols>
          <w:pgMar w:left="231" w:top="457" w:right="939" w:bottom="1440" w:gutter="0" w:footer="0" w:header="0"/>
        </w:sectPr>
      </w:pPr>
    </w:p>
    <w:bookmarkStart w:id="48" w:name="page49"/>
    <w:bookmarkEnd w:id="48"/>
    <w:p>
      <w:pPr>
        <w:ind w:right="3219"/>
        <w:spacing w:after="0" w:line="260" w:lineRule="auto"/>
        <w:rPr>
          <w:sz w:val="20"/>
          <w:szCs w:val="20"/>
          <w:color w:val="auto"/>
        </w:rPr>
      </w:pPr>
      <w:r>
        <w:rPr>
          <w:rFonts w:ascii="Courier New" w:cs="Courier New" w:eastAsia="Courier New" w:hAnsi="Courier New"/>
          <w:sz w:val="14"/>
          <w:szCs w:val="14"/>
          <w:color w:val="auto"/>
        </w:rPr>
        <w:t>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without good reason, he will not be entitled to any severance or other benefits.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 AND RELATED TRANSACTIONS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April 2001, our board of directors adopted the 2001 Equity Incentive Plan, subject to stockholder approval, which was obtained at our annual meeting on May 31, 2001.</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purpose of the Plan is to advance our interests by enhancing our ability to attract and retain executive officers, employees, directors and other persons or entities providing services to us who are in a position to make significant contributions to our success, and to reward participants for such contributions, through ownership of shares of our common stock. The Plan is intended to accomplish these goals by enabling us to grant awards in the form of options, stock appreciation rights, restricted stock, unrestricted stock or deferred stock, or performance awards, loans or supplemental grants or combinations thereof, all as more fully described below. The Plan is the successor to both our 1992 Equity Incentive Plan and our 1992 Stock Option Plan for Non-Employee Directors. No awards may be made under either of the 1992 plans after February 12, 2002.</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is administered by our board of directors. Under the Plan, the board may grant stock options, stock appreciation rights, restricted stock, unrestricted stock, deferred stock, and performance awards (in cash or stock), or combinations thereof, and may waive the terms and conditions of any award. A total of 3,000,000 shares of common stock may be issued under the Plan. Employees, including executive officers, directors and other persons or entities providing services to us or its subsidiaries who are in a position to make a significant contribution to our success are eligible to receive awards under the Plan.</w:t>
      </w:r>
    </w:p>
    <w:p>
      <w:pPr>
        <w:spacing w:after="0" w:line="177"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Subject to certain additional limitations, the board may also permit the exercise price to be paid by tendering shares of stock, by delivery of a promissory note, by delivery to us of an undertaking by a broker to deliver promptly sufficient funds to pay the exercise price, or a combination of the foregoing.</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appreciation rights ("SARs") may be granted either alone or in tandem with stock option grants. Each SAR entitles the holder on exercise to receive an amount in cash or stock or a combination thereof (such form to be determined by the board)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awards of nontransferable shares of restricted stock subject to forfeiture, as well as unrestricted shares of stock. Shares of restricted stock may not be sold, transferred, pledged, assigned, or otherwise alienated or hypothecated until the end of the applicable period and the satisfaction of any other conditions or restrictions established by the board. Except as the Plan otherwise specifically provides, if a participant ceases to be an employee or ceases to continue the consulting or other similar relationship engaged in by such participant with us for any reason other than death during the restricted period, then the restricted stock must be offered to us for purchase for the amount of cash paid for the restricted stock, or forfeited to us if no cash was paid. The Plan also</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0" w:right="1440" w:bottom="1440" w:gutter="0" w:footer="0" w:header="0"/>
        </w:sectPr>
      </w:pPr>
    </w:p>
    <w:bookmarkStart w:id="49" w:name="page50"/>
    <w:bookmarkEnd w:id="49"/>
    <w:p>
      <w:pPr>
        <w:ind w:right="3219"/>
        <w:spacing w:after="0" w:line="271" w:lineRule="auto"/>
        <w:rPr>
          <w:sz w:val="20"/>
          <w:szCs w:val="20"/>
          <w:color w:val="auto"/>
        </w:rPr>
      </w:pPr>
      <w:r>
        <w:rPr>
          <w:rFonts w:ascii="Courier New" w:cs="Courier New" w:eastAsia="Courier New" w:hAnsi="Courier New"/>
          <w:sz w:val="14"/>
          <w:szCs w:val="14"/>
          <w:color w:val="auto"/>
        </w:rPr>
        <w:t>provides for deferred grants entitling the recipient to receive shares of stock in the future at such times and on such conditions as the board may specify.</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the board will in writing pre-establish specific performance goals that are based upon any one or more operational, result or event-specific goals.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us sufficient to justify immediate termination of the award, then such award will immediately terminate.</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case of certain mergers, consolidations or other transactions in which we are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may amend the Plan or any outstanding award at any time, provided that no such amendment will, without the approval of our stockholders,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future benefits or amounts that would be received under the Plan by the executive officers and the non-executive officer employees are discretionary and are therefore not determinable at this time.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2001 Equity Incentive Plan became effective as of May 31, 2001.</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0" w:right="1440" w:bottom="1440" w:gutter="0" w:footer="0" w:header="0"/>
        </w:sectPr>
      </w:pPr>
    </w:p>
    <w:bookmarkStart w:id="50" w:name="page51"/>
    <w:bookmarkEnd w:id="50"/>
    <w:p>
      <w:pPr>
        <w:ind w:left="2380"/>
        <w:spacing w:after="0"/>
        <w:rPr>
          <w:sz w:val="20"/>
          <w:szCs w:val="20"/>
          <w:color w:val="auto"/>
        </w:rPr>
      </w:pPr>
      <w:r>
        <w:rPr>
          <w:rFonts w:ascii="Courier New" w:cs="Courier New" w:eastAsia="Courier New" w:hAnsi="Courier New"/>
          <w:sz w:val="15"/>
          <w:szCs w:val="15"/>
          <w:color w:val="auto"/>
        </w:rPr>
        <w:t>RELATED PARTY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SCHWARTZ</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under a consulting services agreement to serve as a consultant to us rendering strategic business advice and counseling services, including assistance in the negotiation and consummation of strategic collaboration transactions specified by us. The consulting services agreement provided for compensation to Dr. Schwartz in the amount of $50,000 in cash for services rendered during the period of September 27, 1997 through July 26, 1998, plus a fully vested option to purchase 20,000 shares of our common stock at $1.281, the fair market value of our common stock at the time of the grant. For services rendered during the term of the consulting services agreement, Dr. Schwartz was entitled to total cash compensation of $120,000, an option to purchase 76,000 shares of our common stock with an exercise price equal to the closing bid price for the shares on July 27, 1998, and an option to purchase 48,000 shares of our common stock at the then current fair market value of our common stock on</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July 27, 1999, vesting at a rate of 2,000 shares per month. In addition, the consulting services agreement provided that in the event that, at a time when Dr. Schwartz was not a member of the board of directors but the consulting services agreement was still in effect, Dr. Schwartz materially participated in the negotiation and consummation of a strategic collaboration transaction specified by us, he would have been be entitled to receive additional compensation equal to 3% of the transaction consideration, payable half in cash and half in the form of an option or warrant to purchase shares of our common stock at $.20 per share, the number of shares being calculated based on the fair market value of our common stock ten days prior to the first public announcement of the consummation of, the execution of a letter of intent for, or the existence of discussions concerning the collaboration transaction. There have been no such strategic collaboration transactions that would have given rise to additional compensation.</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December 19, 1998, Dr. Schwartz became a member of the board of directors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The time requirement for his position was set at thirty business days per quarter. Dr. Schwartz canceled both the letter agreement and the consulting services agreement as of March 31, 2001. He currently continues to serve in his position as Chairman and member of the board of directors under the terms of the compensation policy recently approved by the directors. See "Management--Director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WEISSMAN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or in the event of certain changes of control. We recorded compensation expense of $823,759 during the fourth quarter of 2000 as a result of this change in the vested portion of the option. The deferred compensation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expense associated with the unvested portion of the grants was recorded as</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$669,116. We plan to revalue the options using the Black-Scholes method on a quarterly basis and recognize additional compensation expense accordingly. We also agreed in September 1997 to nominate Dr. Weissman for a position on the board of directors. Dr. Weissman's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October 2000, we agreed with</w:t>
      </w:r>
    </w:p>
    <w:p>
      <w:pPr>
        <w:spacing w:after="0" w:line="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Dr. Weissman that we would pay him the same compensation paid to other members of the board. See "Management--Director Compensation."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ISSUED TO DR. WEISSMAN AND MR. LEVIN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April 2000, we sold 750 shares of our 6% cumulative convertible preferred stock plus a warrant to purchase 37,500 shares of our common stock at $6.58 per share to each of Dr. Weissman and Mr. Levin, each a director,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7" w:right="1440" w:bottom="1440" w:gutter="0" w:footer="0" w:header="0"/>
        </w:sectPr>
      </w:pPr>
    </w:p>
    <w:bookmarkStart w:id="52" w:name="page53"/>
    <w:bookmarkEnd w:id="52"/>
    <w:p>
      <w:pPr>
        <w:ind w:left="2569"/>
        <w:spacing w:after="0"/>
        <w:rPr>
          <w:sz w:val="20"/>
          <w:szCs w:val="20"/>
          <w:color w:val="auto"/>
        </w:rPr>
      </w:pPr>
      <w:r>
        <w:rPr>
          <w:rFonts w:ascii="Courier New" w:cs="Courier New" w:eastAsia="Courier New" w:hAnsi="Courier New"/>
          <w:sz w:val="14"/>
          <w:szCs w:val="14"/>
          <w:color w:val="auto"/>
        </w:rPr>
        <w:t>PRINCIPAL STOCKHOLDERS</w:t>
      </w:r>
    </w:p>
    <w:p>
      <w:pPr>
        <w:sectPr>
          <w:pgSz w:w="11900" w:h="16838" w:orient="portrait"/>
          <w:cols w:equalWidth="0" w:num="1">
            <w:col w:w="10228"/>
          </w:cols>
          <w:pgMar w:left="231" w:top="460" w:right="1440" w:bottom="1440" w:gutter="0" w:footer="0" w:header="0"/>
        </w:sectPr>
      </w:pPr>
    </w:p>
    <w:p>
      <w:pPr>
        <w:spacing w:after="0" w:line="183" w:lineRule="exact"/>
        <w:rPr>
          <w:sz w:val="20"/>
          <w:szCs w:val="20"/>
          <w:color w:val="auto"/>
        </w:rPr>
      </w:pPr>
    </w:p>
    <w:p>
      <w:pPr>
        <w:ind w:left="9" w:right="1160" w:firstLine="355"/>
        <w:spacing w:after="0" w:line="238" w:lineRule="auto"/>
        <w:rPr>
          <w:sz w:val="20"/>
          <w:szCs w:val="20"/>
          <w:color w:val="auto"/>
        </w:rPr>
      </w:pPr>
      <w:r>
        <w:rPr>
          <w:rFonts w:ascii="Courier New" w:cs="Courier New" w:eastAsia="Courier New" w:hAnsi="Courier New"/>
          <w:sz w:val="15"/>
          <w:szCs w:val="15"/>
          <w:color w:val="auto"/>
        </w:rPr>
        <w:t>The following table shows information regarding the beneficial ownership of our capital stock as of April 30, 2001 for:</w:t>
      </w:r>
    </w:p>
    <w:p>
      <w:pPr>
        <w:spacing w:after="0" w:line="175" w:lineRule="exact"/>
        <w:rPr>
          <w:sz w:val="20"/>
          <w:szCs w:val="20"/>
          <w:color w:val="auto"/>
        </w:rPr>
      </w:pPr>
    </w:p>
    <w:p>
      <w:pPr>
        <w:ind w:left="529" w:right="1060" w:hanging="174"/>
        <w:spacing w:after="0" w:line="239" w:lineRule="auto"/>
        <w:tabs>
          <w:tab w:leader="none" w:pos="5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 and 6% cumulative convertible preferred stock;</w:t>
      </w:r>
    </w:p>
    <w:p>
      <w:pPr>
        <w:spacing w:after="0" w:line="172"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1"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left="9" w:right="1420" w:firstLine="355"/>
        <w:spacing w:after="0" w:line="238" w:lineRule="auto"/>
        <w:rPr>
          <w:sz w:val="20"/>
          <w:szCs w:val="20"/>
          <w:color w:val="auto"/>
        </w:rPr>
      </w:pPr>
      <w:r>
        <w:rPr>
          <w:rFonts w:ascii="Courier New" w:cs="Courier New" w:eastAsia="Courier New" w:hAnsi="Courier New"/>
          <w:sz w:val="15"/>
          <w:szCs w:val="15"/>
          <w:color w:val="auto"/>
        </w:rPr>
        <w:t>The address for each listed director and officer is c/o StemCells, Inc., 3155 Porter Drive, Palo Alto, CA 94304.</w:t>
      </w:r>
    </w:p>
    <w:p>
      <w:pPr>
        <w:spacing w:after="0" w:line="175" w:lineRule="exact"/>
        <w:rPr>
          <w:sz w:val="20"/>
          <w:szCs w:val="20"/>
          <w:color w:val="auto"/>
        </w:rPr>
      </w:pPr>
    </w:p>
    <w:p>
      <w:pPr>
        <w:ind w:left="9" w:right="1060" w:firstLine="355"/>
        <w:spacing w:after="0"/>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capital stock subject to options or warrants held by that person that are currently exercisable or will become exercisable within 60 days of April 30, 2001,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and 6% cumulative convertible preferred stock shown as beneficially owned by that stockholder. Except as stated below in note 7, beneficial ownership percentage is based on 21,458,211 shares of our common stock and 1,500 shares of our 6% cumulative convertible preferred stock outstanding on March 31, 2001.</w:t>
      </w:r>
    </w:p>
    <w:p>
      <w:pPr>
        <w:spacing w:after="0" w:line="200" w:lineRule="exact"/>
        <w:rPr>
          <w:sz w:val="20"/>
          <w:szCs w:val="20"/>
          <w:color w:val="auto"/>
        </w:rPr>
      </w:pPr>
    </w:p>
    <w:p>
      <w:pPr>
        <w:spacing w:after="0" w:line="32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PERCENTAGE</w:t>
            </w:r>
          </w:p>
        </w:tc>
        <w:tc>
          <w:tcPr>
            <w:tcW w:w="182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8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SHARES OF</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OF CLASS OF</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2600" w:type="dxa"/>
            <w:vAlign w:val="bottom"/>
          </w:tcPr>
          <w:p>
            <w:pPr>
              <w:spacing w:after="0"/>
              <w:rPr>
                <w:sz w:val="14"/>
                <w:szCs w:val="14"/>
                <w:color w:val="auto"/>
              </w:rPr>
            </w:pPr>
          </w:p>
        </w:tc>
        <w:tc>
          <w:tcPr>
            <w:tcW w:w="18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COMMON STOCK</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PREFERRED STOCK</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OF BENEFICIAL OWNER(1)</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 OWNED</w:t>
            </w: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BENEFICIALLY OWNED</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BENEFICIALLY OWNED</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190,300(2)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1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Roger Perlmutter, M.D.,</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3,519(3)</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194,917(4)</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133,685(5)</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(7</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653,749(6)</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2,878,862(7)</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74" w:lineRule="exact"/>
        <w:rPr>
          <w:sz w:val="20"/>
          <w:szCs w:val="20"/>
          <w:color w:val="auto"/>
        </w:rPr>
      </w:pPr>
    </w:p>
    <w:p>
      <w:pPr>
        <w:ind w:left="349" w:right="1240"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Millenium Partners, LP, is c/o the Company, 3155 Porter Drive, Palo Alto, California 94304. The address of Millenium Partners, LP is 551 Fifth Avenue, New York, New York 10176.</w:t>
      </w:r>
    </w:p>
    <w:p>
      <w:pPr>
        <w:spacing w:after="0" w:line="175" w:lineRule="exact"/>
        <w:rPr>
          <w:rFonts w:ascii="Courier New" w:cs="Courier New" w:eastAsia="Courier New" w:hAnsi="Courier New"/>
          <w:sz w:val="15"/>
          <w:szCs w:val="15"/>
          <w:color w:val="auto"/>
        </w:rPr>
      </w:pPr>
    </w:p>
    <w:p>
      <w:pPr>
        <w:ind w:left="349" w:right="1600"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41,296 shares of common stock issuable upon exercise of stock options and a warrant to purchase 37,500 shares.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issuable upon exercise of stock options.</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194,917 shares issuable upon exercise of stock options.</w:t>
      </w:r>
    </w:p>
    <w:p>
      <w:pPr>
        <w:spacing w:after="0" w:line="174" w:lineRule="exact"/>
        <w:rPr>
          <w:rFonts w:ascii="Courier New" w:cs="Courier New" w:eastAsia="Courier New" w:hAnsi="Courier New"/>
          <w:sz w:val="15"/>
          <w:szCs w:val="15"/>
          <w:color w:val="auto"/>
        </w:rPr>
      </w:pPr>
    </w:p>
    <w:p>
      <w:pPr>
        <w:ind w:left="349" w:right="1240"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38,234 shares issuable upon exercise of stock options and 44,660 shares issuable upon exercise of warrants. Includes 50,791 shares owned by trusts for the benefit of Dr. Weissman's children as to which he disclaims beneficial ownership.</w:t>
      </w:r>
    </w:p>
    <w:p>
      <w:pPr>
        <w:spacing w:after="0" w:line="176" w:lineRule="exact"/>
        <w:rPr>
          <w:rFonts w:ascii="Courier New" w:cs="Courier New" w:eastAsia="Courier New" w:hAnsi="Courier New"/>
          <w:sz w:val="15"/>
          <w:szCs w:val="15"/>
          <w:color w:val="auto"/>
        </w:rPr>
      </w:pPr>
    </w:p>
    <w:p>
      <w:pPr>
        <w:ind w:left="349" w:right="1060"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387,780 shares and warrants to purchase 185,129 shares.</w:t>
      </w:r>
    </w:p>
    <w:p>
      <w:pPr>
        <w:spacing w:after="0" w:line="174" w:lineRule="exact"/>
        <w:rPr>
          <w:rFonts w:ascii="Courier New" w:cs="Courier New" w:eastAsia="Courier New" w:hAnsi="Courier New"/>
          <w:sz w:val="15"/>
          <w:szCs w:val="15"/>
          <w:color w:val="auto"/>
        </w:rPr>
      </w:pPr>
    </w:p>
    <w:p>
      <w:pPr>
        <w:ind w:left="349" w:right="1160"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794,308 shares issuable upon the exercise of warrants. Also includes 457,750 shares issued on June 21, 2001 upon exercise of an option granted on August 3, 2000 to purchase up to $2 million of our common stock. These shares were deemed outstanding only for purposes of calculating the percentage of beneficial ownership of Millennium and not for any other stockholder, for whom the percentage of beneficial ownership was based on shares outstanding as of March 31, 2001. Information on Millennium's beneficial ownership is based on a Schedule 13G filed by Millennium on February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CLASS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34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w:t>
      </w:r>
    </w:p>
    <w:p>
      <w:pPr>
        <w:spacing w:after="0" w:line="5976" w:lineRule="exact"/>
        <w:rPr>
          <w:sz w:val="20"/>
          <w:szCs w:val="20"/>
          <w:color w:val="auto"/>
        </w:rPr>
      </w:pPr>
    </w:p>
    <w:p>
      <w:pPr>
        <w:sectPr>
          <w:pgSz w:w="11900" w:h="16838" w:orient="portrait"/>
          <w:cols w:equalWidth="0" w:num="2">
            <w:col w:w="8169" w:space="80"/>
            <w:col w:w="1979"/>
          </w:cols>
          <w:pgMar w:left="231" w:top="460" w:right="1440" w:bottom="1440" w:gutter="0" w:footer="0" w:header="0"/>
          <w:type w:val="continuous"/>
        </w:sectPr>
      </w:pPr>
    </w:p>
    <w:p>
      <w:pPr>
        <w:ind w:left="3469"/>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28"/>
          </w:cols>
          <w:pgMar w:left="231" w:top="460" w:right="1440" w:bottom="1440" w:gutter="0" w:footer="0" w:header="0"/>
          <w:type w:val="continuous"/>
        </w:sectPr>
      </w:pPr>
    </w:p>
    <w:bookmarkStart w:id="53" w:name="page54"/>
    <w:bookmarkEnd w:id="53"/>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31, 2001, the total amount of our authorized capital stock consisted of 45,000,000 shares of common stock, $.01 par value per share, and 1,000,000 shares of authorized preferred stock, $.01 par value per share, 2,626 of which has been designated as 6% cumulative preferred stock, to be issued from time to time in one or more series, with such designations, powers, preferences, rights, qualifications, limitations and restrictions as our board of directors may determine. As of March 31, 2001, we had outstanding 21,458,211 shares of common stock and 1,500 shares of 6% cumulative convertible preferred stock.</w:t>
      </w:r>
    </w:p>
    <w:p>
      <w:pPr>
        <w:spacing w:after="0" w:line="161"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31, 2001, we had 287 stockholders of record with respect to our common stock, and we had outstanding options and warrants to purchase 3,461,105 shares of our common stock, of which 871,386 were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our restated certificate of incorporation or by the resolution(s) of the board of directors providing for the issuance of such series.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7" w:right="1440" w:bottom="1440" w:gutter="0" w:footer="0" w:header="0"/>
        </w:sectPr>
      </w:pPr>
    </w:p>
    <w:bookmarkStart w:id="54" w:name="page55"/>
    <w:bookmarkEnd w:id="54"/>
    <w:p>
      <w:pPr>
        <w:ind w:right="3119"/>
        <w:spacing w:after="0"/>
        <w:rPr>
          <w:sz w:val="20"/>
          <w:szCs w:val="20"/>
          <w:color w:val="auto"/>
        </w:rPr>
      </w:pPr>
      <w:r>
        <w:rPr>
          <w:rFonts w:ascii="Courier New" w:cs="Courier New" w:eastAsia="Courier New" w:hAnsi="Courier New"/>
          <w:sz w:val="15"/>
          <w:szCs w:val="15"/>
          <w:color w:val="auto"/>
        </w:rPr>
        <w:t>priority over payment of any dividend on common stock or any other class or series of equity security 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a registration rights agreement, dated April 13, 2000, by and between us and Irving Weissman and Mark Levin. The 6% cumulative convertible preferred stock was issued pursuant to a securities purchase agreement, dated April 13, 2000, by and between us and Irving Weissman and Mark Levin.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Our warrants were issued at various times since April 13, 2000 to eight different parties as described below.</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each a director, a warrant in connection with a Securities Purchase Agreement dated as of 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We may, at any time during the term of the warrant, reduce the exercise price to any amount for any period of time deemed appropriate by our board of directors. See "Related Party Transactions--Preferred Stock Issued to Dr. Weissman and Mr. Levin."</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On January 27, 2001, Millennium's August 3, 2000 adjustable warrant became exercisable for</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0" w:right="1440" w:bottom="1440" w:gutter="0" w:footer="0" w:header="0"/>
        </w:sectPr>
      </w:pPr>
    </w:p>
    <w:bookmarkStart w:id="55" w:name="page56"/>
    <w:bookmarkEnd w:id="55"/>
    <w:p>
      <w:pPr>
        <w:ind w:right="3119"/>
        <w:spacing w:after="0"/>
        <w:rPr>
          <w:sz w:val="20"/>
          <w:szCs w:val="20"/>
          <w:color w:val="auto"/>
        </w:rPr>
      </w:pPr>
      <w:r>
        <w:rPr>
          <w:rFonts w:ascii="Courier New" w:cs="Courier New" w:eastAsia="Courier New" w:hAnsi="Courier New"/>
          <w:sz w:val="15"/>
          <w:szCs w:val="15"/>
          <w:color w:val="auto"/>
        </w:rPr>
        <w:t>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 On June 21, 2001, Millennium received an additional adjustable warrant similar to the adjustable warrant issued to Millennium on August 3, 2000. It is not currently exercisable for shares of our common stock but may be adjusted in the future to permit purchases of our common stock at $0.01 per share.</w:t>
      </w:r>
    </w:p>
    <w:p>
      <w:pPr>
        <w:spacing w:after="0" w:line="17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Millennium also received a warrant on August 3, 2000 to purchase up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101,587 shares of common stock at $4.725 per share, which is callable by us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$7.875 per underlying share. On August 30, 2000 we issued an additional warrant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up to 19,900 shares of common stock at $6.03 per share which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callable by us at $10.05 per underlying share. On June 21, 2001, Millennium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 additional warrant to purchase 50,352 shares of our common stock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price per share of $4.7664. This warrant is callable by us at any time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$7.944 per underlying share. Each callable warrant is exercisable, in whole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part, at any time on or after the issuance date and on or prior to the fifth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anniversary of the issuance date. The exercise price and 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subject to adjustment for subdivisions, combinations, stock 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reorganizations and various other issuances.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May 10, 2001, in connection with our execution of a common stock purchase agreement with Sativum Investments Limited, we issued three three-year warrants to purchase an aggregate of 350,000 shares of our common stock at $2.38 per share to Sativum (250,000 shares), Pacific Crest Securities Inc. (75,000 shares) and Granite Financial Group, Inc. (25,000 shares). The shares underlying these warrants are being registered for sale by the registration statement of which this prospectus forms a part. The exercise price and number of shares are subject to adjustment for subdivisions, combinations, stock dividends and reorganizations.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5" w:lineRule="exact"/>
        <w:rPr>
          <w:sz w:val="20"/>
          <w:szCs w:val="20"/>
          <w:color w:val="auto"/>
        </w:rPr>
      </w:pPr>
    </w:p>
    <w:p>
      <w:pPr>
        <w:ind w:left="520" w:right="3399" w:hanging="174"/>
        <w:spacing w:after="0" w:line="238"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7" w:lineRule="exact"/>
        <w:rPr>
          <w:rFonts w:ascii="Courier New" w:cs="Courier New" w:eastAsia="Courier New" w:hAnsi="Courier New"/>
          <w:sz w:val="15"/>
          <w:szCs w:val="15"/>
          <w:color w:val="auto"/>
        </w:rPr>
      </w:pPr>
    </w:p>
    <w:p>
      <w:pPr>
        <w:ind w:left="520" w:right="3299" w:hanging="174"/>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 "business combination" is defined to include mergers, asset sales and other transactions resulting in financial benefit to a stockholder. In general, an "interested stockholder" is a person who,</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0" w:right="1440" w:bottom="1440" w:gutter="0" w:footer="0" w:header="0"/>
        </w:sectPr>
      </w:pPr>
    </w:p>
    <w:bookmarkStart w:id="56" w:name="page57"/>
    <w:bookmarkEnd w:id="56"/>
    <w:p>
      <w:pPr>
        <w:ind w:right="3119"/>
        <w:spacing w:after="0" w:line="239" w:lineRule="auto"/>
        <w:rPr>
          <w:sz w:val="20"/>
          <w:szCs w:val="20"/>
          <w:color w:val="auto"/>
        </w:rPr>
      </w:pPr>
      <w:r>
        <w:rPr>
          <w:rFonts w:ascii="Courier New" w:cs="Courier New" w:eastAsia="Courier New" w:hAnsi="Courier New"/>
          <w:sz w:val="15"/>
          <w:szCs w:val="15"/>
          <w:color w:val="auto"/>
        </w:rPr>
        <w:t>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PURCHASE AGREEMENT</w:t>
      </w:r>
    </w:p>
    <w:p>
      <w:pPr>
        <w:spacing w:after="0" w:line="174"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a British Virgin Islands corporation, for the future issuance and purchase of shares of our common stock. This common stock purchase agreement establishes what is sometimes termed an equity line.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general, under the equity line, Sativum has committed to provide us up to $30,000,000 as we request it over a 30-month period in return for newly issued common stock. Once every 22 trading days on the Nasdaq National Market, we may request a drawdown. The amount we can draw down at each request must be at least $100,000. The maximum amount we can actually draw down for each request is also limited to 6% of the weighted average price of our common stock for the 60 calendar days prior to the date of our request multiplied by the total trading volume of our common stock for the 60 calendar days prior to our request. We are under no obligation to issue any shares to Sativum or to request a drawdown during any period.</w:t>
      </w:r>
    </w:p>
    <w:p>
      <w:pPr>
        <w:spacing w:after="0" w:line="34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Each 20-day trading period following a drawdown request is divided into two 10 trading day settlement periods. We are entitled to receive funds and must deliver shares to Sativum on the 12th day and the 22nd day following the delivery of a drawdown notice. Our requested drawdown amount will be reduced by 1/20 for each day during the 20 trading day period that the volume-weighted average stock price falls below a threshold price set by us or for each day on which trading of our shares on Nasdaq is suspended or the registration statement of which this prospectus forms a part is suspended. We then use the formulas in the common stock purchase agreement to determine the number of shares that we will issue to Sativum in return for the actual drawdown amount. The formulas for determining the actual drawdown amounts, the number of shares that we issue to Sativum and the price per share paid by Sativum are described in detail beginning on page 54. The aggregate total of all drawdowns under the equity line cannot exceed $30,000,000.</w:t>
      </w:r>
    </w:p>
    <w:p>
      <w:pPr>
        <w:spacing w:after="0" w:line="35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price per share dollar amount that Sativum pays for our common stock for each drawdown includes a 6% discount to the average daily market price of our common stock for each day during the 20 day trading period after our drawdown request, weighted by trading volume during each such trading day. The actual drawdown amount will be reduced by a fee, equal to 3% of net proceeds, payable to the placement agent, Pacific Crest Securities, Inc., which introduced Sativum to us. Pacific Crest has agreed to contribute one-third of each of its drawdown fees to Granite Financial Group, Inc.</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required to comply with Nasdaq's issuer designation requirements. One of those requirements prevents us from issuing, pursuant to the common stock purchase agreement, more than 3,922,606 shares, or 19.9% of our outstanding common stock on May 10, 2001 minus the shares underlying the warrants, unless and until we receive the approval of our stockholders. If necessary, we will seek stockholder approval at or prior to our 2002 or 2003 annual meeting of stockholders in case we opt to issue shares of common stock pursuant to the common stock purchase agreement in excess of that amount. Additionally, the common stock purchase agreement does not permit us to draw funds if the issuance of shares of common stock to Sativum pursuant to the drawdown would exceed 9.9% of our outstanding common stock held by Sativum on the drawdown exercise date. In such cases, we will not be permitted to issue the shares otherwise issuable pursuant to the qdrawdown that exceed that amount of shares, and Sativum will not be obligated to purchase those shares. Shares sold by Sativum</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0" w:right="1440" w:bottom="1440" w:gutter="0" w:footer="0" w:header="0"/>
        </w:sectPr>
      </w:pPr>
    </w:p>
    <w:bookmarkStart w:id="57" w:name="page58"/>
    <w:bookmarkEnd w:id="57"/>
    <w:p>
      <w:pPr>
        <w:ind w:right="3299"/>
        <w:spacing w:after="0" w:line="239" w:lineRule="auto"/>
        <w:rPr>
          <w:sz w:val="20"/>
          <w:szCs w:val="20"/>
          <w:color w:val="auto"/>
        </w:rPr>
      </w:pPr>
      <w:r>
        <w:rPr>
          <w:rFonts w:ascii="Courier New" w:cs="Courier New" w:eastAsia="Courier New" w:hAnsi="Courier New"/>
          <w:sz w:val="15"/>
          <w:szCs w:val="15"/>
          <w:color w:val="auto"/>
        </w:rPr>
        <w:t>from time to time will reduce its beneficial ownership of our common stock and accordingly permit us to sell additional shares to Sativum under the common stock purchase agreement.</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are prohibited by the common stock purchase agreement from entering into any other stand-by equity based credit facilities during the term of the common stock purchase agreement. We are not prohibited, however, from entering into other equity or debt financing arrangements.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connection with the common stock purchase agreement, we issued to Sativum at the initial closing a warrant certificate to purchase up to 250,000 shares of our common stock. The warrant expires on May 10, 2004. The exercise price of the warrant is $2.3805. Simultaneous with the issuance of the warrant to Sativum, we issued a warrant to Pacific Crest for the purchase of up to 75,000 shares of our common stock and to Granite Financial Group, Inc. for the purchase of up to 25,000 shares of our common stock, on the same terms as Sativum's warrant. The shares underlying these warrants are being registered by the registration statement of which this prospectus forms a part.</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DRAWDOWN PROCEDURE AND THE STOCK PURCHASES</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We may request a drawdown by faxing to Sativum a drawdown notice, stating the amount of the drawdown that we wish to exercise and the minimum threshold price at which we are willing to sell the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AMOUNT OF THE DRAWDOWN</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No drawdown can be less than $100,000 or more than 6% of the weighted average price of our common stock for the sixty calendar days prior to the date of our request, multiplied by the total trading volume of our common stock for the 60 calendar days prior to our request. A sample calculation of the maximum drawdown amount is described on page 55.</w:t>
      </w:r>
    </w:p>
    <w:p>
      <w:pPr>
        <w:spacing w:after="0" w:line="34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actual dollar amount of the drawdown will be reduced by 1/20 for every day during the 20 trading days after our drawdown request that:</w:t>
      </w:r>
    </w:p>
    <w:p>
      <w:pPr>
        <w:spacing w:after="0" w:line="175" w:lineRule="exact"/>
        <w:rPr>
          <w:sz w:val="20"/>
          <w:szCs w:val="20"/>
          <w:color w:val="auto"/>
        </w:rPr>
      </w:pPr>
    </w:p>
    <w:p>
      <w:pPr>
        <w:ind w:left="520" w:right="3119" w:hanging="174"/>
        <w:spacing w:after="0" w:line="238"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volume weighted average price is less than the minimum threshold price we designate;</w:t>
      </w:r>
    </w:p>
    <w:p>
      <w:pPr>
        <w:spacing w:after="0" w:line="174" w:lineRule="exact"/>
        <w:rPr>
          <w:rFonts w:ascii="Courier New" w:cs="Courier New" w:eastAsia="Courier New" w:hAnsi="Courier New"/>
          <w:sz w:val="15"/>
          <w:szCs w:val="15"/>
          <w:color w:val="auto"/>
        </w:rPr>
      </w:pPr>
    </w:p>
    <w:p>
      <w:pPr>
        <w:ind w:left="520" w:right="3119" w:hanging="174"/>
        <w:spacing w:after="0" w:line="271"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 suspended for more than three hours, in the aggregate, or if any trading day is shortened because of a public holiday; or</w:t>
      </w:r>
    </w:p>
    <w:p>
      <w:pPr>
        <w:spacing w:after="0" w:line="153" w:lineRule="exact"/>
        <w:rPr>
          <w:rFonts w:ascii="Courier New" w:cs="Courier New" w:eastAsia="Courier New" w:hAnsi="Courier New"/>
          <w:sz w:val="14"/>
          <w:szCs w:val="14"/>
          <w:color w:val="auto"/>
        </w:rPr>
      </w:pPr>
    </w:p>
    <w:p>
      <w:pPr>
        <w:ind w:left="520" w:right="329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sales of previously drawn down shares pursuant to the registration statement of which this prospectus is a part are suspended by us because of certain potentially material events for more than three hours, in the aggregate.</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any of the above three conditions is met for one or more trading days during the 20 trading day period, the actual dollar amount of our drawdown will be lower than we requested in our notice. The volume weighted average price of any trading day during a pricing period that meets any of the conditions above will have no effect on the pricing of the shares purchased with respect to the other days during that pricing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volume-weighted average price of our shares on each of the 20 trading days immediately following the drawdown notice, except for days excluded in any of the three bullets above, is used to determine the number of shares that we will issue in return for the money provided by Sativum. We will not know the number of shares we will be issuing in a drawdown at the time of delivery of our drawdown notice. If our stock price falls during the 20 trading days after the notice, the number of shares will proportionately rise, except that we will not be required to issue shares below the threshold price that we will have set in the notice.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0" w:right="1440" w:bottom="1440" w:gutter="0" w:footer="0" w:header="0"/>
        </w:sectPr>
      </w:pPr>
    </w:p>
    <w:bookmarkStart w:id="58" w:name="page59"/>
    <w:bookmarkEnd w:id="58"/>
    <w:p>
      <w:pPr>
        <w:ind w:right="3119" w:firstLine="355"/>
        <w:spacing w:after="0" w:line="271" w:lineRule="auto"/>
        <w:rPr>
          <w:sz w:val="20"/>
          <w:szCs w:val="20"/>
          <w:color w:val="auto"/>
        </w:rPr>
      </w:pPr>
      <w:r>
        <w:rPr>
          <w:rFonts w:ascii="Courier New" w:cs="Courier New" w:eastAsia="Courier New" w:hAnsi="Courier New"/>
          <w:sz w:val="14"/>
          <w:szCs w:val="14"/>
          <w:color w:val="auto"/>
        </w:rPr>
        <w:t>The number of shares of common stock that we will issue with respect to each trading day during a drawdown will be determined by the following formula:</w:t>
      </w:r>
    </w:p>
    <w:p>
      <w:pPr>
        <w:spacing w:after="0" w:line="151" w:lineRule="exact"/>
        <w:rPr>
          <w:sz w:val="20"/>
          <w:szCs w:val="20"/>
          <w:color w:val="auto"/>
        </w:rPr>
      </w:pPr>
    </w:p>
    <w:p>
      <w:pPr>
        <w:ind w:left="520" w:hanging="174"/>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1/20th of the dollar amount contained in our drawdown notice divided by</w:t>
      </w:r>
    </w:p>
    <w:p>
      <w:pPr>
        <w:spacing w:after="0" w:line="174"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 of the volume-weighted average price of our common stock for that day.</w:t>
      </w:r>
    </w:p>
    <w:p>
      <w:pPr>
        <w:spacing w:after="0" w:line="18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The 94% reflects Sativum's 6% discount. The sum of these 20 daily calculations produces the number of common shares that we will issue, unless trading one or more days is excluded as explained above, in which case that day is ignored in the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STOCK PURCHASES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following is an example of the calculation of a single drawdown and the number of shares we would issue to Sativum in connection with that drawdown based on the assumptions noted in the discussion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MAXIMUM DRAWDOWN AMOUNT CALCULATION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For purposes of this example, suppose that we provide a drawdown notice to Sativum, and that we set the threshold price at $1.90 per share based on the volume weighted average price before applying the 6% discount. Suppose further that the total trading volume for the 60 calendar days prior to our drawdown notice is 5,335,700 shares and that the average of the volume-weighted average daily prices of our common stock for the 60 calendar days prior to the notice is $2.18. Using these hypothetical numbers, which by way of example only are the actual volume and price numbers for our common stock for the 60 calendar days ended May 18, 2001, the maximum amount of the drawdown is as follows:</w:t>
      </w:r>
    </w:p>
    <w:p>
      <w:pPr>
        <w:spacing w:after="0" w:line="177" w:lineRule="exact"/>
        <w:rPr>
          <w:sz w:val="20"/>
          <w:szCs w:val="20"/>
          <w:color w:val="auto"/>
        </w:rPr>
      </w:pPr>
    </w:p>
    <w:p>
      <w:pPr>
        <w:ind w:left="520" w:right="3399" w:hanging="174"/>
        <w:spacing w:after="0" w:line="238"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trading volume for the 60 calendar days prior to our drawdown notice, 5,335,700, multiplied by</w:t>
      </w:r>
    </w:p>
    <w:p>
      <w:pPr>
        <w:spacing w:after="0" w:line="174"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volume-weighted average daily prices of our common stock for the 60 calendar days prior to the drawdown notice, $2.18, multiplied by</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equals $697,910.</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maximum amount we can request in a drawdown notice under the formula and using these hypothetical numbers, is therefore capped at $697,910.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NUMBER OF SHARES</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Assuming we requested the maximum drawdown amount reflected by the hypothetical numbers above, and assuming that the volume-weighted average daily prices for our common stock for the twenty trading days following our drawdown notice as set forth in the table below, the number of shares to be issued based on any trading day during the drawdown period can be calculated as follows:</w:t>
      </w:r>
    </w:p>
    <w:p>
      <w:pPr>
        <w:spacing w:after="0" w:line="159" w:lineRule="exact"/>
        <w:rPr>
          <w:sz w:val="20"/>
          <w:szCs w:val="20"/>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of the requested drawdown amount of $697,910 divided by</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 of the volume-weighted average daily price.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For example, for the fourth trading day in the example in the table below, the calculation is as follows: 1/20 of $697,910 is $34,895. Divide $34,895 by 94% of the volume-weighted average daily price for that day of $1.90 per share, to get 19,538 shares. Perform this share calculation for each of the 20 measuring days during the drawdown period, excluding any days on which the volume-weighted average daily price is below the $1.90 threshold price, or on which trading of our common stock or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0" w:right="1440" w:bottom="1440" w:gutter="0" w:footer="0" w:header="0"/>
        </w:sectPr>
      </w:pPr>
    </w:p>
    <w:bookmarkStart w:id="59" w:name="page60"/>
    <w:bookmarkEnd w:id="59"/>
    <w:p>
      <w:pPr>
        <w:ind w:left="9" w:right="3820"/>
        <w:spacing w:after="0" w:line="239" w:lineRule="auto"/>
        <w:rPr>
          <w:sz w:val="20"/>
          <w:szCs w:val="20"/>
          <w:color w:val="auto"/>
        </w:rPr>
      </w:pPr>
      <w:r>
        <w:rPr>
          <w:rFonts w:ascii="Courier New" w:cs="Courier New" w:eastAsia="Courier New" w:hAnsi="Courier New"/>
          <w:sz w:val="15"/>
          <w:szCs w:val="15"/>
          <w:color w:val="auto"/>
        </w:rPr>
        <w:t>effectiveness of the registration statement of which this prospectus forms a part is suspended. Add the results to determine the number of shares to be issued.</w:t>
      </w:r>
    </w:p>
    <w:p>
      <w:pPr>
        <w:spacing w:after="0" w:line="175"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After excluding the first three days of the period because they are below the threshold price, the actual dollar amount of our drawdown in this example would be $593,223, $244,268 of which would be settled on day 12 for the first settlement period, and $348,955 of which would be settled on day 22 for the second settlement period. The total number of shares that we would issue to Sativum for this drawdown request would be 264,445 shares, so long as those shares, together with all other shares held by Sativum, do not exceed 9.9% of our then outstanding common stock. Of these total shares issued with respect to this hypothetical drawdown, 128,612 shares would be issued on day 12 for the first settlement period and 135,833 shares would be issued on day 22 for the second settlement period. Sativum would pay an average of $2.24 per share for these shares.</w:t>
      </w:r>
    </w:p>
    <w:p>
      <w:pPr>
        <w:spacing w:after="0" w:line="177"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HYPOTHETICAL DRAWDOWN PRICING PERIOD(1)</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VOLUME WEIGHTED</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AVERAGE PRICE</w:t>
            </w: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DAILY INVESTMENT</w:t>
            </w:r>
          </w:p>
        </w:tc>
        <w:tc>
          <w:tcPr>
            <w:tcW w:w="2140" w:type="dxa"/>
            <w:vAlign w:val="bottom"/>
          </w:tcPr>
          <w:p>
            <w:pPr>
              <w:spacing w:after="0"/>
              <w:rPr>
                <w:sz w:val="14"/>
                <w:szCs w:val="14"/>
                <w:color w:val="auto"/>
              </w:rPr>
            </w:pPr>
          </w:p>
        </w:tc>
      </w:tr>
      <w:tr>
        <w:trPr>
          <w:trHeight w:val="171"/>
        </w:trPr>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TRADING DAY</w:t>
            </w: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(VWAP)</w:t>
            </w:r>
          </w:p>
        </w:tc>
        <w:tc>
          <w:tcPr>
            <w:tcW w:w="20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94% OF VWAP</w:t>
            </w: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AMOUNT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NUMBER OF SHARES SOLD</w:t>
            </w:r>
          </w:p>
        </w:tc>
      </w:tr>
      <w:tr>
        <w:trPr>
          <w:trHeight w:val="171"/>
        </w:trPr>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w:t>
            </w:r>
          </w:p>
        </w:tc>
        <w:tc>
          <w:tcPr>
            <w:tcW w:w="2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$1.76</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$1.90</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19,538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19,316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19,114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$1.82</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19,136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17,567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17,624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$2.28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16,317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$2.31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16,046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$2.42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$2.27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15,352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$2.96</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12,551</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$2.77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$2.60</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13,399</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$2.64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$2.48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14,075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$2.52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$2.37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14,735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12,762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12,948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$3.02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$2.84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12,298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$3.18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11,667</w:t>
            </w:r>
          </w:p>
        </w:tc>
      </w:tr>
      <w:tr>
        <w:trPr>
          <w:trHeight w:val="171"/>
        </w:trPr>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$593,223</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264,445</w:t>
            </w:r>
          </w:p>
        </w:tc>
      </w:tr>
    </w:tbl>
    <w:p>
      <w:pPr>
        <w:spacing w:after="0" w:line="345" w:lineRule="exact"/>
        <w:rPr>
          <w:sz w:val="20"/>
          <w:szCs w:val="20"/>
          <w:color w:val="auto"/>
        </w:rPr>
      </w:pPr>
    </w:p>
    <w:p>
      <w:pPr>
        <w:ind w:left="349" w:right="3560"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used the volume-weighted average share prices of our common stock during the twenty trading days ended May 18, 2001 for illustrative purposes only. Our use of these numbers should not be interpreted as a forecast of share prices, an indicator of the prices at which we may choose to utilize the equity line or the expected or historical volatility of our common stock, whether during or outside a drawdown period. Due to rounding, division of the figures in the above table may not exactly equal the shares presented.</w:t>
      </w:r>
    </w:p>
    <w:p>
      <w:pPr>
        <w:spacing w:after="0" w:line="176" w:lineRule="exact"/>
        <w:rPr>
          <w:rFonts w:ascii="Courier New" w:cs="Courier New" w:eastAsia="Courier New" w:hAnsi="Courier New"/>
          <w:sz w:val="15"/>
          <w:szCs w:val="15"/>
          <w:color w:val="auto"/>
        </w:rPr>
      </w:pPr>
    </w:p>
    <w:p>
      <w:pPr>
        <w:ind w:left="349" w:right="4100" w:hanging="349"/>
        <w:spacing w:after="0" w:line="238" w:lineRule="auto"/>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because the volume-weighted average daily price is below the threshold specified in our hypothetical drawdown notice.</w:t>
      </w:r>
    </w:p>
    <w:p>
      <w:pPr>
        <w:spacing w:after="0" w:line="175"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We would receive the amount of our adjusted drawdown, $593,223, less an aggregate 3% cash fee paid to the placement agent, Pacific Crest, of $17,797, for net proceeds to us of approximately $575,426. Pacific Crest would contribute one-third, or $5,932, of this hypothetical placement fee to</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569"/>
          </w:cols>
          <w:pgMar w:left="231" w:top="460" w:right="1099" w:bottom="1440" w:gutter="0" w:footer="0" w:header="0"/>
        </w:sectPr>
      </w:pPr>
    </w:p>
    <w:bookmarkStart w:id="60" w:name="page61"/>
    <w:bookmarkEnd w:id="60"/>
    <w:p>
      <w:pPr>
        <w:ind w:right="3479"/>
        <w:spacing w:after="0" w:line="239" w:lineRule="auto"/>
        <w:rPr>
          <w:sz w:val="20"/>
          <w:szCs w:val="20"/>
          <w:color w:val="auto"/>
        </w:rPr>
      </w:pPr>
      <w:r>
        <w:rPr>
          <w:rFonts w:ascii="Courier New" w:cs="Courier New" w:eastAsia="Courier New" w:hAnsi="Courier New"/>
          <w:sz w:val="15"/>
          <w:szCs w:val="15"/>
          <w:color w:val="auto"/>
        </w:rPr>
        <w:t>Granite. The delivery of the requisite number of shares and payment of the drawdown will take place electronically and, if we choose, through an escrow agent, Epstein, Becker &amp; Green, P.C. of New York.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NECESSARY CONDITIONS BEFORE SATIVUM IS OBLIGATED TO PURCHASE OUR SHARES</w:t>
      </w:r>
    </w:p>
    <w:p>
      <w:pPr>
        <w:spacing w:after="0" w:line="174"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following conditions must be satisfied before Sativum is obligated to purchase any common shares following a drawdown request:</w:t>
      </w:r>
    </w:p>
    <w:p>
      <w:pPr>
        <w:spacing w:after="0" w:line="175" w:lineRule="exact"/>
        <w:rPr>
          <w:sz w:val="20"/>
          <w:szCs w:val="20"/>
          <w:color w:val="auto"/>
        </w:rPr>
      </w:pPr>
    </w:p>
    <w:p>
      <w:pPr>
        <w:ind w:left="520" w:right="3299" w:hanging="174"/>
        <w:spacing w:after="0" w:line="239"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for the resale of the shares by Sativum must be declared effective by the Securities and Exchange Commission and must remain effective and available as of the drawdown settlement date;</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in our common shares must not have been suspended by the Securities and Exchange Commission or the Nasdaq National Market, nor shall minimum prices have been established on securities whose trades are reported on the Nasdaq National Market;</w:t>
      </w:r>
    </w:p>
    <w:p>
      <w:pPr>
        <w:spacing w:after="0" w:line="176"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not have merged or consolidated with or into another company or transferred all or substantially all of our assets to another company, unless the acquiring company has agreed to honor the common stock purchase agreement;</w:t>
      </w:r>
    </w:p>
    <w:p>
      <w:pPr>
        <w:spacing w:after="0" w:line="176" w:lineRule="exact"/>
        <w:rPr>
          <w:rFonts w:ascii="Courier New" w:cs="Courier New" w:eastAsia="Courier New" w:hAnsi="Courier New"/>
          <w:sz w:val="15"/>
          <w:szCs w:val="15"/>
          <w:color w:val="auto"/>
        </w:rPr>
      </w:pPr>
    </w:p>
    <w:p>
      <w:pPr>
        <w:ind w:left="520" w:right="3579" w:hanging="174"/>
        <w:spacing w:after="0" w:line="264"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statute, rule, regulation, executive order, decree, ruling or injunction may be in effect which prohibits consummation of the transactions contemplated by the common stock purchase agreement; and</w:t>
      </w:r>
    </w:p>
    <w:p>
      <w:pPr>
        <w:spacing w:after="0" w:line="159" w:lineRule="exact"/>
        <w:rPr>
          <w:rFonts w:ascii="Courier New" w:cs="Courier New" w:eastAsia="Courier New" w:hAnsi="Courier New"/>
          <w:sz w:val="14"/>
          <w:szCs w:val="14"/>
          <w:color w:val="auto"/>
        </w:rPr>
      </w:pPr>
    </w:p>
    <w:p>
      <w:pPr>
        <w:ind w:left="520" w:right="3919" w:hanging="174"/>
        <w:spacing w:after="0" w:line="271"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materially adverse to our business, operations, properties or financial condition shall have occurred.</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further condition is that we may not issue more than 19.9% of our common shares issued and outstanding on May 10, 2001 pursuant to the common stock purchase agreement on the associated warrants, without our first obtaining approval from our stockholders for the excess issuance. In addition, the common stock purchase agreement provides that Sativum is not permitted to purchase shares of our common stock pursuant to a drawdown to the extent that the purchase of those shares would result in Sativum's beneficially owning more than 9.9% of our common stock following the purchase. Accordingly, each drawdown will be limited to an amount that will cause Sativum's beneficial ownership as of the date of the purchase to exceed 9.9%. However, shares sold by Sativum from time to time will reduce its beneficial ownership of our common stock and accordingly permit us to sell additional shares to Sativum under the common stock purchase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CLOSING THE TRANSACTION</w:t>
      </w:r>
    </w:p>
    <w:p>
      <w:pPr>
        <w:spacing w:after="0" w:line="174" w:lineRule="exact"/>
        <w:rPr>
          <w:sz w:val="20"/>
          <w:szCs w:val="20"/>
          <w:color w:val="auto"/>
        </w:rPr>
      </w:pPr>
    </w:p>
    <w:p>
      <w:pPr>
        <w:ind w:right="3579" w:firstLine="355"/>
        <w:spacing w:after="0" w:line="262" w:lineRule="auto"/>
        <w:rPr>
          <w:sz w:val="20"/>
          <w:szCs w:val="20"/>
          <w:color w:val="auto"/>
        </w:rPr>
      </w:pPr>
      <w:r>
        <w:rPr>
          <w:rFonts w:ascii="Courier New" w:cs="Courier New" w:eastAsia="Courier New" w:hAnsi="Courier New"/>
          <w:sz w:val="14"/>
          <w:szCs w:val="14"/>
          <w:color w:val="auto"/>
        </w:rPr>
        <w:t>We paid $50,000 to cover the fees and expenses of Sativum's counsel and other administrative costs. Pacific Crest Securities, Inc. also received a $25,000 placement fee. Neither Pacific Crest nor Granite is obligated to purchase any of our shares pursuant to the common stock purchase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LIQUIDATED DAMAGES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will be required to pay liquidated damages to Sativum if we fail to deliver shares within 5 trading days after a settlement date. We will also be required to pay liquidated damages to Sativum if the effectiveness of this registration statement is suspended during, or within 5 days after, a drawdown pricing period. In the latter case, we will be required to compensate Sativum for any net decline in the price of our shares greater than 20% following the suspension to the extent Sativum sold shares at the reduced price within 5 days after the end of the suspension period.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0"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TERMINATION OF THE COMMON STOCK PURCHASE AGREEMENT</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equity line established by the common stock purchase agreement will terminate 30 months from the effective date of the registration statement of which this prospectus forms a part. The equity line shall also terminate if we file for protection from creditors, if our common stock is delisted from The Nasdaq National Market and not promptly relisted on Nasdaq, Nasdaq SmallCap Market, the American Stock Exchange or the New York Stock Exchange. We may terminate the agreement if Sativum fails to perform its obligations to purchase shares with respect to a drawdown.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SATIVUM AND PACIFIC CREST</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Sativum is entitled to customary indemnification from us for any losses or liabilities suffered by it as a result of material misstatements or omissions from the common stock purchase agreement, registration statement and this prospectus as supplemented from time to time, except as they relate to information supplied by Sativum to us for inclusion in the registration statement and prospectus. Pacific Crest is also entitled to customary indemnification from us from any losses or liabilities suffered by it in connection with its role as placement agent.</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SELLING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Shares of our common stock registered for resale under this prospectus constitute 48.2% of our issued and outstanding common shares as of March 31, 2001. However, we may not sell more than 3,922,606 shares of common stock, or 19.9% of our issued and outstanding common stock as of May 10, 2001, minus the shares underlying the warrants, unless and until we receive the approval of our stockholders as required pursuant to Nasdaq's issuer designation requirements. The number of shares we are registering is based in part on our good faith estimate of the maximum number of shares we may issue to Sativum under the common stock purchase agreement. We are under no obligation to issue any shares to Sativum under the common stock purchase agreement. Accordingly, the number of shares we are registering for issuance under the common stock purchase agreement may be higher than the number we actually issue under the common stock purchase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SATIVUM INVESTMENTS LIMITED</w:t>
      </w:r>
    </w:p>
    <w:p>
      <w:pPr>
        <w:spacing w:after="0" w:line="174"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Sativum Investments Limited is engaged in the business of investing in publicly traded equity securities for its own account. Sativum's principal offices are located at Harbour House, 2nd Floor, Road Town, Tortolla, British Virgin Islands. Investment decisions for Sativum are made by its board of directors. Sativum has informed us that it does not currently own any of our securities as of the date of this prospectus. Other than its obligation to purchase common shares under the common stock purchase agreement, it has no other commitments or arrangements to purchase or sell any of our securities. Sativum is prohibited by the common stock purchase agreement from engaging in short sales of our common stock, as defined in applicable securities regulations. There are no business relationships between Sativum and us other than as contemplated by the common stock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PACIFIC CREST SECURITIES, INC. AND GRANITE FINANCIAL GROUP,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Pacific Crest Securities, Inc., a registered broker-dealer, has acted as placement agent in connection with the equity line. Pacific Crest introduced us to Sativum and assisted us with structuring the equity line with Sativum. Pacific Crest's duties as placement agent were undertaken on a reasonable best efforts basis only. It made no commitment to purchase shares from us and did not ensure us of the successful placement of any securities.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7" w:right="1440" w:bottom="1440" w:gutter="0" w:footer="0" w:header="0"/>
        </w:sectPr>
      </w:pPr>
    </w:p>
    <w:bookmarkStart w:id="62" w:name="page63"/>
    <w:bookmarkEnd w:id="62"/>
    <w:p>
      <w:pPr>
        <w:ind w:right="3119" w:firstLine="355"/>
        <w:spacing w:after="0"/>
        <w:rPr>
          <w:sz w:val="20"/>
          <w:szCs w:val="20"/>
          <w:color w:val="auto"/>
        </w:rPr>
      </w:pPr>
      <w:r>
        <w:rPr>
          <w:rFonts w:ascii="Courier New" w:cs="Courier New" w:eastAsia="Courier New" w:hAnsi="Courier New"/>
          <w:sz w:val="15"/>
          <w:szCs w:val="15"/>
          <w:color w:val="auto"/>
        </w:rPr>
        <w:t>Other than the warrant to purchase 75,000 shares of common stock granted to Pacific Crest as a placement fee, Pacific Crest has informed us that it does not currently own any of our securities. Other than the warrant to purchase 25,000 shares of common stock, Granite Financial Group, Inc., also a placement agent and a registered broker-dealer, has informed us that it does not currently own any of our securities.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Sativum, Pacific Crest and Granite have not held any positions as officers or had material relationships with us or any of our affiliates within the past three years other than as a result of the ownership of our common stock. If, in the future, any of their relationships with us changes, we will amend or supplement this prospectus to update this disclosure.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0" w:right="1440" w:bottom="1440" w:gutter="0" w:footer="0" w:header="0"/>
        </w:sectPr>
      </w:pPr>
    </w:p>
    <w:bookmarkStart w:id="63" w:name="page64"/>
    <w:bookmarkEnd w:id="63"/>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Sativum Investments Limited is offering the common shares for its account as statutory underwriter, and not for our account. We will not receive any proceeds from the sale of common shares by Sativum. Sativum may be offering for sale up to 10,000,000 common shares pursuant to this prospectus which it may acquire pursuant to the terms of the stock purchase agreement more fully described under the section of this prospectus entitled "The Common Stock Purchase Agreement." Sativum is a statutory underwriter within the meaning of the Securities Act of 1933 in connection with such sales of common shares and will be acting as an underwriter in its resales of the common shares under this prospectus. Sativum has, prior to any sales, agreed not to effect any offers or sales of the common shares in any manner other than as specified in the prospectus and not to purchase or induce others to purchase common shares in violation of any applicable state and federal securities laws, rules and regulations and the rules and regulations of The Nasdaq National Market. Sativum has agreed not to engage in short sales of our common stock, as defined in applicable securities regulations, during the term of the common stock purchase agreement. We will pay the costs of registering the shares under this prospectus, including legal fees.</w:t>
      </w:r>
    </w:p>
    <w:p>
      <w:pPr>
        <w:spacing w:after="0" w:line="33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permit Sativum to resell the shares of common stock issued to it under the stock purchase agreement, we agreed to register those shares and to maintain that registration. To that end, we have agreed with Sativum that we will prepare and file such amendments and supplements to the registration statement and the prospectus as may be necessary in accordance with the Securities Act and the rules and regulations promulgated thereunder, to keep it effective so long as any of the shares are "registrable securities," as defined in our registration rights agreement with Sativum. Registrable securities include all shares sold to Sativum pursuant to the common stock purchase agreement that:</w:t>
      </w:r>
    </w:p>
    <w:p>
      <w:pPr>
        <w:spacing w:after="0" w:line="166" w:lineRule="exact"/>
        <w:rPr>
          <w:sz w:val="20"/>
          <w:szCs w:val="20"/>
          <w:color w:val="auto"/>
        </w:rPr>
      </w:pPr>
    </w:p>
    <w:p>
      <w:pPr>
        <w:ind w:left="520" w:right="3399" w:hanging="174"/>
        <w:spacing w:after="0" w:line="238"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the registration statement of which this prospectus forms a part;</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Rule 144 under the Securities Act;</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otherwise transferred to persons who may trade the shares without restriction under the Securities Act, as evidenced by share certificates not bearing a restrictive legend; or</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be sold, in the opinion of our counsel, without restriction under the Securities Act.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Shares of common stock offered through this prospectus may be sold from time to time by Sativum. Shares of common stock issuable upon exercise of the warrants issued as of the date of the common stock purchase agreement to Sativum, Pacific Crest Securities, Inc. and Granite Financial Group, Inc. or their transferees, may also be sold through this prospectus. We will supplement this prospectus to disclose the names of any transferees of warrant shares that intend to offer common stock through this prospectus.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Sales may be made on the Nasdaq National Market, on the over-the-counter market or otherwise at prices and at terms then prevailing or at prices related to the then current market price, or in negotiated private transactions, or in a combination of these methods. Sativum will act independently of us in making decisions with respect to the form, timing, manner and size of each sale. We have been informed by Sativum and Pacific Crest that there are no existing arrangements between either of them and any stockholder, broker, dealer, underwriter or agent relating to the distribution of this prospectus. Sativum is an underwriter in connection with resales of its shares.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common shares may be sold in one or more of the following manners:</w:t>
      </w:r>
    </w:p>
    <w:p>
      <w:pPr>
        <w:spacing w:after="0" w:line="174" w:lineRule="exact"/>
        <w:rPr>
          <w:sz w:val="20"/>
          <w:szCs w:val="20"/>
          <w:color w:val="auto"/>
        </w:rPr>
      </w:pPr>
    </w:p>
    <w:p>
      <w:pPr>
        <w:jc w:val="both"/>
        <w:ind w:left="520" w:right="3479" w:hanging="174"/>
        <w:spacing w:after="0" w:line="239"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broker or dealer so engaged will attempt to sell the shares as agent, but may position and resell a portion of the block as principal to facilitate the transaction;</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for its account under this prospectus; or</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7" w:right="1440" w:bottom="1440" w:gutter="0" w:footer="0" w:header="0"/>
        </w:sectPr>
      </w:pPr>
    </w:p>
    <w:bookmarkStart w:id="64" w:name="page65"/>
    <w:bookmarkEnd w:id="64"/>
    <w:p>
      <w:pPr>
        <w:ind w:right="3119" w:firstLine="355"/>
        <w:spacing w:after="0" w:line="259" w:lineRule="auto"/>
        <w:rPr>
          <w:sz w:val="20"/>
          <w:szCs w:val="20"/>
          <w:color w:val="auto"/>
        </w:rPr>
      </w:pPr>
      <w:r>
        <w:rPr>
          <w:rFonts w:ascii="Courier New" w:cs="Courier New" w:eastAsia="Courier New" w:hAnsi="Courier New"/>
          <w:sz w:val="14"/>
          <w:szCs w:val="14"/>
          <w:color w:val="auto"/>
        </w:rPr>
        <w:t>In effecting sales, brokers or dealers engaged by Sativum, Pacific Crest or Granite may arrange for other brokers or dealers to participate. Except as disclosed in a supplement to this prospectus, no broker-dealer will be paid more than a customary brokerage commission in connection with any sale of the shares of common stock by Sativum, Pacific Crest or Granite. Brokers or dealers may receive commissions, discounts or other concessions from the selling stockholders in amounts to be negotiated immediately prior to the sale. The compensation to a particular broker-dealer may be in excess of customary commissions. Profits on any resale of the shares of common stock as a principal by such broker-dealers and any commissions received by such broker-dealers may be deemed to be underwriting discounts and commissions under the Securities Act. Any broker-dealer participating in such transactions as agent may receive commissions from Sativum, Pacific Crest and Granite, if they act as agent for the purchaser of such shares of common stock, from such purchaser.</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Broker-dealers who acquire common shares as principal may thereafter resell such shares of common stock from time to time in transactions, which may involve crosses and block transactions and which may involve sales to and through other broker-dealers, including transactions of the nature described above, in the over-the-counter market, in negotiated transactions or otherwise at market prices prevailing at the time of sale or at negotiated prices, and in connection with such resales may pay to or receive from the purchasers of such shares of common stock commissions computed as described above. Brokers or dealers who acquire common shares as principal and any other participating brokers or dealers may be deemed to be underwriters in connection with resales of the shares of common stock.</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addition, any shares of common stock covered by this prospectus which qualify for sale pursuant to Rule 144 may be sold under Rule 144 rather than pursuant to this prospectus. However, since Sativum is an underwriter, Rule 144 of the Securities Act is not available to Sativum to sell its shares. We will not receive any of the proceeds from the sale of these shares of common stock, although we have paid the expenses of preparing this prospectus and the related registration statement of which it is a part and have reimbursed Sativum $50,000 for its legal and administrative costs.</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Sativum, Pacific Crest and Granite are subject to the applicable provisions of the Exchange Act, including without limitation Rule 10b-5 thereunder. Under applicable rules and regulations under the Exchange Act, any person engaged in a distribution of the shares of common stock may not simultaneously purchase such securities for a period beginning when such person becomes a distribution participant and ending upon such person's completion of participation in a distribution. In addition, in connection with the transactions in the shares of common stock, Sativum, Pacific Crest and Granite will be subject to applicable provisions of the Exchange Act and the rules and regulations under that Act, including, without limitation, the rules set forth above. These restrictions may affect the marketability of the shares of common stock.</w:t>
      </w:r>
    </w:p>
    <w:p>
      <w:pPr>
        <w:spacing w:after="0" w:line="16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Sativum, Pacific Crest and Granite will pay all commissions and its own expenses, if any, associated with the sale of the shares of common stock, other than the expenses associated with preparing this prospectus and the registration statement of which it is a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COMPENSATION AND EXPENSES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underwriting compensation for Sativum will depend on the amount of financing that we are able to obtain under the stock purchase agreement, up to a maximum of $1,914,894 if we are able to obtain the entire $30,000,000 in financing. Sativum will purchase shares under the stock purchase agreement at a price equal to 94% of the volume-weighted average daily price of our common stock reported on the Nasdaq National Market for each day in the pricing period with respect to each drawdown request.</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At the time of the initial closing under the common stock purchase agreement, we also issued to Sativum a warrant to purchase 250,000 shares of our common stock at an exercise price of $2.38 per share. The warrant expires May 10, 2004.</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0" w:right="1440" w:bottom="1440" w:gutter="0" w:footer="0" w:header="0"/>
        </w:sectPr>
      </w:pPr>
    </w:p>
    <w:bookmarkStart w:id="65" w:name="page66"/>
    <w:bookmarkEnd w:id="65"/>
    <w:p>
      <w:pPr>
        <w:ind w:right="3119" w:firstLine="355"/>
        <w:spacing w:after="0"/>
        <w:rPr>
          <w:sz w:val="20"/>
          <w:szCs w:val="20"/>
          <w:color w:val="auto"/>
        </w:rPr>
      </w:pPr>
      <w:r>
        <w:rPr>
          <w:rFonts w:ascii="Courier New" w:cs="Courier New" w:eastAsia="Courier New" w:hAnsi="Courier New"/>
          <w:sz w:val="15"/>
          <w:szCs w:val="15"/>
          <w:color w:val="auto"/>
        </w:rPr>
        <w:t>In addition, we are obligated to pay Pacific Crest, as compensation for its services as Sativum's placement agent, a cash fee equal to 3% of the net proceeds received from Sativum under the common stock purchase agreement for draw downs under the equity line. The compensation to Pacific Crest will depend on the amount of financing that we obtain under the common stock purchase agreement, up to a maximum of $900,000 if we obtain the entire $30,000,000 in financing. Pacific Crest has agreed to contribute one-third of all drawdown fees to Granite Financial Group, Inc. We also issued to Pacific Crest a warrant to purchase 75,000 shares of our common stock and to Granite a warrant to purchase 25,000 shares of our common stock. Each warrant has an exercise price of $2.38 per share and expires May 10, 2004.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GRANT OF REGISTRATION RIGHTS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granted registration rights to Sativum to enable it to sell the common stock it purchases under the common stock purchase agreement. In connection with any such registration, we will have no obligation:</w:t>
      </w:r>
    </w:p>
    <w:p>
      <w:pPr>
        <w:spacing w:after="0" w:line="175" w:lineRule="exact"/>
        <w:rPr>
          <w:sz w:val="20"/>
          <w:szCs w:val="20"/>
          <w:color w:val="auto"/>
        </w:rPr>
      </w:pPr>
    </w:p>
    <w:p>
      <w:pPr>
        <w:ind w:left="520" w:right="3119" w:hanging="174"/>
        <w:spacing w:after="0" w:line="238"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or cooperate with Sativum in the offering or disposition of such shares;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or hold harmless the holders of any such shares, other than Sativum, or any underwriter designated by such holders;</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a commitment from an underwriter relative to the sale of any such shares; or</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such shares within any underwritten offering we do.</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will assume no obligation or responsibility whatsoever to determine a method of disposition for such shares or to otherwise include such shares within the confines of any registered offering other than the registration statement of which this prospectus is a part.</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use commercially reasonable efforts to file, during any period during which we are required to do so under our registration rights agreement with Sativum, one or more post-effective amendments to the registration statement of which this prospectus is a part to describe any material information with respect to the plan of distribution not previously disclosed in this prospectus or any material change to such information in this prospectus. This obligation may include, to the extent required under the Securities Act of 1933, that a supplemental prospectus be filed, disclosing</w:t>
      </w:r>
    </w:p>
    <w:p>
      <w:pPr>
        <w:spacing w:after="0" w:line="174" w:lineRule="exact"/>
        <w:rPr>
          <w:sz w:val="20"/>
          <w:szCs w:val="20"/>
          <w:color w:val="auto"/>
        </w:rPr>
      </w:pPr>
    </w:p>
    <w:p>
      <w:pPr>
        <w:ind w:left="520" w:hanging="174"/>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any broker-dealers;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common shares involved;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the common shares are to be sold;</w:t>
      </w:r>
    </w:p>
    <w:p>
      <w:pPr>
        <w:spacing w:after="0" w:line="174" w:lineRule="exact"/>
        <w:rPr>
          <w:rFonts w:ascii="Courier New" w:cs="Courier New" w:eastAsia="Courier New" w:hAnsi="Courier New"/>
          <w:sz w:val="15"/>
          <w:szCs w:val="15"/>
          <w:color w:val="auto"/>
        </w:rPr>
      </w:pPr>
    </w:p>
    <w:p>
      <w:pPr>
        <w:ind w:left="520" w:right="4459" w:hanging="174"/>
        <w:spacing w:after="0" w:line="238"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broker-dealers, where applicable;</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broker-dealers did not conduct any investigation to verify the information set out or incorporated by reference in this prospectus, as supplemented;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facts material to the transaction.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registration rights agreement with Sativum permits us to restrict the resale of the shares Sativum has purchased from us under the common stock purchase agreement for a period of time sufficient to permit us to amend or supplement this prospectus to include material information. If we restrict Sativum during any pricing period or the five consecutive business days after a pricing period and our stock price declines during the restricted period, we are required to pay to Sativum cash to compensate Sativum for its inability to sell shares during the restricted period. The amount we would be required to pay would be the difference between the average daily volume weighed average price of the common stock during the pricing period and the price at which the shares were eventually sold, provided the sales are made within 5 business days of the end of the restricted period and the difference in price is greater than 20% of the average purchase price paid by Sativum during the relevant pricing period.</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0" w:right="1440" w:bottom="1440" w:gutter="0" w:footer="0" w:header="0"/>
        </w:sectPr>
      </w:pPr>
    </w:p>
    <w:bookmarkStart w:id="66" w:name="page67"/>
    <w:bookmarkEnd w:id="66"/>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2000 and 1999, and for each of the three years in the period ended December 31, 2000,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176" w:lineRule="exact"/>
        <w:rPr>
          <w:sz w:val="20"/>
          <w:szCs w:val="20"/>
          <w:color w:val="auto"/>
        </w:rPr>
      </w:pPr>
    </w:p>
    <w:p>
      <w:pPr>
        <w:ind w:left="520" w:right="311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2000 (filed April 2, 2001, as amended April 30, 2001);</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March 31, 2001 (filed May 9, 2001);</w:t>
      </w:r>
    </w:p>
    <w:p>
      <w:pPr>
        <w:spacing w:after="0" w:line="174" w:lineRule="exact"/>
        <w:rPr>
          <w:rFonts w:ascii="Courier New" w:cs="Courier New" w:eastAsia="Courier New" w:hAnsi="Courier New"/>
          <w:sz w:val="15"/>
          <w:szCs w:val="15"/>
          <w:color w:val="auto"/>
        </w:rPr>
      </w:pPr>
    </w:p>
    <w:p>
      <w:pPr>
        <w:ind w:left="520" w:right="383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the Annual Meeting of Stockholders held on May 31, 2001 (filed April 30, 2001);</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May 8, 2001 (filed May 8, 2001) and May 14, 2001 (dated May 14, 2001);</w:t>
      </w:r>
    </w:p>
    <w:p>
      <w:pPr>
        <w:spacing w:after="0" w:line="174" w:lineRule="exact"/>
        <w:rPr>
          <w:rFonts w:ascii="Courier New" w:cs="Courier New" w:eastAsia="Courier New" w:hAnsi="Courier New"/>
          <w:sz w:val="15"/>
          <w:szCs w:val="15"/>
          <w:color w:val="auto"/>
        </w:rPr>
      </w:pPr>
    </w:p>
    <w:p>
      <w:pPr>
        <w:ind w:left="520" w:right="3479" w:hanging="174"/>
        <w:spacing w:after="0" w:line="239"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7" w:right="1440" w:bottom="1440" w:gutter="0" w:footer="0" w:header="0"/>
        </w:sectPr>
      </w:pPr>
    </w:p>
    <w:bookmarkStart w:id="67" w:name="page68"/>
    <w:bookmarkEnd w:id="67"/>
    <w:p>
      <w:pPr>
        <w:ind w:left="520" w:right="3119" w:hanging="174"/>
        <w:spacing w:after="0"/>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Attention: Investor Relations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Telephone number: (650) 475-3100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0" w:right="1440" w:bottom="1440" w:gutter="0" w:footer="0" w:header="0"/>
        </w:sectPr>
      </w:pPr>
    </w:p>
    <w:bookmarkStart w:id="68" w:name="page69"/>
    <w:bookmarkEnd w:id="68"/>
    <w:p>
      <w:pPr>
        <w:ind w:left="13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168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00" w:type="dxa"/>
            <w:vAlign w:val="bottom"/>
          </w:tcPr>
          <w:p>
            <w:pPr>
              <w:spacing w:after="0"/>
              <w:rPr>
                <w:sz w:val="14"/>
                <w:szCs w:val="14"/>
                <w:color w:val="auto"/>
              </w:rPr>
            </w:pPr>
          </w:p>
        </w:tc>
      </w:tr>
      <w:tr>
        <w:trPr>
          <w:trHeight w:val="683"/>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2000 and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March 31, 2001</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three months ended March 31, 2001 and March 31, 2000</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three months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ended March 31, 2001 and March 31, 2000 (unaudited).......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512"/>
        </w:trPr>
        <w:tc>
          <w:tcPr>
            <w:tcW w:w="5440" w:type="dxa"/>
            <w:vAlign w:val="bottom"/>
          </w:tcPr>
          <w:p>
            <w:pPr>
              <w:ind w:left="336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69" w:name="page70"/>
    <w:bookmarkEnd w:id="69"/>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7" w:right="1440" w:bottom="1440" w:gutter="0" w:footer="0" w:header="0"/>
        </w:sectPr>
      </w:pPr>
    </w:p>
    <w:bookmarkStart w:id="70" w:name="page71"/>
    <w:bookmarkEnd w:id="70"/>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restricted investments.........................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42,212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Debt service fund.........................................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609,905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524,509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558,674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22,966,515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8,970,855</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held for sale......................................</w:t>
            </w:r>
          </w:p>
        </w:tc>
        <w:tc>
          <w:tcPr>
            <w:tcW w:w="18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2,173,912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631,315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837,358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wind-down costs...................................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1,780,579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1,634,522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3,476,211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3,560,550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705,746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502,353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1999, none at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none at 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20,956,887 and 18,635,565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and 1999,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209,569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186,355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138,150,067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(130,498,187)</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(119,372,710)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(2,735,761)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22,982,022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57" w:right="1440" w:bottom="1440" w:gutter="0" w:footer="0" w:header="0"/>
        </w:sectPr>
      </w:pPr>
    </w:p>
    <w:bookmarkStart w:id="71" w:name="page72"/>
    <w:bookmarkEnd w:id="7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 from collaborative and licensing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8,803,163</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5,979,007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17,658,530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3,361,231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4,602,758</w:t>
            </w: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Encapsulated Cell Therapy wind-down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3,327,360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12,667,598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22,261,288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(12,593,298)</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303,746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1,253,781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sale of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8,902</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48,914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1,467,821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830,295</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$(11,125,477)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Deemed dividend to preferred shareholders...........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$(11,390,477)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 due to deemed dividend..................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 applicable to common shareholders..........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$(11,606,477)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20,067,760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18,290,548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57" w:right="1440" w:bottom="1440" w:gutter="0" w:footer="0" w:header="0"/>
        </w:sectPr>
      </w:pPr>
    </w:p>
    <w:bookmarkStart w:id="72" w:name="page73"/>
    <w:bookmarkEnd w:id="72"/>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21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52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$5,583,110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17,526,220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$175,262</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$121,472,844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(91,036,254)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$(8,877)</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83,622</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848</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143,025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505,587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(334,500)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334,166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321,108</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5,248,610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178,003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$(1,702,820)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$ 28,900,155</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84,058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143,873</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506,600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334,500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1,364</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229,901</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551,009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(12,627,830)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(12,624,151)</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17,897,408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F-5</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3" w:name="page74"/>
    <w:bookmarkEnd w:id="73"/>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6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EQUITY (CONTINUED)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22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440" w:type="dxa"/>
            <w:vAlign w:val="bottom"/>
          </w:tcPr>
          <w:p>
            <w:pPr>
              <w:spacing w:after="0"/>
              <w:rPr>
                <w:sz w:val="14"/>
                <w:szCs w:val="14"/>
                <w:color w:val="auto"/>
              </w:rPr>
            </w:pPr>
          </w:p>
        </w:tc>
        <w:tc>
          <w:tcPr>
            <w:tcW w:w="22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178,003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318,221</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57,398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41,619</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90,798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102,502</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490,833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513,534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18,635,565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186,355</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123,917,758</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(119,372,710)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$ 17,897,408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320,183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42,193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103,410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518,442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247,919</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328,195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5,198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(15,708,626)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(15,703,428)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(1,225,000)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3,506,403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F-6</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4" w:name="page75"/>
    <w:bookmarkEnd w:id="74"/>
    <w:p>
      <w:pPr>
        <w:jc w:val="center"/>
        <w:ind w:right="338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9"/>
              </w:rPr>
              <w:t>EQUITY (CONTINUED)</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COMMON</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spacing w:after="0"/>
              <w:rPr>
                <w:sz w:val="14"/>
                <w:szCs w:val="14"/>
                <w:color w:val="auto"/>
              </w:rPr>
            </w:pPr>
          </w:p>
        </w:tc>
        <w:tc>
          <w:tcPr>
            <w:tcW w:w="20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spacing w:after="0"/>
              <w:rPr>
                <w:sz w:val="14"/>
                <w:szCs w:val="14"/>
                <w:color w:val="auto"/>
              </w:rPr>
            </w:pPr>
          </w:p>
        </w:tc>
        <w:tc>
          <w:tcPr>
            <w:tcW w:w="19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ADDITIONAL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21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PAID-IN</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11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AMOUNT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CAPITAL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18,635,565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$186,355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1,104,435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$ 11,044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4,390,393</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77,800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364,222</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27,112</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608,078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651,828</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6"/>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5,243,367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3,555,387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20,956,887</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$209,569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$138,150,067</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7"/>
              </w:rPr>
              <w:t>OTHER</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ACCUMULATED</w:t>
            </w: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COMPREHENSIVE</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DEFERRED</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STOCKHOLDERS'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INCOME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COMPENSATION</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$(119,372,710)</w:t>
            </w:r>
          </w:p>
        </w:tc>
        <w:tc>
          <w:tcPr>
            <w:tcW w:w="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4,401,437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27,180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657,909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$(1,510,760)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2,044,627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$ 16,356,334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 (11,125,477)</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$(11,125,477)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5,230,858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$(130,498,187)</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$(2,735,761)</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$ 22,982,022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380"/>
          </w:cols>
          <w:pgMar w:left="240" w:top="457" w:right="1279" w:bottom="1440" w:gutter="0" w:footer="0" w:header="0"/>
        </w:sectPr>
      </w:pPr>
    </w:p>
    <w:bookmarkStart w:id="75" w:name="page76"/>
    <w:bookmarkEnd w:id="75"/>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5"/>
          </w:tcPr>
          <w:p>
            <w:pPr>
              <w:jc w:val="right"/>
              <w:ind w:right="8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$(11,125,477)</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3286"/>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738,593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2,244,146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551,009</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2,044,627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Fair</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 adjustment for property held for sale.......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Other non-cash charges..................................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410,173</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Gain</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investment......................................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property, plant and equipment...........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intangibles.............................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25,488</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346,577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Technology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315,213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(265,665)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(92,255)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(2,378,613)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203,393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2,483,856</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used in operating activities.......................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(6,318,104)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 of Investments...........................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(18,982,387)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22,573,625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(151,212)</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(2,153,525)</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fixed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Acquisition of other assets.................................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(886,751)</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(400,219)</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Disposal</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other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investing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389,723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1,037,494</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common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4,401,437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227,931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the exercise of stock options.................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685,089</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Common stock issued for agreements..........................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preferred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debt financings...............................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1,259,300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Change in debt service fund.................................</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(1,366,655)</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(used in) financing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7,237,264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121,940</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Increase</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(decrease) in cash and cash equivalents............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1,308,883</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beginning of year..............</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15,941,701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end of the year................</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Interest</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paid...............................................</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444,047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57" w:right="1440" w:bottom="1440" w:gutter="0" w:footer="0" w:header="0"/>
        </w:sectPr>
      </w:pPr>
    </w:p>
    <w:bookmarkStart w:id="76" w:name="page77"/>
    <w:bookmarkEnd w:id="76"/>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operations. There are no such collaborative research arrangements at this time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81" w:lineRule="exact"/>
        <w:rPr>
          <w:sz w:val="20"/>
          <w:szCs w:val="20"/>
          <w:color w:val="auto"/>
        </w:rPr>
      </w:pPr>
    </w:p>
    <w:p>
      <w:pPr>
        <w:ind w:left="9" w:right="3299" w:firstLine="355"/>
        <w:spacing w:after="0" w:line="261"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2" w:lineRule="exact"/>
        <w:rPr>
          <w:sz w:val="20"/>
          <w:szCs w:val="20"/>
          <w:color w:val="auto"/>
        </w:rPr>
      </w:pPr>
    </w:p>
    <w:p>
      <w:pPr>
        <w:ind w:left="9" w:right="6139" w:hanging="9"/>
        <w:spacing w:after="0" w:line="478" w:lineRule="auto"/>
        <w:tabs>
          <w:tab w:leader="none" w:pos="36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457" w:right="1440" w:bottom="1440" w:gutter="0" w:footer="0" w:header="0"/>
        </w:sectPr>
      </w:pPr>
    </w:p>
    <w:bookmarkStart w:id="77" w:name="page78"/>
    <w:bookmarkEnd w:id="7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CASH EQUIVALENTS AND INVESTMENTS</w:t>
      </w:r>
    </w:p>
    <w:p>
      <w:pPr>
        <w:spacing w:after="0" w:line="175"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61"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COMPREHENSIVE INCOME (LOSS)</w:t>
      </w:r>
    </w:p>
    <w:p>
      <w:pPr>
        <w:spacing w:after="0" w:line="174" w:lineRule="exact"/>
        <w:rPr>
          <w:sz w:val="20"/>
          <w:szCs w:val="20"/>
          <w:color w:val="auto"/>
        </w:rPr>
      </w:pPr>
    </w:p>
    <w:p>
      <w:pPr>
        <w:ind w:left="9" w:right="3399" w:firstLine="355"/>
        <w:spacing w:after="0"/>
        <w:rPr>
          <w:sz w:val="20"/>
          <w:szCs w:val="20"/>
          <w:color w:val="auto"/>
        </w:rPr>
      </w:pPr>
      <w:r>
        <w:rPr>
          <w:rFonts w:ascii="Courier New" w:cs="Courier New" w:eastAsia="Courier New" w:hAnsi="Courier New"/>
          <w:sz w:val="15"/>
          <w:szCs w:val="15"/>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PATENT AND LICENSE COSTS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7"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457" w:right="1440" w:bottom="1440" w:gutter="0" w:footer="0" w:header="0"/>
        </w:sectPr>
      </w:pPr>
    </w:p>
    <w:bookmarkStart w:id="78" w:name="page79"/>
    <w:bookmarkEnd w:id="7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 LIVED ASSETS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457" w:right="1440" w:bottom="1440" w:gutter="0" w:footer="0" w:header="0"/>
        </w:sectPr>
      </w:pPr>
    </w:p>
    <w:bookmarkStart w:id="79" w:name="page80"/>
    <w:bookmarkEnd w:id="79"/>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7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8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COSTS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2" w:lineRule="exact"/>
        <w:rPr>
          <w:sz w:val="20"/>
          <w:szCs w:val="20"/>
          <w:color w:val="auto"/>
        </w:rPr>
      </w:pPr>
    </w:p>
    <w:p>
      <w:pPr>
        <w:ind w:left="349" w:hanging="349"/>
        <w:spacing w:after="0"/>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8"/>
          </w:cols>
          <w:pgMar w:left="231" w:top="457" w:right="1440" w:bottom="1440" w:gutter="0" w:footer="0" w:header="0"/>
        </w:sectPr>
      </w:pPr>
    </w:p>
    <w:bookmarkStart w:id="80" w:name="page81"/>
    <w:bookmarkEnd w:id="80"/>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5"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3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6"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At December 31, 1999, the Company's $1.6 million wind-down reserve included approximately $1.2 million for the RIPSAT settlement and approximately</w:t>
      </w:r>
    </w:p>
    <w:p>
      <w:pPr>
        <w:ind w:left="9" w:right="3119"/>
        <w:spacing w:after="0"/>
        <w:rPr>
          <w:sz w:val="20"/>
          <w:szCs w:val="20"/>
          <w:color w:val="auto"/>
        </w:rPr>
      </w:pPr>
      <w:r>
        <w:rPr>
          <w:rFonts w:ascii="Courier New" w:cs="Courier New" w:eastAsia="Courier New" w:hAnsi="Courier New"/>
          <w:sz w:val="15"/>
          <w:szCs w:val="15"/>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457" w:right="1440" w:bottom="1440" w:gutter="0" w:footer="0" w:header="0"/>
        </w:sectPr>
      </w:pPr>
    </w:p>
    <w:bookmarkStart w:id="81" w:name="page82"/>
    <w:bookmarkEnd w:id="8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firstLine="355"/>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 1999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$1,554,000</w:t>
            </w:r>
          </w:p>
        </w:tc>
        <w:tc>
          <w:tcPr>
            <w:tcW w:w="164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headquarters....................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702,000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PILOT MANUFACTURING PLANT.................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562,000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1,264,000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EMPLOYEE OUTPLACEMENT.......................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RIPSAT settlement(3)........................</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1,172,000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180,000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Write-down of pilot plant(5)................</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$6,048,000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6" w:lineRule="exact"/>
        <w:rPr>
          <w:rFonts w:ascii="Courier New" w:cs="Courier New" w:eastAsia="Courier New" w:hAnsi="Courier New"/>
          <w:sz w:val="15"/>
          <w:szCs w:val="15"/>
          <w:color w:val="auto"/>
        </w:rPr>
      </w:pPr>
    </w:p>
    <w:p>
      <w:pPr>
        <w:ind w:left="349" w:right="3579" w:hanging="349"/>
        <w:spacing w:after="0" w:line="262" w:lineRule="auto"/>
        <w:tabs>
          <w:tab w:leader="none" w:pos="3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7"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8"/>
          </w:cols>
          <w:pgMar w:left="231" w:top="457" w:right="1440" w:bottom="1440" w:gutter="0" w:footer="0" w:header="0"/>
        </w:sectPr>
      </w:pPr>
    </w:p>
    <w:bookmarkStart w:id="82" w:name="page83"/>
    <w:bookmarkEnd w:id="8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held for sale at December 31, 2000 and 1999, consisted of</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174"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457" w:right="1440" w:bottom="1440" w:gutter="0" w:footer="0" w:header="0"/>
        </w:sectPr>
      </w:pPr>
    </w:p>
    <w:bookmarkStart w:id="83" w:name="page84"/>
    <w:bookmarkEnd w:id="8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left="9" w:right="3579" w:firstLine="355"/>
        <w:spacing w:after="0" w:line="239"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6" w:lineRule="exact"/>
        <w:rPr>
          <w:sz w:val="20"/>
          <w:szCs w:val="20"/>
          <w:color w:val="auto"/>
        </w:rPr>
      </w:pPr>
    </w:p>
    <w:p>
      <w:pPr>
        <w:ind w:left="9" w:right="3759" w:firstLine="355"/>
        <w:spacing w:after="0" w:line="258" w:lineRule="auto"/>
        <w:rPr>
          <w:sz w:val="20"/>
          <w:szCs w:val="20"/>
          <w:color w:val="auto"/>
        </w:rPr>
      </w:pPr>
      <w:r>
        <w:rPr>
          <w:rFonts w:ascii="Courier New" w:cs="Courier New" w:eastAsia="Courier New" w:hAnsi="Courier New"/>
          <w:sz w:val="14"/>
          <w:szCs w:val="14"/>
          <w:color w:val="auto"/>
        </w:rPr>
        <w:t>At December 31, 2000 the Company owned 126,193 shares of Modex. Modex completed an initial public offering of shares on the Swiss Exchange on</w:t>
      </w:r>
    </w:p>
    <w:p>
      <w:pPr>
        <w:ind w:left="9" w:right="3219"/>
        <w:spacing w:after="0" w:line="239" w:lineRule="auto"/>
        <w:rPr>
          <w:sz w:val="20"/>
          <w:szCs w:val="20"/>
          <w:color w:val="auto"/>
        </w:rPr>
      </w:pPr>
      <w:r>
        <w:rPr>
          <w:rFonts w:ascii="Courier New" w:cs="Courier New" w:eastAsia="Courier New" w:hAnsi="Courier New"/>
          <w:sz w:val="15"/>
          <w:szCs w:val="15"/>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6"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2" w:lineRule="exact"/>
        <w:rPr>
          <w:sz w:val="20"/>
          <w:szCs w:val="20"/>
          <w:color w:val="auto"/>
        </w:rPr>
      </w:pPr>
    </w:p>
    <w:p>
      <w:pPr>
        <w:ind w:left="34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703,095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665,890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1,766,448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1,691,136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188,736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219,260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2,658,279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2,576,286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(1,207,218)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(828,401)</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19" w:firstLine="355"/>
        <w:spacing w:after="0" w:line="238"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457" w:right="1440" w:bottom="1440" w:gutter="0" w:footer="0" w:header="0"/>
        </w:sectPr>
      </w:pPr>
    </w:p>
    <w:bookmarkStart w:id="84" w:name="page85"/>
    <w:bookmarkEnd w:id="84"/>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decision to exit ECT and relocate to Sunnyvale, California, this property has been classified as held for sale.</w:t>
      </w:r>
    </w:p>
    <w:p>
      <w:pPr>
        <w:spacing w:after="0" w:line="172" w:lineRule="exact"/>
        <w:rPr>
          <w:sz w:val="20"/>
          <w:szCs w:val="20"/>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629,203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708,823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669,000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282,750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Deposit--other.......................................</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117,195</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2,173,912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99" w:firstLine="355"/>
        <w:spacing w:after="0" w:line="238"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72" w:lineRule="exact"/>
        <w:rPr>
          <w:sz w:val="20"/>
          <w:szCs w:val="20"/>
          <w:color w:val="auto"/>
        </w:rPr>
      </w:pPr>
    </w:p>
    <w:p>
      <w:pPr>
        <w:ind w:left="349" w:hanging="349"/>
        <w:spacing w:after="0"/>
        <w:tabs>
          <w:tab w:leader="none" w:pos="3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0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306,342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222,140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344,625</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$837,358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457" w:right="1440" w:bottom="1440" w:gutter="0" w:footer="0" w:header="0"/>
        </w:sectPr>
      </w:pPr>
    </w:p>
    <w:bookmarkStart w:id="85" w:name="page86"/>
    <w:bookmarkEnd w:id="85"/>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5"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SUBLEASE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589,217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$ 3,584,061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295,854</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519,719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2,392,988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400,658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436,909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4,568,274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395,676</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425,713</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4,677,197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416,507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412,587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4,789,388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437,338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2,311,577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8,797,417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130,761</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4,695,722</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$28,809,325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$2,076,794</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1,758,639</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$2,605,000</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5"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5" w:lineRule="exact"/>
        <w:rPr>
          <w:sz w:val="20"/>
          <w:szCs w:val="20"/>
          <w:color w:val="auto"/>
        </w:rPr>
      </w:pPr>
    </w:p>
    <w:p>
      <w:pPr>
        <w:ind w:left="9" w:right="8019" w:hanging="9"/>
        <w:spacing w:after="0" w:line="516" w:lineRule="auto"/>
        <w:tabs>
          <w:tab w:leader="none" w:pos="45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spacing w:after="0" w:line="1"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457" w:right="1440" w:bottom="1440" w:gutter="0" w:footer="0" w:header="0"/>
        </w:sectPr>
      </w:pPr>
    </w:p>
    <w:bookmarkStart w:id="86" w:name="page87"/>
    <w:bookmarkEnd w:id="86"/>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77" w:lineRule="exact"/>
        <w:rPr>
          <w:sz w:val="20"/>
          <w:szCs w:val="20"/>
          <w:color w:val="auto"/>
        </w:rPr>
      </w:pPr>
    </w:p>
    <w:p>
      <w:pPr>
        <w:jc w:val="both"/>
        <w:ind w:left="9"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6"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$10.05 per underlying share. The calculated value of this callable warrant using the Black-Scholes method is $139,897, which the Company accounted for as a credit to paid in capital.</w:t>
      </w:r>
    </w:p>
    <w:p>
      <w:pPr>
        <w:spacing w:after="0" w:line="17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457" w:right="1440" w:bottom="1440" w:gutter="0" w:footer="0" w:header="0"/>
        </w:sectPr>
      </w:pPr>
    </w:p>
    <w:bookmarkStart w:id="87" w:name="page88"/>
    <w:bookmarkEnd w:id="8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REDEEMABLE COMMON STOCK</w:t>
      </w:r>
    </w:p>
    <w:p>
      <w:pPr>
        <w:spacing w:after="0" w:line="174"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$50,000, and will make additional cash payments when milestones are achieved in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non-transplant field, or in any products employing NeuroSpheres patents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ISSUED</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457" w:right="1440" w:bottom="1440" w:gutter="0" w:footer="0" w:header="0"/>
        </w:sectPr>
      </w:pPr>
    </w:p>
    <w:bookmarkStart w:id="88" w:name="page89"/>
    <w:bookmarkEnd w:id="88"/>
    <w:p>
      <w:pPr>
        <w:jc w:val="center"/>
        <w:ind w:right="3451"/>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3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78"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ind w:right="1026"/>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spacing w:after="0"/>
              <w:rPr>
                <w:sz w:val="14"/>
                <w:szCs w:val="14"/>
                <w:color w:val="auto"/>
              </w:rPr>
            </w:pPr>
          </w:p>
        </w:tc>
        <w:tc>
          <w:tcPr>
            <w:tcW w:w="152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2840" w:type="dxa"/>
            <w:vAlign w:val="bottom"/>
          </w:tcPr>
          <w:p>
            <w:pPr>
              <w:spacing w:after="0"/>
              <w:rPr>
                <w:sz w:val="14"/>
                <w:szCs w:val="14"/>
                <w:color w:val="auto"/>
              </w:rPr>
            </w:pPr>
          </w:p>
        </w:tc>
        <w:tc>
          <w:tcPr>
            <w:tcW w:w="2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$2.65</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1,654,126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2,485,090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4.08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536,078</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(540,927)</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(604,362)</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(166,532)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(646,507)</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7.08</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2,716,966</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4.32</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939,335</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$3.62</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731,523</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$4.01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594,216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$4.33</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469"/>
          </w:cols>
          <w:pgMar w:left="231" w:top="457" w:right="1199" w:bottom="1440" w:gutter="0" w:footer="0" w:header="0"/>
        </w:sectPr>
      </w:pPr>
    </w:p>
    <w:bookmarkStart w:id="89" w:name="page90"/>
    <w:bookmarkEnd w:id="89"/>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1" w:lineRule="exact"/>
        <w:rPr>
          <w:sz w:val="20"/>
          <w:szCs w:val="20"/>
          <w:color w:val="auto"/>
        </w:rPr>
      </w:pPr>
    </w:p>
    <w:p>
      <w:pPr>
        <w:ind w:left="9" w:right="3479" w:firstLine="355"/>
        <w:spacing w:after="0" w:line="27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3800" w:type="dxa"/>
            <w:vAlign w:val="bottom"/>
          </w:tcPr>
          <w:p>
            <w:pPr>
              <w:spacing w:after="0"/>
              <w:rPr>
                <w:sz w:val="14"/>
                <w:szCs w:val="14"/>
                <w:color w:val="auto"/>
              </w:rPr>
            </w:pPr>
          </w:p>
        </w:tc>
        <w:tc>
          <w:tcPr>
            <w:tcW w:w="2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WEIGHTED</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REMAINING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CONTRACTUAL</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LIFE (YRS.)</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Less than $5.00...........................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944,216</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8.68</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$ 2.063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370,023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$5.01 -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1,691,750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6.87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5.26</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280,500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Greater than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2,716,966</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731,523</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2"/>
              </w:rPr>
              <w: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(11,125,477)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(12,160,752)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(15,708,626)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(15,764,569)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(12,627,830)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(14,919,389)</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457" w:right="1440" w:bottom="1440" w:gutter="0" w:footer="0" w:header="0"/>
        </w:sectPr>
      </w:pPr>
    </w:p>
    <w:bookmarkStart w:id="90" w:name="page91"/>
    <w:bookmarkEnd w:id="90"/>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purchase plan at the date of grant were estimated using the Black-Scholes model with the following weighted average assumptions: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31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STOCK PURCHASE PLAN</w:t>
            </w:r>
          </w:p>
        </w:tc>
      </w:tr>
      <w:tr>
        <w:trPr>
          <w:trHeight w:val="171"/>
        </w:trPr>
        <w:tc>
          <w:tcPr>
            <w:tcW w:w="3360" w:type="dxa"/>
            <w:vAlign w:val="bottom"/>
          </w:tcPr>
          <w:p>
            <w:pPr>
              <w:spacing w:after="0"/>
              <w:rPr>
                <w:sz w:val="14"/>
                <w:szCs w:val="14"/>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24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167.8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WARRANTS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RESERVED</w:t>
      </w:r>
    </w:p>
    <w:p>
      <w:pPr>
        <w:spacing w:after="0" w:line="171"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The Company has the following shares of common stock reserved for the</w:t>
      </w:r>
    </w:p>
    <w:p>
      <w:pPr>
        <w:spacing w:after="0" w:line="3"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4"/>
          <w:szCs w:val="14"/>
          <w:color w:val="auto"/>
        </w:rPr>
        <w:t>exercise of options, warrants and other contingent issuances of common stock.</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exercise of stock options...............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warrants................................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2,292,625</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StemCell option</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conversions.................................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250,344</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8"/>
          </w:cols>
          <w:pgMar w:left="231" w:top="457" w:right="1440" w:bottom="1440" w:gutter="0" w:footer="0" w:header="0"/>
        </w:sectPr>
      </w:pPr>
    </w:p>
    <w:bookmarkStart w:id="91" w:name="page92"/>
    <w:bookmarkEnd w:id="9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8"/>
          </w:cols>
          <w:pgMar w:left="231" w:top="457" w:right="1440" w:bottom="1440" w:gutter="0" w:footer="0" w:header="0"/>
        </w:sectPr>
      </w:pPr>
    </w:p>
    <w:bookmarkStart w:id="92" w:name="page93"/>
    <w:bookmarkEnd w:id="9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7"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2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44,000,000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55,280,000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gain on investment..................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(6,543,000)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(48,610,000)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56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Realization of deferred tax assets is dependent upon future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earnings, if</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any, the timing and amount of which are uncertain. Accordingly,</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net deferred</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tax assets have been fully offset by a valuation allowance. The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allowance increased by $6,272,000 during 1999, and $5,459,000 during 1998.</w:t>
      </w:r>
    </w:p>
    <w:p>
      <w:pPr>
        <w:spacing w:after="0" w:line="171" w:lineRule="exact"/>
        <w:rPr>
          <w:sz w:val="20"/>
          <w:szCs w:val="20"/>
          <w:color w:val="auto"/>
        </w:rPr>
      </w:pPr>
    </w:p>
    <w:p>
      <w:pPr>
        <w:ind w:left="449" w:hanging="449"/>
        <w:spacing w:after="0"/>
        <w:tabs>
          <w:tab w:leader="none" w:pos="4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73" w:lineRule="exact"/>
        <w:rPr>
          <w:sz w:val="20"/>
          <w:szCs w:val="20"/>
          <w:color w:val="auto"/>
        </w:rPr>
      </w:pPr>
    </w:p>
    <w:p>
      <w:pPr>
        <w:ind w:left="449" w:hanging="449"/>
        <w:spacing w:after="0"/>
        <w:tabs>
          <w:tab w:leader="none" w:pos="44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457" w:right="1440" w:bottom="1440" w:gutter="0" w:footer="0" w:header="0"/>
        </w:sectPr>
      </w:pPr>
    </w:p>
    <w:bookmarkStart w:id="93" w:name="page94"/>
    <w:bookmarkEnd w:id="9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7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5"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15.</w:t>
        <w:tab/>
        <w:t>QUARTERLY FINANCIAL INFORMATION (UNAUDITED)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368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THIRD</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FOURTH</w:t>
            </w:r>
          </w:p>
        </w:tc>
      </w:tr>
      <w:tr>
        <w:trPr>
          <w:trHeight w:val="171"/>
        </w:trPr>
        <w:tc>
          <w:tcPr>
            <w:tcW w:w="37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7"/>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2000: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1,799</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2,553</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6,378</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(2,539)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(6,260)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applicable to common shareholders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before cumulative effect.............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accounting principle(1)..............</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 per share applicable to 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shareholders.........................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1999:</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4,454</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6,690</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(1,932)</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(1,840)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(6,711)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(5,226)</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512"/>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94" w:name="page95"/>
    <w:bookmarkEnd w:id="94"/>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2001</w:t>
            </w:r>
          </w:p>
        </w:tc>
      </w:tr>
      <w:tr>
        <w:trPr>
          <w:trHeight w:val="171"/>
        </w:trPr>
        <w:tc>
          <w:tcPr>
            <w:tcW w:w="54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4,499,158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restricted investments.........................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909,415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473,696</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14,304,625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held for sale....................................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1,442,089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2,556,457</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785,064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wind-down costs...................................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1,380,947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333,333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2,737,200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2,521,250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760,508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 at March 31, 2000...........................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21,458,211 shares issued and outstanding at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 2001..........................................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57" w:right="1440" w:bottom="1440" w:gutter="0" w:footer="0" w:header="0"/>
        </w:sectPr>
      </w:pPr>
    </w:p>
    <w:bookmarkStart w:id="95" w:name="page96"/>
    <w:bookmarkEnd w:id="95"/>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grants.........................................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1,644,257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996,862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657,714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Wind-down 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234,386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2,641,119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1,798,732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(2,541,119)</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(1,798,732)</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79,041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(68,858)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180,389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other income, net.....................................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2,809,660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basic net income (loss)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20,989,127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diluted income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22,405,358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57" w:right="1440" w:bottom="1440" w:gutter="0" w:footer="0" w:header="0"/>
        </w:sectPr>
      </w:pPr>
    </w:p>
    <w:bookmarkStart w:id="96" w:name="page97"/>
    <w:bookmarkEnd w:id="96"/>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used for 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142,554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204,449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Compensation expense relating to the grant of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128,220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(1,812,084)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(1,776,812)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(3,822,999)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(3,322,870)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plant and equipment.................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(114,734)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 of other assets...............................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(126,391)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sales of technology.........................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2,309,105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2,792,458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352,557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(82,500)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(55,895)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272,557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(1,569,789)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(257,855)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$ 4,499,158</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$ 4,502,209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64,460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68,858</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57" w:right="1440" w:bottom="1440" w:gutter="0" w:footer="0" w:header="0"/>
        </w:sectPr>
      </w:pPr>
    </w:p>
    <w:bookmarkStart w:id="97" w:name="page98"/>
    <w:bookmarkEnd w:id="97"/>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8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INCOME (LOSS) PER SHARE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LOSS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176" w:lineRule="exact"/>
        <w:rPr>
          <w:sz w:val="20"/>
          <w:szCs w:val="20"/>
          <w:color w:val="auto"/>
        </w:rPr>
      </w:pPr>
    </w:p>
    <w:p>
      <w:pPr>
        <w:ind w:left="780" w:right="357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NOTE 4.</w:t>
        <w:tab/>
        <w:t>WIND-DOWN OF ENCAPSULATED CELL TECHNOLOGY RESEARCH AND DEVELOPMENT PROGRAM</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previously reported, in 1999 the Company restructured its operations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abandon all further encapsulated cell technology research and concentrate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on the research and development of its proprietary platform of 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technologies. The Company relocated its remaining research and development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and its corporate headquarters to California, and has been seeking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its former science and administrative and pilot manufacturing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in Rhode Island. In December 2000, the company had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$1,780,000 related to the carrying costs for the Rhode Island facilities through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On February 2001, the Company subleased portions of the facilities and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actively seeking to sublease, assign or sell our remaining interests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However, there can be no assurance that the Company will be able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these facilities in a reasonable time, if at all. At March 31,2001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reserve was $1,381,000.</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40"/>
        <w:spacing w:after="0" w:line="271" w:lineRule="auto"/>
        <w:rPr>
          <w:sz w:val="20"/>
          <w:szCs w:val="20"/>
          <w:color w:val="auto"/>
        </w:rPr>
      </w:pPr>
      <w:r>
        <w:rPr>
          <w:rFonts w:ascii="Courier New" w:cs="Courier New" w:eastAsia="Courier New" w:hAnsi="Courier New"/>
          <w:sz w:val="14"/>
          <w:szCs w:val="14"/>
          <w:color w:val="auto"/>
        </w:rPr>
        <w:t>RESERVE AS AT 12/31/2000 ------------------------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AS AT 03/31/01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3">
            <w:col w:w="2480" w:space="620"/>
            <w:col w:w="700" w:space="720"/>
            <w:col w:w="5699"/>
          </w:cols>
          <w:pgMar w:left="240" w:top="45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5"/>
          <w:szCs w:val="15"/>
          <w:color w:val="auto"/>
        </w:rPr>
        <w:t>$1,780,579</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$399,632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$1,380,947</w:t>
      </w:r>
    </w:p>
    <w:p>
      <w:pPr>
        <w:spacing w:after="0" w:line="200" w:lineRule="exact"/>
        <w:rPr>
          <w:sz w:val="20"/>
          <w:szCs w:val="20"/>
          <w:color w:val="auto"/>
        </w:rPr>
      </w:pPr>
    </w:p>
    <w:p>
      <w:pPr>
        <w:sectPr>
          <w:pgSz w:w="11900" w:h="16838" w:orient="portrait"/>
          <w:cols w:equalWidth="0" w:num="3">
            <w:col w:w="2380" w:space="720"/>
            <w:col w:w="1220" w:space="720"/>
            <w:col w:w="5179"/>
          </w:cols>
          <w:pgMar w:left="240" w:top="457" w:right="1440"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457" w:right="1440" w:bottom="1440" w:gutter="0" w:footer="0" w:header="0"/>
          <w:type w:val="continuous"/>
        </w:sectPr>
      </w:pPr>
    </w:p>
    <w:bookmarkStart w:id="98" w:name="page99"/>
    <w:bookmarkEnd w:id="98"/>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346" w:lineRule="exact"/>
        <w:rPr>
          <w:sz w:val="20"/>
          <w:szCs w:val="20"/>
          <w:color w:val="auto"/>
        </w:rPr>
      </w:pPr>
    </w:p>
    <w:p>
      <w:pPr>
        <w:jc w:val="both"/>
        <w:ind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57" w:right="1440" w:bottom="1440" w:gutter="0" w:footer="0" w:header="0"/>
        </w:sectPr>
      </w:pPr>
    </w:p>
    <w:bookmarkStart w:id="99" w:name="page100"/>
    <w:bookmarkEnd w:id="99"/>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underlying share. The calculated value of this callable warrant using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method is $139,897, which the Company accounts for as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cost that has no impact on stockholders' equity.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tab/>
        <w:t>LEASES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8.</w:t>
        <w:tab/>
        <w:t>GRANT</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457" w:right="1440" w:bottom="1440" w:gutter="0" w:footer="0" w:header="0"/>
        </w:sectPr>
      </w:pPr>
    </w:p>
    <w:bookmarkStart w:id="100" w:name="page101"/>
    <w:bookmarkEnd w:id="100"/>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 (CONTINUED)</w:t>
      </w:r>
    </w:p>
    <w:p>
      <w:pPr>
        <w:spacing w:after="0" w:line="3" w:lineRule="exact"/>
        <w:rPr>
          <w:sz w:val="20"/>
          <w:szCs w:val="20"/>
          <w:color w:val="auto"/>
        </w:rPr>
      </w:pPr>
    </w:p>
    <w:p>
      <w:pPr>
        <w:ind w:right="3219" w:firstLine="355"/>
        <w:spacing w:after="0" w:line="271" w:lineRule="auto"/>
        <w:rPr>
          <w:sz w:val="20"/>
          <w:szCs w:val="20"/>
          <w:color w:val="auto"/>
        </w:rPr>
      </w:pPr>
      <w:r>
        <w:rPr>
          <w:rFonts w:ascii="Courier New" w:cs="Courier New" w:eastAsia="Courier New" w:hAnsi="Courier New"/>
          <w:sz w:val="14"/>
          <w:szCs w:val="14"/>
          <w:color w:val="auto"/>
        </w:rPr>
        <w:t>On April 27, 2001, the Company reached an agreement to terminate as of May 15, 2001, without cost, its lease on part of its former Sunnyvale headquarters.</w:t>
      </w:r>
    </w:p>
    <w:p>
      <w:pPr>
        <w:spacing w:after="0" w:line="15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RECENT ACCOUNTING PRONOUNCEMENT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57" w:right="1440" w:bottom="1440" w:gutter="0" w:footer="0" w:header="0"/>
        </w:sectPr>
      </w:pPr>
    </w:p>
    <w:bookmarkStart w:id="101" w:name="page102"/>
    <w:bookmarkEnd w:id="101"/>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7,979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Printing and engraving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$ 30,000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$ 35,000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$ 15,000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Miscellaneous...............................................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$137,979</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57" w:right="1440" w:bottom="1440" w:gutter="0" w:footer="0" w:header="0"/>
        </w:sectPr>
      </w:pPr>
    </w:p>
    <w:bookmarkStart w:id="102" w:name="page103"/>
    <w:bookmarkEnd w:id="102"/>
    <w:p>
      <w:pPr>
        <w:ind w:left="9" w:right="3119" w:firstLine="355"/>
        <w:spacing w:after="0" w:line="239"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6"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left="9" w:right="3399" w:firstLine="355"/>
        <w:spacing w:after="0" w:line="258"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9" w:right="3219" w:hanging="9"/>
        <w:spacing w:after="0"/>
        <w:tabs>
          <w:tab w:leader="none" w:pos="36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 and (d) below, Section 4(2) of a the Securities Act or Regulation D promulgated thereunder relative to sales by an issuer not involving a public offering; and (ii) in the case of the transactions (c) below, Section 3(b) of the Securities Act and Rule 701 promulgated thereunder relative to sales pursuant to certain compensatory benefits plans.</w:t>
      </w:r>
    </w:p>
    <w:p>
      <w:pPr>
        <w:spacing w:after="0" w:line="175" w:lineRule="exact"/>
        <w:rPr>
          <w:rFonts w:ascii="Courier New" w:cs="Courier New" w:eastAsia="Courier New" w:hAnsi="Courier New"/>
          <w:sz w:val="15"/>
          <w:szCs w:val="15"/>
          <w:color w:val="auto"/>
        </w:rPr>
      </w:pPr>
    </w:p>
    <w:p>
      <w:pPr>
        <w:ind w:left="9" w:right="3119" w:firstLine="346"/>
        <w:spacing w:after="0"/>
        <w:tabs>
          <w:tab w:leader="none" w:pos="71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Any unconverted preferred stock is converted, at the applicable conversion price, on April 13, 2002. The warrants, which are exercisable at $6.58 per share, expire on April 13, 2005.</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460" w:right="1440" w:bottom="1440" w:gutter="0" w:footer="0" w:header="0"/>
        </w:sectPr>
      </w:pPr>
    </w:p>
    <w:bookmarkStart w:id="103" w:name="page104"/>
    <w:bookmarkEnd w:id="103"/>
    <w:p>
      <w:pPr>
        <w:ind w:right="3119"/>
        <w:spacing w:after="0"/>
        <w:rPr>
          <w:sz w:val="20"/>
          <w:szCs w:val="20"/>
          <w:color w:val="auto"/>
        </w:rPr>
      </w:pPr>
      <w:r>
        <w:rPr>
          <w:rFonts w:ascii="Courier New" w:cs="Courier New" w:eastAsia="Courier New" w:hAnsi="Courier New"/>
          <w:sz w:val="15"/>
          <w:szCs w:val="15"/>
          <w:color w:val="auto"/>
        </w:rPr>
        <w:t>Fund. On January 27, 2001, Millennium's August 3, 2000 adjustable warrant became exercisable for 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 The Fund also received a warrant to purchase up to 101,587 shares of common stock at $4.725 per share. This warrant is callable by the Registrant at $7.875 per underlying share.</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June 8, 2001, the Fund exercised its remaining option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million of additional common stock. At the closing on June 21, 2001, the Fund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457,750 shares of common stock at $4.3692 per share. The Fund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of the purchase price at the closing and will pay the remainder upon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effectiveness of a registration statement covering the shares purchased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and issuable upon exercise of the warrants received by the Fund.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does not cover the shares purchased by or issuable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In connection with the closing, the Fund received an adjustable warrant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to the adjustable warrant issued on August 3, 2000. The Fund also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a five-year warrant to purchase 50,352 shares of additional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at a price per share of $4.7664. This warrant is callable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 at any time at $7.944 per underlying share.</w:t>
      </w:r>
    </w:p>
    <w:p>
      <w:pPr>
        <w:spacing w:after="0" w:line="174" w:lineRule="exact"/>
        <w:rPr>
          <w:sz w:val="20"/>
          <w:szCs w:val="20"/>
          <w:color w:val="auto"/>
        </w:rPr>
      </w:pPr>
    </w:p>
    <w:p>
      <w:pPr>
        <w:ind w:right="3219" w:firstLine="346"/>
        <w:spacing w:after="0"/>
        <w:tabs>
          <w:tab w:leader="none" w:pos="7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5" w:lineRule="exact"/>
        <w:rPr>
          <w:rFonts w:ascii="Courier New" w:cs="Courier New" w:eastAsia="Courier New" w:hAnsi="Courier New"/>
          <w:sz w:val="15"/>
          <w:szCs w:val="15"/>
          <w:color w:val="auto"/>
        </w:rPr>
      </w:pPr>
    </w:p>
    <w:p>
      <w:pPr>
        <w:ind w:right="3219" w:firstLine="346"/>
        <w:spacing w:after="0" w:line="238" w:lineRule="auto"/>
        <w:tabs>
          <w:tab w:leader="none" w:pos="7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rFonts w:ascii="Courier New" w:cs="Courier New" w:eastAsia="Courier New" w:hAnsi="Courier New"/>
          <w:sz w:val="15"/>
          <w:szCs w:val="15"/>
          <w:color w:val="auto"/>
        </w:rPr>
      </w:pPr>
    </w:p>
    <w:p>
      <w:pPr>
        <w:ind w:right="3119" w:firstLine="346"/>
        <w:spacing w:after="0"/>
        <w:tabs>
          <w:tab w:leader="none" w:pos="7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0"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620" w:right="3219" w:hanging="274"/>
        <w:spacing w:after="0" w:line="238" w:lineRule="auto"/>
        <w:tabs>
          <w:tab w:leader="none" w:pos="70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July 31, 2000,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Pacific Crest Securities, Inc.</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4.13XXX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Granite Financial Group, Inc.</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4.14XXX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June 21, 2001,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4.15XXX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 Class A, dated June 21,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issued to Millennium 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of Ropes &amp; Gray.</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457"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969" w:right="1440" w:bottom="1440" w:gutter="0" w:footer="0" w:header="0"/>
        </w:sectPr>
      </w:pPr>
    </w:p>
    <w:bookmarkStart w:id="106" w:name="page107"/>
    <w:bookmarkEnd w:id="106"/>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Sativum Investments Limited and Epstein, Becker &amp;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Green, 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10.55XXX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June 21, 2001, by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10.56XXX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June 21, 2001,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Millennium Partners, L.P.</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form of opinion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filed as 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333-91228.</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1140" w:right="1440" w:bottom="1440" w:gutter="0" w:footer="0" w:header="0"/>
        </w:sectPr>
      </w:pPr>
    </w:p>
    <w:bookmarkStart w:id="107" w:name="page108"/>
    <w:bookmarkEnd w:id="107"/>
    <w:p>
      <w:pPr>
        <w:ind w:left="529" w:right="3479" w:hanging="529"/>
        <w:spacing w:after="0" w:line="258" w:lineRule="auto"/>
        <w:tabs>
          <w:tab w:leader="none" w:pos="61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529" w:right="3479" w:hanging="531"/>
        <w:spacing w:after="0" w:line="239"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5" w:lineRule="exact"/>
        <w:rPr>
          <w:sz w:val="20"/>
          <w:szCs w:val="20"/>
          <w:color w:val="auto"/>
        </w:rPr>
      </w:pPr>
    </w:p>
    <w:p>
      <w:pPr>
        <w:jc w:val="both"/>
        <w:ind w:left="529" w:right="3399" w:hanging="529"/>
        <w:spacing w:after="0" w:line="239" w:lineRule="auto"/>
        <w:tabs>
          <w:tab w:leader="none" w:pos="52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pacing w:after="0" w:line="330" w:lineRule="exact"/>
        <w:rPr>
          <w:sz w:val="20"/>
          <w:szCs w:val="20"/>
          <w:color w:val="auto"/>
        </w:rPr>
      </w:pPr>
    </w:p>
    <w:p>
      <w:pPr>
        <w:ind w:left="529" w:right="3299" w:hanging="529"/>
        <w:spacing w:after="0" w:line="239" w:lineRule="auto"/>
        <w:tabs>
          <w:tab w:leader="none" w:pos="35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filed on Form S-1 as amended to Form S-3, File No. 333-61726.</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460"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right="3119" w:firstLine="346"/>
        <w:spacing w:after="0" w:line="259" w:lineRule="auto"/>
        <w:tabs>
          <w:tab w:leader="none" w:pos="79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0" w:lineRule="exact"/>
        <w:rPr>
          <w:rFonts w:ascii="Courier New" w:cs="Courier New" w:eastAsia="Courier New" w:hAnsi="Courier New"/>
          <w:sz w:val="14"/>
          <w:szCs w:val="14"/>
          <w:color w:val="auto"/>
        </w:rPr>
      </w:pPr>
    </w:p>
    <w:p>
      <w:pPr>
        <w:ind w:left="700" w:hanging="354"/>
        <w:spacing w:after="0"/>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620" w:right="3399" w:hanging="274"/>
        <w:spacing w:after="0" w:line="238" w:lineRule="auto"/>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060" w:right="3759" w:hanging="359"/>
        <w:spacing w:after="0" w:line="238" w:lineRule="auto"/>
        <w:tabs>
          <w:tab w:leader="none" w:pos="1060"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140" w:right="3119" w:hanging="439"/>
        <w:spacing w:after="0"/>
        <w:tabs>
          <w:tab w:leader="none" w:pos="1140"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40" w:right="3119" w:hanging="528"/>
        <w:spacing w:after="0" w:line="239" w:lineRule="auto"/>
        <w:tabs>
          <w:tab w:leader="none" w:pos="114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620" w:right="3119" w:hanging="274"/>
        <w:spacing w:after="0"/>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620" w:right="3119" w:hanging="274"/>
        <w:spacing w:after="0" w:line="239" w:lineRule="auto"/>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jc w:val="both"/>
        <w:ind w:left="620" w:right="3579" w:hanging="274"/>
        <w:spacing w:after="0" w:line="239" w:lineRule="auto"/>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5" w:lineRule="exact"/>
        <w:rPr>
          <w:sz w:val="20"/>
          <w:szCs w:val="20"/>
          <w:color w:val="auto"/>
        </w:rPr>
      </w:pPr>
    </w:p>
    <w:p>
      <w:pPr>
        <w:ind w:left="620" w:right="3119" w:hanging="274"/>
        <w:spacing w:after="0"/>
        <w:tabs>
          <w:tab w:leader="none" w:pos="70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457" w:right="1440" w:bottom="1440" w:gutter="0" w:footer="0" w:header="0"/>
        </w:sectPr>
      </w:pPr>
    </w:p>
    <w:bookmarkStart w:id="109" w:name="page110"/>
    <w:bookmarkEnd w:id="109"/>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Pre-Effective Amendment No. 2 to the Registration Statement to be signed on its behalf by the undersigned, thereunto duly authorized, in the City of Palo Alto, State of California, on the 2nd day of July,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4889"/>
        <w:spacing w:after="0"/>
        <w:tabs>
          <w:tab w:leader="none" w:pos="5309" w:val="left"/>
        </w:tabs>
        <w:rPr>
          <w:sz w:val="20"/>
          <w:szCs w:val="20"/>
          <w:color w:val="auto"/>
        </w:rPr>
      </w:pPr>
      <w:r>
        <w:rPr>
          <w:rFonts w:ascii="Courier New" w:cs="Courier New" w:eastAsia="Courier New" w:hAnsi="Courier New"/>
          <w:sz w:val="15"/>
          <w:szCs w:val="15"/>
          <w:color w:val="auto"/>
        </w:rPr>
        <w:t>BY:</w:t>
        <w:tab/>
        <w:t>/S/ MARTIN M. MCGLYNN</w:t>
      </w:r>
    </w:p>
    <w:p>
      <w:pPr>
        <w:spacing w:after="0" w:line="3"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Martin M. McGlynn</w:t>
      </w:r>
    </w:p>
    <w:p>
      <w:pPr>
        <w:spacing w:after="0" w:line="1"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1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Pre-Effective Amendment No. 2 to the Registration Statement has been signed by the following persons in the capacities indicated on July 2, 2001.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SIGNATURE</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Martin M. McGlynn,</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President, Chief Executive Officer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/s/ MARTIN M. MCGLYNN</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 Officer), 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George Koshy,</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Controller and Acting Chief Financial</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w w:val="98"/>
              </w:rPr>
              <w:t>Officer (Principal Financial Officer and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Roger M. Perlmutter, M.D., Ph.D.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512"/>
        </w:trPr>
        <w:tc>
          <w:tcPr>
            <w:tcW w:w="4560" w:type="dxa"/>
            <w:vAlign w:val="bottom"/>
          </w:tcPr>
          <w:p>
            <w:pPr>
              <w:jc w:val="right"/>
              <w:ind w:right="2186"/>
              <w:spacing w:after="0"/>
              <w:rPr>
                <w:sz w:val="20"/>
                <w:szCs w:val="20"/>
                <w:color w:val="auto"/>
              </w:rPr>
            </w:pPr>
            <w:r>
              <w:rPr>
                <w:rFonts w:ascii="Courier New" w:cs="Courier New" w:eastAsia="Courier New" w:hAnsi="Courier New"/>
                <w:sz w:val="15"/>
                <w:szCs w:val="15"/>
                <w:color w:val="auto"/>
                <w:w w:val="97"/>
              </w:rPr>
              <w:t>- ------------------------</w:t>
            </w:r>
          </w:p>
        </w:tc>
        <w:tc>
          <w:tcPr>
            <w:tcW w:w="4040" w:type="dxa"/>
            <w:vAlign w:val="bottom"/>
          </w:tcPr>
          <w:p>
            <w:pPr>
              <w:spacing w:after="0"/>
              <w:rPr>
                <w:sz w:val="24"/>
                <w:szCs w:val="24"/>
                <w:color w:val="auto"/>
              </w:rPr>
            </w:pPr>
          </w:p>
        </w:tc>
      </w:tr>
    </w:tbl>
    <w:p>
      <w:pPr>
        <w:spacing w:after="0" w:line="174" w:lineRule="exact"/>
        <w:rPr>
          <w:sz w:val="20"/>
          <w:szCs w:val="20"/>
          <w:color w:val="auto"/>
        </w:rPr>
      </w:pPr>
    </w:p>
    <w:p>
      <w:pPr>
        <w:ind w:left="349" w:right="3119" w:hanging="349"/>
        <w:spacing w:after="0" w:line="239" w:lineRule="auto"/>
        <w:tabs>
          <w:tab w:leader="none" w:pos="3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his name hereto Martin M. McGlynn is signing this document on behalf of the persons indicated above pursuant to the power of attorney duly executed by such persons and filed with the Securities and Exchange Commission.</w:t>
      </w:r>
    </w:p>
    <w:p>
      <w:pPr>
        <w:sectPr>
          <w:pgSz w:w="11900" w:h="16838" w:orient="portrait"/>
          <w:cols w:equalWidth="0" w:num="1">
            <w:col w:w="10228"/>
          </w:cols>
          <w:pgMar w:left="231" w:top="45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MARTIN M. MCGLYNN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Martin M. McGlynn</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349" w:space="720"/>
            <w:col w:w="9159"/>
          </w:cols>
          <w:pgMar w:left="231" w:top="457" w:right="1440" w:bottom="1440" w:gutter="0" w:footer="0" w:header="0"/>
          <w:type w:val="continuous"/>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28"/>
          </w:cols>
          <w:pgMar w:left="231" w:top="457" w:right="144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554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July 31, 2000,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Pacific Crest Securities, Inc.</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4.13XXX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Granite Financial Group,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June 21, 2001,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 Class A, dated June 21,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issued to Millennium 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Opinion of Ropes &amp; Gray.</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bl>
    <w:p>
      <w:pPr>
        <w:sectPr>
          <w:pgSz w:w="11900" w:h="16838" w:orient="portrait"/>
          <w:cols w:equalWidth="0" w:num="1">
            <w:col w:w="10219"/>
          </w:cols>
          <w:pgMar w:left="240" w:top="457" w:right="1440"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Hub RI Properties Trust, as Landlord,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CytoTherapeutics, 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John 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bl>
    <w:p>
      <w:pPr>
        <w:sectPr>
          <w:pgSz w:w="11900" w:h="16838" w:orient="portrait"/>
          <w:cols w:equalWidth="0" w:num="1">
            <w:col w:w="10219"/>
          </w:cols>
          <w:pgMar w:left="240" w:top="969" w:right="1440" w:bottom="1440" w:gutter="0" w:footer="0" w:header="0"/>
        </w:sectPr>
      </w:pPr>
    </w:p>
    <w:bookmarkStart w:id="112" w:name="page113"/>
    <w:bookmarkEnd w:id="112"/>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Sativum Investments Limited and Epstein Becker &amp;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Green, 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June 21, 2001, by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June 21, 2001,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Millennium Partners, L.P.</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opinion filed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ectPr>
          <w:pgSz w:w="11900" w:h="16838" w:orient="portrait"/>
          <w:cols w:equalWidth="0" w:num="1">
            <w:col w:w="10228"/>
          </w:cols>
          <w:pgMar w:left="231" w:top="969" w:right="1440" w:bottom="1440" w:gutter="0" w:footer="0" w:header="0"/>
        </w:sectPr>
      </w:pPr>
    </w:p>
    <w:bookmarkStart w:id="113" w:name="page114"/>
    <w:bookmarkEnd w:id="113"/>
    <w:p>
      <w:pPr>
        <w:ind w:left="529" w:right="3399" w:hanging="529"/>
        <w:spacing w:after="0" w:line="264" w:lineRule="auto"/>
        <w:tabs>
          <w:tab w:leader="none" w:pos="52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with the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w:t>
            </w:r>
          </w:p>
        </w:tc>
      </w:tr>
      <w:tr>
        <w:trPr>
          <w:trHeight w:val="171"/>
        </w:trPr>
        <w:tc>
          <w:tcPr>
            <w:tcW w:w="528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9"/>
              </w:rPr>
              <w:t>Form 10-K for the fiscal year ended December 31, 1998</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and filed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March 31, 1999.</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SectionSection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Previously</w:t>
            </w:r>
          </w:p>
        </w:tc>
        <w:tc>
          <w:tcPr>
            <w:tcW w:w="42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filed with the 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current report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Form 8-K on January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74" w:lineRule="exact"/>
        <w:rPr>
          <w:sz w:val="20"/>
          <w:szCs w:val="20"/>
          <w:color w:val="auto"/>
        </w:rPr>
      </w:pPr>
    </w:p>
    <w:p>
      <w:pPr>
        <w:jc w:val="both"/>
        <w:ind w:left="529" w:right="3399" w:hanging="529"/>
        <w:spacing w:after="0" w:line="239" w:lineRule="auto"/>
        <w:tabs>
          <w:tab w:leader="none" w:pos="52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pacing w:after="0" w:line="159" w:lineRule="exact"/>
        <w:rPr>
          <w:sz w:val="20"/>
          <w:szCs w:val="20"/>
          <w:color w:val="auto"/>
        </w:rPr>
      </w:pPr>
    </w:p>
    <w:p>
      <w:pPr>
        <w:ind w:left="529" w:right="3299" w:hanging="529"/>
        <w:spacing w:after="0" w:line="239" w:lineRule="auto"/>
        <w:tabs>
          <w:tab w:leader="none" w:pos="3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filed on Form S-1, File No. 333-61726.</w:t>
      </w:r>
    </w:p>
    <w:p>
      <w:pPr>
        <w:sectPr>
          <w:pgSz w:w="11900" w:h="16838" w:orient="portrait"/>
          <w:cols w:equalWidth="0" w:num="1">
            <w:col w:w="10228"/>
          </w:cols>
          <w:pgMar w:left="231" w:top="460" w:right="1440" w:bottom="1440" w:gutter="0" w:footer="0" w:header="0"/>
        </w:sectPr>
      </w:pPr>
    </w:p>
    <w:bookmarkStart w:id="114" w:name="page115"/>
    <w:bookmarkEnd w:id="114"/>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consent to the reference to our firm under the captions "Selected Consolidated Financial Data" and "Experts" and to the use of our report dated February 23, 2001 in Pre-Effective Amendment No. 2 to the Registration Statement on Form S-3 and related Prospectus of StemCells, Inc. for the registration of 10,350,000 shares of its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 2001</w:t>
      </w:r>
    </w:p>
    <w:sectPr>
      <w:pgSz w:w="11900" w:h="16838" w:orient="portrait"/>
      <w:cols w:equalWidth="0" w:num="1">
        <w:col w:w="10219"/>
      </w:cols>
      <w:pgMar w:left="240" w:top="3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lvl w:ilvl="1">
      <w:lvlJc w:val="left"/>
      <w:lvlText w:val="(%2)"/>
      <w:numFmt w:val="decimal"/>
      <w:start w:val="617"/>
    </w:lvl>
  </w:abstractNum>
  <w:abstractNum w:abstractNumId="1">
    <w:nsid w:val="61574095"/>
    <w:multiLevelType w:val="hybridMultilevel"/>
    <w:lvl w:ilvl="0">
      <w:lvlJc w:val="left"/>
      <w:lvlText w:val="(%1)"/>
      <w:numFmt w:val="decimal"/>
      <w:start w:val="617"/>
    </w:lvl>
    <w:lvl w:ilvl="1">
      <w:lvlJc w:val="left"/>
      <w:lvlText w:val="%2"/>
      <w:numFmt w:val="decimal"/>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lvl w:ilvl="1">
      <w:lvlJc w:val="left"/>
      <w:lvlText w:val="%2)"/>
      <w:numFmt w:val="lowerLetter"/>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1."/>
      <w:numFmt w:val="decimal"/>
      <w:start w:val="2"/>
    </w:lvl>
  </w:abstractNum>
  <w:abstractNum w:abstractNumId="21">
    <w:nsid w:val="42C296BD"/>
    <w:multiLevelType w:val="hybridMultilevel"/>
    <w:lvl w:ilvl="0">
      <w:lvlJc w:val="left"/>
      <w:lvlText w:val="%1."/>
      <w:numFmt w:val="decimal"/>
      <w:start w:val="3"/>
    </w:lvl>
  </w:abstractNum>
  <w:abstractNum w:abstractNumId="22">
    <w:nsid w:val="168E121F"/>
    <w:multiLevelType w:val="hybridMultilevel"/>
    <w:lvl w:ilvl="0">
      <w:lvlJc w:val="left"/>
      <w:lvlText w:val="%1."/>
      <w:numFmt w:val="decimal"/>
      <w:start w:val="4"/>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5"/>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decimal"/>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2"/>
    </w:lvl>
  </w:abstractNum>
  <w:abstractNum w:abstractNumId="50">
    <w:nsid w:val="885E1B"/>
    <w:multiLevelType w:val="hybridMultilevel"/>
    <w:lvl w:ilvl="0">
      <w:lvlJc w:val="left"/>
      <w:lvlText w:val="%1."/>
      <w:numFmt w:val="decimal"/>
      <w:start w:val="2"/>
    </w:lvl>
  </w:abstractNum>
  <w:abstractNum w:abstractNumId="51">
    <w:nsid w:val="76272110"/>
    <w:multiLevelType w:val="hybridMultilevel"/>
    <w:lvl w:ilvl="0">
      <w:lvlJc w:val="left"/>
      <w:lvlText w:val="%1."/>
      <w:numFmt w:val="decimal"/>
      <w:start w:val="2"/>
    </w:lvl>
  </w:abstractNum>
  <w:abstractNum w:abstractNumId="52">
    <w:nsid w:val="4C04A8AF"/>
    <w:multiLevelType w:val="hybridMultilevel"/>
    <w:lvl w:ilvl="0">
      <w:lvlJc w:val="left"/>
      <w:lvlText w:val="%1."/>
      <w:numFmt w:val="decimal"/>
      <w:start w:val="2"/>
    </w:lvl>
  </w:abstractNum>
  <w:abstractNum w:abstractNumId="53">
    <w:nsid w:val="1716703B"/>
    <w:multiLevelType w:val="hybridMultilevel"/>
    <w:lvl w:ilvl="0">
      <w:lvlJc w:val="left"/>
      <w:lvlText w:val="%1."/>
      <w:numFmt w:val="decimal"/>
      <w:start w:val="3"/>
    </w:lvl>
  </w:abstractNum>
  <w:abstractNum w:abstractNumId="54">
    <w:nsid w:val="14E17E33"/>
    <w:multiLevelType w:val="hybridMultilevel"/>
    <w:lvl w:ilvl="0">
      <w:lvlJc w:val="left"/>
      <w:lvlText w:val="%1."/>
      <w:numFmt w:val="decimal"/>
      <w:start w:val="3"/>
    </w:lvl>
  </w:abstractNum>
  <w:abstractNum w:abstractNumId="55">
    <w:nsid w:val="3222E7CD"/>
    <w:multiLevelType w:val="hybridMultilevel"/>
    <w:lvl w:ilvl="0">
      <w:lvlJc w:val="left"/>
      <w:lvlText w:val="%1."/>
      <w:numFmt w:val="decimal"/>
      <w:start w:val="3"/>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decimal"/>
      <w:start w:val="3"/>
    </w:lvl>
  </w:abstractNum>
  <w:abstractNum w:abstractNumId="58">
    <w:nsid w:val="2DF6D648"/>
    <w:multiLevelType w:val="hybridMultilevel"/>
    <w:lvl w:ilvl="0">
      <w:lvlJc w:val="left"/>
      <w:lvlText w:val="%1."/>
      <w:numFmt w:val="decimal"/>
      <w:start w:val="5"/>
    </w:lvl>
  </w:abstractNum>
  <w:abstractNum w:abstractNumId="59">
    <w:nsid w:val="46B7D447"/>
    <w:multiLevelType w:val="hybridMultilevel"/>
    <w:lvl w:ilvl="0">
      <w:lvlJc w:val="left"/>
      <w:lvlText w:val="%1."/>
      <w:numFmt w:val="decimal"/>
      <w:start w:val="6"/>
    </w:lvl>
  </w:abstractNum>
  <w:abstractNum w:abstractNumId="60">
    <w:nsid w:val="4A2AC315"/>
    <w:multiLevelType w:val="hybridMultilevel"/>
    <w:lvl w:ilvl="0">
      <w:lvlJc w:val="left"/>
      <w:lvlText w:val="%1."/>
      <w:numFmt w:val="decimal"/>
      <w:start w:val="6"/>
    </w:lvl>
  </w:abstractNum>
  <w:abstractNum w:abstractNumId="61">
    <w:nsid w:val="39EE015C"/>
    <w:multiLevelType w:val="hybridMultilevel"/>
    <w:lvl w:ilvl="0">
      <w:lvlJc w:val="left"/>
      <w:lvlText w:val="%1."/>
      <w:numFmt w:val="decimal"/>
      <w:start w:val="7"/>
    </w:lvl>
  </w:abstractNum>
  <w:abstractNum w:abstractNumId="62">
    <w:nsid w:val="57FC4FBB"/>
    <w:multiLevelType w:val="hybridMultilevel"/>
    <w:lvl w:ilvl="0">
      <w:lvlJc w:val="left"/>
      <w:lvlText w:val="%1."/>
      <w:numFmt w:val="decimal"/>
      <w:start w:val="8"/>
    </w:lvl>
  </w:abstractNum>
  <w:abstractNum w:abstractNumId="63">
    <w:nsid w:val="CC1016F"/>
    <w:multiLevelType w:val="hybridMultilevel"/>
    <w:lvl w:ilvl="0">
      <w:lvlJc w:val="left"/>
      <w:lvlText w:val="%1."/>
      <w:numFmt w:val="decimal"/>
      <w:start w:val="9"/>
    </w:lvl>
  </w:abstractNum>
  <w:abstractNum w:abstractNumId="64">
    <w:nsid w:val="43F18422"/>
    <w:multiLevelType w:val="hybridMultilevel"/>
    <w:lvl w:ilvl="0">
      <w:lvlJc w:val="left"/>
      <w:lvlText w:val="%1."/>
      <w:numFmt w:val="decimal"/>
      <w:start w:val="9"/>
    </w:lvl>
  </w:abstractNum>
  <w:abstractNum w:abstractNumId="65">
    <w:nsid w:val="60EF0119"/>
    <w:multiLevelType w:val="hybridMultilevel"/>
    <w:lvl w:ilvl="0">
      <w:lvlJc w:val="left"/>
      <w:lvlText w:val="%1."/>
      <w:numFmt w:val="decimal"/>
      <w:start w:val="10"/>
    </w:lvl>
  </w:abstractNum>
  <w:abstractNum w:abstractNumId="66">
    <w:nsid w:val="26F324BA"/>
    <w:multiLevelType w:val="hybridMultilevel"/>
    <w:lvl w:ilvl="0">
      <w:lvlJc w:val="left"/>
      <w:lvlText w:val="%1."/>
      <w:numFmt w:val="decimal"/>
      <w:start w:val="10"/>
    </w:lvl>
  </w:abstractNum>
  <w:abstractNum w:abstractNumId="67">
    <w:nsid w:val="7F01579B"/>
    <w:multiLevelType w:val="hybridMultilevel"/>
    <w:lvl w:ilvl="0">
      <w:lvlJc w:val="left"/>
      <w:lvlText w:val="%1."/>
      <w:numFmt w:val="decimal"/>
      <w:start w:val="10"/>
    </w:lvl>
  </w:abstractNum>
  <w:abstractNum w:abstractNumId="68">
    <w:nsid w:val="49DA307D"/>
    <w:multiLevelType w:val="hybridMultilevel"/>
    <w:lvl w:ilvl="0">
      <w:lvlJc w:val="left"/>
      <w:lvlText w:val="%1."/>
      <w:numFmt w:val="decimal"/>
      <w:start w:val="10"/>
    </w:lvl>
  </w:abstractNum>
  <w:abstractNum w:abstractNumId="69">
    <w:nsid w:val="7055A5F5"/>
    <w:multiLevelType w:val="hybridMultilevel"/>
    <w:lvl w:ilvl="0">
      <w:lvlJc w:val="left"/>
      <w:lvlText w:val="%1."/>
      <w:numFmt w:val="decimal"/>
      <w:start w:val="10"/>
    </w:lvl>
  </w:abstractNum>
  <w:abstractNum w:abstractNumId="70">
    <w:nsid w:val="5FB8370B"/>
    <w:multiLevelType w:val="hybridMultilevel"/>
    <w:lvl w:ilvl="0">
      <w:lvlJc w:val="left"/>
      <w:lvlText w:val="%1."/>
      <w:numFmt w:val="decimal"/>
      <w:start w:val="10"/>
    </w:lvl>
  </w:abstractNum>
  <w:abstractNum w:abstractNumId="71">
    <w:nsid w:val="50801EE1"/>
    <w:multiLevelType w:val="hybridMultilevel"/>
    <w:lvl w:ilvl="0">
      <w:lvlJc w:val="left"/>
      <w:lvlText w:val="%1."/>
      <w:numFmt w:val="decimal"/>
      <w:start w:val="11"/>
    </w:lvl>
  </w:abstractNum>
  <w:abstractNum w:abstractNumId="72">
    <w:nsid w:val="488AC1A"/>
    <w:multiLevelType w:val="hybridMultilevel"/>
    <w:lvl w:ilvl="0">
      <w:lvlJc w:val="left"/>
      <w:lvlText w:val="%1."/>
      <w:numFmt w:val="decimal"/>
      <w:start w:val="11"/>
    </w:lvl>
  </w:abstractNum>
  <w:abstractNum w:abstractNumId="73">
    <w:nsid w:val="5FB8011C"/>
    <w:multiLevelType w:val="hybridMultilevel"/>
    <w:lvl w:ilvl="0">
      <w:lvlJc w:val="left"/>
      <w:lvlText w:val="%1."/>
      <w:numFmt w:val="decimal"/>
      <w:start w:val="12"/>
    </w:lvl>
  </w:abstractNum>
  <w:abstractNum w:abstractNumId="74">
    <w:nsid w:val="6AA78F7F"/>
    <w:multiLevelType w:val="hybridMultilevel"/>
    <w:lvl w:ilvl="0">
      <w:lvlJc w:val="left"/>
      <w:lvlText w:val="%1."/>
      <w:numFmt w:val="decimal"/>
      <w:start w:val="13"/>
    </w:lvl>
  </w:abstractNum>
  <w:abstractNum w:abstractNumId="75">
    <w:nsid w:val="7672BD23"/>
    <w:multiLevelType w:val="hybridMultilevel"/>
    <w:lvl w:ilvl="0">
      <w:lvlJc w:val="left"/>
      <w:lvlText w:val="%1."/>
      <w:numFmt w:val="decimal"/>
      <w:start w:val="14"/>
    </w:lvl>
  </w:abstractNum>
  <w:abstractNum w:abstractNumId="76">
    <w:nsid w:val="6FC75AF8"/>
    <w:multiLevelType w:val="hybridMultilevel"/>
    <w:lvl w:ilvl="0">
      <w:lvlJc w:val="left"/>
      <w:lvlText w:val="%1."/>
      <w:numFmt w:val="decimal"/>
      <w:start w:val="14"/>
    </w:lvl>
  </w:abstractNum>
  <w:abstractNum w:abstractNumId="77">
    <w:nsid w:val="6A5F7029"/>
    <w:multiLevelType w:val="hybridMultilevel"/>
    <w:lvl w:ilvl="0">
      <w:lvlJc w:val="left"/>
      <w:lvlText w:val="(%1)"/>
      <w:numFmt w:val="lowerLetter"/>
      <w:start w:val="9"/>
    </w:lvl>
    <w:lvl w:ilvl="1">
      <w:lvlJc w:val="left"/>
      <w:lvlText w:val="(%2)"/>
      <w:numFmt w:val="lowerLetter"/>
      <w:start w:val="1"/>
    </w:lvl>
  </w:abstractNum>
  <w:abstractNum w:abstractNumId="78">
    <w:nsid w:val="7D5E18F8"/>
    <w:multiLevelType w:val="hybridMultilevel"/>
    <w:lvl w:ilvl="0">
      <w:lvlJc w:val="left"/>
      <w:lvlText w:val="(%1)"/>
      <w:numFmt w:val="lowerLetter"/>
      <w:start w:val="2"/>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
      <w:numFmt w:val="bullet"/>
      <w:start w:val="1"/>
    </w:lvl>
  </w:abstractNum>
  <w:abstractNum w:abstractNumId="85">
    <w:nsid w:val="6A3DD3E8"/>
    <w:multiLevelType w:val="hybridMultilevel"/>
    <w:lvl w:ilvl="0">
      <w:lvlJc w:val="left"/>
      <w:lvlText w:val="**"/>
      <w:numFmt w:val="bullet"/>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
      <w:numFmt w:val="bullet"/>
      <w:start w:val="1"/>
    </w:lvl>
  </w:abstractNum>
  <w:abstractNum w:abstractNumId="88">
    <w:nsid w:val="53299938"/>
    <w:multiLevelType w:val="hybridMultilevel"/>
    <w:lvl w:ilvl="0">
      <w:lvlJc w:val="left"/>
      <w:lvlText w:val="!"/>
      <w:numFmt w:val="bullet"/>
      <w:start w:val="1"/>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X"/>
      <w:numFmt w:val="bullet"/>
      <w:start w:val="1"/>
    </w:lvl>
  </w:abstractNum>
  <w:abstractNum w:abstractNumId="97">
    <w:nsid w:val="51088277"/>
    <w:multiLevelType w:val="hybridMultilevel"/>
    <w:lvl w:ilvl="0">
      <w:lvlJc w:val="left"/>
      <w:lvlText w:val="%1"/>
      <w:numFmt w:val="upperLetter"/>
      <w:start w:val="50"/>
    </w:lvl>
  </w:abstractNum>
  <w:abstractNum w:abstractNumId="98">
    <w:nsid w:val="1CA0C5FA"/>
    <w:multiLevelType w:val="hybridMultilevel"/>
    <w:lvl w:ilvl="0">
      <w:lvlJc w:val="left"/>
      <w:lvlText w:val="%1"/>
      <w:numFmt w:val="upperLetter"/>
      <w:start w:val="76"/>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01">
    <w:nsid w:val="7C58FD05"/>
    <w:multiLevelType w:val="hybridMultilevel"/>
    <w:lvl w:ilvl="0">
      <w:lvlJc w:val="left"/>
      <w:lvlText w:val="(%1)"/>
      <w:numFmt w:val="lowerLetter"/>
      <w:start w:val="3"/>
    </w:lvl>
  </w:abstractNum>
  <w:abstractNum w:abstractNumId="102">
    <w:nsid w:val="23D86AAC"/>
    <w:multiLevelType w:val="hybridMultilevel"/>
    <w:lvl w:ilvl="0">
      <w:lvlJc w:val="left"/>
      <w:lvlText w:val="*"/>
      <w:numFmt w:val="bullet"/>
      <w:start w:val="1"/>
    </w:lvl>
  </w:abstractNum>
  <w:abstractNum w:abstractNumId="103">
    <w:nsid w:val="45E6D486"/>
    <w:multiLevelType w:val="hybridMultilevel"/>
    <w:lvl w:ilvl="0">
      <w:lvlJc w:val="left"/>
      <w:lvlText w:val="++"/>
      <w:numFmt w:val="bullet"/>
      <w:start w:val="1"/>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
      <w:numFmt w:val="bullet"/>
      <w:start w:val="1"/>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
      <w:numFmt w:val="bullet"/>
      <w:start w:val="1"/>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X"/>
      <w:numFmt w:val="bullet"/>
      <w:start w:val="1"/>
    </w:lvl>
  </w:abstractNum>
  <w:abstractNum w:abstractNumId="120">
    <w:nsid w:val="3DB012B3"/>
    <w:multiLevelType w:val="hybridMultilevel"/>
    <w:lvl w:ilvl="0">
      <w:lvlJc w:val="left"/>
      <w:lvlText w:val="%1"/>
      <w:numFmt w:val="upperLetter"/>
      <w:start w:val="50"/>
    </w:lvl>
  </w:abstractNum>
  <w:abstractNum w:abstractNumId="121">
    <w:nsid w:val="2708C9AF"/>
    <w:multiLevelType w:val="hybridMultilevel"/>
    <w:lvl w:ilvl="0">
      <w:lvlJc w:val="left"/>
      <w:lvlText w:val="%1"/>
      <w:numFmt w:val="upperLetter"/>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2019-12-13T22:00:21Z</dcterms:created>
  <dcterms:modified xsi:type="dcterms:W3CDTF">2019-12-13T22:00:21Z</dcterms:modified>
</cp:coreProperties>
</file>