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19,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19, 2026, Microbot Medical Inc. (the “Company”) issued a press release announcing that Harel Gadot, CEO, President &amp; Chairman of the Company, will be a featured panelist at The Surgical Disruptive Technology Summit, which is part of SAGES NBT Innovation Weekend, taking place February 19-21, 2026 in Houston, TX.</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1088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340" w:right="80"/>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’s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 Continues to Expand Market Visibility; Being Featured at an Industry Leading Innovation Conference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Global Robotic Leaders Convene to Discuss &amp; Highlight Surgical Advancements of the Next Decade with a Special Focus on the Endovascular Space</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February 19,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that Harel Gadot, CEO, President and Chairman, will be a featured panelist at The Surgical Disruptive Technology Summit, which is part of SAGES NBT Innovation Weekend, taking place February 19-21 in Houston, TX. SAGES’s mission is to innovate, educate and collaborate to improve patient care, and the SAGES NBT Innovation Weekend serves as an open forum for dialogue between industry and providers on innovations in surgical technology and surgical practice.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Industry thought leaders, including robotic pioneers, will discuss advancing technologies with a focus on minimally invasive and less invasive interventions. A dedicated panel, titled </w:t>
      </w:r>
      <w:r>
        <w:rPr>
          <w:rFonts w:ascii="Times New Roman" w:cs="Times New Roman" w:eastAsia="Times New Roman" w:hAnsi="Times New Roman"/>
          <w:sz w:val="18"/>
          <w:szCs w:val="18"/>
          <w:i w:val="1"/>
          <w:iCs w:val="1"/>
          <w:color w:val="auto"/>
        </w:rPr>
        <w:t>Endovascular Therapeutics: AI and Robotics,</w:t>
      </w:r>
      <w:r>
        <w:rPr>
          <w:rFonts w:ascii="Times New Roman" w:cs="Times New Roman" w:eastAsia="Times New Roman" w:hAnsi="Times New Roman"/>
          <w:sz w:val="18"/>
          <w:szCs w:val="18"/>
          <w:color w:val="auto"/>
        </w:rPr>
        <w:t xml:space="preserve"> will provide Mr. Gadot with a platform to highlight the unique features of the LIBERTY System, allowing the Company to establish a new category of surgical robotics. The Company believes that the growing confidence in AI and robotic innovations in endovascular procedures can support the accelerated adoption of LIBERTY. These innovations include remote interventions, precision navigation, and catheter-based robotics designed to enhance access, safety, and clinical outcomes across vascular care.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continued emergence of the LIBERTY System, together with the expanding range of procedures performed to date, is redefining how endovascular care is delivered today and how it will be delivered years ahead,” commented Mr. Gadot. “The dedicated session around the Endovascular space serves as another proof of the opportunities it holds. LIBERTY’s distinct advantages, including its single-use, compact robotic design, are intended to remove many of the barriers that have historically limited the broader adoption of surgical robotics. We believe this positions LIBERTY as a new class of surgical robotics, expanding access to advanced robotics and enabling high quality care for a broader range of health systems and patients.”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LIBERTY is the only FDA cleared, single-use, remotely operated robotic system for peripheral endovascular procedures, and it is designed for precise vascular navigation while aiming to reduce radiation exposure and physical strain. The Company commenced the limited market release of the LIBERTY system in late 2025 and plans for a full market release at the Society of Interventional Radiology (SIR) conference in April 2026, allowing the Company to showcase LIBERTY with the goal to deepen market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2026-02-19T07:35:25Z</dcterms:created>
  <dcterms:modified xsi:type="dcterms:W3CDTF">2026-02-19T07:35:25Z</dcterms:modified>
</cp:coreProperties>
</file>