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4,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4, 2018, Microbot Medical Inc. (the “Registrant”) filed with the Securities and Exchange Commission a Current Report on Form 8-K (the “Original 8-K”) to, among other things, report that the Registrant entered into a Tolling and Standstill Agreement (the “Tolling Agreement”), dated April 2, 2018.</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Current Report on Form 8-K/A amends the Original 8-K to attach the Tolling Agreement as Exhibit 99.2 to this Form 8-K/A and not to any subsequent filing of the Registrant. Except as otherwise provided herein, this Current Report on Form 8-K/A does not modify or update any of the information made in the Original 8-K.</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0"/>
          <w:szCs w:val="20"/>
          <w:color w:val="auto"/>
        </w:rPr>
      </w:pPr>
    </w:p>
    <w:p>
      <w:pPr>
        <w:spacing w:after="0"/>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5">
        <w:r>
          <w:rPr>
            <w:rFonts w:ascii="Arial" w:cs="Arial" w:eastAsia="Arial" w:hAnsi="Arial"/>
            <w:sz w:val="16"/>
            <w:szCs w:val="16"/>
            <w:u w:val="single" w:color="auto"/>
            <w:color w:val="0000EE"/>
          </w:rPr>
          <w:t>Tolling and Standstill Agreement dated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TOLLING AND STANDSTILL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tolling and standstill agreement (the “Agreement”) is made and entered into as of April 2, 2018 (the “Effective Date”), among: (a) Schulte Roth</w:t>
      </w:r>
    </w:p>
    <w:p>
      <w:pPr>
        <w:spacing w:after="0" w:line="46" w:lineRule="exact"/>
        <w:rPr>
          <w:sz w:val="20"/>
          <w:szCs w:val="20"/>
          <w:color w:val="auto"/>
        </w:rPr>
      </w:pPr>
    </w:p>
    <w:p>
      <w:pPr>
        <w:jc w:val="both"/>
        <w:ind w:firstLine="8"/>
        <w:spacing w:after="0" w:line="255" w:lineRule="auto"/>
        <w:tabs>
          <w:tab w:leader="none" w:pos="195" w:val="left"/>
        </w:tabs>
        <w:numPr>
          <w:ilvl w:val="0"/>
          <w:numId w:val="2"/>
        </w:numPr>
        <w:rPr>
          <w:rFonts w:ascii="Arial" w:cs="Arial" w:eastAsia="Arial" w:hAnsi="Arial"/>
          <w:sz w:val="18"/>
          <w:szCs w:val="18"/>
          <w:color w:val="auto"/>
        </w:rPr>
      </w:pPr>
      <w:r>
        <w:rPr>
          <w:rFonts w:ascii="Arial" w:cs="Arial" w:eastAsia="Arial" w:hAnsi="Arial"/>
          <w:sz w:val="18"/>
          <w:szCs w:val="18"/>
          <w:color w:val="auto"/>
        </w:rPr>
        <w:t>Zabel LLP, on behalf of Empery Asset Master, Ltd., Empery Tax Efficient LP, Empery Tax Efficient II LP, and Hudson Bay Master Fund, Ltd. (together, the “Investors”); and (b) Mintz, Levin, Cohn, Ferris, Glovsky and Popeo, P.C., on behalf of Microbot Medical Inc. (“Microbot” or the “Company,” and together with the Investors, the “Parties”).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on or about June 5, 2017, Microbot entered into a Stock Purchase Agreement with the Investors, among others (the “SPA”), through which the Investors purchased shares of Microbot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WHEREAS, on June 29, 2017, Sabby Healthcare Master Fund Ltd. and Sabby Volatility Warrant Master Fund Ltd. (the “Sabby Funds”), each of which are parties to the SPA and purchasers of Microbot common stock, filed a complaint in the Supreme Court of the State of New York, New York County (the “Complaint”), captioned </w:t>
      </w:r>
      <w:r>
        <w:rPr>
          <w:rFonts w:ascii="Arial" w:cs="Arial" w:eastAsia="Arial" w:hAnsi="Arial"/>
          <w:sz w:val="18"/>
          <w:szCs w:val="18"/>
          <w:i w:val="1"/>
          <w:iCs w:val="1"/>
          <w:color w:val="auto"/>
        </w:rPr>
        <w:t>Sabby Healthcare Master Fund Ltd. et al., v. Microbot Medical Inc.</w:t>
      </w:r>
      <w:r>
        <w:rPr>
          <w:rFonts w:ascii="Arial" w:cs="Arial" w:eastAsia="Arial" w:hAnsi="Arial"/>
          <w:sz w:val="18"/>
          <w:szCs w:val="18"/>
          <w:color w:val="auto"/>
        </w:rPr>
        <w:t>, Index No. 654581/2017 (N.Y. Sup. Ct. N.Y. Cnty. June 29, 2017) (the “Action”);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Sabby Funds allege in the Action that Microbot breached material representations and warranties contained in the SPA, including those set forth in paragraphs 3.1(g) and 3.1(y) and Schedule 3.1(g), by representing that Alpha Capital Anstat (“Alpha Capital”), the holder of large block of convertible shares, was an “affiliate” of the Company (the “Matter”);</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Sabby Funds allege in the Action that an affiliate of the Company would be subject to certain trading restrictions under the Securities Act of 1933, but that Alpha Capital has freely sold a large volume of common stock, leading to a significant decline in the Company’s stock price;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Investors believe that the basis for the claims asserted in the Action apply equally to the Investors (the “Investors’ Claims”);</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affirmatively has denied the allegations asserted in the Action and denies that it has any liability arising out or related to the Matter;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have engaged in settlement discussions which may obviate the need for continued or additional litigation concerning the Investors’ Claims;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Investors agree not to bring any claims against the Company arising out of the Matter;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the Parties agree that if the Company reaches an agreement to settle the claims asserted by the Sabby Funds in the Action (a “Settlement”), the Company will provide the same settlement terms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 the Investors;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desire to freeze in time the rights and privileges of each Party as of the Effective Date, until: (i); an agreement to settle the Action is executed; (ii) a judgment in the Action is obtained; or (iii) the Action is otherwise dismissed with prejudice.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based on the recitals set forth above which are incorporated herein, and for other good and valuable consideration, the receipt and sufficiency of which are hereby acknowledged, the Parties agree as follows:</w:t>
      </w:r>
    </w:p>
    <w:p>
      <w:pPr>
        <w:spacing w:after="0" w:line="170" w:lineRule="exact"/>
        <w:rPr>
          <w:sz w:val="20"/>
          <w:szCs w:val="20"/>
          <w:color w:val="auto"/>
        </w:rPr>
      </w:pPr>
    </w:p>
    <w:p>
      <w:pPr>
        <w:ind w:left="38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only action, proceeding, claim, cause of action, or lawsuit that may be commenced or asserted based on the statute of limitations (“SOL”) having been tolled by this Agreement is an action by the Investors arising out of the Matter.</w:t>
      </w:r>
    </w:p>
    <w:p>
      <w:pPr>
        <w:spacing w:after="0" w:line="170"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This Agreement shall remain in force and effect from the Effective Date until five business days after any one of the following, whichever shall occur first (the “Expiration Date”): (i) a judgment in the Action is obtained; (ii) an agreement to settle the Action is reached; or (iii) the Action is otherwise dismissed with prejudice.;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termination of this Agreement shall have no effect upon the Tolling Period.</w:t>
      </w:r>
    </w:p>
    <w:p>
      <w:pPr>
        <w:spacing w:after="0" w:line="181" w:lineRule="exact"/>
        <w:rPr>
          <w:rFonts w:ascii="Arial" w:cs="Arial" w:eastAsia="Arial" w:hAnsi="Arial"/>
          <w:sz w:val="18"/>
          <w:szCs w:val="18"/>
          <w:color w:val="auto"/>
        </w:rPr>
      </w:pPr>
    </w:p>
    <w:p>
      <w:pPr>
        <w:jc w:val="both"/>
        <w:ind w:left="380" w:hanging="372"/>
        <w:spacing w:after="0" w:line="31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time period from the Effective Date until the Expiration Date (the “Tolling Period”) shall not be counted in determining the time in which the Investors shall be permitted by any SOL to file an action. The Parties hereby expressly waive any defense under any SOL, and agree not to assert time-based defenses of any kind, including but not limited to laches, waiver, or estoppel, to any action arising out of the Matter due to the Tolling Period.</w:t>
      </w:r>
    </w:p>
    <w:p>
      <w:pPr>
        <w:spacing w:after="0" w:line="146" w:lineRule="exact"/>
        <w:rPr>
          <w:rFonts w:ascii="Arial" w:cs="Arial" w:eastAsia="Arial" w:hAnsi="Arial"/>
          <w:sz w:val="16"/>
          <w:szCs w:val="16"/>
          <w:color w:val="auto"/>
        </w:rPr>
      </w:pPr>
    </w:p>
    <w:p>
      <w:pPr>
        <w:ind w:left="380" w:hanging="372"/>
        <w:spacing w:after="0" w:line="277"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expressly provided herein, nothing in this Agreement shall affect any defense available to any Party as of the Effective Date of this Agreement, and this Agreement shall not be deemed to revive any claim that is or was already barred on the Effective Date.</w:t>
      </w:r>
    </w:p>
    <w:p>
      <w:pPr>
        <w:spacing w:after="0" w:line="17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Party may extend the Tolling Period upon the written consent of the other Parties prior to the Expiration Date; in which case, the Expiration Date shall be extended until 11:59 PM (New York time) on the date so specified.</w:t>
      </w:r>
    </w:p>
    <w:p>
      <w:pPr>
        <w:spacing w:after="0" w:line="170"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Investors waive any right to commence an action arising out of the Matter during the Tolling Period, but nothing in this Agreement shall affect or infringe the Investors’ right to commence an action relating to other matters, including, without limitation, those relating to this Agreement, subject to paragraph 7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both"/>
        <w:ind w:left="372" w:hanging="372"/>
        <w:spacing w:after="0" w:line="272" w:lineRule="auto"/>
        <w:tabs>
          <w:tab w:leader="none" w:pos="37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Parties agree that if, and whenever on or after the date hereof, the Company enters into a Settlement, then (i) the Company shall provide notice thereof to the Investors immediately following the execution of the Settlement, (ii) the terms and conditions of the Settlement shall, without any further action by the Investors, automatically be extended to the Investors in an economically and legally equivalent manner to the terms of the Settlement, which shall apply pro-rata to each Investor based on the number of shares of common stock of the Company purchased by such Investor pursuant to the SPA in relation to the number of shares of common stock of the Company purchased by the Sabby Funds pursuant to the SPA (the settlement with the Investors, the “Investor Settlement”) and (iii) the Investors will either (x) accept the Investor Settlement within 10 days from the time the terms of the Investor Settlement are fully disclosed or (y) be deemed to have waived all of the Investors’ Claims.</w:t>
      </w:r>
    </w:p>
    <w:p>
      <w:pPr>
        <w:spacing w:after="0" w:line="177" w:lineRule="exact"/>
        <w:rPr>
          <w:rFonts w:ascii="Arial" w:cs="Arial" w:eastAsia="Arial" w:hAnsi="Arial"/>
          <w:sz w:val="17"/>
          <w:szCs w:val="17"/>
          <w:color w:val="auto"/>
        </w:rPr>
      </w:pPr>
    </w:p>
    <w:p>
      <w:pPr>
        <w:jc w:val="both"/>
        <w:ind w:left="372" w:hanging="372"/>
        <w:spacing w:after="0" w:line="255"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 Without limiting the generality of the foregoing, no later than five (5) business days after any Settlement, the Company shall take all actions necessary to give effect to the Investor Settlement (unless the Investors waive all of the Investors’ Claims), including by drafting a settlement agreement to be executed by the Company and the Investors reflecting the terms and conditions of the Investor Settlement.</w:t>
      </w:r>
    </w:p>
    <w:p>
      <w:pPr>
        <w:spacing w:after="0" w:line="193"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Investors waive any right to commence an action arising out of the Matter and waive all of the Investors’ Claims following the receipt of an executed settlement agreement from the Company reflecting the terms and conditions of the Investor Settlement.</w:t>
      </w:r>
    </w:p>
    <w:p>
      <w:pPr>
        <w:spacing w:after="0" w:line="170" w:lineRule="exact"/>
        <w:rPr>
          <w:rFonts w:ascii="Arial" w:cs="Arial" w:eastAsia="Arial" w:hAnsi="Arial"/>
          <w:sz w:val="18"/>
          <w:szCs w:val="18"/>
          <w:color w:val="auto"/>
        </w:rPr>
      </w:pPr>
    </w:p>
    <w:p>
      <w:pPr>
        <w:jc w:val="both"/>
        <w:ind w:left="372" w:hanging="372"/>
        <w:spacing w:after="0" w:line="312" w:lineRule="auto"/>
        <w:tabs>
          <w:tab w:leader="none" w:pos="372"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Nothing in this Agreement shall constitute or be construed as an admission by any Party that any claim could or could not properly be asserted against it by any other Party, or that any such claim would or would not have any basis in law or in fact. Except as expressly provided in paragraphs 1 and 2, with respect to time-based defenses, this Agreement is not intended to and shall not have any effect upon any defense that any Party may assert in any action.</w:t>
      </w:r>
    </w:p>
    <w:p>
      <w:pPr>
        <w:spacing w:after="0" w:line="146" w:lineRule="exact"/>
        <w:rPr>
          <w:rFonts w:ascii="Arial" w:cs="Arial" w:eastAsia="Arial" w:hAnsi="Arial"/>
          <w:sz w:val="16"/>
          <w:szCs w:val="16"/>
          <w:color w:val="auto"/>
        </w:rPr>
      </w:pPr>
    </w:p>
    <w:p>
      <w:pPr>
        <w:jc w:val="both"/>
        <w:ind w:left="372" w:hanging="372"/>
        <w:spacing w:after="0" w:line="264"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and supersedes any prior negotiations and agreement between the Parties, whether written or oral, concerning the subject matter hereof. This Agreement may not be modified except in writing duly executed by applicable Parties or their authorized representatives.</w:t>
      </w:r>
    </w:p>
    <w:p>
      <w:pPr>
        <w:spacing w:after="0" w:line="181"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shall be governed in all respects by the laws of the State of New York, as applicable, in effect at the time of its execution without reference to its choice of law rules.</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shall be immediately effective and enforceable upon each Party upon the execution of this Agreement by such Party.</w:t>
      </w:r>
    </w:p>
    <w:p>
      <w:pPr>
        <w:spacing w:after="0" w:line="225" w:lineRule="exact"/>
        <w:rPr>
          <w:rFonts w:ascii="Arial" w:cs="Arial" w:eastAsia="Arial" w:hAnsi="Arial"/>
          <w:sz w:val="18"/>
          <w:szCs w:val="18"/>
          <w:color w:val="auto"/>
        </w:rPr>
      </w:pPr>
    </w:p>
    <w:p>
      <w:pPr>
        <w:ind w:left="372" w:right="20" w:hanging="372"/>
        <w:spacing w:after="0" w:line="277"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may be executed in counterparts by original signature, facsimile or pdf, each of which counterparts shall be deemed an original, fully enforceable counterpart for all purposes, but all of which shall together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19" w:right="239" w:bottom="1440" w:gutter="0" w:footer="0" w:header="0"/>
        </w:sectPr>
      </w:pPr>
    </w:p>
    <w:bookmarkStart w:id="7" w:name="page8"/>
    <w:bookmarkEnd w:id="7"/>
    <w:p>
      <w:pPr>
        <w:jc w:val="both"/>
        <w:ind w:left="380" w:hanging="372"/>
        <w:spacing w:after="0" w:line="271"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left="380" w:hanging="372"/>
        <w:spacing w:after="0" w:line="26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Parties hereby agree and acknowledge that it has had a full opportunity to consult with any individual or entity and to review any materials that it desired to review in connection with the consideration and evaluation of this Agreement. This Agreement, therefore, shall not be construed against any Party on the basis that the Party was the drafter.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SCHULTE ROTH &amp; ZABEL LLP</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Gladstein</w:t>
      </w:r>
    </w:p>
    <w:p>
      <w:pPr>
        <w:spacing w:after="0" w:line="3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Counsel to Empery and Hudson 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MINTZ, LEVIN, COHN, FERRIS, GLOVSKY AND POPEO, P.C.</w:t>
      </w:r>
    </w:p>
    <w:p>
      <w:pPr>
        <w:spacing w:after="0" w:line="23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F. Sylvia</w:t>
      </w:r>
    </w:p>
    <w:p>
      <w:pPr>
        <w:spacing w:after="0" w:line="3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tab/>
        <w:t>Counsel to Microbot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297815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40"/>
          </w:cols>
          <w:pgMar w:left="900" w:top="692" w:right="10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amp;"/>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2019-12-28T17:38:07Z</dcterms:created>
  <dcterms:modified xsi:type="dcterms:W3CDTF">2019-12-28T17:38:07Z</dcterms:modified>
</cp:coreProperties>
</file>