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February 20, 2024</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S-1</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 UNDER THE SECURITIES ACT OF 1933</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6"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2836</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(Primary Standard Industrial</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Classification Code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288 Grove Street, Suite 388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Braintree, MA 02184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(781) 875-3605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Harel Gadot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President and Chairman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288 Grove Street, Suite 388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Braintree, MA 02184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(781) 875-3605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Stephen E. Fox,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Ruskin Moscou Faltischek, PC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1425 RXR Plaza</w:t>
      </w:r>
    </w:p>
    <w:p>
      <w:pPr>
        <w:jc w:val="center"/>
        <w:spacing w:after="0" w:line="192" w:lineRule="auto"/>
        <w:rPr>
          <w:sz w:val="20"/>
          <w:szCs w:val="20"/>
          <w:color w:val="auto"/>
        </w:rPr>
      </w:pPr>
      <w:r>
        <w:rPr>
          <w:rFonts w:ascii="Times New Roman" w:cs="Times New Roman" w:eastAsia="Times New Roman" w:hAnsi="Times New Roman"/>
          <w:sz w:val="18"/>
          <w:szCs w:val="18"/>
          <w:b w:val="1"/>
          <w:bCs w:val="1"/>
          <w:color w:val="auto"/>
        </w:rPr>
        <w:t>15</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 East Tower</w:t>
      </w:r>
    </w:p>
    <w:p>
      <w:pPr>
        <w:jc w:val="center"/>
        <w:spacing w:after="0"/>
        <w:rPr>
          <w:sz w:val="20"/>
          <w:szCs w:val="20"/>
          <w:color w:val="auto"/>
        </w:rPr>
      </w:pPr>
      <w:r>
        <w:rPr>
          <w:rFonts w:ascii="Times New Roman" w:cs="Times New Roman" w:eastAsia="Times New Roman" w:hAnsi="Times New Roman"/>
          <w:sz w:val="18"/>
          <w:szCs w:val="18"/>
          <w:b w:val="1"/>
          <w:bCs w:val="1"/>
          <w:color w:val="auto"/>
        </w:rPr>
        <w:t>Uniondale, NY 11556</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(516) 663-6600</w:t>
      </w:r>
    </w:p>
    <w:p>
      <w:pPr>
        <w:spacing w:after="0" w:line="20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w:t>
      </w:r>
      <w:r>
        <w:rPr>
          <w:rFonts w:ascii="Times New Roman" w:cs="Times New Roman" w:eastAsia="Times New Roman" w:hAnsi="Times New Roman"/>
          <w:sz w:val="18"/>
          <w:szCs w:val="18"/>
          <w:color w:val="auto"/>
        </w:rPr>
        <w:t>: From time to time after the effective date of this registration statement.</w:t>
      </w:r>
    </w:p>
    <w:p>
      <w:pPr>
        <w:spacing w:after="0" w:line="229" w:lineRule="exact"/>
        <w:rPr>
          <w:sz w:val="24"/>
          <w:szCs w:val="24"/>
          <w:color w:val="auto"/>
        </w:rPr>
      </w:pPr>
    </w:p>
    <w:p>
      <w:pPr>
        <w:jc w:val="both"/>
        <w:ind w:right="2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as amended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41" w:right="339" w:bottom="267" w:gutter="0" w:footer="0" w:header="0"/>
        </w:sectPr>
      </w:pPr>
    </w:p>
    <w:p>
      <w:pPr>
        <w:spacing w:after="0" w:line="13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4900" w:space="720"/>
            <w:col w:w="5620"/>
          </w:cols>
          <w:pgMar w:left="320" w:top="441" w:right="339" w:bottom="267" w:gutter="0" w:footer="0" w:header="0"/>
          <w:type w:val="continuous"/>
        </w:sectPr>
      </w:pPr>
    </w:p>
    <w:p>
      <w:pPr>
        <w:spacing w:after="0" w:line="1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66"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41" w:right="339" w:bottom="267"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both"/>
        <w:spacing w:after="0" w:line="268" w:lineRule="auto"/>
        <w:rPr>
          <w:sz w:val="20"/>
          <w:szCs w:val="20"/>
          <w:color w:val="auto"/>
        </w:rPr>
      </w:pPr>
      <w:r>
        <w:rPr>
          <w:rFonts w:ascii="Times New Roman" w:cs="Times New Roman" w:eastAsia="Times New Roman" w:hAnsi="Times New Roman"/>
          <w:sz w:val="18"/>
          <w:szCs w:val="18"/>
          <w:b w:val="1"/>
          <w:bCs w:val="1"/>
          <w:color w:val="FF0000"/>
        </w:rPr>
        <w:t>The information in this prospectus is not complete and may be changed. The selling stockholders may not sell these securities until the registration statement filed with the Securities and Exchange Commission is effective. This prospectus is not an offer to sell these securities and is not soliciting an offer to buy these securities in any state where the offer or sale is not permitted.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rPr>
        <w:t>Subject to Completion, Dated February 20,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156845</wp:posOffset>
            </wp:positionV>
            <wp:extent cx="2571750" cy="9429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71750"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1,005,965 Shares of 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relates to the sale or other disposition from time to time of up to 1,005,965 shares of our common stock, $0.01 par value per share, representing shares held by the selling stockholders named in this prospectus, including their transferees, pledgees, donees or successors. We are not selling any shares of common stock under this prospectus and will not receive any of the proceeds from the sale of shares of common stock by the selling stockholders.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selling stockholders may sell or otherwise dispose of the shares of common stock covered by this prospectus in a number of different ways and at varying prices. We provide more information about how the selling stockholders may sell or otherwise dispose of their shares of common stock in the section entitled “Plan of Distribution” beginning on page 68. The selling stockholders will pay all brokerage fees and commissions and similar expenses. We will pay all expenses (except brokerage fees and commissions and similar expenses) relating to the registration of the shares with the Securities and Exchange Commission. No underwriter or other person has been engaged to facilitate the sale of shares of our common stock in this offering.</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ticker symbol “MBOT.” On February 16, 2024, the last reported closing price of our common stock on the Nasdaq Capital Market was $1.29.</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a high degree of risk. You should review carefully the risks and uncertainties described under the heading “Risk Factors” beginning on page 12 of this prospectus, and under similar headings in any amendments or supplements to this prospectus.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20" w:type="dxa"/>
            <w:vAlign w:val="bottom"/>
          </w:tcPr>
          <w:p>
            <w:pPr>
              <w:ind w:left="3880"/>
              <w:spacing w:after="0"/>
              <w:rPr>
                <w:sz w:val="20"/>
                <w:szCs w:val="20"/>
                <w:color w:val="auto"/>
              </w:rPr>
            </w:pPr>
            <w:r>
              <w:rPr>
                <w:rFonts w:ascii="Times New Roman" w:cs="Times New Roman" w:eastAsia="Times New Roman" w:hAnsi="Times New Roman"/>
                <w:sz w:val="18"/>
                <w:szCs w:val="18"/>
                <w:color w:val="auto"/>
              </w:rPr>
              <w:t>The date of this prospectus is</w:t>
            </w:r>
          </w:p>
        </w:tc>
        <w:tc>
          <w:tcPr>
            <w:tcW w:w="4820" w:type="dxa"/>
            <w:vAlign w:val="bottom"/>
          </w:tcPr>
          <w:p>
            <w:pPr>
              <w:jc w:val="right"/>
              <w:ind w:right="3770"/>
              <w:spacing w:after="0"/>
              <w:rPr>
                <w:sz w:val="20"/>
                <w:szCs w:val="20"/>
                <w:color w:val="auto"/>
              </w:rPr>
            </w:pPr>
            <w:r>
              <w:rPr>
                <w:rFonts w:ascii="Times New Roman" w:cs="Times New Roman" w:eastAsia="Times New Roman" w:hAnsi="Times New Roman"/>
                <w:sz w:val="18"/>
                <w:szCs w:val="18"/>
                <w:color w:val="auto"/>
              </w:rPr>
              <w:t>, 2024.</w:t>
            </w:r>
          </w:p>
        </w:tc>
      </w:tr>
      <w:tr>
        <w:trPr>
          <w:trHeight w:val="439"/>
        </w:trPr>
        <w:tc>
          <w:tcPr>
            <w:tcW w:w="64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7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r>
      <w:tr>
        <w:trPr>
          <w:trHeight w:val="453"/>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8360" w:type="dxa"/>
            <w:vAlign w:val="bottom"/>
            <w:tcBorders>
              <w:bottom w:val="single" w:sz="8" w:color="CCEEFF"/>
            </w:tcBorders>
            <w:gridSpan w:val="1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RISK FACTOR SUMMARY</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10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SUMMARY</w:t>
            </w:r>
          </w:p>
        </w:tc>
        <w:tc>
          <w:tcPr>
            <w:tcW w:w="8500" w:type="dxa"/>
            <w:vAlign w:val="bottom"/>
            <w:tcBorders>
              <w:bottom w:val="single" w:sz="8" w:color="CCEEFF"/>
            </w:tcBorders>
            <w:gridSpan w:val="1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175"/>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9340" w:type="dxa"/>
            <w:vAlign w:val="bottom"/>
            <w:tcBorders>
              <w:bottom w:val="single" w:sz="8" w:color="CCEEFF"/>
            </w:tcBorders>
            <w:gridSpan w:val="2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176"/>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MARKET FOR COMMON STOCK</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175"/>
        </w:trPr>
        <w:tc>
          <w:tcPr>
            <w:tcW w:w="8920" w:type="dxa"/>
            <w:vAlign w:val="bottom"/>
            <w:tcBorders>
              <w:top w:val="single" w:sz="8" w:color="0000EE"/>
            </w:tcBorders>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68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6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BUSINESS</w:t>
            </w:r>
          </w:p>
        </w:tc>
        <w:tc>
          <w:tcPr>
            <w:tcW w:w="9740" w:type="dxa"/>
            <w:vAlign w:val="bottom"/>
            <w:tcBorders>
              <w:bottom w:val="single" w:sz="8" w:color="CCEEFF"/>
            </w:tcBorders>
            <w:gridSpan w:val="2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176"/>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BOARD OF DIRECTORS AND MANAGEMENT</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53</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46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8140" w:type="dxa"/>
            <w:vAlign w:val="bottom"/>
            <w:tcBorders>
              <w:bottom w:val="single" w:sz="8" w:color="CCEEFF"/>
            </w:tcBorders>
            <w:gridSpan w:val="1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59</w:t>
            </w:r>
          </w:p>
        </w:tc>
      </w:tr>
      <w:tr>
        <w:trPr>
          <w:trHeight w:val="176"/>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TRANSACTIONS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65</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6740" w:type="dxa"/>
            <w:vAlign w:val="bottom"/>
            <w:tcBorders>
              <w:bottom w:val="single" w:sz="8" w:color="0000EE"/>
            </w:tcBorders>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w:t>
            </w:r>
          </w:p>
        </w:tc>
        <w:tc>
          <w:tcPr>
            <w:tcW w:w="3860" w:type="dxa"/>
            <w:vAlign w:val="bottom"/>
            <w:tcBorders>
              <w:bottom w:val="single" w:sz="8" w:color="CCEEFF"/>
            </w:tcBorders>
            <w:gridSpan w:val="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66</w:t>
            </w:r>
          </w:p>
        </w:tc>
      </w:tr>
      <w:tr>
        <w:trPr>
          <w:trHeight w:val="175"/>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SELLING STOCKHOLDERS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67</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540" w:type="dxa"/>
            <w:vAlign w:val="bottom"/>
            <w:tcBorders>
              <w:bottom w:val="single" w:sz="8" w:color="CCEEFF"/>
            </w:tcBorders>
            <w:gridSpan w:val="1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68</w:t>
            </w:r>
          </w:p>
        </w:tc>
      </w:tr>
      <w:tr>
        <w:trPr>
          <w:trHeight w:val="176"/>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73</w:t>
            </w:r>
          </w:p>
        </w:tc>
      </w:tr>
      <w:tr>
        <w:trPr>
          <w:trHeight w:val="176"/>
        </w:trPr>
        <w:tc>
          <w:tcPr>
            <w:tcW w:w="146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9140" w:type="dxa"/>
            <w:vAlign w:val="bottom"/>
            <w:tcBorders>
              <w:top w:val="single" w:sz="8" w:color="CCEEFF"/>
            </w:tcBorders>
            <w:gridSpan w:val="18"/>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73</w:t>
            </w:r>
          </w:p>
        </w:tc>
      </w:tr>
      <w:tr>
        <w:trPr>
          <w:trHeight w:val="175"/>
        </w:trPr>
        <w:tc>
          <w:tcPr>
            <w:tcW w:w="2160" w:type="dxa"/>
            <w:vAlign w:val="bottom"/>
            <w:tcBorders>
              <w:top w:val="single" w:sz="8" w:color="0000EE"/>
              <w:bottom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EE"/>
                <w:w w:val="97"/>
              </w:rPr>
              <w:t>FINANCIAL STATEMENTS</w:t>
            </w:r>
          </w:p>
        </w:tc>
        <w:tc>
          <w:tcPr>
            <w:tcW w:w="1660" w:type="dxa"/>
            <w:vAlign w:val="bottom"/>
            <w:tcBorders>
              <w:top w:val="single" w:sz="8" w:color="0000EE"/>
            </w:tcBorders>
            <w:gridSpan w:val="7"/>
          </w:tcPr>
          <w:p>
            <w:pPr>
              <w:spacing w:after="0"/>
              <w:rPr>
                <w:sz w:val="15"/>
                <w:szCs w:val="15"/>
                <w:color w:val="auto"/>
              </w:rPr>
            </w:pPr>
          </w:p>
        </w:tc>
        <w:tc>
          <w:tcPr>
            <w:tcW w:w="6780" w:type="dxa"/>
            <w:vAlign w:val="bottom"/>
            <w:tcBorders>
              <w:top w:val="single" w:sz="8" w:color="CCEEFF"/>
            </w:tcBorders>
            <w:gridSpan w:val="6"/>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F-1</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that we have provided in this prospectus and any prospectus supplement that we may authorize to be provided to you. We have not, and the selling stockholders have not, authorized anyone to provide you with different information. No dealer, salesperson or other person is authorized to give any information or to represent anything not contained in this prospectus or any prospectus supplement that we may authorize to be provided to you. If anyone provides you with different or inconsistent information, you should not rely on it. You should assume that the information in this prospectus and any prospectus supplement is accurate only as of the date on the cover of the document, regardless of the time of delivery of this prospectus or any prospectus supplement or any sale of a security. Our business, financial condition, results of operations and prospects may have changed since those dates.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urge you to carefully read this prospectus and any prospectus supplement, together with the information as described under the heading “Where You Can Find More Information.”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the context indicates otherwise, as used in this prospectus, the terms “we,” “us,” “our,” the “Company” and “Microbot” refer to Microbot Medical Inc., including our directly and indirectly wholly owned subsidiary. Unless the context otherwise requires, the historical business, financial statements and operations of Microbot include Microbot Medical Ltd., an Israeli corporation (“Microbot Israel”) which became a wholly-owned subsidiary of the Company on November 28, 2016.</w:t>
      </w:r>
    </w:p>
    <w:p>
      <w:pPr>
        <w:spacing w:after="0" w:line="1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own or have rights to various U.S. federal trademark registrations and applications, and unregistered trademarks and servicemarks, including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All other trade names, trademarks and service marks appearing in this prospectus are the property of their respective owners. We have assumed that the reader understands that all such terms are source-indicating. Accordingly, such terms, when first mentioned in this prospectus, appear with the trade name, trademark or service mark notice and then throughout the remainder of this prospectus without trade name, trademark or service mark notices for convenience only and should not be construed as being used in a descriptive or generic sense.</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principal risks that could adversely affect our business, operations, and financial results. A more thorough discussion of these and other risks are listed under the section entitled “Risk Factors” commencing on page 12.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Microbot’s Financial Position and Need for Additional Capital</w:t>
      </w:r>
    </w:p>
    <w:p>
      <w:pPr>
        <w:spacing w:after="0" w:line="229"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substantial doubt regarding on our ability to continue as a going concern.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has had no revenue and has incurred significant operating losses since inception and is expected to continue to incur significant operating losses for the foreseeable future. The Company may never become profitable or, if achieved, be able to sustain profitability.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has a limited operating history outside of being a research and development-stage company, which may make it difficult to evaluate the prospects for the Company’s future viability.</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will need additional funding. If Microbot is unable to raise capital when needed, it could be forced to delay, reduce or eliminate its product development programs or commercialization efforts.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Development and Commercialization of Microbot’s Product Candidates</w:t>
      </w:r>
    </w:p>
    <w:p>
      <w:pPr>
        <w:spacing w:after="0" w:line="229" w:lineRule="exact"/>
        <w:rPr>
          <w:sz w:val="20"/>
          <w:szCs w:val="20"/>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Unsuccessful animal studies, clinical trials or procedures relating to product candidates under development could have a material adverse effect on Microbot’s prospects.</w:t>
      </w:r>
    </w:p>
    <w:p>
      <w:pPr>
        <w:spacing w:after="0" w:line="165" w:lineRule="exact"/>
        <w:rPr>
          <w:rFonts w:ascii="Times New Roman" w:cs="Times New Roman" w:eastAsia="Times New Roman" w:hAnsi="Times New Roman"/>
          <w:sz w:val="18"/>
          <w:szCs w:val="18"/>
          <w:color w:val="auto"/>
        </w:rPr>
      </w:pPr>
    </w:p>
    <w:p>
      <w:pPr>
        <w:jc w:val="both"/>
        <w:ind w:left="660" w:hanging="328"/>
        <w:spacing w:after="0" w:line="186" w:lineRule="auto"/>
        <w:tabs>
          <w:tab w:leader="none" w:pos="66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Microbot’s business depends heavily on the success of its sole lead product candidate,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If Microbot is unable to commercialize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experiences significant delays in doing so, Microbot’s business will be materially harmed.</w:t>
      </w:r>
    </w:p>
    <w:p>
      <w:pPr>
        <w:spacing w:after="0" w:line="201" w:lineRule="exact"/>
        <w:rPr>
          <w:rFonts w:ascii="Times New Roman" w:cs="Times New Roman" w:eastAsia="Times New Roman" w:hAnsi="Times New Roman"/>
          <w:sz w:val="36"/>
          <w:szCs w:val="36"/>
          <w:color w:val="auto"/>
          <w:vertAlign w:val="superscript"/>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Microbot’s research and development efforts are uncertain and there can be no assurance of the commercial success of Microbot’s product candidates.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Microbot’s ability to expand its technology platforms for other uses may be limited.</w:t>
      </w:r>
    </w:p>
    <w:p>
      <w:pPr>
        <w:spacing w:after="0" w:line="225" w:lineRule="exact"/>
        <w:rPr>
          <w:rFonts w:ascii="Times New Roman" w:cs="Times New Roman" w:eastAsia="Times New Roman" w:hAnsi="Times New Roman"/>
          <w:sz w:val="18"/>
          <w:szCs w:val="18"/>
          <w:color w:val="auto"/>
        </w:rPr>
      </w:pPr>
    </w:p>
    <w:p>
      <w:pPr>
        <w:jc w:val="both"/>
        <w:ind w:left="660" w:right="20" w:hanging="328"/>
        <w:spacing w:after="0" w:line="22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this time, Microbot does not know the extent of the clinical trial that the FDA will require it to submit in support of its future marketing applications for its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product candidate, which creates uncertainty for Microbot as well as the possibility of increased product development costs and time to market.</w:t>
      </w:r>
    </w:p>
    <w:p>
      <w:pPr>
        <w:spacing w:after="0" w:line="204" w:lineRule="exact"/>
        <w:rPr>
          <w:rFonts w:ascii="Times New Roman" w:cs="Times New Roman" w:eastAsia="Times New Roman" w:hAnsi="Times New Roman"/>
          <w:sz w:val="18"/>
          <w:szCs w:val="18"/>
          <w:color w:val="auto"/>
        </w:rPr>
      </w:pPr>
    </w:p>
    <w:p>
      <w:pPr>
        <w:ind w:left="660" w:right="20" w:hanging="328"/>
        <w:spacing w:after="0" w:line="188" w:lineRule="auto"/>
        <w:tabs>
          <w:tab w:leader="none" w:pos="66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Microbot’s technology acquired from CardioSert and part of its One &amp; Done</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feature is subject to a buy-back clause which, if triggered, could cause us to lose rights to the technology.</w:t>
      </w:r>
    </w:p>
    <w:p>
      <w:pPr>
        <w:spacing w:after="0" w:line="198" w:lineRule="exact"/>
        <w:rPr>
          <w:rFonts w:ascii="Times New Roman" w:cs="Times New Roman" w:eastAsia="Times New Roman" w:hAnsi="Times New Roman"/>
          <w:sz w:val="36"/>
          <w:szCs w:val="36"/>
          <w:color w:val="auto"/>
          <w:vertAlign w:val="superscript"/>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will depend upon the ability of third parties, including contract research organizations, collaborative academic groups, future clinical trial sites and investigators, to conduct or to assist the Company in conducting clinical trials for its product candidates, if such trials become necessary.</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and development program is dependent on the availability of certain components from suppliers, the delay in delivery of which could materially adversely affect our ongoing development and ability to manufacture and package devices in the timeframes currently expected.</w:t>
      </w:r>
    </w:p>
    <w:p>
      <w:pPr>
        <w:spacing w:after="0" w:line="165" w:lineRule="exact"/>
        <w:rPr>
          <w:rFonts w:ascii="Times New Roman" w:cs="Times New Roman" w:eastAsia="Times New Roman" w:hAnsi="Times New Roman"/>
          <w:sz w:val="18"/>
          <w:szCs w:val="18"/>
          <w:color w:val="auto"/>
        </w:rPr>
      </w:pPr>
    </w:p>
    <w:p>
      <w:pPr>
        <w:jc w:val="both"/>
        <w:ind w:left="660" w:hanging="328"/>
        <w:spacing w:after="0" w:line="186" w:lineRule="auto"/>
        <w:tabs>
          <w:tab w:leader="none" w:pos="66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If the commercial opportunity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any other commercial products that may be developed by Microbot is smaller than Microbot anticipates, Microbot’s future revenue from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such other products will be adversely affected and Microbot’s business will suffer.</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ind w:left="660" w:hanging="328"/>
        <w:spacing w:after="0" w:line="188" w:lineRule="auto"/>
        <w:tabs>
          <w:tab w:leader="none" w:pos="66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Customers will be unlikely to buy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candidates unless Microbot can demonstrate that they can be produced for sale to consumers at attractive prices.</w:t>
      </w:r>
    </w:p>
    <w:p>
      <w:pPr>
        <w:spacing w:after="0" w:line="198" w:lineRule="exact"/>
        <w:rPr>
          <w:rFonts w:ascii="Times New Roman" w:cs="Times New Roman" w:eastAsia="Times New Roman" w:hAnsi="Times New Roman"/>
          <w:sz w:val="36"/>
          <w:szCs w:val="36"/>
          <w:color w:val="auto"/>
          <w:vertAlign w:val="superscript"/>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has relied on, and intends to continue to rely on, third-party manufacturers to produce its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Microbot’s product candidates are not considered to be a safe and effective alternative to existing technologies, Microbot will not be commercially successful.</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may be subject to penalties and may be precluded from marketing its product candidates if Microbot fails to comply with extensive governmental regulations.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Microbot is not able to both obtain and maintain adequate levels of third-party reimbursement for procedures involving its product candidates after they are approved for marketing and launched commercially, it would have a material adverse effect on Microbot’s business.</w:t>
      </w:r>
    </w:p>
    <w:p>
      <w:pPr>
        <w:spacing w:after="0" w:line="165" w:lineRule="exact"/>
        <w:rPr>
          <w:rFonts w:ascii="Times New Roman" w:cs="Times New Roman" w:eastAsia="Times New Roman" w:hAnsi="Times New Roman"/>
          <w:sz w:val="18"/>
          <w:szCs w:val="18"/>
          <w:color w:val="auto"/>
        </w:rPr>
      </w:pPr>
    </w:p>
    <w:p>
      <w:pPr>
        <w:ind w:left="660" w:hanging="328"/>
        <w:spacing w:after="0" w:line="188" w:lineRule="auto"/>
        <w:tabs>
          <w:tab w:leader="none" w:pos="66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Clinical outcome studies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may not provide sufficient data to make Microbot’s product candidates the standard of care.</w:t>
      </w:r>
    </w:p>
    <w:p>
      <w:pPr>
        <w:spacing w:after="0" w:line="198" w:lineRule="exact"/>
        <w:rPr>
          <w:rFonts w:ascii="Times New Roman" w:cs="Times New Roman" w:eastAsia="Times New Roman" w:hAnsi="Times New Roman"/>
          <w:sz w:val="36"/>
          <w:szCs w:val="36"/>
          <w:color w:val="auto"/>
          <w:vertAlign w:val="superscript"/>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products may in the future be subject to mandatory product recalls that could harm its reputation, business and financial results.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Microbot’s future commercialized products cause or contribute to a death or a serious injury, Microbot will be subject to Medical Device Reporting regulations, which can result in voluntary corrective actions or agency enforcement actions.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could be exposed to significant liability claims if Microbot is unable to obtain insurance at acceptable costs and adequate levels or otherwise protect itself against potential product liability claims.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Microbot fails to retain certain of its key personnel and attract and retain additional qualified personnel, Microbot might not be able to pursue its growth strategy effectively.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International Business</w:t>
      </w:r>
    </w:p>
    <w:p>
      <w:pPr>
        <w:spacing w:after="0" w:line="229" w:lineRule="exact"/>
        <w:rPr>
          <w:sz w:val="20"/>
          <w:szCs w:val="20"/>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Microbot fails to obtain regulatory clearances in other countries for its product candidates under development, Microbot will not be able to commercialize these product candidates in those countries.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operations in international markets involve inherent risks that Microbot may not be able to control.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Microbot’s Intellectual Property</w:t>
      </w:r>
    </w:p>
    <w:p>
      <w:pPr>
        <w:spacing w:after="0" w:line="229"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may not meet its product candidates’ development and commercialization objectives in a timely manner or at all.</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litigation and infringement claims could cause Microbot to incur significant expenses or prevent Microbot from selling certain of its product candidates.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Microbot or TRDF are unable to protect the patents or other proprietary rights relating to Microbot’s product candidates, or if Microbot infringes on the patents or other proprietary rights of others, Microbot’s competitiveness and business prospects may be materially damaged.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patent and other proprietary rights and failing to protect such rights or to be successful in litigation related to such rights may result in Microbot’s payment of significant monetary damages or impact offerings in its product portfolios.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Risks Relating to Operations in Israel</w:t>
      </w:r>
    </w:p>
    <w:p>
      <w:pPr>
        <w:spacing w:after="0" w:line="229" w:lineRule="exact"/>
        <w:rPr>
          <w:sz w:val="20"/>
          <w:szCs w:val="20"/>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and historical risks relating to our operations in Israel are being exacerbated by the current military actions and operations, and related activities, that commenced with the surprise attack on the State of Israel on October 7, 2023.</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has facilities located in Israel, and therefore, political conditions in Israel may affect Microbot’s operations and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relations could limit Microbot’s ability to sell or buy internationally.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Israel’s economy may become unstable.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 between the U.S. dollar and the NIS currencies may negatively affect Microbot’s operating costs.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and other benefits provided by Israeli government programs may be terminated or reduced in the future and the terms of such funding may have a significant impact on future corporate decisions.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Microbot’s employees are obligated to perform military reserve duty in Israel.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9" w:lineRule="exact"/>
        <w:rPr>
          <w:sz w:val="20"/>
          <w:szCs w:val="20"/>
          <w:color w:val="auto"/>
        </w:rPr>
      </w:pPr>
    </w:p>
    <w:p>
      <w:pPr>
        <w:ind w:left="5580" w:right="80" w:hanging="5248"/>
        <w:spacing w:after="0" w:line="532" w:lineRule="auto"/>
        <w:tabs>
          <w:tab w:leader="none" w:pos="65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shares upon exercise of outstanding warrants and options could cause immediate and substantial dilution to existing stockholders.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about us and this offering contained elsewhere in this prospectus. Because it is only a summary, it does not contain all of the information that you should consider before investing in shares of our securities and it is qualified in its entirety by, and should be read in conjunction with, the more detailed information appearing elsewhere in this prospectus. Before you decide to invest in our securities, you should read the entire prospectus carefully, including “Risk Factors” beginning on page 12, and the consolidated financial statements and related notes and the other information included in this prospectus.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robotic technologies with the goal of redefining surgical robotics while improving surgical outcomes for patients.</w:t>
      </w:r>
    </w:p>
    <w:p>
      <w:pPr>
        <w:spacing w:after="0" w:line="17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Using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we are developing the first ever fully disposable robot for various endovascular interventional procedures.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Settlement of Lawsuit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As of January 26, 2024 (the “Effective Date”), we entered into a Settlement Agreement and Release with Empery Asset Master Ltd., Empery Tax Efficient, LP, Empery Tax Efficient III, LP and Hudson Bay Master Fund Ltd. (collectively, “Plaintiffs”), which resolved and settled the lawsuit (the “Empery/Hudson Bay Lawsuit”) captioned </w:t>
      </w:r>
      <w:r>
        <w:rPr>
          <w:rFonts w:ascii="Times New Roman" w:cs="Times New Roman" w:eastAsia="Times New Roman" w:hAnsi="Times New Roman"/>
          <w:sz w:val="18"/>
          <w:szCs w:val="18"/>
          <w:i w:val="1"/>
          <w:iCs w:val="1"/>
          <w:color w:val="auto"/>
        </w:rPr>
        <w:t>Empery Asset Master Ltd., Empery Tax Efficient, LP, Empery Tax Efficient II, LP, Hudson Bay Master Fund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Ltd., Plaintiffs, against Microbot Medical Inc., Defendant</w:t>
      </w:r>
      <w:r>
        <w:rPr>
          <w:rFonts w:ascii="Times New Roman" w:cs="Times New Roman" w:eastAsia="Times New Roman" w:hAnsi="Times New Roman"/>
          <w:sz w:val="18"/>
          <w:szCs w:val="18"/>
          <w:color w:val="auto"/>
        </w:rPr>
        <w:t>, in the Supreme Court of the State of New York, County of New York (Index No. 651182/2020),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which the Plaintiffs alleged, among other things, that we breached multiple representations and warranties contained in the Securities Purchase Agreement related to our June 8, 2017 equity financing, and fraudulently induced the Plaintiffs into signing the Securities Purchase Agreement. The complaint sought rescission of the Securities Purchase Agreement and return of the Plaintiffs’ $6.75 million purchase price with respect to the 2017 financing.</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Settlement Agreement, we paid the Plaintiffs $2,154,000 (the “Total Settlement Amount”), consisting of a cash payment covered by our insurance carrier of $1,100,000 and 1,005,965 shares of restricted common stock which represent the whole number of restricted shares of our common stock calculated pursuant to the following formula: $1,054,000/[closing price of common stock on the Effective Date * 0.825]. Additionally, the Plaintiffs and the Company each agreed to fully release the other from all claims arising out of the 2017 financing, the Securities Purchase Agreement and/or the allegations and claims asserted in the lawsuit, subject to customary carve-outs.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the Plaintiffs are expected to file a stipulation discontinuing the Empery/Hudson Bay Lawsuit with prejudice.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a Registration Rights Agreement, we are filing a registration statement on Form S-1, of which this prospectus forms a part, covering the resale of the 1,005,965 shares, and we agreed to use reasonable best efforts to have such registration statement declared effective by the Securities and Exchange Commission within 60 days (or, in the event of a “full review” by the Securities and Exchange Commission, within 90 days) following the Effective Date. We shall be required to make cash payments to the Plaintiffs in the event we fail to register the shares and keep the registration statement effective pursuant to the terms of the Registration Rights Agreement, and if we fail to remove the restrictions on the shares pursuant to the terms of the Settlement Agreement.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Investment Option Inducement Transaction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entered into a Preferred Investment Option Exercise and Inducement Letter on December 29, 2023 (the “Inducement Letter”) with certain selling stockholders (the “Stockholders”), the registered holders of existing (i) Series A preferred investment options to purchase shares of the Company’s Common Stock at an exercise price of $2.20 per share, issued on October 25, 2022, as amended on May 24, 2023, (ii) Series C preferred investment options to purchase shares of the Company’s Common Stock at an exercise price of $2.075 per share, issued on June 6, 2023, and (iii) Series D preferred investment options to purchase shares of the Company’s Common Stock at an exercise price of $3.19 per share issued on June 26, 2023 (the “Existing Investment Options”), pursuant to which, at the closing on January 3, 2024 the Stockholders exercised for cash their Existing Investment Options to purchase an aggregate of 1,685,682 shares of the Company’s Common Stock, at a reduced exercised price of $1.62 per share, in consideration for the Company’s issuance of new preferred investment option (the “Inducement Investment Option”) to purchase up to an aggregate of 1,685,682 shares of the Company’s Common Stock at an exercise price of $1.50 per share. The Inducement Investment Options are immediately exercisable from the date of issuance until 5.5 years following the date of issuance. No other changes to the Existing Investment Options were made. At the closing on January 3, 2024, we received gross proceeds from the transaction of approximately $2.73 million.</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engaged H.C. Wainwright &amp; Co., LLC (“Wainwright”) to act as its exclusive placement agent in connection with the transactions contemplated by the Inducement Letter pursuant to an engagement letter, dated October 24, 2023 (the “Engagement Letter”) and paid Wainwright a cash fee equal to 7.0% of the gross proceeds received from the exercise of the Existing Investment Options as well as a management fee equal to 1.0% of the gross proceeds from the exercise of the Existing Investment Options. The Company also paid Wainwright $60,000 for non-accountable expenses, and $15,950 for clearing fees. The Company also agreed to issue to Wainwright or its designees preferred investment options (the “Placement Agent Investment Options,” and such shares of common stock issuable thereunder, the “Placement Agent Investment Option Shares”) to purchase up to 84,284 shares of common stock which have the same terms as the Inducement Investment Options except for an exercise price equal to $2.025 per share. Further, pursuant to the Engagement Letter, Wainwright has a right of first refusal to act as sole book-running manager, sole underwriter or sole placement agent with respect to any public offering or private placement of equity, equity-linked or debt securities using an underwriter or placement agent occurring during the twelve-month period ending January 3, 2025.</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Inducement Letter, the Company agreed not to effect or agree to effect any variable rate transaction (as defined in the Inducement Letter) until the six month anniversary of January 3, 2024 (subject to certain exceptions).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Inducement Investment Option Terms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Inducement Investment Option has an exercise price equal to $1.50 per share. The Inducement Investment Options are immediately exercisable from the date of issuance until five and one-half years following the date of issuance. The exercise price and number of shares of common stock issuable upon exercise is subject to appropriate adjustment in the event of stock dividends, stock splits, subsequent rights offerings, pro rate distributions, reorganizations, a Fundamental Transaction (as defined in the Inducement Investment Options) or similar events affecting our common stock and the exercise price.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Inducement Investment Options are exercisable, at the option of each holder, in whole or in part, by delivering to the Company a duly executed exercise notice accompanied by payment in full for the number of shares of our common stock purchased upon such exercise (except in the case of a cashless exercise as discussed below). A holder (together with its affiliates) may not exercise any portion of such holder’s Inducement Investment Options to the extent that the holder would own more than 4.99% (or, 9.99% at the election of the holder prior to issuance) of the outstanding common stock immediately after exercise, except that upon at least 61 days’ prior notice from the holder to the Company, the holder may increase the amount of ownership of outstanding stock after exercising the holder’s Inducement Investment Options up to 9.99% of the number of shares of the Company’s common stock outstanding immediately after giving effect to the exercise, as such percentage ownership is determined in accordance with the terms of the Inducement Investment Options.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jc w:val="both"/>
        <w:spacing w:after="0" w:line="261" w:lineRule="auto"/>
        <w:rPr>
          <w:sz w:val="20"/>
          <w:szCs w:val="20"/>
          <w:color w:val="auto"/>
        </w:rPr>
      </w:pPr>
      <w:r>
        <w:rPr>
          <w:rFonts w:ascii="Times New Roman" w:cs="Times New Roman" w:eastAsia="Times New Roman" w:hAnsi="Times New Roman"/>
          <w:sz w:val="18"/>
          <w:szCs w:val="18"/>
          <w:color w:val="auto"/>
        </w:rPr>
        <w:t>If, at the time a holder exercises its Inducement Investment Options, a registration statement registering the resale of the Inducement Investment Option Shares by the holder under the Securities Act of 1933, as amended, is not then effective or available, then in lieu of making the cash payment otherwise contemplated to be made to us upon such exercise in payment of the aggregate exercise price, the holder may elect instead to receive upon such exercise (either in whole or in part) the net number of shares of common stock determined according to a formula set forth in the Inducement Investment Options.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as otherwise provided in the Inducement Investment Options or by virtue of the holder’s ownership of shares of our common stock, such holder of Inducement Investment Options does not have the rights or privileges of a holder of our common stock, including any voting rights, until such holder exercises such holder’s Inducement Investment Options. The Inducement Investment Options provide that the holders of the Inducement Investment Options have the right to participate in distributions or dividends paid on the Company’s shares of common stock.</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at any time the Inducement Investment Options are outstanding, the Company, either directly or indirectly, in one or more related transactions effects a Fundamental Transaction (as defined in the Inducement Investment Options), a holder of Inducement Investment Options will be entitled to receive, upon exercise of the Inducement Investment Options, the kind and amount of securities, cash or other property that such holder would have received had they exercised the Inducement Investment Options immediately prior to the Fundamental Transaction. As an alternative, and at the Holder’s option in the event of a Fundamental Transaction, exercisable at any time concurrently with, or within 30 days after, the consummation of the Fundamental Transaction (or, if later, the date of the public announcement of the applicable fundamental transaction), the Company shall purchase the unexercised portion of the Inducement Investment Option from the holder by paying to the holder an amount of cash equal to the Black Scholes Value (as defined in the Inducement Investment Option) of the remaining unexercised portion of the Inducement Investment Option on the date of the consummation of such Fundamental Transaction.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Dr. Juan Diaz-Cartelle as CMO</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 2023, Dr. Juan Diaz-Cartelle commenced as our new Chief Medical Officer. As CMO, Dr. Diaz-Cartelle will lead the development and execution of the clinical strategy of the Company, including its planned clinical trials for the LIBERTY Endovascular Robotic Surgical System in the U.S., our medical affairs activity, and will be an integral part of the team leading our regulatory process with the FDA and commercial efforts.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Core-Business Focus Program</w:t>
      </w:r>
    </w:p>
    <w:p>
      <w:pPr>
        <w:spacing w:after="0" w:line="229"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On May 15, 2023, the Board of Directors of the Company authorized, and the Company commenced, a core-business focus program while the Company seeks to raise additional capital to continue development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This core-business focus program</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includes the cessation of research and development activities not related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including terminating the Company’s agreement with CardioSert for that technology, and returning intellectual property relating to the SCS (ViRob) and TipCat to Technion Research and Development Foundation.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Reduction Plan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core-business focus program described above, the Board of Directors of the Company authorized, and the Company commenced, a cost reduction plan while the Company seeks to raise additional capital to continue development of the LIBERTY Endovascular Robotic Surgical System.</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May and June 2023 and in January 2024, we raised sufficient capital that, together with the savings from the cost reduction plan, enabled us to continue our operations through approximately June 2024, including completion of the V&amp;V study, perform the GLP study and submit the IDE to the US Food &amp; Drug Administration. We also, as of November 1, 2023, recommenced paying Rachel Vaknin, our CFO, and Simon Sharon, our CTO and General Manager, their regular salaries and benefits that were previously reduced as a result of the cost reduction plan, and as of January 1, 2024, recommenced paying Harel Gadot, our CEO, and the independent directors of our Board their regular salaries and benefits, or fees as the case may be, that were previously reduced as a result of the cost reduction plan. We continue to seek new sources of capital to stabilize our finances and provide operating runway subsequent to June 2024. In the event the Company is not successful in raising additional capital by June 2024, or if the results of additional V&amp;V testing and first-in-human trials are not promising, the Company may be forced to take more drastic actions to conserve capital or shut down operations entirely.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First-In-Human Clinical Cases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29, 2024, we submitted an Investigational Device Exemption (IDE) application with the U.S. Food and Drug Administration, in order to commence its pivotal clinical trial in humans. After initially considering potential First-In-Human cases in Brazil, by engaging with interventional radiologist Prof. Francisco Cesar Carnevale from University of Sao Paulo Medical School Hospital, we determined that first-in-human clinical trials in Brazil have similar requirements as in the United States. Furthermore, we are still in the process of evaluating the potential of utilizing Greece as an option to carry our First-In Human Cases. However, although we believe Brazil and Greece remain strategically important for commercialization of our</w:t>
      </w:r>
    </w:p>
    <w:p>
      <w:pPr>
        <w:spacing w:after="0" w:line="3"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we decided not to pursue First-In-Human trials or cases outside of the United States at this time to avoid conflict with our FDA submission process.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Israel-Hamas War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7, 2023, the State of Israel, where the Company’s research and development and other operations are primarily based, suffered a surprise attack by hostile forces from Gaza, which led to the declaration by Israel of the “Iron Swords” military operation. This military operation and related activities are on-going as of the date of this 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considered various ongoing risks relating to the military operation and related matters, including:</w:t>
      </w:r>
    </w:p>
    <w:p>
      <w:pPr>
        <w:spacing w:after="0" w:line="225" w:lineRule="exact"/>
        <w:rPr>
          <w:sz w:val="20"/>
          <w:szCs w:val="20"/>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the Company’s Israeli subcontractors, vendors, suppliers and other companies in which the Company relies, are currently only partially active, as instructed by the relevant authorities;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closely monitoring how the military operation and related activities could adversely effect its anticipated milestones and its Israel-based activities to support future clinical and regulatory milestones, including the Company’s ability to import materials that are required to construct the Company’s devices and to ship them outside of Israel. As of the date of this prospectus,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Technological Platforms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LIBERTY</w:t>
      </w:r>
      <w:r>
        <w:rPr>
          <w:rFonts w:ascii="Times New Roman" w:cs="Times New Roman" w:eastAsia="Times New Roman" w:hAnsi="Times New Roman"/>
          <w:sz w:val="29"/>
          <w:szCs w:val="29"/>
          <w:b w:val="1"/>
          <w:bCs w:val="1"/>
          <w:i w:val="1"/>
          <w:iCs w:val="1"/>
          <w:color w:val="auto"/>
          <w:vertAlign w:val="superscript"/>
        </w:rPr>
        <w:t>®</w:t>
      </w:r>
    </w:p>
    <w:p>
      <w:pPr>
        <w:spacing w:after="0" w:line="13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On January 13, 2020, Microbot unveiled what it believes is the world’s first fully disposable robotic system for use in endovascular interventional procedures, such as cardiovascular, peripheral and neurovascular.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features a unique compact design with the capability to be operated remotely, reduce radiation exposure and physical strain to the physician, reduce the risk of cross contamination, as well as the potential to eliminate the use of multiple consumables when used with its NovaCross platform or possibly other guidewire/microcatheter technologies.</w:t>
      </w:r>
    </w:p>
    <w:p>
      <w:pPr>
        <w:spacing w:after="0" w:line="20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designed to maneuver guidewires and over-the-wire devices (such as microcatheters) within the body’s vasculature. It eliminates the need for extensive capital equipment requiring dedicated Cath-lab rooms as well as dedicated staff.</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believe addressable markets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are the Interventional Cardiology, Interventional Radiology and Interventional Neuroradiology markets.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 w:name="page13"/>
    <w:bookmarkEnd w:id="12"/>
    <w:p>
      <w:pPr>
        <w:jc w:val="both"/>
        <w:spacing w:after="0" w:line="225" w:lineRule="auto"/>
        <w:rPr>
          <w:sz w:val="20"/>
          <w:szCs w:val="20"/>
          <w:color w:val="auto"/>
        </w:rPr>
      </w:pPr>
      <w:r>
        <w:rPr>
          <w:rFonts w:ascii="Times New Roman" w:cs="Times New Roman" w:eastAsia="Times New Roman" w:hAnsi="Times New Roman"/>
          <w:sz w:val="18"/>
          <w:szCs w:val="18"/>
          <w:color w:val="auto"/>
        </w:rPr>
        <w:t>The unique characteristics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 compact, mobile, disposable and remotely controlled - open the opportunity of expanding telerobotic interventions to patients with limited access to life-saving procedures, such as mechanical thrombectomy in ischemic stroke.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being designed to have the following attributes:</w:t>
      </w:r>
    </w:p>
    <w:p>
      <w:pPr>
        <w:spacing w:after="0" w:line="13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Compact size - Eliminates the need for large capital equipment in dedicated cath-lab rooms with dedicated staff.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disposable - To our knowledge, the first and only fully disposable, robotic system for endovascular procedures.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&amp; Done® - Can be made compatible with Microbot’s NitiLoop’s NovaCross products or possibly other guidewire/microcatheter technologies, that combines guidewire and microcatheter into a single device.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of the art maneuverability - Provides linear and rotational control of its guidewire, as well as linear and rotational control of a guide catheter, and the linear motion for an additional “over the wire” device.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Compatibility with a wide range of commercially-available guidewires, microcatheters and guide-catheters.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operator safety and comfort - Aims to reduce exposure to ionizing radiation and the need for heavy lead vests otherwise to be worn during procedures, as well as reducing the exposure to Hospital Acquired Infections (HAI).</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 The intuitive remote controls aims to simplify advanced procedures while shortening the physician’s learning curve.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Telemedicine compatible - Capable of supporting tele-catheterization, carried out remotely by highly trained specialists.</w:t>
      </w:r>
    </w:p>
    <w:p>
      <w:pPr>
        <w:spacing w:after="0" w:line="22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On August 17, 2020, Microbot announced the successful conclusion of its feasibility animal study using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22, 2021, we entered into a strategic collaboration agreement for technology co-development with Stryker Corporation, acting through its Neurovascular Division. Pursuant to the agreement, the collaborative development program between Stryker and us aims to integrate certain of Stryker’s</w:t>
      </w:r>
    </w:p>
    <w:p>
      <w:pPr>
        <w:jc w:val="both"/>
        <w:spacing w:after="0" w:line="227" w:lineRule="auto"/>
        <w:rPr>
          <w:sz w:val="20"/>
          <w:szCs w:val="20"/>
          <w:color w:val="auto"/>
        </w:rPr>
      </w:pPr>
      <w:r>
        <w:rPr>
          <w:rFonts w:ascii="Times New Roman" w:cs="Times New Roman" w:eastAsia="Times New Roman" w:hAnsi="Times New Roman"/>
          <w:sz w:val="18"/>
          <w:szCs w:val="18"/>
          <w:color w:val="auto"/>
        </w:rPr>
        <w:t>instruments with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to address certain neurovascular procedures. The activities contemplated by the Agreement shall be specified in one or more development plans derived from the terms and conditions set forth in the Agreement. The parties conducted discussions in the past to define the development plan, but as of the date of this prospectus no specific action plan was developed and are considering next steps.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December 2021, we achieved design freeze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13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In the first quarter of 2022, we filed our pre-submission package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with the FDA, addressing the regulatory pathway for the LIBERTY Endovascular Robotic Surgical System. On July 22, 2022, the Company completed a pre-submission process with the FDA regarding the LIBERTY device. Formal feedback from the FDA included a recommendation to perform a clinical study and a human factors validation study, to support clearance through the 510(k) notification process.</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September and October 2022, the Company conducted an animal study at an FDA accredited European-based MedTech research laboratory, which was performed by a team of seasoned Key Opinion Leaders (KOLs) in the endovascular space, using porcine model. During the animal study, the physicians conducted 63 navigations to the targeted sites using the investigational LIBERTY Endovascular Robotic Surgical System and performed an equal number of procedures manually. The LIBERTY Endovascular Robotic Surgical System received positive feedback from participating physicians, and there were no observable immediate intraoperative adverse events, or harm, to the test subjects. The report from the animal study, which included histopathology data (the microscopic examination of tissue to study the manifestations of disease), exhibited equivocal results which were identified as related to unusual physiological animal responses in both manual and robotic test groups.</w:t>
      </w:r>
    </w:p>
    <w:p>
      <w:pPr>
        <w:spacing w:after="0" w:line="19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On May 3, 2023, we announced that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has surpassed its 100th catheterization during multiple pre-clinical studies, with a 95% success rate of reaching pre-determined vascular targets, such as distal branches of hepatic, gastric, splenic, mesenteric, renal and hypogastric arteries. Moreover, all of the procedures were completed without notable signs of intraoperative injury.</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 w:name="page14"/>
    <w:bookmarkEnd w:id="13"/>
    <w:p>
      <w:pPr>
        <w:jc w:val="both"/>
        <w:spacing w:after="0" w:line="232" w:lineRule="auto"/>
        <w:rPr>
          <w:sz w:val="20"/>
          <w:szCs w:val="20"/>
          <w:color w:val="auto"/>
        </w:rPr>
      </w:pPr>
      <w:r>
        <w:rPr>
          <w:rFonts w:ascii="Times New Roman" w:cs="Times New Roman" w:eastAsia="Times New Roman" w:hAnsi="Times New Roman"/>
          <w:sz w:val="18"/>
          <w:szCs w:val="18"/>
          <w:color w:val="auto"/>
        </w:rPr>
        <w:t>On June 29, 2023, we announced the successful completion of a two-day pivotal pre-clinical study held by leading key opinion leaders at a New York-based research lab, where they performed dozens of catheterizations, including the utilization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remote operation capabilities, to pre-determined vascular targets, with a 100% success rate of reaching the intended target with no observable on-site complications.</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October 2023, we announced the successful initial outcomes from our pivotal pre-clinical study with the LIBERTY Endovascular Robotic Surgical System. The pivotal study was conducted by three leading interventional radiologists that utilized the LIBERTY Endovascular Robotic Surgical System to</w:t>
      </w:r>
    </w:p>
    <w:p>
      <w:pPr>
        <w:jc w:val="both"/>
        <w:spacing w:after="0" w:line="234" w:lineRule="auto"/>
        <w:rPr>
          <w:sz w:val="20"/>
          <w:szCs w:val="20"/>
          <w:color w:val="auto"/>
        </w:rPr>
      </w:pPr>
      <w:r>
        <w:rPr>
          <w:rFonts w:ascii="Times New Roman" w:cs="Times New Roman" w:eastAsia="Times New Roman" w:hAnsi="Times New Roman"/>
          <w:sz w:val="18"/>
          <w:szCs w:val="18"/>
          <w:color w:val="auto"/>
        </w:rPr>
        <w:t>reach a total of 48 animal targets. A total of 6 LIBERTY Systems were used in the study. All 6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performed flawlessly, with 100% usability and technical success. No acute adverse events or complications were visually observed intra-operative. In December 2023, we announced that the final histopathology and lab report supplements our previous findings, and that the results of the study will support our IDE submission to the FDA to commence human clinical study. On January 29, 2024, the Company submitted an Investigational Device Exemption (IDE) application with the U.S. Food and Drug Administration, in order to commence its pivotal clinical trial in humans. In January 2024, we added a US-based Clinical Research Associate, as we continue to establish infrastructure for clinical trial execution.</w:t>
      </w:r>
    </w:p>
    <w:p>
      <w:pPr>
        <w:spacing w:after="0" w:line="20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On October 24 2023, we announced that we received confirmation for the commencement of the process to support our future CE Mark approval, and to ultimately allow us to market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Europe as well as other regions who accept the CE Mark. According to the confirmation, we will commence audits for ISO 13485 certification to ensure compliance with the Quality Management System (QMS) requirements of the EU Medical Devices Regulation (MDR 2017/745), during the first half of 2024. We had previously taken the first step to advance our European program by engaging with a leading Notified Body, who recently confirmed dates for conducting the required audits.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NovaCross</w:t>
      </w:r>
      <w:r>
        <w:rPr>
          <w:rFonts w:ascii="Times New Roman" w:cs="Times New Roman" w:eastAsia="Times New Roman" w:hAnsi="Times New Roman"/>
          <w:sz w:val="29"/>
          <w:szCs w:val="29"/>
          <w:b w:val="1"/>
          <w:bCs w:val="1"/>
          <w:i w:val="1"/>
          <w:iCs w:val="1"/>
          <w:color w:val="auto"/>
          <w:vertAlign w:val="superscript"/>
        </w:rPr>
        <w:t>TM</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 This technology is also expected to be incorporated in our One &amp; Done feature.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Technologies and Platforms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second and third quarters of 2023, as a result of our core-business focus program and our cost reduction plan, we ceased research and development activities relating to the technology we acquired from CardioSert, and with respect to our SCS and TipCat platforms. As a result, we terminated the Company’s agreement with CardioSert for that technology, and returned intellectual property relating to the SCS (ViRob) and TipCat to Technion Research and Development Foundation.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Company was incorporated on August 2, 1988 in the State of Delaware under the name Cellular Transplants, Inc. The original Certificate of Incorporation was restated on February 14, 1992 to change the name of the Company to CytoTherapeutics, Inc. On May 24, 2000, the Certificate of Incorporation as restated was further amended to change the name of the Company to StemCells, Inc. On November 28, 2016, C&amp;RD Israel Ltd., a wholly-owned subsidiary the Company, completed its merger with and into Microbot Medical Ltd., or Microbot Israel, an Israeli corporation that then owned our assets and operated our current business, with Microbot Israel surviving as a wholly-owned subsidiary of ours. We refer to this transaction as the Merger. On November 28, 2016, in connection with the Merger, we changed our name from “StemCells, Inc.” to Microbot Medical Inc., and each outstanding share of Microbot Israel capital stock was converted into the right to receive shares of our common stock. In addition, all outstanding options to purchase the ordinary shares of Microbot Israel were assumed by us and converted into options to purchase shares of the common stock of Microbot Medical Inc. Prior to the Merger, we were a biopharmaceutical company that operated in one segment, the research, development, and commercialization of stem cell therapeutics and related technologies. Substantially all of the material assets relating to the stem cell business were sold on November 29, 2016. On November 29, 2016, our common stock began trading on the Nasdaq Capital Market under the symbol “MBOT”.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288 Grove Street, Suite 388, Braintree, MA 02184. Microbot also has an executive office at 6 Hayozma Street, Yoqneam, P.O.B. 242, Israel 2069204. Our telephone number is (781) 875-3605. We maintain an Internet website at www.microbotmedical.com. The information contained on, connected to or that can be accessed via our website is not part of this prospectus. We have included our website address in this prospectus as an inactive textual reference only and not as an active hyperlink.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all amendments to those reports filed or furnished pursuant to Section 13(a) or 15(d) of the Securities Exchange Act of 1934, as amended, or the Exchange Act, are available free of charge through the investor relations page of our internet website as soon as reasonably practicable after we electronically file such material with, or furnish it to, the SEC.</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prospectus relates to the resale by the selling stockholders identified in this prospectus of up to 1,005,965 shares of our common stock, issued to the Plaintiffs pursuant to the settlement of the Empery/Hudson Bay Lawsuit. See “ Prospectus Summary–Recent Developments–Settlement of Lawsuit” above.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offered by the selling stockholders</w:t>
            </w:r>
          </w:p>
        </w:tc>
        <w:tc>
          <w:tcPr>
            <w:tcW w:w="4240" w:type="dxa"/>
            <w:vAlign w:val="bottom"/>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1,005,965 shares</w:t>
            </w:r>
          </w:p>
        </w:tc>
      </w:tr>
      <w:tr>
        <w:trPr>
          <w:trHeight w:val="216"/>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outstanding before the offering (1)</w:t>
            </w:r>
          </w:p>
        </w:tc>
        <w:tc>
          <w:tcPr>
            <w:tcW w:w="42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14,398,964 shares</w:t>
            </w:r>
          </w:p>
        </w:tc>
      </w:tr>
      <w:tr>
        <w:trPr>
          <w:trHeight w:val="216"/>
        </w:trPr>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to be outstanding after the offering</w:t>
            </w:r>
          </w:p>
        </w:tc>
        <w:tc>
          <w:tcPr>
            <w:tcW w:w="4240" w:type="dxa"/>
            <w:vAlign w:val="bottom"/>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14,398,964 shares</w:t>
            </w:r>
          </w:p>
        </w:tc>
      </w:tr>
      <w:tr>
        <w:trPr>
          <w:trHeight w:val="234"/>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Nasdaq Capital Market Symbol</w:t>
            </w:r>
          </w:p>
        </w:tc>
        <w:tc>
          <w:tcPr>
            <w:tcW w:w="42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MBOT</w:t>
            </w:r>
          </w:p>
        </w:tc>
      </w:tr>
      <w:tr>
        <w:trPr>
          <w:trHeight w:val="205"/>
        </w:trPr>
        <w:tc>
          <w:tcPr>
            <w:tcW w:w="2820" w:type="dxa"/>
            <w:vAlign w:val="bottom"/>
            <w:tcBorders>
              <w:bottom w:val="single" w:sz="8" w:color="auto"/>
            </w:tcBorders>
          </w:tcPr>
          <w:p>
            <w:pPr>
              <w:spacing w:after="0"/>
              <w:rPr>
                <w:sz w:val="17"/>
                <w:szCs w:val="17"/>
                <w:color w:val="auto"/>
              </w:rPr>
            </w:pPr>
          </w:p>
        </w:tc>
        <w:tc>
          <w:tcPr>
            <w:tcW w:w="4180" w:type="dxa"/>
            <w:vAlign w:val="bottom"/>
          </w:tcPr>
          <w:p>
            <w:pPr>
              <w:spacing w:after="0"/>
              <w:rPr>
                <w:sz w:val="17"/>
                <w:szCs w:val="17"/>
                <w:color w:val="auto"/>
              </w:rPr>
            </w:pPr>
          </w:p>
        </w:tc>
        <w:tc>
          <w:tcPr>
            <w:tcW w:w="4240" w:type="dxa"/>
            <w:vAlign w:val="bottom"/>
          </w:tcPr>
          <w:p>
            <w:pPr>
              <w:spacing w:after="0"/>
              <w:rPr>
                <w:sz w:val="17"/>
                <w:szCs w:val="17"/>
                <w:color w:val="auto"/>
              </w:rPr>
            </w:pPr>
          </w:p>
        </w:tc>
      </w:tr>
      <w:tr>
        <w:trPr>
          <w:trHeight w:val="234"/>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Based on the number of shares outstanding as of February 16, 2024.</w:t>
            </w:r>
          </w:p>
        </w:tc>
        <w:tc>
          <w:tcPr>
            <w:tcW w:w="4240" w:type="dxa"/>
            <w:vAlign w:val="bottom"/>
          </w:tcPr>
          <w:p>
            <w:pPr>
              <w:spacing w:after="0"/>
              <w:rPr>
                <w:sz w:val="20"/>
                <w:szCs w:val="20"/>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1,005,965 shares of common stock that are being offered for resale by the selling stockholders will be sold for the accounts of the selling stockholders named in this prospectus. As a result, all proceeds from the sales of such shares of common stock offered for resale hereby will go to the selling stockholders and we will not receive any proceeds from the resale of those shares of common stock by the selling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incur all costs associated with this registration statement and prospectus.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never paid dividends on our capital stock and do not anticipate paying any dividends for the foreseeable future.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Please read the information contained under the heading “Risk Factors” beginning on page 12 of this prospectus.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This prospectus contain forward-looking statements that involve risks and uncertainties. Our business, operating results, financial performance, and share price may be materially adversely affected by a number of factors, including but not limited to the following risk factors, any one of which could cause actual results to vary materially from anticipated results or from those expressed in any forward-looking statements made by us in this prospectus or in other reports, press releases or other statements issued from time to time. Additional factors that may cause such a difference are set forth elsewhere in this prospectus. Forward-looking statements speak only as of the date of this report. We do not undertake any obligation to publicly update any forward-looking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Microbot’s Financial Position and Need for Additional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substantial doubt regarding our ability to continue as a going concern.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stated elsewhere in this prospectus, we have not generated any revenues, have sustained losses and have accumulated a significant deficit since our inception. Also, we estimate that our cash resources are only sufficient to fund our operations for approximately four months from the date of this prospectus, or through approximately June 2024. As a result, our continued existence is dependent upon our ability to obtain additional debt or equity financing and to ultimately become a commercially viable organization. As of September 30, 2023, the Company had unrestricted cash, cash equivalents and marketable securities of approximately $8,153,000, excluding restricted cash. This does not include the approximately $2.43 million in net proceeds we received in our warrant reset transaction that closed on January 3, 2024.</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will need to raise additional capital to fund our operations and continue to support our planned development and commercialization activities. There can be no assurance that the additional necessary debt or equity financing will be available, or will be available on terms acceptable to us, in which case we may be unable to meet our obligations or fully implement our business plan, if at all, beyond such four month period. Additionally, should we be unable to realize our assets and discharge our liabilities in the normal course of business, the net realizable value of our assets may be materially less than the amounts recorded in our financial statements. As a result of the foregoing and our current cash position, these conditions raise substantial doubt about Microbot’s ability to continue as a going concern beyond approximately the next four months, which could adversely affect our ability to raise capital, expand our business and develop our planned products.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 has had no revenue and has incurred significant operating losses since inception and is expected to continue to incur significant operating losses for the foreseeable future. The Company may never become profitable or, if achieved, be able to sustain profitability.</w:t>
      </w:r>
    </w:p>
    <w:p>
      <w:pPr>
        <w:spacing w:after="0" w:line="15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Microbot has incurred significant operating losses since its inception and expects to incur significant losses for the foreseeable future as Microbot continues its preclinical and clinical development programs for its existing product candidates, primarily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its research and development of any other future product candidates; and all other work necessary to obtain regulatory clearances or approvals for its product candidates in the United States and other markets. In the future, Microbot intends to continue conducting micro-robotics research and development;</w:t>
      </w:r>
    </w:p>
    <w:p>
      <w:pPr>
        <w:jc w:val="both"/>
        <w:spacing w:after="0" w:line="227" w:lineRule="auto"/>
        <w:rPr>
          <w:sz w:val="20"/>
          <w:szCs w:val="20"/>
          <w:color w:val="auto"/>
        </w:rPr>
      </w:pPr>
      <w:r>
        <w:rPr>
          <w:rFonts w:ascii="Times New Roman" w:cs="Times New Roman" w:eastAsia="Times New Roman" w:hAnsi="Times New Roman"/>
          <w:sz w:val="18"/>
          <w:szCs w:val="18"/>
          <w:color w:val="auto"/>
        </w:rPr>
        <w:t>performing necessary animal and clinical testing; working towards medical device regulatory compliance; and, if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other future product candidates are approved or cleared for commercial distribution, engaging in appropriate sales and marketing activities that, together with anticipated general and administrative expenses, will likely result in Microbot incurring further significant losses for the foreseeable future.</w:t>
      </w:r>
    </w:p>
    <w:p>
      <w:pPr>
        <w:spacing w:after="0" w:line="199"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Microbot is a development-stage medical device company and currently generates no revenue from product sales, and may never be able to commercialize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other future product candidates. Microbot does not currently have the required approvals or</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clearances to market or test in humans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future product candidates and Microbot may never receive them. Microbot does not anticipate generating significant revenues until it can successfully develop, commercialize and sell products derived from its product pipeline, of which Microbot can give no assurance. Even if Microbot or any of its future development partners succeed in commercializing any of its product candidates, Microbot may never generate revenues significant enough to achieve profitability.</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p>
      <w:pPr>
        <w:jc w:val="both"/>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its product development pipeline and strategy, Microbot cannot accurately predict when it will achieve profitability, if ever. Failure to become and remain profitable would depress the value of the Company and could impair its ability to raise capital, which may force the Company to curtail or discontinue its research and development programs and/or day-to-day operations. Furthermore, there can be no assurance that profitability, if achieved, can be sustained on an ongoing basis.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 has a limited operating history outside of being a research and development-stage company, which may make it difficult to evaluate the prospects for the Company’s future viability.</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Microbot has a limited operating history upon which an evaluation of its business plan or performance and prospects can be made. The business and prospects of Microbot must be considered in the light of the potential problems, delays, uncertainties and complications that may be encountered in connection with a newly established business. The risks include, but are not limited to, the possibility that Microbot will not be able to develop functional and scalable products, or that although functional and scalable, its products will not be economical to market; that its competitors hold proprietary rights that may preclude Microbot from marketing such products; that its competitors market a superior or equivalent product; that Microbot is not able to upgrade and enhance its technologies and products to accommodate new features and expanded service offerings; or the failure to receive necessary regulatory clearances or approvals for its products. To successfully introduce and market its products at a profit, Microbot must establish brand name recognition and competitive advantages for its products. There are no assurances that Microbot can successfully address these challenges. If it is unsuccessful, Microbot and its business, financial condition and operating results could be materially and adversely affected.</w:t>
      </w:r>
    </w:p>
    <w:p>
      <w:pPr>
        <w:spacing w:after="0" w:line="18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Microbot’s operations to date have been limited to organizing the company, entering into licensing arrangements to initially obtain rights to its technologies, developing and securing its technologies, raising capital, developing regulatory and reimbursement strategies for its product candidates, preparing for pre-clinical and clinical trials of product candidates from time to time and, most recently, commencing pre-commercialization planning for</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Microbot has not yet demonstrated its ability to successfully complete development of any product candidate, obtain marketing clearance or approval, manufacture a commercial-scale product or arrange for a third party to do so on its behalf, or conduct sales and marketing activities necessary for successful product commercialization. Consequently, any predictions made about Microbot’s future success or viability may not be as accurate as they could be if Microbot had a longer operating history.</w:t>
      </w:r>
    </w:p>
    <w:p>
      <w:pPr>
        <w:spacing w:after="0" w:line="1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 will need additional funding. If Microbot is unable to raise capital when needed, it could be forced to delay, reduce or eliminate its product development programs or commercialization efforts.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date, Microbot has funded its operations primarily through offerings of debt and equity securities and grants. Microbot does not know when, or if, it will generate any revenue, but does not expect to generate significant revenue unless and until it obtains regulatory clearance or approval of and commercializes one of its current or future product candidates. It is anticipated that the Company will continue to incur losses for the foreseeable future, and that losses will increase as it continues the development of, and seeks regulatory review of, its product candidates, and begins to commercialize any approved or cleared products following a successful regulatory review.</w:t>
      </w:r>
    </w:p>
    <w:p>
      <w:pPr>
        <w:spacing w:after="0" w:line="18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Microbot expects the research and development expenses of the Company to continue to increase substantially in future periods as it conducts studies and trials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especially if it initiates additional research programs for future product candidates. This is the case even with the recent suspension and termination of the research and development programs relating to the SCS device, One &amp; Done and other programs. In addition, if the Company obtains marketing clearance or approval for any of its product candidates, it expects to incur significant commercialization expenses related to product manufacturing, marketing and sales. Furthermore, Microbot incurs substantial costs associated with operating as a public company in the United States. Accordingly, the Company may need to obtain substantial additional funding in connection with its continuing operations through its projected profitability, of which it can give no assurance of success. If the Company is unable to raise capital when needed or on attractive terms, it could be forced to delay, reduce or eliminate its research and development programs or any future commercialization efforts.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spacing w:after="0" w:line="261" w:lineRule="auto"/>
        <w:rPr>
          <w:sz w:val="20"/>
          <w:szCs w:val="20"/>
          <w:color w:val="auto"/>
        </w:rPr>
      </w:pPr>
      <w:r>
        <w:rPr>
          <w:rFonts w:ascii="Times New Roman" w:cs="Times New Roman" w:eastAsia="Times New Roman" w:hAnsi="Times New Roman"/>
          <w:sz w:val="18"/>
          <w:szCs w:val="18"/>
          <w:color w:val="auto"/>
        </w:rPr>
        <w:t>The Company intends to continue to opportunistically strengthen its balance sheet by raising additional funds through equity offerings, including possibly through its existing but currently suspended At-the-Market offering, or otherwise in order to meet expected future liquidity needs, including the</w:t>
      </w:r>
    </w:p>
    <w:p>
      <w:pPr>
        <w:spacing w:after="0" w:line="209" w:lineRule="auto"/>
        <w:rPr>
          <w:sz w:val="20"/>
          <w:szCs w:val="20"/>
          <w:color w:val="auto"/>
        </w:rPr>
      </w:pPr>
      <w:r>
        <w:rPr>
          <w:rFonts w:ascii="Times New Roman" w:cs="Times New Roman" w:eastAsia="Times New Roman" w:hAnsi="Times New Roman"/>
          <w:sz w:val="18"/>
          <w:szCs w:val="18"/>
          <w:color w:val="auto"/>
        </w:rPr>
        <w:t>introduction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The Company’s future capital requirements, generally, will depend on many factors, including:</w:t>
      </w:r>
    </w:p>
    <w:p>
      <w:pPr>
        <w:spacing w:after="0" w:line="200"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outcomes of the product candidates’ regulatory reviews, subsequent approvals or clearances, or other regulatory actions;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design, duration and any potential delays of the clinical trials that could be conducted at the FDA’s request using Microbot’s product candidates;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new and existing businesses, product candidates and technologies;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maintain, expand and defend the scope of Microbot’s intellectual property portfolio;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secure or establish sales, marketing and commercial manufacturing capabilities or arrangements with third parties regarding same;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need and ability to hire additional management and scientific and medical personnel;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operate as a public company in the United States.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Development and Commercialization of Microbot’s Product Candidates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Unsuccessful animal studies, clinical trials or procedures relating to product candidates under development could have a material adverse effect on Microbot’s prospects.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regulatory approval process for new products and new indications for existing products requires extensive data and procedures, including the development of regulatory and quality standards and, potentially, certain clinical studies. Unfavorable or inconsistent data from current or future clinical trials or other studies conducted by Microbot or third parties, or perceptions regarding such data, could adversely affect Microbot’s ability to obtain necessary device clearance or approval and the market’s view of Microbot’s future prospects.</w:t>
      </w:r>
    </w:p>
    <w:p>
      <w:pPr>
        <w:spacing w:after="0" w:line="18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Failure to successfully complete the studies or trials in a timely and cost-effective manner could have a material adverse effect on Microbot’s prospects with respect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other product candidates. Because animal trials, clinical trials and other types of scientific studies are inherently uncertain, there can be no assurance that these trials or studies will be completed in a timely or cost-effective manner or result in a commercially viable product. Clinical trials or studies may experience significant setbacks even if earlier preclinical or animal studies have shown promising results. Furthermore, preliminary results from clinical trials may be contradicted by subsequent clinical analysis. Results from clinical trials may also not be supported by actual long-term studies or clinical experience. If preliminary clinical results are later contradicted, or if initial results cannot be supported by actual long-term studies or clinical experience, Microbot’s business could be adversely affected. Clinical trials also may be suspended or terminated by us, the FDA or other regulatory authorities at any time if it is believed that the trial participants face unacceptable health risks. The FDA may disagree with our interpretation of the data from our clinical trials, or may find the clinical trial design, conduct or results inadequate to demonstrate safety and effectiveness of the product candidate. The FDA may also require additional pre-clinical studies or clinical trials which could further delay approval of our product candidates.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jc w:val="both"/>
        <w:spacing w:after="0" w:line="205" w:lineRule="auto"/>
        <w:rPr>
          <w:sz w:val="20"/>
          <w:szCs w:val="20"/>
          <w:color w:val="auto"/>
        </w:rPr>
      </w:pPr>
      <w:r>
        <w:rPr>
          <w:rFonts w:ascii="Times New Roman" w:cs="Times New Roman" w:eastAsia="Times New Roman" w:hAnsi="Times New Roman"/>
          <w:sz w:val="18"/>
          <w:szCs w:val="18"/>
          <w:b w:val="1"/>
          <w:bCs w:val="1"/>
          <w:i w:val="1"/>
          <w:iCs w:val="1"/>
          <w:color w:val="auto"/>
        </w:rPr>
        <w:t>Microbot’s business depends heavily on the success of its sole lead product candidate,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If Microbot is unable to commercialize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or experiences significant delays in doing so, Microbot’s business will be materially harmed.</w:t>
      </w:r>
    </w:p>
    <w:p>
      <w:pPr>
        <w:spacing w:after="0" w:line="203"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7"/>
          <w:szCs w:val="17"/>
          <w:color w:val="auto"/>
        </w:rPr>
        <w:t>Generally, after all necessary clinical and performance data supporting the safety and effectiveness of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or any other product candidate, are collected, Microbot must still obtain FDA clearance or approval to market the system and those regulatory processes can take several months to several years to be completed. Therefore, Microbot’s ability to generate product revenues will not occur for at least the next few years, if at all, and will depend heavily on the successful commercialization of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or any of</w:t>
      </w:r>
    </w:p>
    <w:p>
      <w:pPr>
        <w:spacing w:after="0" w:line="4"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our other product candidates from time to time. The success of commercializing any of our product candidates, include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will depend on a number of factors, including the following:</w:t>
      </w:r>
    </w:p>
    <w:p>
      <w:pPr>
        <w:spacing w:after="0" w:line="198"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capital;</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animal studies and, if necessary, human clinical trials and the collection of sufficient data to demonstrate that the device is safe and effective for its intended use;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or clearances from the FDA and other applicable regulatory authorities;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arrangements with one or more third parties;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Microbot’s rights in its intellectual property portfolio;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commercial sales, if and when approved, whether alone or in collaboration with other entities;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 candidates, if and when commercially launched, by the medical community, patients and third-party payors;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existing and competitive products on the market and any new competing products that may enter the market;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quality and an acceptable safety profile of our products following clearance or approval.</w:t>
      </w:r>
    </w:p>
    <w:p>
      <w:pPr>
        <w:spacing w:after="0" w:line="229"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We recently suspended our research and development programs for all of our product candidates and platforms other than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as a result of, among other things, some of the above factors, and our short and medium term success is no longer tied to multiple product candidates but rather just the LIBERTY device. If Microbot does not achieve one or more of these factors in a timely manner or at all, it could</w:t>
      </w:r>
    </w:p>
    <w:p>
      <w:pPr>
        <w:spacing w:after="0" w:line="2"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experience significant delays or an inability to successfully commercialize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 which would materially harm its business.</w:t>
      </w:r>
    </w:p>
    <w:p>
      <w:pPr>
        <w:spacing w:after="0" w:line="19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results of Microbot’s research and development efforts are uncertain and there can be no assurance of the commercial success of Microbot’s product candidates.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believes that its success will depend in part on its ability to expand its product offerings and continue to improve its existing product candidates in response to changing technologies, customer demands and competitive pressures. As such, Microbot expects to continue dedicating significant resources in research and development. The product candidates and services being developed by Microbot may not be technologically successful. In addition, the length of Microbot’s product candidates and service development cycle may be greater than Microbot originally expected.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Microbot’s ability to expand its technology platforms for other uses may be limited.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has decided to focus on expanding all of its technology platforms for use in segments of the endovascular, cardiovascular and neurosurgery markets. Microbot’s ability to expand its technology platforms for use in such markets will be limited by its ability to develop and/or refine the necessary technology, obtain the necessary regulatory approvals for their use on humans, and the marketing of its products and otherwise obtaining market acceptance of its product in the United States and in other countries.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jc w:val="both"/>
        <w:spacing w:after="0" w:line="228" w:lineRule="auto"/>
        <w:rPr>
          <w:sz w:val="20"/>
          <w:szCs w:val="20"/>
          <w:color w:val="auto"/>
        </w:rPr>
      </w:pPr>
      <w:r>
        <w:rPr>
          <w:rFonts w:ascii="Times New Roman" w:cs="Times New Roman" w:eastAsia="Times New Roman" w:hAnsi="Times New Roman"/>
          <w:sz w:val="18"/>
          <w:szCs w:val="18"/>
          <w:b w:val="1"/>
          <w:bCs w:val="1"/>
          <w:i w:val="1"/>
          <w:iCs w:val="1"/>
          <w:color w:val="auto"/>
        </w:rPr>
        <w:t>At this time, Microbot does not know the extent of the clinical trial that the FDA will require it to submit in support of its future marketing applications for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which creates uncertainty for Microbot as well as the possibility of increased product development costs and time to market.</w:t>
      </w:r>
    </w:p>
    <w:p>
      <w:pPr>
        <w:spacing w:after="0" w:line="20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Microbot has identified a predicate device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which it intended to use in its 510(k) application. However, there is no guarantee that the FDA will agree with the Company’s determination or that the FDA would accept the predicate device that Microbot intends to submit in its 510(k). The FDA also may request additional data in response to a 510(k) or require Microbot to conduct further testing or compile more data in support of its 510(k). It is unclear at this time whether and how various activities initiated or announced by the FDA to modernize the U.S. medical device regulatory system could affect the marketing pathway or timeline for our product candidate, given their nature.</w:t>
      </w:r>
    </w:p>
    <w:p>
      <w:pPr>
        <w:spacing w:after="0" w:line="20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FDA requires clinical data to be submitted as part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marketing submission, any type of clinical study performed in humans will require the investment of substantial expense, professional resources and time. In order to conduct a clinical investigation involving human subjects for the purpose of demonstrating the safety and effectiveness of a medical device, a company must, among other things, apply for and obtain Institutional Review Board, or IRB, approval of the proposed investigation. In addition, the sponsor of the investigation must also submit and obtain FDA approval of an Investigational Device Exemption, or IDE, application. Microbot may not be able to obtain FDA and/or IRB approval to undertake clinical trials in the United States for any new devices Microbot intends to market in the United States in the future. Moreover, the timing of the commencement, continuation and completion of any future clinical trial may be subject to significant delays attributable to various causes, including scheduling conflicts with participating clinicians and clinical institutions, difficulties in identifying and enrolling patients who meet trial eligibility criteria, failure of patients to complete the clinical trial, delay in or failure to obtain IRB approval to conduct a clinical trial at a prospective site, and shortages of supply in the investigational device.</w:t>
      </w:r>
    </w:p>
    <w:p>
      <w:pPr>
        <w:spacing w:after="0" w:line="20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Thus, the addition of one or more mandatory clinical trials to the development timeline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 would significantly increase the costs associated with developing and commercializing the product and delay the timing of U.S. regulatory authorization. The current uncertainty regarding near-term medical device regulatory changes by the FDA could further affect our development</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plans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 depending on their nature, scope and applicability. Microbot and its business, financial condition and operating results could be materially and adversely affected as a result of any such costs, delays or uncertainty.</w:t>
      </w:r>
    </w:p>
    <w:p>
      <w:pPr>
        <w:spacing w:after="0" w:line="198"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b w:val="1"/>
          <w:bCs w:val="1"/>
          <w:i w:val="1"/>
          <w:iCs w:val="1"/>
          <w:color w:val="auto"/>
        </w:rPr>
        <w:t>Microbot’s technology acquired from CardioSert and part of its One &amp; Done</w:t>
      </w:r>
      <w:r>
        <w:rPr>
          <w:rFonts w:ascii="Times New Roman" w:cs="Times New Roman" w:eastAsia="Times New Roman" w:hAnsi="Times New Roman"/>
          <w:sz w:val="29"/>
          <w:szCs w:val="29"/>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xml:space="preserve"> feature is subject to a buy-back clause which, if triggered, could cause us to lose rights to the technology.</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agreement with CardioSert we entered into in January 2018 to acquire its technology, we are required to meet certain commercialization deadlines or CardioSert may terminate the agreement and buy back the technology for $1.00, subject to certain limited exceptions. One of the exceptions in the agreement is if “The First Commercial Sale does not occur within 50 months of the Effective Date” of the contract. 50 months have expired in 2022 and Microbot did not meet the commercialization deadlines.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failure to meet the applicable commercialization deadline could therefore result in the sale back of the technology to CardioSert. In addition, as a result of our recently enacted core-business focus program and cost reduction plan, we terminated the January 2018 agreement with CardioSert effective as of August 17, 2023, which could result in the technology being re-acquired by Cardiosert Ltd. for nominal consideration. Although we have not yet been notified of any such election, and any such sale would materially adversely affect our ability to develop and commercialize, or materially delay the development and commercialization of, our One &amp; Done feature, as, if and when we restart that feature with our Nitiloop technology.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 w:name="page21"/>
    <w:bookmarkEnd w:id="2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 will depend upon the ability of third parties, including contract research organizations, collaborative academic groups, future clinical trial sites and investigators, to conduct or to assist the Company in conducting clinical trials for its product candidates, if such trials become necessary.</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development-stage, pre-clinical company, Microbot has no prior experience in designing, initiating, conducting and monitoring human clinical trials. Microbot will depend upon its ability and/or the ability of future collaborators, contract research organizations, clinical trial sites and investigators to successfully design, initiate, conduct and monitor such clinical trials.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Failure by Microbot or by any of these future collaborating parties to timely and effectively initiate, conduct and monitor a future clinical trial could significantly delay or materially impair Microbot’s ability to complete those clinical trials and/or obtain regulatory clearance or approval of its product candidates and, consequently, could delay or materially impair its ability to generate revenues from the commercialization of those products.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research and development program is dependent on the availability of certain components from suppliers, the delay in delivery of which could materially adversely affect our ongoing development and ability to manufacture and package devices in the timeframes currently expected.</w:t>
      </w:r>
    </w:p>
    <w:p>
      <w:pPr>
        <w:spacing w:after="0" w:line="16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Our research and development program is dependent on the availability of the component parts that we use to manufacture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packaging. Our business, therefore, could be adversely impacted by factors affecting our suppliers (such as the lack of employees due to military actions, a work stoppage or strike by our suppliers’ employees or the failure of our suppliers to provide materials of the requisite quality).</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Israel-Hamas war, we are currently experiencing delays in the supply for certain components from Israeli-based vendors. We cannot determine with any certainty as to whether these shortages will continue and if so, for how long. Consequently, our operational and development timeline could be adversely affected if we were unable to obtain these components from our suppliers in the quantities or based on the timeline we require. Although we believe in most cases that we could identify alternative suppliers, we can give no assurance that our research and development timelines will not be delayed while we identify and retain replacement suppliers. Accordingly, any material delay in delivery of any component parts or packaging could materially adversely affect our ability to obtain FDA approval and otherwise meet our expected timeframes.</w:t>
      </w:r>
    </w:p>
    <w:p>
      <w:pPr>
        <w:spacing w:after="0" w:line="187" w:lineRule="exact"/>
        <w:rPr>
          <w:sz w:val="20"/>
          <w:szCs w:val="20"/>
          <w:color w:val="auto"/>
        </w:rPr>
      </w:pPr>
    </w:p>
    <w:p>
      <w:pPr>
        <w:jc w:val="both"/>
        <w:spacing w:after="0" w:line="205" w:lineRule="auto"/>
        <w:rPr>
          <w:sz w:val="20"/>
          <w:szCs w:val="20"/>
          <w:color w:val="auto"/>
        </w:rPr>
      </w:pPr>
      <w:r>
        <w:rPr>
          <w:rFonts w:ascii="Times New Roman" w:cs="Times New Roman" w:eastAsia="Times New Roman" w:hAnsi="Times New Roman"/>
          <w:sz w:val="18"/>
          <w:szCs w:val="18"/>
          <w:b w:val="1"/>
          <w:bCs w:val="1"/>
          <w:i w:val="1"/>
          <w:iCs w:val="1"/>
          <w:color w:val="auto"/>
        </w:rPr>
        <w:t>If the commercial opportunity for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and any other commercial products that may be developed by Microbot is smaller than Microbot anticipates, Microbot’s future revenue from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and such other products will be adversely affected and Microbot’s business will suffer.</w:t>
      </w:r>
    </w:p>
    <w:p>
      <w:pPr>
        <w:spacing w:after="0" w:line="19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the size of the commercial opportunities in any of Microbot’s target markets is smaller than it anticipates, Microbot may not be able to achieve profitability and growth. It is difficult to predict the penetration, future growth rate or size of the market for Microbot’s product candidate.</w:t>
      </w:r>
    </w:p>
    <w:p>
      <w:pPr>
        <w:spacing w:after="0" w:line="16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commercial success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candidates will require broad acceptance of the devices by the doctors and other medical professionals who specialize in the procedures targeted by each device, a limited number of whom may be able to influence device selection and purchasing decisions. If Microbot’s technologies are not broadly accepted and perceived as having significant advantages over existing medical devices, then it will not meet its business objectives. Such perceptions are likely to be based on a determination by medical facilities and physicians that Microbot’s product candidates are safe and effective, are cost-effective in comparison to existing devices, and represent acceptable methods of treatment. Microbot cannot assure that it will be able to establish the relationships and arrangements with medical facilities and physicians necessary to support the market uptake of its product candidates. In addition, its competitors may develop new technologies for the same markets Microbot is targeting that are more attractive to medical facilities and physicians. If doctors and other medical professionals do not consider Microbot product candidates to be suitable for application in the procedures we are targeting and an improvement over the use of existing or competing products, Microbot’s business goals will not be realized.</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 w:name="page22"/>
    <w:bookmarkEnd w:id="21"/>
    <w:p>
      <w:pPr>
        <w:jc w:val="both"/>
        <w:spacing w:after="0" w:line="218" w:lineRule="auto"/>
        <w:rPr>
          <w:sz w:val="20"/>
          <w:szCs w:val="20"/>
          <w:color w:val="auto"/>
        </w:rPr>
      </w:pPr>
      <w:r>
        <w:rPr>
          <w:rFonts w:ascii="Times New Roman" w:cs="Times New Roman" w:eastAsia="Times New Roman" w:hAnsi="Times New Roman"/>
          <w:sz w:val="18"/>
          <w:szCs w:val="18"/>
          <w:b w:val="1"/>
          <w:bCs w:val="1"/>
          <w:i w:val="1"/>
          <w:iCs w:val="1"/>
          <w:color w:val="auto"/>
        </w:rPr>
        <w:t>Customers will be unlikely to buy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or any other product candidates unless Microbot can demonstrate that they can be produced for sale to consumers at attractive prices.</w:t>
      </w:r>
    </w:p>
    <w:p>
      <w:pPr>
        <w:spacing w:after="0" w:line="20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To date, Microbot has focused primarily on research and development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first generation versions of other current and former product candidates. Consequently, Microbot has no experience in manufacturing its product candidates, and intends to manufacture its product candidates through third-party manufacturers. Microbot can offer no assurance that either it or its manufacturing partners will develop efficient, automated, low-cost manufacturing capabilities and processes to meet the quality, price, engineering, design and production standards or production volumes required to successfully mass produce its commercial products. Even if its manufacturing partners are successful in developing such manufacturing capability and quality processes, including the assurance of GMP-compliant device manufacturing, there can be no assurance that Microbot can timely meet its product commercialization schedule or the production and delivery requirements of potential customers. A failure to develop such manufacturing processes and capabilities could have a material adverse effect on Microbot’s business and financial results.</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proposed price of Microbot’s product candidates, once approved for sale, will be dependent on material and other manufacturing costs. Microbot cannot offer any assurances that its manufacturing partner will be able manufacture its product candidates at a competitive price or that achieving cost reductions will not cause a reduction in the performance, reliability and longevity of its product candidates.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 has relied on, and intends to continue to rely on, third-party manufacturers to produce its product candidates.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currently relies, and expects to rely for the foreseeable future, on third-party manufacturers to produce and supply its product candidates, and it expects to rely on third parties to manufacture the commercialized products as well, should they receive the necessary regulatory clearance or approval. Reliance on third-party manufacturers entails risks to which Microbot would not be subject if Microbot manufactured its product candidates or future commercial products itself, including:</w:t>
      </w:r>
    </w:p>
    <w:p>
      <w:pPr>
        <w:spacing w:after="0" w:line="180"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supply availability resulting from capacity, internal operational problems or scheduling constraints of third parties;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regulatory non-compliance or other violations by the third-party manufacturer that could result in quality assurance;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manufacturing agreements by third parties because of various factors beyond Microbot’s control;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manufacturing agreements by third parties for various reasons beyond Microbot’s control, at a time that is costly or inconvenient to Microbot.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Microbot is not able to maintain its key manufacturing relationships, Microbot may fail to find replacement manufacturers or develop its own manufacturing capabilities, which could delay or impair Microbot’s ability to obtain regulatory clearance or approval for its product candidates and could substantially increase its costs or deplete profit margins, if any. If Microbot does find replacement manufacturers, Microbot may not be able to enter into agreements with them on terms and conditions favorable to it and there could be a substantial delay before new facilities could be qualified and registered with the FDA and other foreign regulatory authorities.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Microbot’s product candidates are not considered to be a safe and effective alternative to existing technologies, Microbot will not be commercially successful.</w:t>
      </w:r>
    </w:p>
    <w:p>
      <w:pPr>
        <w:spacing w:after="0" w:line="16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7"/>
          <w:szCs w:val="17"/>
          <w:color w:val="auto"/>
        </w:rPr>
        <w:t>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and our other product candidates rely on new technologies, and Microbot’s success will depend on acceptance of these technologies by the medical community as safe, clinically effective, cost effective and a preferred device as compared to products of its</w:t>
      </w:r>
    </w:p>
    <w:p>
      <w:pPr>
        <w:spacing w:after="0" w:line="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competitors. Microbot does not have long-term data regarding efficacy, safety and clinical outcomes associated with the use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our other product candidates. Any data that is generated in the future may not be positive or may not support the product candidates’ regulatory dossiers, which would negatively affect market acceptance and the rate at which its product candidates are adopted. Equally important will be physicians’ perceptions of the safety of Microbot’s product candidates because Microbot’s technologies are relatively new. If, over the long term, Microbot’s product candidates do not meet surgeons’ expectations as to safety, efficacy and ease of use, they may not become widely adopted.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jc w:val="both"/>
        <w:spacing w:after="0" w:line="261" w:lineRule="auto"/>
        <w:rPr>
          <w:sz w:val="20"/>
          <w:szCs w:val="20"/>
          <w:color w:val="auto"/>
        </w:rPr>
      </w:pPr>
      <w:r>
        <w:rPr>
          <w:rFonts w:ascii="Times New Roman" w:cs="Times New Roman" w:eastAsia="Times New Roman" w:hAnsi="Times New Roman"/>
          <w:sz w:val="18"/>
          <w:szCs w:val="18"/>
          <w:color w:val="auto"/>
        </w:rPr>
        <w:t>Market acceptance of Microbot’s product candidates will also be affected by other factors, including Microbot’s ability to convince key opinion leaders to provide recommendations regarding its product candidates; convince distributors that its technologies are attractive alternatives to existing and competing technologies; supply and service sufficient quantities of products directly or through marketing alliances; and price products competitively in light of the current macroeconomic environment, which is increasingly price sensitive.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 may be subject to penalties and may be precluded from marketing its product candidates if Microbot fails to comply with extensive governmental regulations.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Microbot believes that its medical device product candidates will be categorized as Class II devices, which typically require a 510(k) or 510(k) de-novo premarket submission to the FDA. However, the FDA has not made any determination about whether Microbot’s medical product candidates are Class II medical devices and may disagree with that classification. If the FDA determines that Microbot’s product candidates should be reclassified as Class III medical devices, Microbot could be precluded from marketing the devices for clinical use within the United States for months, years or longer, depending on the specifics of the change in classification. Reclassification of any of Microbot’s product candidates as Class III medical devices could significantly increase Microbot’s regulatory costs, including the timing and expense associated with required clinical trials and other costs.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FDA and non-U.S. regulatory authorities require that Microbot product candidates be manufactured according to rigorous standards. These regulatory requirements significantly increase Microbot’s production costs, which may prevent Microbot from offering products within the price range and in quantities necessary to meet market demands. If Microbot or one of its third-party manufacturers changes an approved manufacturing process, the FDA may need to review the process before it may be used. Failure to comply with applicable pre-market and post-market regulatory requirements could subject Microbot to enforcement actions, including warning letters, fines, injunctions and civil penalties, recall or seizure of its products, operating restrictions, partial suspension or total shutdown of its production, and criminal prosecution.</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Microbot is not able to both obtain and maintain adequate levels of third-party reimbursement for procedures involving its product candidates after they are approved for marketing and launched commercially, it would have a material adverse effect on Microbot’s business.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Healthcare providers and related facilities are generally reimbursed for their services through payment systems managed by various governmental agencies worldwide, private insurance companies, and managed care organizations. The manner and level of reimbursement in any given case may depend on the site of care, the procedure(s) performed, the final patient diagnosis, the device(s) utilized, available budget, or a combination of these factors, and coverage and payment levels are determined at each payor’s discretion. The coverage policies and reimbursement levels of these third-party payors may impact the decisions of healthcare providers and facilities regarding which medical products they purchase and the prices they are willing to pay for those products. Microbot cannot assure you that its sales will not be impeded and its business harmed if third-party payors fail to provide reimbursement for Microbot products that healthcare providers view as adequate.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United States, Microbot expects that its product candidates, once approved, will be purchased primarily by medical institutions, which then bill various third-party payors, such as the Centers for Medicare &amp; Medicaid Services, or CMS, which administers the Medicare program through Medicare Administrative Contractors, and other government health care programs and private insurance plans, for the healthcare products and services provided to their patients. The process involved in applying for coverage and incremental reimbursement from CMS is lengthy and expensive. Moreover, many private payors look to CMS in setting their reimbursement policies and amounts. If CMS or other agencies limit coverage for procedures utilizing Microbot’s products or decrease or limit reimbursement payments for doctors and hospitals utilizing Microbot’s products, this may affect coverage and reimbursement determinations by many private payors.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jc w:val="both"/>
        <w:spacing w:after="0" w:line="258" w:lineRule="auto"/>
        <w:rPr>
          <w:sz w:val="20"/>
          <w:szCs w:val="20"/>
          <w:color w:val="auto"/>
        </w:rPr>
      </w:pPr>
      <w:r>
        <w:rPr>
          <w:rFonts w:ascii="Times New Roman" w:cs="Times New Roman" w:eastAsia="Times New Roman" w:hAnsi="Times New Roman"/>
          <w:sz w:val="18"/>
          <w:szCs w:val="18"/>
          <w:color w:val="auto"/>
        </w:rPr>
        <w:t>If a procedure involving a medical device is not reimbursed separately by a government or private insurer, then a medical institution would have to absorb the cost of Microbot’s products as part of the cost of the procedure in which the products are used. At this time, Microbot does not know the extent to which medical institutions would consider insurers’ payment levels adequate to cover the cost of its products. Failure by hospitals and surgeons to receive an amount that they consider to be adequate reimbursement for procedures in which Microbot products are used could deter them from purchasing Microbot products and limit sales growth for those products.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Microbot has no control over payor decision-making with respect to coverage and payment levels for its medical device product candidates, once they are approved. Additionally, Microbot expects many payors to continue to explore cost-containment strategies (e.g., comparative and cost-effectiveness analyses, so-called “pay-for-performance” programs implemented by various public government health care programs and private third-party payors, and expansion of payment bundling initiatives, and other such methods that shift medical cost risk to providers) that may potentially impact coverage and/or payment levels for Microbot’s current product candidates or products Microbot develops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Microbot’s product offerings are used across diverse healthcare settings, they will be affected to varying degrees by the different payment systems.</w:t>
      </w:r>
    </w:p>
    <w:p>
      <w:pPr>
        <w:spacing w:after="0" w:line="225"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b w:val="1"/>
          <w:bCs w:val="1"/>
          <w:i w:val="1"/>
          <w:iCs w:val="1"/>
          <w:color w:val="auto"/>
        </w:rPr>
        <w:t>Clinical outcome studies for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may not provide sufficient data to make such product candidates the standard of care.</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Microbot’s business plan with respect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relies on the broad adoption by surgeons of the products for their respective planned applications.</w:t>
      </w:r>
    </w:p>
    <w:p>
      <w:pPr>
        <w:spacing w:after="0" w:line="19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Clinical studies may not show an advantage in LIBERTY based procedures in a timely manner, or at all, and outcome studies have not been designed at this time, and may be too large and too costly for Microbot to conduct. Both situations could prevent broad adoption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materially impact Microbot’s business.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 products may in the future be subject to mandatory product recalls that could harm its reputation, business and financial results.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FDA and similar foreign governmental authorities have the authority to require the recall of commercialized products in the event of material deficiencies or defects in design or manufacture that could pose a risk of injury to patients. In the case of the FDA, the authority to require a recall must be based on an FDA finding that there is a reasonable probability that the device would cause serious injury or death, although in most cases this mandatory recall authority is not used because manufacturers typically initiate a voluntary recall when a device violation is discovered. In addition, foreign governmental bodies have the authority to require the recall of Microbot products in the event of material deficiencies or defects in design or manufacture. Manufacturers may, under their own initiative, recall a product if any material deficiency in a device is found. A government-mandated or voluntary recall by Microbot or one of its distributors could occur as a result of component failures, manufacturing errors, design or labeling defects or other deficiencies and issues. Recalls of any Microbot products would divert managerial and financial resources and have an adverse effect on Microbot’s financial condition and results of operations, and any future recall announcements could harm Microbot’s reputation with customers and negatively affect its sales. In addition, the FDA could take enforcement action, including any of the following sanctions for failing to timely report a recall to the FDA:</w:t>
      </w:r>
    </w:p>
    <w:p>
      <w:pPr>
        <w:spacing w:after="0" w:line="194"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warning letters, fines, injunctions, consent decrees and civil penalties;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detention or seizure of Microbot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or delaying requests for 510(k) clearance or premarket approval of new products or modified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510(k) clearances or other types of regulatory authorizations -that have already been granted;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to grant export approval for Microbot products;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Microbot’s future commercialized products cause or contribute to a death or a serious injury, Microbot will be subject to Medical Device Reporting regulations, which can result in voluntary corrective actions or agency enforcement actions.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FDA regulations, Microbot will be required to report to the FDA any incident in which a marketed medical device product may have caused or contributed to a death or serious injury or in which a medical device malfunctioned and, if the malfunction were to recur, would likely cause or contribute to death or serious injury. In addition, all manufacturers placing medical devices in European Union markets are legally bound to report any serious or potentially serious incidents involving devices they produce or sell to the relevant authority in whose jurisdiction the incident occurred.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Microbot anticipates that in the future it is likely that we may experience events that would require reporting to the FDA pursuant to the Medical Device Reporting (MDR) regulations. Any adverse event involving a Microbot product could result in future voluntary corrective actions, such as product actions or customer notifications, or agency actions, such as inspection, mandatory recall or other enforcement action. Any corrective action, whether voluntary or involuntary, as well as defending Microbot in a lawsuit, will require the dedication of our time and capital, distract management from operating our business, and may harm our reputation and financial results.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 could be exposed to significant liability claims if Microbot is unable to obtain insurance at acceptable costs and adequate levels or otherwise protect itself against potential product liability claims.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testing, manufacture, marketing and sale of medical devices entail the inherent risk of liability claims or product recalls. Product liability insurance is expensive and may not be available on acceptable terms, if at all. A successful product liability claim or product recall could inhibit or prevent the successful commercialization of Microbot’s products, cause a significant financial burden on Microbot, or both, which in any case could have a material adverse effect on Microbot’s business and financial condition.</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Microbot fails to retain certain of its key personnel and attract and retain additional qualified personnel, Microbot might not be able to pursue its growth strategy effectively.</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Microbot is dependent on its senior management, in particular Harel Gadot, Microbot’s Chairman, President and Chief Executive Officer, and Simon Sharon, its General Manager and Chief Technology Officer. Although Microbot believes that its relationship with members of its senior management is positive, there can be no assurance that the services of any of these individuals will continue to be available to Microbot in the future. In particular, as part of our cost reduction program, we reduced all executive officers’ salaries by between 30-50%. Although the salaries of all executives have been reinstated we can give no assurance that any of our executives will remain with our company in light of such reductions. Microbot’s future success will depend in part on its ability to retain its management and scientific teams, to identify, hire and retain additional qualified personnel with expertise in research and development and sales and marketing, and to effectively provide for the succession of senior management, when necessary. Competition for qualified personnel in the medical device industry is intense and finding and retaining qualified personnel with experience in the industry is very difficult. Microbot believes that there are only a limited number of individuals with the requisite skills to serve in key positions at Microbot, particularly in Israel, and it competes for key personnel with other medical equipment and technology companies, as well as research institutions.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Microbot does not carry, and does not intend to carry, any key man life insurance policies on any of its existing executive officers.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Risks Relating to International Business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Microbot fails to obtain regulatory clearances in other countries for its product candidates under development, Microbot will not be able to commercialize these product candidates in those countries.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order for Microbot to market its product candidates in countries other than the United States, it must comply with the safety and quality regulations in such countries.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Europe, these regulations, including the requirements for approvals, clearance or grant of Conformité Européenne, or CE, Certificates of Conformity and the time required for regulatory review, vary from country to country. Failure to obtain regulatory approval, clearance or CE Certificates of Conformity (or equivalent) in any foreign country in which Microbot plans to market its product candidates may harm its ability to generate revenue and harm its business. Approval and CE marking procedures vary among countries and can involve additional product testing and additional administrative review periods. The time required to obtain approval or CE Certificate of Conformity in other countries might differ from that required to obtain FDA clearance. The regulatory approval or CE marking process in other countries may include all of the risks detailed above regarding FDA clearance in the United States. Regulatory approval or the CE marking of a product candidate in one country does not ensure regulatory approval in another, but a failure or delay in obtaining regulatory approval or a CE Certificate of Conformity in one country may negatively impact the regulatory process in others. Failure to obtain regulatory approval or a CE Certificate of Conformity in other countries or any delay or setback in obtaining such approval could have the same adverse effects described above regarding FDA clearance in the United States.</w:t>
      </w:r>
    </w:p>
    <w:p>
      <w:pPr>
        <w:spacing w:after="0" w:line="198"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Although we engaged with a leading notified body to secure a CE Mark for sales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Europe, it is not yet certain as to when we will secure the CE Mark, and we cannot be certain that we will be successful in complying with the requirements of the CE</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Certificate of Conformity and receiving a CE Mark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other product candidates or in continuing to meet the requirements of the Medical Devices Directive in the European Economic Area (EEA).</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Israel’s Medical Devices Law generally requires the registration of all medical products with the Ministry of Health, or MOH, Registrar through the submission of an application to the Ministry of Health Medical Institutions and Devices Licensing Department, or AMAR. If the application includes a certificate issued by a competent authority of a “recognized” country, which includes Australia, Canada, the European Community Member States, Japan or the United States, the registration process is expedited, but is generally still expected to take 6 to 9 months for approval. If certification from a recognized country is not available, the registration process takes significantly longer and a license is rarely issued under such circumstances, as the MOH may require the presentation of significant additional clinical data. Once granted, a license (marketing authorization) for a medical device is valid for five years from the date of registration of the device, except for implants with a life-supporting function, for which the validity is for only two years from the date of registration. Furthermore, the holder of the license must meet several additional requirements to maintain the license. Microbot cannot be certain that it will be successful in applying for a license from the MOH for its product candidates.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 operations in international markets involve inherent risks that Microbot may not be able to control.</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Microbot’s business plan includes the marketing and sale of its proposed product candidates internationally, and specifically in Europe and Israel. Accordingly, Microbot’s results could be materially and adversely affected by a variety of factors relating to international business operations that it may or may not be able to control, including:</w:t>
      </w:r>
    </w:p>
    <w:p>
      <w:pPr>
        <w:spacing w:after="0" w:line="176"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macroeconomic conditions affecting geographies where Microbot intends to do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of international borders, including as a result of biohazards or pandemics;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social unrest or economic instability in a specific country or region;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of doing business in certain foreign countries;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claims on foreign patents, copyrights or trademark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operations across disparate geographic areas;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enforcing agreements and intellectual property rights through foreign legal systems;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and other regulatory requirements, which affect Microbot’s ability to import or export its product candidates from or to various countries;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consequences;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legal and regulatory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military conflict, terrorist activities, natural disasters and medical epidemics;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Microbot’s ability to recruit and retain channel partners in foreign jurisdictions.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Microbot’s financial results may be affected by fluctuations in exchange rates and Microbot’s current currency hedging strategy may not be sufficient to counter such fluctuations.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Microbot’s financial statements are denominated in U.S. dollars and the financial results of the Company are denominated in U.S. dollars, while a significant portion of Microbot’s business is conducted, and a substantial portion of its operating expenses are payable, in currencies other than the U.S. dollar. Exchange rate fluctuations may have an adverse impact on Microbot’s future revenues or expenses as presented in the financial statements. Microbot may in the future use financial instruments, such as forward foreign currency contracts, in its management of foreign currency exposure. These contracts would primarily require Microbot to purchase and sell certain foreign currencies with or for U.S. dollars at contracted rates. Microbot may be exposed to a credit loss in the event of non-performance by the counterparties of these contracts. In addition, these financial instruments may not adequately manage Microbot’s foreign currency exposure. Microbot’s results of operations could be adversely affected if Microbot is unable to successfully manage currency fluctuations in the future.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Microbot’s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 may not meet its product candidates’ development and commercialization objectives in a timely manner or at all.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Microbot has established internal goals, based upon expectations with respect to its technologies, which Microbot has used to assess its progress toward developing its product candidates. These goals relate to technology and design improvements as well as to dates for achieving specific development results. If the product candidates exhibit technical defects or are unable to meet cost or performance goals, Microbot’s commercialization schedule could be delayed and potential purchasers of its initial commercialized products may decline to purchase such products or may opt to pursue alternative products, which would materially harm its business.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and infringement claims could cause Microbot to incur significant expenses or prevent Microbot from selling certain of its product candidates.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medical device industry is characterized by extensive intellectual property litigation. From time to time, Microbot might be the subject of claims by third parties of potential infringement or misappropriation. Regardless of outcome, such claims are expensive to defend and divert the time and effort of Microbot’s management and operating personnel from other business issues. A successful claim or claims of patent or other intellectual property infringement against Microbot could result in its payment of significant monetary damages and/or royalty payments or negatively impact its ability to sell current or future products in the affected category and could have a material adverse effect on its business, cash flows, financial condition or results of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Microbot or TRDF are unable to protect the patents or other proprietary rights relating to Microbot’s product candidates, or if Microbot infringes on the patents or other proprietary rights of others, Microbot’s competitiveness and business prospects may be materially damaged.</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Microbot’s success depends on its ability to protect its intellectual property (including its licensed intellectual property) and its proprietary technologies. Microbot’s commercial success depends in part on its ability to obtain and maintain patent protection and trade secret protection for its product candidates, proprietary technologies, and their uses, as well as its ability to operate without infringing upon the proprietary rights of others.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Microbot currently holds, through licenses or otherwise, an intellectual property portfolio that includes U.S. and international patents and pending patents, and other patents under development. Microbot intends to continue to seek legal protection, primarily through patents, including the remaining TRDF licensed patents that relate to the LIBERTY technology, for its proprietary technology. Seeking patent protection is a lengthy and costly process, and there can be no assurance that patents will be issued from any pending applications, or that any claims allowed from existing or pending patents will be sufficiently broad or strong to protect its proprietary technology. There is also no guarantee that any patents Microbot holds, through licenses or otherwise, will not be challenged, invalidated or circumvented, or that the patent rights granted will provide competitive advantages to Microbot. Microbot’s competitors have developed and may continue to develop and obtain patents for technologies that are similar or superior to Microbot’s technologies. In addition, the laws of foreign jurisdictions in which Microbot develops, manufactures or sells its product candidates may not protect Microbot’s intellectual property rights to the same extent as do the laws of the United States.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Adverse outcomes in current or future legal disputes regarding patent and other intellectual property rights could result in the loss of Microbot’s intellectual property rights, subject Microbot to significant liabilities to third parties, require Microbot to seek licenses from third parties on terms that may not be reasonable or favorable to Microbot, prevent Microbot from manufacturing, importing or selling its product candidates, or compel Microbot to redesign its product candidates to avoid infringing third parties’ intellectual property. As a result, Microbot may be required to incur substantial costs to prosecute, enforce or defend its intellectual property rights if they are challenged. Any of these circumstances could have a material adverse effect on Microbot’s business, financial condition and resources or results of operations.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Microbot has the first right, but not the obligation, to control the prosecution, maintenance or enforcement of the remaining licensed patents from TRDF. However, there may be situations in which Microbot will not have control over the prosecution, maintenance or enforcement of the patents that Microbot licenses, or may not have sufficient ability to consult and input into the patent prosecution and maintenance process with respect to such patents. If Microbot does not control the patent prosecution and maintenance process with respect to the remaining TRDF licensed patents, TRDF may elect to do so but may fail to take the steps that are necessary or desirable in order to obtain, maintain and enforce the licensed patents.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Microbot’s ability to develop intellectual property depends in large part on hiring, retaining and motivating highly qualified design and engineering staff and consultants with the knowledge and technical competence to advance its technology and productivity goals. To protect Microbot’s trade secrets and proprietary information, Microbot has entered into confidentiality agreements with its employees, as well as with consultants and other parties. If these agreements prove inadequate or are breached, Microbot’s remedies may not be sufficient to cover its losses.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Dependence on patent and other proprietary rights and failing to protect such rights or to be successful in litigation related to such rights may result in Microbot’s payment of significant monetary damages or impact offerings in its product portfolios.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Microbot’s long-term success largely depends on its ability to market technologically competitive product candidates. If Microbot fails to obtain or maintain adequate intellectual property protection, it may not be able to prevent third parties from using its proprietary technologies or may lose access to technologies critical to our product candidates. Also, Microbot currently pending or future patent applications may not result in issued patents, and issued patents are subject to claims concerning priority, scope and other issues.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8" w:name="page29"/>
    <w:bookmarkEnd w:id="2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Furthermore, Microbot has not filed applications for all of our patents internationally and it may not be able to prevent third parties from using its proprietary technologies or may lose access to technologies critical to its product candidates in other countries.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Operations in Israel</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Existing and historical risks relating to our operations in Israel are being exacerbated by the current military actions and operations, and related activities, that commenced with the surprise attack on the State of Israel on October 7, 2023.</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ongoing risks of operating in Israel are being exacerbated as a result of the October 7, 2023 surprise attack by hostile forces from Gaza, which led to the declaration by Israel of the “Iron Swords” military operation. These include security and economic risks, risks relating to our ability to sell or buy internationally, risk of economic instability, risk of exchange rate fluctuation negatively affecting operating costs, and the risk of employees leaving to perform military service. This military operation and related activities are on-going as of the date of this prospectus.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considered various ongoing risks relating to the military operation and related matters, including:</w:t>
      </w:r>
    </w:p>
    <w:p>
      <w:pPr>
        <w:spacing w:after="0" w:line="225" w:lineRule="exact"/>
        <w:rPr>
          <w:sz w:val="20"/>
          <w:szCs w:val="20"/>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the Company’s Israeli subcontractors, vendors, suppliers and other companies in which the Company relies, are currently only partially active, as instructed by the relevant authorities;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closely monitoring how the military operation and related activities could adversely effect its anticipated milestones and its Israel-based activities to support future clinical and regulatory milestones, including the Company’s ability to import materials that are required to construct the Company’s devices and to ship them outside of Israel. As of the date of this prospectus,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 has facilities located in Israel, and therefore, political conditions in Israel may affect Microbot’s operations and results.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Microbot has facilities located in Israel. In addition, one of its seven directors, its General Manager and Chief Technology Officer and its Chief Financial Officer, as well as substantially all of its research and development team and non-management employees, are residents of Israel. Accordingly, political, economic and military conditions in Israel will directly or indirectly affect Microbot’s operations and results. Most recently, for example, the current political situation in Israel where the ruling parties are attempting to implement laws that essentially allow the parliament to enact laws that are preemptively immune to judicial review could adversely affect our business and results of operations. In addition, since the establishment of the State of Israel, a number of armed conflicts have taken place between Israel and its Arab neighbors. An ongoing state of hostility, varying in degree and intensity has led to security and economic problems for Israel. For a number of years there have been continuing hostilities between Israel and the Palestinians. This includes hostilities with the Islamic movement Hamas in the Gaza Strip, which have adversely affected the peace process and at times resulted in armed conflicts. Such hostilities have negatively influenced Israel’s economy as well as impaired Israel’s relationships with several other countries. Israel also faces threats from Hezbollah militants in Lebanon, from ISIS and rebel forces in Syria, from the government of Iran and other potential threats from additional countries in the region. Moreover, some of Israel’s neighboring countries have recently undergone or are undergoing significant political changes. These political, economic and military conditions in Israel could have a material adverse effect on Microbot’s business, financial condition, results of operations and future growth.</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Political relations could limit Microbot’s ability to sell or buy internationally.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Microbot could be adversely affected by the interruption or reduction of trade between Israel and its trading partners. Some countries, companies and organizations continue to participate in a boycott of Israeli firms and others doing business with Israel, with Israeli companies or with Israeli-owned companies operating in other countries. Foreign government defense export policies towards Israel could also make it more difficult for us to obtain the export authorizations necessary for Microbot’s activities. Also, over the past several years there have been calls in the United States, Europe and elsewhere to reduce trade with Israel. There can be no assurance that restrictive laws, policies or practices directed towards Israel or Israeli businesses will not have an adverse impact on Microbot’s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Israel’s economy may become unstable.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Israel’s economy may experience inflation or deflation, low foreign exchange reserves, fluctuations in world commodity prices, military conflicts and civil unrest. For these and other reasons, the government of Israel has intervened in the economy employing fiscal and monetary policies, import duties, foreign currency restrictions, controls of wages, prices and foreign currency exchange rates and regulations regarding the lending limits of Israeli banks to companies considered to be in an affiliated group. The Israeli government has periodically changed its policies in these areas. Reoccurrence of previous destabilizing factors could make it more difficult for Microbot to operate its business and could adversely affect its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fluctuations between the U.S. dollar and the NIS currencies may negatively affect Microbot’s operating costs.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significant portion of Microbot’s expenses are paid in New Israeli Shekels, or NIS, but its financial statements are denominated in U.S. dollars. As a result, Microbot is exposed to the risks that the NIS may appreciate relative to the U.S. dollar, or the NIS instead devalues relative to the U.S. dollar, and the inflation rate in Israel may exceed such rate of devaluation of the NIS, or that the timing of such devaluation may lag behind inflation in Israel. In any such event, the U.S. dollar cost of Microbot’s operations in Israel would increase and Microbot’s U.S. dollar-denominated results of operations would be adversely affected. Microbot cannot predict any future trends in the rate of inflation in Israel or the rate of devaluation (if any) of the NIS against the U.S. dollar.</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Microbot’s primary expenses paid in NIS that are not linked to the U.S. dollar are employee expenses in Israel and lease payments on its Israeli facility. As Microbot does not hedge against its position in NIS, a change in the value of the NIS compared to the U.S. dollar could increase Microbot’s research and development expenses, labor costs and general and administrative expenses, and as a result, have a negative impact on Microbot’s financial condition.</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Funding and other benefits provided by Israeli government programs may be terminated or reduced in the future and the terms of such funding may have a significant impact on future corporate decisions.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participates in programs under the auspices of the Israeli Innovation Authority, for which it receives funding for the development of its technologies and product candidates. If Microbot fails to comply with the conditions applicable to this program, it may be required to pay additional penalties or make refunds and may be denied future benefits. From time to time, the government of Israel has discussed reducing or eliminating the benefits available under this program, and therefore these benefits may not be available in the future at their current levels or at all.</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Microbot’s research and development efforts from inception until now have been financed in part through such Israeli Innovation Authority royalty bearing grants in an aggregate amount of approximately $1,656,000 through September 30, 2023. This amount includes payment of approximately $156,000 which is a portion of additional grant approved from the Israeli Innovation Authority in the amount of approximately NIS 1.62 million, to further finance the development of the Company’s manufacturing process of the LIBERTY Endovascular Robotic Surgical System. Furthermore the Company received approval for a grant from the Ministry of Economy of the State of Israel in the amount of approximately NIS 300,000, to further finance the marketing activities of the LIBERTY Endovascular Robotic Surgical System in the US market. In addition, as a result of our 2018 agreement with CardioSert and our 2022 agreement with Nitiloop, we took over the liability to repay CardioSert’s and Nitiloop’s IIA grants in the aggregate amount of approximately $530,000 and $925,000, respectively.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 w:name="page31"/>
    <w:bookmarkEnd w:id="30"/>
    <w:p>
      <w:pPr>
        <w:jc w:val="both"/>
        <w:spacing w:after="0" w:line="254" w:lineRule="auto"/>
        <w:rPr>
          <w:sz w:val="20"/>
          <w:szCs w:val="20"/>
          <w:color w:val="auto"/>
        </w:rPr>
      </w:pPr>
      <w:r>
        <w:rPr>
          <w:rFonts w:ascii="Times New Roman" w:cs="Times New Roman" w:eastAsia="Times New Roman" w:hAnsi="Times New Roman"/>
          <w:sz w:val="18"/>
          <w:szCs w:val="18"/>
          <w:color w:val="auto"/>
        </w:rPr>
        <w:t>With respect to such grants Microbot is committed to pay royalties at a rate of between 3% to 3.5% on sales proceeds up to the total amount of grants received, linked to the dollar, plus interest at an annual rate of USD LIBOR. In addition, as a recipient of Israeli Innovation Authority grants, Microbot must comply with the requirements of the Israeli Encouragement of Industrial Research and Development Law, 1984, or the R&amp;D Law, and related regulations. Under the terms of the grants and the R&amp;D Law, Microbot is restricted from transferring any technologies, know-how, manufacturing or manufacturing rights developed using Israeli Innovation Authority grants outside of Israel without the prior approval of Israeli Innovation Authority. Therefore, if aspects of its technologies are deemed to have been developed with Israeli Innovation Authority funding, the discretionary approval of an Israeli Innovation Authority committee would be required for any transfer to third parties outside of Israel of the technologies, know-how, manufacturing or manufacturing rights related to such aspects. Furthermore, the Israeli Innovation Authority may impose certain conditions on any arrangement under which it permits Microbot to transfer technology or development outside of Israel or may not grant such approvals at all.</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approved, the transfer of Israeli Innovation Authority-supported technology or know-how outside of Israel may involve the payment of significant fees, which will depend on the value of the transferred technology or know-how, the total amount Israeli Innovation Authority funding received by Microbot, the number of years since the funding and other factors. These restrictions and requirements for payment may impair Microbot’s ability to sell its technology assets outside of Israel or to outsource or transfer development or manufacturing activities with respect to any product or technology outside of Israel. Furthermore, the amount of consideration available to Microbot’s shareholders in a transaction involving the transfer of technology or know-how developed with Israeli Innovation Authority funding outside of Israel (such as through a merger or other similar transaction) may be reduced by any amounts that Microbot is required to pay to the Israeli Innovation Authority.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Microbot’s employees and officers are obligated to perform military reserve duty in Israel.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Generally, Israeli adult male citizens and permanent residents are obligated to perform annual military reserve duty up to a specified age. They also may be called to active duty at any time under emergency circumstances, which could have a disruptive impact on Microbot’s workforce.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may be difficult to enforce a non-Israeli judgment against Microbot or its officers and directors.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operating subsidiary of the Company is incorporated in Israel. Some of Microbot’s executive officers and directors are not residents of the United States, and a substantial portion of Microbot’s assets and the assets of its executive officers and directors are located outside the United States. Therefore, a judgment obtained against Microbot, or any of these persons, including a judgment based on the civil liability provisions of the U.S. federal securities laws, may not be collectible in the United States and may not necessarily be enforced by an Israeli court. It also may be difficult to affect service of process on these persons in the United States or to assert U.S. securities law claims in original actions instituted in Israel. Additionally, it may be difficult for an investor, or any other person or entity, to initiate an action with respect to U.S. securities laws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often involves the testimony of expert witnesses, which can be a time consuming and costly process. Certain matters of procedure will also be governed by Israeli law. There is little binding case law in Israel that addresses the matters described above. As a result of the difficulty associated with enforcing a judgment against Microbot in Israel, it may be impossible to collect any damages awarded by either a U.S. or foreign court.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Microbot’s Securities, Governance and Other Matters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continued listing requirements of The Nasdaq Capital Market, our common stock may be delisted and the price of our common stock and our ability to access the capital markets could be negatively impacted.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In order to maintain that listing, we must satisfy minimum financial and other continued listing requirements and standards, including those regarding director independence and independent committee requirements, minimum stockholders’ equity, minimum share price, and certain corporate governance requirements. There can be no assurances that we will be able to comply with the applicable listing standards. In 2018, we effected a 1:15 reverse stock split to address our stock price falling below the minimum share price required by Nasdaq. Failure to again meet applicable Nasdaq continued listing standards could result in a delisting of our common stock. A delisting of our common stock from The Nasdaq Capital Market could materially reduce the liquidity of our common stock and result in a corresponding material reduction in the price of our common stock. In addition, delisting could harm our ability to raise capital on terms acceptable to us, or at all, and may result in the potential loss of confidence by investors, employees and fewer business opportunities. Additionally, if we are not eligible for quotation or listing on another exchange, trading of our common stock could be conducted only in the over-the-counter market or on an electronic bulletin board established for unlisted securities such as the OTC Marketplace. In such event, it could become more difficult to dispose of, or obtain accurate price quotations for, our common stock, and there would likely also be a reduction in our coverage by securities analysts and the news media, which could cause the price of our common stock to decline further.</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pay cash dividends on our common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anticipate that we will retain our earnings, if any, for future growth and therefore do not anticipate paying cash dividends on our Common Stock in the future. Investors seeking cash dividends should not invest in our Common Stock for that purpose.</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the Company’s charter and bylaws under Delaware law may prevent or frustrate attempts by stockholders to change the board of directors or current management and could make a third-party acquisition of the Company difficult.</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Provisions in the Company’s certificate of incorporation and bylaws may delay or prevent an acquisition or a change in management. These provisions include a classified board of directors. In addition, because the Company is incorporated in Delaware, it is governed by the provisions of Section 203 of the DGCL, which prohibits stockholders owning in excess of 15% of outstanding voting stock from merging or combining with the Company. Although the Company believes these provisions collectively will provide for an opportunity to receive higher bids by requiring potential acquirers to negotiate with the Company’s board of directors, they would apply even if the offer may be considered beneficial by some stockholders. In addition, these provisions may frustrate or prevent any attempts by the Company’s stockholders to replace or remove then current management by making it more difficult for stockholders to replace members of the board of directors, which is responsible for appointing members of management.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the Company’s investors, restrict its operations or require it to relinquish rights to its technologies or product candidates.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Until such time, if ever, as the Company can generate substantial product revenues, it expects to finance its cash needs through a combination of equity offerings, including possibly through its existing but currently suspended At-the-Market offering, licensing, collaboration or similar arrangements, grants and debt financings. The Company does not have any committed external source of funds. To the extent that the Company raises additional capital through the sale of equity or convertible debt securities, the ownership interest of its stockholders will be diluted, and the terms of these securities may include liquidation or other preferences that adversely affect the rights of holder of the Company’s common stock. Debt financing, if available, may involve agreements that include covenants limiting or restricting the Company’s ability to take specific actions, such as incurring additional debt, making capital expenditures, declaring dividends or other distributions, selling or licensing intellectual property rights, and other operating restrictions that could adversely affect the Company’s ability to conduct its business.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Company raises additional funds through licensing, collaboration or similar arrangements, it may have to relinquish valuable rights to its technologies, future revenue streams, research and development programs or product candidates or to grant licenses on terms that may not be favorable to the Company. If the Company is unable to raise additional funds through equity or debt financings or other arrangements when needed, it may be required to delay, limit, reduce or terminate its product development or future commercialization efforts or grant rights to develop and market product candidates that it would otherwise prefer to develop and market itself.</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Microbot operates in a competitive industry and if its competitors have products that are marketed more effectively or develop products, treatments or procedures that are similar, more advanced, safer or more effective, its commercial opportunities will be reduced or eliminated, which would materially harm its business.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competitors may develop products, treatments or procedures that directly compete with our products and potential products and which are similar, more advanced, safer or more effective than ours. The medical device industry is very competitive and subject to significant technological and practice</w:t>
      </w:r>
    </w:p>
    <w:p>
      <w:pPr>
        <w:jc w:val="both"/>
        <w:spacing w:after="0" w:line="209" w:lineRule="auto"/>
        <w:rPr>
          <w:sz w:val="20"/>
          <w:szCs w:val="20"/>
          <w:color w:val="auto"/>
        </w:rPr>
      </w:pPr>
      <w:r>
        <w:rPr>
          <w:rFonts w:ascii="Times New Roman" w:cs="Times New Roman" w:eastAsia="Times New Roman" w:hAnsi="Times New Roman"/>
          <w:sz w:val="18"/>
          <w:szCs w:val="18"/>
          <w:color w:val="auto"/>
        </w:rPr>
        <w:t>changes. Microbot expects to face competition from many different sources with respect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other products that it is seeking to develop or commercialize with respect to its other product candidates in the future.</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2" w:name="page33"/>
    <w:bookmarkEnd w:id="32"/>
    <w:p>
      <w:pPr>
        <w:jc w:val="both"/>
        <w:spacing w:after="0" w:line="257" w:lineRule="auto"/>
        <w:rPr>
          <w:sz w:val="20"/>
          <w:szCs w:val="20"/>
          <w:color w:val="auto"/>
        </w:rPr>
      </w:pPr>
      <w:r>
        <w:rPr>
          <w:rFonts w:ascii="Times New Roman" w:cs="Times New Roman" w:eastAsia="Times New Roman" w:hAnsi="Times New Roman"/>
          <w:sz w:val="18"/>
          <w:szCs w:val="18"/>
          <w:color w:val="auto"/>
        </w:rPr>
        <w:t>Competing against large established competitors with significant resources may make establishing a market for any products that it develops difficult which would have a material adverse effect on Microbot’s business. Microbot’s commercial opportunities could also be reduced or eliminated if its competitors develop and commercialize products, treatments or procedures quicker, that are safer, more effective, are more convenient or are less expensive than the</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product that Microbot may develop. Many of Microbot’s potential competitors have significantly greater financial resources and expertise in research and development, manufacturing, preclinical testing, conducting clinical trials, obtaining regulatory approvals and marketing approved products than Microbot may have. Mergers and acquisitions in the medical device industry market may result in even more resources being concentrated among a smaller number of Microbot’s potential competitors.</w:t>
      </w:r>
    </w:p>
    <w:p>
      <w:pPr>
        <w:spacing w:after="0" w:line="1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strategy in part relies on identifying, acquiring and developing complementary technologies and products, which entails risks which could negatively affect our business, operations and financial condition.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in the past and may again in the future pursue other acquisitions of businesses and technologies. Acquisitions entail numerous risks, including:</w:t>
      </w:r>
    </w:p>
    <w:p>
      <w:pPr>
        <w:spacing w:after="0" w:line="225"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the integration of acquired operations, services and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achieve expected synergies;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business concerns;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 of unknown material liabilities of acquired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acquired intangible assets, which could reduce future reported earnings;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funding to properly and adequately develop and commercialize the technologies acquired;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clients or key employees of acquired companies;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dilution to existing stockholders.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our growth strategy, we may consider, and from time to time may engage in, discussions and negotiations regarding transactions, such as acquisitions, mergers and combinations within our industry. The purchase price for possible acquisitions could be paid in cash, through the issuance of common stock or other securities, borrowings or a combination of these methods.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cannot be certain that we will be able to identify, consummate and successfully integrate acquisitions, and no assurance can be given with respect to the timing, likelihood or business effect of any possible transaction. For example, we could begin negotiations that we subsequently decide to suspend or terminate for a variety of reasons. Similarly, we could acquire a technology or asset, and later determine that such technology or asset no longer fits in our business strategy or goals. However, opportunities may arise from time to time that we will evaluate. Any transactions that we consummate would involve risks and uncertainties to us. These risks could cause the failure of any anticipated benefits of an acquisition to be realized, which could have a material adverse effect on our business, financial condition, results of operations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for our Common Stock may be volatile.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market price for our Common Stock may be volatile and subject to wide fluctuations in response to factors including the following:</w:t>
      </w:r>
    </w:p>
    <w:p>
      <w:pPr>
        <w:spacing w:after="0" w:line="22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or annual operating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or operational estimates or projections;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markets generally;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performance or market valuations of companies similar to ours;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products, acquisitions, strategic partnerships, joint ventures or capital commitments;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or political conditions in the United States, Israel or elsewhere.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securities market has from time to time experienced significant price and volume fluctuations that are not related to the operating performance of particular companies. These market fluctuations may also materially and adversely affect the market price of shares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issuance of shares upon exercise of outstanding warrants and options could cause immediate and substantial dilution to existing stockholders.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issuance of shares upon exercise of warrants and options could result in substantial dilution to the interests of other stockholders since the holders of such securities may ultimately convert and sell the full amount issuable on conversion.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082"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1,005,965 shares of common stock that are being offered for resale by the selling stockholders will be sold for the accounts of the selling stockholders named in this prospectus. As a result, all proceeds from the sales of such shares of common stock offered for resale hereby will go to the selling stockholders and we will not receive any proceeds from the resale of those shares of common stock by the selling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incur all costs associated with this registration statement and prospectus.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FOR COMMON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“MBOT” since November 29, 2016. Prior to that, our common stock was traded under the symbol “STEM.”</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February 16, 2024, there were approximately 101 holders of record of our common stock, and the closing price of our common stock as reported on the NASDAQ Capital Market was $1.29.</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never paid cash dividends on our common stock and we do not anticipate paying cash dividends on common stock in the foreseeable future. The payment of dividends on our common stock will depend on earnings, financial condition, debt covenants in place, and other business and economic factors affecting us at such time as our Board of Directors may consider relevant. If we do not pay dividends, our common stock may be less valuable because a return on a stockholders’ investment will only occur if our stock price appreciates.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and any prospectus supplement contain certain statements that constitute “forward-looking statements” within the meaning of Section 27A of the Securities Act of 1933, as amended, and Section 21E of the Securities Exchange Act of 1934, as amended, or the Exchange Act. The words “believe,” “may,” “will,” “estimate,” “continue,” “anticipate,” “intend,” “expect,” “could,” “would,” “project,” “plan,” “potentially,” “likely,” and similar expressions and variations thereof are intended to identify forward-looking statements, but are not the exclusive means of identifying such statements. Those statements appear in this prospectus, particularly in the sections titled “Risk Factors” and “Management’s Discussion and Analysis of Financial Condition and Results of Operations” and include statements regarding the intent, belief or current expectations of our management that are subject to known and unknown risks, uncertainties and assumptions. You are cautioned that any such forward-looking statements are not guarantees of future performance and involve risks and uncertainties, and that actual results may differ materially from those projected in the forward-looking statements as a result of various factors.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such statements,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audited and unaudited financial statements and related notes included elsewhere in this prospectus.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robotic technologies with the goal of redefining surgical robotics while improving surgical outcomes for patients.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salaries and related expenses and overhead for Microbot’s research, development and engineering personnel, prototype materials and research studies, obtaining and maintaining Microbot’s patent portfolio, net of government grants. Microbot expenses its research and development costs as incurred.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the costs associated with management salaries and benefits, professional fees for accounting, auditing, consulting and legal services, and allocated overhead expenses.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Microbot has cut its general and administrative expenses in May 2023 as a result of its core-business focus program and cost reduction program; however, Microbot expects that its general and administrative expenses may increase in the future as it incurs expenses relating to its operating activities, maintains and expands its patent portfolio and maintain compliance with exchange listing and public company requirements. Microbot expects these potential increases will likely include management costs, legal fees, accounting fees, directors’ and officers’ liability insurance premiums and expenses associated with investor relations.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Microbot has incurred net losses and has not recorded any income tax benefits for the losses. It is still in its development stage and has not yet generated revenues, therefore, it is more likely than not that sufficient taxable income will not be available for the tax losses to be fully utilized in the future.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Accounting Policies and Significant Judgments and Estimates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Management’s discussion and analysis of Microbot’s financial condition and results of operations are based on its consolidated financial statements, which have been prepared in accordance with U.S. generally accepted accounting principles, or GAAP. The preparation of these consolidated financial statements requires Microbot to make estimates and judgments that affect the reported amounts of assets, liabilities, and expenses and the disclosure of contingent assets and liabilities at the date of the consolidated financial statements. Microbot bases its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Microbot’s significant accounting policies are described in more detail in the notes to its consolidated financial statements, Microbot believes the following accounting policies are the most critical for fully understanding and evaluating its consolidated financial condition and results of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Management records and discloses legal contingencies in accordance with ASC Topic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Accordingly, Management will recognize a liability for a legal contingency when it is both probable that a liability has been incurred and the amount of the loss can be reasonably estimated. The Company monitors the stage of progress of its litigation matters in each reporting period in order to determine if any adjustments are required.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measures the fair value of certain of its financial instruments on a recurring basis.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prices (unadjusted) in active markets for identical assets and liabilities.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 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and Nine Months Ended September 30, 2023 and 2022</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key components of Microbot’s results of operations for the three and nine month periods ended September 30, 2023 and 2022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2280" w:type="dxa"/>
            <w:vAlign w:val="bottom"/>
            <w:gridSpan w:val="5"/>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740" w:type="dxa"/>
            <w:vAlign w:val="bottom"/>
          </w:tcPr>
          <w:p>
            <w:pPr>
              <w:spacing w:after="0"/>
              <w:rPr>
                <w:sz w:val="21"/>
                <w:szCs w:val="21"/>
                <w:color w:val="auto"/>
              </w:rPr>
            </w:pPr>
          </w:p>
        </w:tc>
        <w:tc>
          <w:tcPr>
            <w:tcW w:w="2280" w:type="dxa"/>
            <w:vAlign w:val="bottom"/>
            <w:gridSpan w:val="5"/>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6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4740" w:type="dxa"/>
            <w:vAlign w:val="bottom"/>
          </w:tcPr>
          <w:p>
            <w:pPr>
              <w:spacing w:after="0"/>
              <w:rPr>
                <w:sz w:val="20"/>
                <w:szCs w:val="20"/>
                <w:color w:val="auto"/>
              </w:rPr>
            </w:pPr>
          </w:p>
        </w:tc>
        <w:tc>
          <w:tcPr>
            <w:tcW w:w="7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80" w:type="dxa"/>
            <w:vAlign w:val="bottom"/>
          </w:tcPr>
          <w:p>
            <w:pPr>
              <w:spacing w:after="0"/>
              <w:rPr>
                <w:sz w:val="20"/>
                <w:szCs w:val="20"/>
                <w:color w:val="auto"/>
              </w:rPr>
            </w:pPr>
          </w:p>
        </w:tc>
        <w:tc>
          <w:tcPr>
            <w:tcW w:w="7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6"/>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 net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(1,612)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(1,953)</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(4,594)</w:t>
            </w:r>
          </w:p>
        </w:tc>
        <w:tc>
          <w:tcPr>
            <w:tcW w:w="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(5,852)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1,258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(932)</w:t>
            </w:r>
          </w:p>
        </w:tc>
        <w:tc>
          <w:tcPr>
            <w:tcW w:w="12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(1,521)</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589</w:t>
            </w:r>
          </w:p>
        </w:tc>
        <w:tc>
          <w:tcPr>
            <w:tcW w:w="12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(3,193)</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(4,361)</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1,168</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income, net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w:t>
            </w:r>
          </w:p>
        </w:tc>
        <w:tc>
          <w:tcPr>
            <w:tcW w:w="12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92</w:t>
            </w:r>
          </w:p>
        </w:tc>
        <w:tc>
          <w:tcPr>
            <w:tcW w:w="12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201</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w:t>
            </w:r>
          </w:p>
        </w:tc>
      </w:tr>
    </w:tbl>
    <w:p>
      <w:pPr>
        <w:spacing w:after="0" w:line="1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The decrease in research and development expenses for both periods presented was primarily due to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 reduction plan (the “Plan”), which commenced in the second quarter of 2023. The Plan involved cutting expenses by implementing employee terminations, reducing management salaries, and eliminating bonus accruals. Furthermore, the Company has also reduced costs by decreasing expenses related to subcontractors, advisory board members, and patents. Additionally, in comparison to the same period in 2022, the Company incurred expenses in 2022 due to the development of the SCS technology, whereas in 2023, low expenses were recorded for that project as it was suspended in October 2022 and thereafter terminated.</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The decrease in general and administrative expenses for the periods presented was primarily due to lower D&amp;O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insurance premiums in 2023 and execution of the Plan, which among other things, involved cutting expenses by implementing employee terminations, reducing management salaries, eliminating bonus accruals and pausing independent directors’ payments. Additionally, during the three and nine months ended September 30, 2023, the Company recorded lower share -based compensation expenses compared to the comparable period in 2022, due to older options becoming fully vested.</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Financing Income, net</w:t>
      </w:r>
      <w:r>
        <w:rPr>
          <w:rFonts w:ascii="Times New Roman" w:cs="Times New Roman" w:eastAsia="Times New Roman" w:hAnsi="Times New Roman"/>
          <w:sz w:val="18"/>
          <w:szCs w:val="18"/>
          <w:color w:val="auto"/>
        </w:rPr>
        <w:t>. The increase in financing income net for the three and nine-month periods presented was primarily due to interest income,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increased in 2023 due to overall rise in market interest rates earned on the Company’s marketable securities, as well as unrealized gains from marketable securities, also due to rising interest rates.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2022 and 2021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key components of Microbot’s results of operations for the years ended December 31, 2022 and 2021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For the Years Ended</w:t>
            </w: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5400" w:type="dxa"/>
            <w:vAlign w:val="bottom"/>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6"/>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6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(7,736)</w:t>
            </w:r>
          </w:p>
        </w:tc>
        <w:tc>
          <w:tcPr>
            <w:tcW w:w="3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(6,153)</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6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(5,545)</w:t>
            </w:r>
          </w:p>
        </w:tc>
        <w:tc>
          <w:tcPr>
            <w:tcW w:w="64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(5,204)</w:t>
            </w:r>
          </w:p>
        </w:tc>
        <w:tc>
          <w:tcPr>
            <w:tcW w:w="3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(341)</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income, net</w:t>
            </w:r>
          </w:p>
        </w:tc>
        <w:tc>
          <w:tcPr>
            <w:tcW w:w="10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118</w:t>
            </w:r>
          </w:p>
        </w:tc>
        <w:tc>
          <w:tcPr>
            <w:tcW w:w="6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Capital loss</w:t>
            </w:r>
          </w:p>
        </w:tc>
        <w:tc>
          <w:tcPr>
            <w:tcW w:w="106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w:t>
            </w:r>
          </w:p>
        </w:tc>
        <w:tc>
          <w:tcPr>
            <w:tcW w:w="640" w:type="dxa"/>
            <w:vAlign w:val="bottom"/>
          </w:tcPr>
          <w:p>
            <w:pPr>
              <w:spacing w:after="0"/>
              <w:rPr>
                <w:sz w:val="20"/>
                <w:szCs w:val="20"/>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bl>
    <w:p>
      <w:pPr>
        <w:spacing w:after="0" w:line="1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Microbot’s research and development expenses were approximately $7,736,000 for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compared to approximately $6,153,000 for the same period in 2021. The increase in research and development expenses of approximately $1,583,000 in 2022 as compared to 2021 was primarily due to increased salaries and recruitment of employees, professional services and material expenses relating to the LIBERTY project, minimally offset by savings resulting from the suspension of our SCS research program. Microbot expects its research and development expenses to continue to increase over time as Microbot advances its development programs and begins pre-clinical and preparations for clinical trials for the LIBERTY.</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General and administrative expenses were approximately $5,545,000 for the year ended December 31,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approximately $5,204,000 for the same period in 2021. The increase in general and administrative expenses of approximately $341,000 in 2022 as compared to 2021 was primarily due to increased salaries, share-based compensation, and travel of $777,000, partially offset by a decrease of $436,000 in government fees and professional services. Microbot believes its general and administrative expenses may increase over time as it advances its programs, requiring additional investments in headcount, facilities and other general and administrative operating activities to support its growth, and as it continues to incur expenses associated with public-company compliance.</w:t>
      </w:r>
    </w:p>
    <w:p>
      <w:pPr>
        <w:spacing w:after="0" w:line="1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Financing Income</w:t>
      </w:r>
      <w:r>
        <w:rPr>
          <w:rFonts w:ascii="Times New Roman" w:cs="Times New Roman" w:eastAsia="Times New Roman" w:hAnsi="Times New Roman"/>
          <w:sz w:val="18"/>
          <w:szCs w:val="18"/>
          <w:color w:val="auto"/>
        </w:rPr>
        <w:t>. Financing income was approximately $118,000 for the year ended December 31, 2022, consisting of, income from interest, net totaling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$54,000 and an exchange rate gain of $64,000, compared to approximately $44,000 for the year ended December 31, 2021, which consisted mainly of the reversal of $131,000 of other liability stemming from our 2016 merger with StemCells, offset by exchange rate expenses of $87,000.</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Capital loss was approximately $5,000 for the year ended December 31, 2022, relating to assets disposal related to SCS suspension, compared to $0 of capital loss for the year ended December 31,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Microbot has incurred losses since inception and negative cash flows from operating activities for all periods presented. As of September 30, 2023, Microbot had a net working capital of approximately $6,916,000, consisting primarily of cash and cash equivalents and marketable securities. This compares to net working capital of approximately $6,745,000 as of December 31, 2022. Microbot anticipates that it will continue to incur net losses for the foreseeable future as it continues research and development efforts of its primary product candidate and continues to incur costs associated with being a public company.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has funded its operations through the issuance of capital stock, grants from the Israeli Innovation Authority, and convertible debt. Since inception (November 2010) through September 30, 2023, Microbot has raised cash proceeds of approximately $66,560,000 and incurred a total cumulative loss of approximately $76,347,000. Microbot returned $3,375,000 (before interest) to an investor as a result of an adverse outcome in a litigation that concluded in the first quarter of 2020 and recently settled a second lawsuit resulting from the same financing.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7" w:name="page38"/>
    <w:bookmarkEnd w:id="37"/>
    <w:p>
      <w:pPr>
        <w:jc w:val="both"/>
        <w:spacing w:after="0" w:line="254" w:lineRule="auto"/>
        <w:rPr>
          <w:sz w:val="20"/>
          <w:szCs w:val="20"/>
          <w:color w:val="auto"/>
        </w:rPr>
      </w:pPr>
      <w:r>
        <w:rPr>
          <w:rFonts w:ascii="Times New Roman" w:cs="Times New Roman" w:eastAsia="Times New Roman" w:hAnsi="Times New Roman"/>
          <w:sz w:val="18"/>
          <w:szCs w:val="18"/>
          <w:color w:val="auto"/>
        </w:rPr>
        <w:t>Microbot Israel obtained from the Israeli Innovation Authority (“IIA”) grants for participation in research and development for the years 2013 through September 30, 2023 in the total amount of approximately $1,656,000. This amount includes advance payment in the third quarter of 2023 of approximately $156,000, which is a portion of additional grants from the IIA in the amount of approximately NIS 1,620,000, which based on an exchange rate on September 30, 2023 of NIS 1.00 = $0.2614, would be approximately $423,000, to further finance the development of our manufacturing process of the LIBERTY robotic surgical system. On January 4, 2018, Microbot Israel entered into an agreement with CardioSert to acquire certain of its patent-protected technology. CardioSert received grants from the IIA in the aggregate amount of approximately $530,000 and Microbot Israel took over the liability to repay such grants, which remains Microbot Israel’s responsibility for so long as it owns the CardioSert assets. On October 6, 2022, Microbot Israel entered into an agreement with Nitiloop Ltd. to acquire substantially all of its assets. Nitiloop received grants from the IIA in the aggregate amount of approximately $925,000 and Microbot Israel took over the liability to repay such grants.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Microbot Israel is obligated to pay royalties amounting to 3%-5% of its future sales up to the amount of the grants. The grants are linked to the exchange rate of the dollar to the New Israeli Shekel and bears interest at an annual rate of USD LIBOR. Under the terms of the grants and applicable law, Microbot is restricted from transferring any technologies, know-how, manufacturing or manufacturing rights developed using the grant outside of Israel without the prior approval of the Israel Innovation Authority. Microbot has no obligation to repay the grants, if the applicable project fails, is unsuccessful or aborted before any sales are generated. The financial risk is assumed completely by the IIA.</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 2023, the Company announced that it received approval for a grant from the Ministry of Economy in the amount of approximately NIS 300,000, which based on an exchange rate on such date of NIS 1.00 = $0.27457, would be approximately $82,000, to further finance the marketing activities of the LIBERTY Robotic System in the US market. On November 1, 2023, we received NIS 109,474 (approximately US$27,000) of such amount.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relation to the Ministry of Economy grant, the Company is obligated to pay royalties amounting to between 3%-5% of future sales of the LIBERTY product up to the grant amount plus interest.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date, we have not generated revenues from our operations. As of September 30, 2023, we had unrestricted cash, cash equivalents and marketable securities of approximately $8,153,000, excluding restricted cash. We also raised approximately $2.73 million in gross proceeds from our January 2024 Preferred Investment Option Inducement Transaction, which as a result of such transaction, management believes we have sufficient funds for our operations for approximately four months from the date of this prospectus, or through approximately June of 2024. As a result of the foregoing and our current cash position, these conditions raise substantial doubt about Microbot’s ability to continue as a going concern beyond approximately the next four months, which could adversely affect our ability to raise capital, expand our business and develop our planned products.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second fiscal quarter of 2023, Microbot commenced a core-business focus program and a cost reduction plan while it seeks to raise sufficient additional capital to continue development of the LIBERTY robotic system. In May and June 2023, Microbot raised aggregate gross proceeds of approximately $7.56 million, before fees and expenses of approximately $1.1 million, from investors, to continue to fund its operations and research and development activities, and will need additional funds to continue the FDA approval process for the Liberty device. We also raised approximately $2.73 million in gross proceeds from our January 2024 Preferred Investment Option Inducement Transaction. To the extent available, Microbot intends to raise capital through future public and private issuances of debt and/or equity securities. The capital raises from issuances of convertible debt and equity securities could result in additional dilution to Microbot’s shareholders. In addition, to the extent Microbot determines to incur additional indebtedness, Microbot’s incurrence of additional debt could result in debt service obligations and operating and financing covenants that would restrict its operations. Microbot can provide no assurance that financing will be available in the amounts it needs, at the times it needs it or on terms acceptable to it, if at all.</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foregoing, we are unable to fully implement our business plan without raising additional capital, if at all, and these conditions raise substantial doubt about Microbot’s ability to continue as a going concern. The accompanying consolidated interim financial statements do not include any adjustments to reflect the possible future effects on recoverability and reclassification of assets or the amounts and classification of liabilities that may result from the outcome of this uncertainty.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5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table provides a summary of the net cash flow activity for each of the periods presented (in thousands):</w:t>
            </w: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4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80" w:type="dxa"/>
            <w:vAlign w:val="bottom"/>
            <w:gridSpan w:val="7"/>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47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4"/>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47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(11,549)</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(9,354)</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(6,712)</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30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(9,086)</w:t>
            </w:r>
          </w:p>
        </w:tc>
        <w:tc>
          <w:tcPr>
            <w:tcW w:w="100" w:type="dxa"/>
            <w:vAlign w:val="bottom"/>
            <w:gridSpan w:val="2"/>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(used in) provided by investing activities</w:t>
            </w:r>
          </w:p>
        </w:tc>
        <w:tc>
          <w:tcPr>
            <w:tcW w:w="280" w:type="dxa"/>
            <w:vAlign w:val="bottom"/>
          </w:tcPr>
          <w:p>
            <w:pPr>
              <w:spacing w:after="0"/>
              <w:rPr>
                <w:sz w:val="18"/>
                <w:szCs w:val="18"/>
                <w:color w:val="auto"/>
              </w:rPr>
            </w:pPr>
          </w:p>
        </w:tc>
        <w:tc>
          <w:tcPr>
            <w:tcW w:w="14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(3,836)</w:t>
            </w:r>
          </w:p>
        </w:tc>
        <w:tc>
          <w:tcPr>
            <w:tcW w:w="440" w:type="dxa"/>
            <w:vAlign w:val="bottom"/>
          </w:tcPr>
          <w:p>
            <w:pPr>
              <w:spacing w:after="0"/>
              <w:rPr>
                <w:sz w:val="18"/>
                <w:szCs w:val="18"/>
                <w:color w:val="auto"/>
              </w:rPr>
            </w:pPr>
          </w:p>
        </w:tc>
        <w:tc>
          <w:tcPr>
            <w:tcW w:w="12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3,200</w:t>
            </w:r>
          </w:p>
        </w:tc>
        <w:tc>
          <w:tcPr>
            <w:tcW w:w="420" w:type="dxa"/>
            <w:vAlign w:val="bottom"/>
          </w:tcPr>
          <w:p>
            <w:pPr>
              <w:spacing w:after="0"/>
              <w:rPr>
                <w:sz w:val="18"/>
                <w:szCs w:val="18"/>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(984)</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r>
      <w:tr>
        <w:trPr>
          <w:trHeight w:val="25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provided by financing activities</w:t>
            </w:r>
          </w:p>
        </w:tc>
        <w:tc>
          <w:tcPr>
            <w:tcW w:w="2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4,324</w:t>
            </w:r>
          </w:p>
        </w:tc>
        <w:tc>
          <w:tcPr>
            <w:tcW w:w="4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6,558</w:t>
            </w: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16"/>
        </w:trPr>
        <w:tc>
          <w:tcPr>
            <w:tcW w:w="47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28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(11,061</w:t>
            </w:r>
          </w:p>
        </w:tc>
        <w:tc>
          <w:tcPr>
            <w:tcW w:w="340" w:type="dxa"/>
            <w:vAlign w:val="bottom"/>
            <w:tcBorders>
              <w:top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(6,154</w:t>
            </w:r>
          </w:p>
        </w:tc>
        <w:tc>
          <w:tcPr>
            <w:tcW w:w="320" w:type="dxa"/>
            <w:vAlign w:val="bottom"/>
            <w:tcBorders>
              <w:top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320" w:type="dxa"/>
            <w:vAlign w:val="bottom"/>
            <w:tcBorders>
              <w:top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jc w:val="right"/>
              <w:ind w:right="30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(9,169</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flows used in operating activities for the nine months ended September 30, 2023 were approximately $6,712,000, calculated by adjusting our net loss from operations by approximately $874,000 in the aggregate. Cash used in operating activities for the nine months ended September 30, 2022 was approximately $9,086,000, similarly adjusted by approximately $1,084,000. The decrease in net cash flows used in operating activities was mainly due to the reduction in operating expenses from implementation of the Plan and the closure of our SCS research and development program.</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operating activities for the year ended December 31, 2022 was approximately $11,549,000, compared to $9,354,000 in 2021. The increase was primarily from higher net losses in 2022, mostly related to increase in research and development relating to LIBERTY.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flows used in investing activities for the nine months ended September 30, 2023 were approximately $984,000, resulting mainly from purchase of property and equipment, proceeds from sales of a marketable securities and proceeds from maturities of marketable securities off set by purchases of marketable securities compared to net cash flows used in investing activities in the prior comparable period as a result of purchase of property and equipment in the amount of $83,000.</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flows from investing activities increased in 2022 compared to 2021 primarily from the net purchases of marketable securities in 2022.</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flows from financing activities for the nine months ended September 30, 2023 were approximately $6,558,000, resulting from net proceeds received due to the issuance of common stock, and other securities in a series of offerings in May and June 2023.</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flows from financing activities increased in 2022 to approximately $4,324,000 due to the issuance of common stock and warrants to an institutional investor in October 2022. The Company did not raise capital in 2021.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Microbot’s cash and cash equivalents as of December 31, 2023 consisted of readily available checking and money market funds. Microbot’s primary exposure to market risk is interest income sensitivity, which is affected by changes in the general level of U.S. interest rates. However, because of the short-term nature of the instruments in Microbot’s portfolio, a sudden change in market interest rates would not be expected to have a material impact on Microbot’s financial condition and/or results of operations. Microbot does not believe that its cash or cash equivalents have significant risk of default or illiquidity. While Microbot believes its cash and cash equivalents do not contain excessive risk, Microbot cannot provide absolute assurance that in the future its investments will not be subject to adverse changes in market value. In addition, Microbot maintains significant amounts of cash and cash equivalents at one or more financial institutions that are in excess of federally insured limits.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Risks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financial statements are denominated in U.S. dollars and financial results are denominated in U.S. dollars, while a significant portion of our business is conducted, and a substantial portion of our operating expenses are payable, in currencies other than the U.S. dollar.</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Exchange rate fluctuations may have an adverse impact on our future revenues, if any, or expenses as presented in the financial statements. We may in the future use financial instruments, such as forward foreign currency contracts, in its management of foreign currency exposure. These contracts would primarily require us to purchase and sell certain foreign currencies with or for U.S. dollars at contracted rates. We may be exposed to a credit loss in the event of non-performance by the counterparties of these contracts. In addition, these financial instruments may not adequately manage our foreign currency exposure. Our results of operations could be adversely affected if we are unable to successfully manage currency fluctuations in the future.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Effects of Inflation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Inflation generally affects Microbot by increasing its research and development expenses. Microbot does not believe that inflation and changing prices had a significant impact on its results of operations for any periods presented herein, but may have a significant, adverse impact in 2024.</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robotic technologies with the goal of redefining surgical robotics while improving surgical outcomes for patients.</w:t>
      </w:r>
    </w:p>
    <w:p>
      <w:pPr>
        <w:spacing w:after="0" w:line="17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Using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we are developing the first ever fully disposable robot for various endovascular interventional procedures.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Technological Platforms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w:t>
      </w:r>
    </w:p>
    <w:p>
      <w:pPr>
        <w:spacing w:after="0" w:line="13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On January 13, 2020, Microbot unveiled what it believes is the world’s first fully disposable robotic system for use in endovascular interventional procedures, such as cardiovascular, peripheral and neurovascular.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features a unique compact design with the capability to be operated remotely, reduce radiation exposure and physical strain to the physician, reduce the risk of cross contamination, as well as the potential to eliminate the use of multiple consumables when used with its NovaCross platform or possibly other guidewire/microcatheter technologies.</w:t>
      </w:r>
    </w:p>
    <w:p>
      <w:pPr>
        <w:spacing w:after="0" w:line="20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designed to maneuver guidewires and over-the-wire devices (such as microcatheters) within the body’s vasculature. It eliminates the need for extensive capital equipment requiring dedicated Cath-lab rooms as well as dedicated staff.</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believe the addressable markets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are the Interventional Cardiology, Interventional Radiology and Interventional Neuroradiology markets.</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unique characteristics of LIBERTY - compact, mobile, disposable and remotely controlled - open the opportunity of expanding telerobotic interventions to patients with limited access to life-saving procedures, such as mechanical thrombectomy in ischemic stroke.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LIBERTY is being designed to have the following attributes:</w:t>
      </w:r>
    </w:p>
    <w:p>
      <w:pPr>
        <w:spacing w:after="0" w:line="225"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Compact size - Eliminates the need for large capital equipment in dedicated cath-lab rooms with dedicated staff.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disposable - To our knowledge, the first and only fully disposable, robotic system for endovascular procedures.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&amp; Done® - Can be made compatible with Microbot’s NitiLoop’s NovaCross products or possibly other guidewire/microcatheter technologies, that combines guidewire and microcatheter into a single device.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of the art maneuverability - Provides linear and rotational control of its guidewire, as well as linear and rotational control of a guide catheter, and the linear motion for an additional “over the wire” device.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Compatibility with a wide range of commercially-available guidewires, microcatheters and guide-catheters.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operator safety and comfort - Aims to reduce exposure to ionizing radiation and the need for heavy lead vests otherwise to be worn during procedures, as well as reducing the exposure to Hospital Acquired Infections (HAI).</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 Its intuitive remote controls aims to simplify advanced procedures while shortening the physician’s learning curve.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Telemedicine compatible - Capable of supporting tele-catheterization, carried out remotely by highly trained specialists.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1" w:name="page42"/>
    <w:bookmarkEnd w:id="41"/>
    <w:p>
      <w:pPr>
        <w:jc w:val="both"/>
        <w:spacing w:after="0" w:line="236" w:lineRule="auto"/>
        <w:rPr>
          <w:sz w:val="20"/>
          <w:szCs w:val="20"/>
          <w:color w:val="auto"/>
        </w:rPr>
      </w:pPr>
      <w:r>
        <w:rPr>
          <w:rFonts w:ascii="Times New Roman" w:cs="Times New Roman" w:eastAsia="Times New Roman" w:hAnsi="Times New Roman"/>
          <w:sz w:val="18"/>
          <w:szCs w:val="18"/>
          <w:color w:val="auto"/>
        </w:rPr>
        <w:t>On August 17, 2020, Microbot announced the successful conclusion of its feasibility animal study using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22, 2021, we entered into a strategic collaboration agreement for technology co-development with Stryker Corporation, acting through its Neurovascular Division. Pursuant to the agreement, the collaborative development program between Stryker and us aims to integrate certain of Stryker’s instruments with our LIBERTY Endovascular Robotic Surgical System to address certain neurovascular procedures. The activities contemplated by the Agreement shall be specified in one or more development plans derived from the terms and conditions set forth in the Agreement. The parties conducted discussions in the past to define the development plan, but as of the date of this prospectus no specific action plan was developed.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December 2021, we achieved design freeze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13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In the first quarter of 2022, we filed our pre-submission package for the LIBERTY Endovascular Robotic Surgical System with the FDA, addressing the regulatory pathway for the LIBERTY Endovascular Robotic Surgical System. On July 22, 2022, the Company completed a pre-submission process with the</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FDA regarding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Formal feedback from the FDA included a recommendation to perform a clinical study and a human factors validation study, to support clearance through the 510(k) notification process.</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September and October 2022, the Company conducted an animal study at an FDA accredited European-based MedTech research laboratory, which was performed by a team of seasoned Key Opinion Leaders (KOLs) in the endovascular space, using porcine model. During the animal study, the physicians conducted 63 navigations to the targeted sites using the investigational LIBERTY Endovascular Robotic Surgical System and performed an equal number of procedures manually. The LIBERTY Endovascular Robotic Surgical System received positive feedback from participating physicians, and there were no observable immediate intraoperative adverse events, or harm, to the test subjects. The report from the animal study, which included histopathology data (the microscopic examination of tissue to study the manifestations of disease), exhibited equivocal results which were identified as related to unusual physiological animal responses in both manual and robotic test groups.</w:t>
      </w:r>
    </w:p>
    <w:p>
      <w:pPr>
        <w:spacing w:after="0" w:line="19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On May 3, 2023, we announced that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has surpassed its 100th catheterization during multiple pre-clinical studies, with a 95% success rate of reaching pre-determined vascular targets, such as distal branches of hepatic, gastric, splenic, mesenteric, renal and hypogastric arteries. Moreover, all of the procedures were completed without notable signs of intraoperative injury.</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29, 2023, we announced the successful completion of a two-day pre-clinical study held by leading key opinion leaders at a New York-based research lab, where they performed dozens of catheterizations, including the utilization of the LIBERTY Endovascular Robotic Surgical System’s remote operation capabilities, to pre-determined vascular targets, with a 100% success rate of reaching the intended target with no observable on-site complications.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October 2023, we announced the successful initial outcomes from our pivotal pre-clinical study with the LIBERTY Endovascular Robotic Surgical System. The pivotal study was conducted by three leading interventional radiologists that utilized the LIBERTY Endovascular Robotic Surgical System to</w:t>
      </w:r>
    </w:p>
    <w:p>
      <w:pPr>
        <w:jc w:val="both"/>
        <w:spacing w:after="0" w:line="234" w:lineRule="auto"/>
        <w:rPr>
          <w:sz w:val="20"/>
          <w:szCs w:val="20"/>
          <w:color w:val="auto"/>
        </w:rPr>
      </w:pPr>
      <w:r>
        <w:rPr>
          <w:rFonts w:ascii="Times New Roman" w:cs="Times New Roman" w:eastAsia="Times New Roman" w:hAnsi="Times New Roman"/>
          <w:sz w:val="18"/>
          <w:szCs w:val="18"/>
          <w:color w:val="auto"/>
        </w:rPr>
        <w:t>reach a total of 48 animal targets. A total of 6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were used in the study. All 6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performed flawlessly, with 100% usability and technical success. No acute adverse events or complications were visually observed intra-operative. In December 2023, we announced that the final histopathology and lab report supplements our previous findings, and that the results of the study will support our IDE submission to the FDA to commence human clinical study. On January 29, 2024, the Company submitted an Investigational Device Exemption (IDE) application with the U.S. Food and Drug Administration, in order to commence its pivotal clinical trial in humans. In January 2024, we added a US-based Clinical Research Associate, as we continue to establish infrastructure for clinical trial execution.</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2" w:name="page43"/>
    <w:bookmarkEnd w:id="42"/>
    <w:p>
      <w:pPr>
        <w:jc w:val="both"/>
        <w:spacing w:after="0" w:line="235" w:lineRule="auto"/>
        <w:rPr>
          <w:sz w:val="20"/>
          <w:szCs w:val="20"/>
          <w:color w:val="auto"/>
        </w:rPr>
      </w:pPr>
      <w:r>
        <w:rPr>
          <w:rFonts w:ascii="Times New Roman" w:cs="Times New Roman" w:eastAsia="Times New Roman" w:hAnsi="Times New Roman"/>
          <w:sz w:val="18"/>
          <w:szCs w:val="18"/>
          <w:color w:val="auto"/>
        </w:rPr>
        <w:t>On October 24 2023, we announced that we received confirmation for the commencement of the process to support our future CE Mark approval, and to ultimately allow us to market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Europe as well as other regions who accept the CE Mark. According to the confirmation, we will commence audits for ISO 13485 certification to ensure compliance with the Quality Management System (QMS) requirements of the EU Medical Devices Regulation (MDR 2017/745), during the first half of 2024. We had previously taken the first step to advance our European program by engaging with a leading Notified Body, who recently confirmed dates for conducting the required audits.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NovaCross</w:t>
      </w:r>
      <w:r>
        <w:rPr>
          <w:rFonts w:ascii="Times New Roman" w:cs="Times New Roman" w:eastAsia="Times New Roman" w:hAnsi="Times New Roman"/>
          <w:sz w:val="29"/>
          <w:szCs w:val="29"/>
          <w:b w:val="1"/>
          <w:bCs w:val="1"/>
          <w:i w:val="1"/>
          <w:iCs w:val="1"/>
          <w:color w:val="auto"/>
          <w:vertAlign w:val="superscript"/>
        </w:rPr>
        <w:t>TM</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 This technology is also expected to be incorporated in our One &amp; Done feature.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Technologies and Platforms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second and third quarters of 2023, as a result of our core-business focus program and our cost reduction plan, we ceased research and development activities relating to the technology we acquired from CardioSert, and with respect to our SCS and TipCat platforms. As a result, we terminated the Company’s agreement with CardioSert for that technology, and returned intellectual property relating to the SCS (ViRob) and TipCat to Technion Research and Development Foundation.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Settlement of Lawsuit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As of January 26, 2024 (the “Effective Date”), we entered into a Settlement Agreement and Release with Empery Asset Master Ltd., Empery Tax Efficient, LP, Empery Tax Efficient III, LP and Hudson Bay Master Fund Ltd. (collectively, “Plaintiffs”), which resolved and settled the lawsuit (the “Empery/Hudson Bay Lawsuit”) captioned </w:t>
      </w:r>
      <w:r>
        <w:rPr>
          <w:rFonts w:ascii="Times New Roman" w:cs="Times New Roman" w:eastAsia="Times New Roman" w:hAnsi="Times New Roman"/>
          <w:sz w:val="18"/>
          <w:szCs w:val="18"/>
          <w:i w:val="1"/>
          <w:iCs w:val="1"/>
          <w:color w:val="auto"/>
        </w:rPr>
        <w:t>Empery Asset Master Ltd., Empery Tax Efficient, LP, Empery Tax Efficient II, LP, Hudson Bay Master Fund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Ltd., Plaintiffs, against Microbot Medical Inc., Defendant</w:t>
      </w:r>
      <w:r>
        <w:rPr>
          <w:rFonts w:ascii="Times New Roman" w:cs="Times New Roman" w:eastAsia="Times New Roman" w:hAnsi="Times New Roman"/>
          <w:sz w:val="18"/>
          <w:szCs w:val="18"/>
          <w:color w:val="auto"/>
        </w:rPr>
        <w:t>, in the Supreme Court of the State of New York, County of New York (Index No. 651182/2020),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which the Plaintiffs alleged, among other things, that we breached multiple representations and warranties contained in the Securities Purchase Agreement related to our June 8, 2017 equity financing, and fraudulently induced the Plaintiffs into signing the Securities Purchase Agreement. The complaint sought rescission of the Securities Purchase Agreement and return of the Plaintiffs’ $6.75 million purchase price with respect to the 2017 financing.</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Settlement Agreement, we paid the Plaintiffs $2,154,000 (the “Total Settlement Amount”), consisting of a cash payment covered by our insurance carrier of $1,100,000 and 1,005,965 shares of restricted common stock which represent the whole number of restricted shares of our common stock calculated pursuant to the following formula: $1,054,000/[closing price of common stock on the Effective Date * 0.825]. Additionally, the Plaintiffs and the Company each agreed to fully release the other from all claims arising out of the 2017 financing, the Securities Purchase Agreement and/or the allegations and claims asserted in the lawsuit, subject to customary carve-outs.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the Plaintiffs are expected to file a stipulation discontinuing the Empery/Hudson Bay Lawsuit with prejudice.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a Registration Rights Agreement, we are filing a registration statement on Form S-1, of which this prospectus forms a part, covering the resale of the 1,005,965 shares, and we agreed to use reasonable best efforts to have such registration statement declared effective by the Securities and Exchange Commission within 60 days (or, in the event of a “full review” by the Securities and Exchange Commission, within 90 days) following the Effective Date. We shall be required to make cash payments to the Plaintiffs in the event we fail to register the shares and keep the registration statement effective pursuant to the terms of the Registration Rights Agreement, and if we fail to remove the restrictions on the shares pursuant to the terms of the Settlement Agreement.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Investment Option Inducement Transaction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entered into a Preferred Investment Option Exercise and Inducement Letter on December 29, 2023 (the “Inducement Letter”) with certain selling stockholders (the “Stockholders”), the registered holders of existing (i) Series A preferred investment options to purchase shares of the Company’s Common Stock at an exercise price of $2.20 per share, issued on October 25, 2022, as amended on May 24, 2023, (ii) Series C preferred investment options to purchase shares of the Company’s Common Stock at an exercise price of $2.075 per share, issued on June 6, 2023, and (iii) Series D preferred investment options to purchase shares of the Company’s Common Stock at an exercise price of $3.19 per share issued on June 26, 2023 (the “Existing Investment Options”), pursuant to which the Stockholders agreed to exercise for cash their Existing Investment Options to purchase an aggregate of 1,685,682 shares of the Company’s Common Stock, at a reduced exercised price of $1.62 per share, in consideration for the Company’s agreement to issue new preferred investment option (the “Inducement Investment Option”) to purchase up to an aggregate of 1,685,682 shares of the Company’s Common Stock at an exercise price of $1.50 per share. The Inducement Investment Options will be immediately exercisable from the date of issuance until five and one-half (5.5) years following the date of issuance. No other changes to the Existing Investment Options were made.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Core-Business Focus Program</w:t>
      </w:r>
    </w:p>
    <w:p>
      <w:pPr>
        <w:spacing w:after="0" w:line="229"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On May 15, 2023, the Board of Directors of the Company authorized, and the Company commenced, a core-business focus program while the Company seeks to raise additional capital to continue development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This core-business focus program</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includes the cessation of research and development activities not related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including terminating the Company’s agreement with CardioSert for that technology, and returning intellectual property relating to the SCS (ViRob) and TipCat to Technion Research and Development Foundation.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Reduction Plan</w:t>
      </w:r>
    </w:p>
    <w:p>
      <w:pPr>
        <w:spacing w:after="0" w:line="22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In addition to the core-business focus program described above, the Board of Directors of the Company authorized, and the Company commenced, a cost reduction plan while the Company seeks to raise additional capital to continue development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May and June 2023 and in January 2024, we raised sufficient capital that, together with the savings from the cost reduction plan, enabled us to continue our operations through approximately June 2024, including completion of the V&amp;V study, perform the GLP study and submit the IDE to the US Food &amp; Drug Administration. We also, as of November 1, 2023, recommenced paying Rachel Vaknin, our CFO, and Simon Sharon, our CTO and General Manager, their regular salaries and benefits that were previously reduced as a result of the cost reduction plan, and as of January 1, 2024, recommenced paying Harel Gadot, our CEO, and the independent directors of our Board their regular salaries and benefits, or fees as the case may be, that were previously reduced as a result of the cost reduction plan. We continue to seek new sources of capital to stabilize our finances and provide operating runway subsequent to June 2024. In the event the Company is not successful in raising additional capital by June 2024, or if the results of additional V&amp;V testing and first-in-human trials are not promising, the Company may be forced to take more drastic actions to conserve capital or shut down operations entirely.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First-In-Human Clinical Cases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29, 2024, we submitted an Investigational Device Exemption (IDE) application with the U.S. Food and Drug Administration, in order to commence its pivotal clinical trial in humans. After initially considering potential First-In-Human cases in Brazil, by engaging with interventional radiologist Prof. Francisco Cesar Carnevale from University of Sao Paulo Medical School Hospital, we determined that first-in-human clinical trials in Brazil have similar requirements as in the United States. Furthermore, we are still in the process of evaluating the potential of utilizing Greece as an option to carry our First-In Human Cases. However, although we believe Brazil and Greece remain strategically important for commercialization of the</w:t>
      </w:r>
    </w:p>
    <w:p>
      <w:pPr>
        <w:spacing w:after="0" w:line="3"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we decided not to pursue First-In-Human trials or cases outside of the United States at this time to avoid conflict with our FDA submission process.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Israel-Hamas War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7, 2023, the State of Israel, where the Company’s research and development and other operations are primarily based, suffered a surprise attack by hostile forces from Gaza, which led to the declaration by Israel of the “Iron Swords” military operation. This military operation and related activities are on-going as of the date of this 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considered various ongoing risks relating to the military operation and related matters, including:</w:t>
      </w:r>
    </w:p>
    <w:p>
      <w:pPr>
        <w:spacing w:after="0" w:line="225" w:lineRule="exact"/>
        <w:rPr>
          <w:sz w:val="20"/>
          <w:szCs w:val="20"/>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the Company’s Israeli subcontractors, vendors, suppliers and other companies in which the Company relies, are currently only partially active, as instructed by the relevant authorities;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closely monitoring how the military operation and related activities could adversely effect its anticipated milestones and its Israel-based activities to support future clinical and regulatory milestones, including the Company’s ability to import materials that are required to construct the Company’s devices and to ship them outside of Israel. As of the date of this prospectus,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Minimally Invasive Robot-Assisted Endovascular Interventions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Minimally Invasive Surgery, or MIS, refers to surgical procedures performed through tiny incisions instead of a single large opening. Because the incisions are small, patients tend to have quicker recovery times and experience less trauma than with conventional surgery. The global MIS surgery is expected to grow from $24 billion in 2020 to $42 billion in 2026, representing a CAGR of 9.85%. MIS involves three major categories of devices: surgical, monitoring and visualization, and endoscopy. The market for surgical devices, including ablation, electrosurgery and medical robotic systems, accounts for the largest share of revenue and is also expected to show the highest rate of growth. According to the Society of Robotic Surgery, the US market growth in endoluminal robotic surgery is projected to be 15-25% by 2025.</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Vascular disease is the most common precursor to ischemic heart disease and stroke, which are two of the leading causes of death worldwide. Advances in endovascular intervention in recent years have transformed patient survival rates and post-surgical quality of life. It is estimated that more than three million percutaneous coronary interventions (PCI) and over two million of peripheral vascular interventions are performed annually worldwide. The incidence of stroke in the US alone is estimated at 900,000 cases annually. Compared to open surgery, it has the advantages of faster recovery, reduced need for general anesthesia, reduced blood loss and significantly lower mortality. However, the current practice of endovascular procedures, which virtually has remained unchanged since the introduction of Intervention four decades ago, is limited by a number of factors, including physical strain and exposure to X-Ray radiation of the operator, and involves complex maneuvering of intervention tools, such as guidewires and catheters, to reach target areas in the vasculature. Despite recent advancements in technology and devices, manual procedures are still highly dependent on the technical skills and training of the operator, what makes the access to expert medical centers and advanced emergent treatments, such as endovascular thrombectomy for acute ischemic stroke, geographically limited. In addition, we believe that demand for physicians continues to grow faster than supply.</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Endovascular robotic systems are aimed to increase the stability and precision of guidewires and catheters, protecting the physicians from ionizing radiation and physical strain by removing them from the radiation source, helping in closing shortages of skilled physicians and skill gaps and enable tele-interventions (e.g. the Hub &amp; Spoke hospital model).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5" w:name="page46"/>
    <w:bookmarkEnd w:id="45"/>
    <w:p>
      <w:pPr>
        <w:jc w:val="both"/>
        <w:spacing w:after="0" w:line="266" w:lineRule="auto"/>
        <w:rPr>
          <w:sz w:val="20"/>
          <w:szCs w:val="20"/>
          <w:color w:val="auto"/>
        </w:rPr>
      </w:pPr>
      <w:r>
        <w:rPr>
          <w:rFonts w:ascii="Times New Roman" w:cs="Times New Roman" w:eastAsia="Times New Roman" w:hAnsi="Times New Roman"/>
          <w:sz w:val="18"/>
          <w:szCs w:val="18"/>
          <w:color w:val="auto"/>
        </w:rPr>
        <w:t>Today, there are only a few commercially available robotic systems for endovascular interventions. We believe these systems have major drawbacks, such as limited maneuverability, the requirement to exchange and use multiple expensive surgical tools, being cumbersome to set-up and operate, and requiring significant up-front capital expenditures.</w:t>
      </w:r>
    </w:p>
    <w:p>
      <w:pPr>
        <w:spacing w:after="0" w:line="179"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Microbot believes that with its portfolio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coupled with its own NovaCross products and other off-the-shelf products, it is well-positioned to deliver a value-added endovascular robotic system, with a focus on improving the ease and access and enhancing the safety of endovascular interventions.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23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Microbot’s goal is to generate sales of its products, once they have received regulatory approval, by establishing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as the standard-of-care in the eyes of medical practitioners, patients and medical facilities, as well as getting the support of payors and insurance companies. Microbot believes that it can achieve this objective by working with health care providers and systems to demonstrate the key benefits of its products. Microbot’s strategy includes the following key elements:</w:t>
      </w:r>
    </w:p>
    <w:p>
      <w:pPr>
        <w:spacing w:after="0" w:line="194" w:lineRule="exact"/>
        <w:rPr>
          <w:sz w:val="20"/>
          <w:szCs w:val="20"/>
          <w:color w:val="auto"/>
        </w:rPr>
      </w:pPr>
    </w:p>
    <w:p>
      <w:pPr>
        <w:jc w:val="both"/>
        <w:ind w:left="340" w:hanging="332"/>
        <w:spacing w:after="0" w:line="26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Continue to refine existing product candidates and develop additional surgical robotic solutions</w:t>
      </w:r>
      <w:r>
        <w:rPr>
          <w:rFonts w:ascii="Times New Roman" w:cs="Times New Roman" w:eastAsia="Times New Roman" w:hAnsi="Times New Roman"/>
          <w:sz w:val="18"/>
          <w:szCs w:val="18"/>
          <w:color w:val="auto"/>
        </w:rPr>
        <w:t>. As Microbot prepares to bring its initial product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 the support of pre-clinical and clinical trials, it continues gathering patients, patient and clinical data, and patient and physician feedback post-market. Microbot also expects to continue to innovate in the surgical robotics field by continuing to find ways of using its core technology to solve unmet needs, with the overarching goal of providing a safer, more effective and more efficient surgical environment for patients and physicians.</w:t>
      </w:r>
    </w:p>
    <w:p>
      <w:pPr>
        <w:spacing w:after="0" w:line="176"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Establish and leverage relationships with key institutions and leading clinicians</w:t>
      </w:r>
      <w:r>
        <w:rPr>
          <w:rFonts w:ascii="Times New Roman" w:cs="Times New Roman" w:eastAsia="Times New Roman" w:hAnsi="Times New Roman"/>
          <w:sz w:val="18"/>
          <w:szCs w:val="18"/>
          <w:color w:val="auto"/>
        </w:rPr>
        <w:t>. Microbot’s objective will be to maintain clinical focus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leading hospitals and clinics so as to establish LIBERTY, as well as possibly other future products, as the standard of care in such institutions for their respective procedures. Microbot also expects to identify Key Opinion Leaders (KOLs) with the relevant specialties (for instance interventional radiology) with the expectation that such clinical focus will accelerate the adoption of its candidate products.</w:t>
      </w:r>
    </w:p>
    <w:p>
      <w:pPr>
        <w:spacing w:after="0" w:line="176"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Continuously invest in research and development</w:t>
      </w:r>
      <w:r>
        <w:rPr>
          <w:rFonts w:ascii="Times New Roman" w:cs="Times New Roman" w:eastAsia="Times New Roman" w:hAnsi="Times New Roman"/>
          <w:sz w:val="18"/>
          <w:szCs w:val="18"/>
          <w:color w:val="auto"/>
        </w:rPr>
        <w:t>. Microbot’s most significant expense has historically been research and development,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Microbot expects to continue investing in research and development activities, including expenses it expects to incur to improve on its prototype products in order to respond to clinical data, to develop additional applications using its technologies and to develop future product candidates.</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Explore partnerships for the introduction of Microbot’s products</w:t>
      </w:r>
      <w:r>
        <w:rPr>
          <w:rFonts w:ascii="Times New Roman" w:cs="Times New Roman" w:eastAsia="Times New Roman" w:hAnsi="Times New Roman"/>
          <w:sz w:val="18"/>
          <w:szCs w:val="18"/>
          <w:color w:val="auto"/>
        </w:rPr>
        <w:t>. In parallel to its efforts to establish direct sales and marketing capabilities,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Microbot intends to continue its efforts on pursuing collaborations with global medical device companies that have established sales and distribution networks. Microbot will seek to enter collaborations and partnerships with strategic players that offer synergies with Microbot’s product candidates and expertise.</w:t>
      </w:r>
    </w:p>
    <w:p>
      <w:pPr>
        <w:spacing w:after="0" w:line="176" w:lineRule="exact"/>
        <w:rPr>
          <w:rFonts w:ascii="Times New Roman" w:cs="Times New Roman" w:eastAsia="Times New Roman" w:hAnsi="Times New Roman"/>
          <w:sz w:val="18"/>
          <w:szCs w:val="18"/>
          <w:color w:val="auto"/>
        </w:rPr>
      </w:pPr>
    </w:p>
    <w:p>
      <w:pPr>
        <w:jc w:val="both"/>
        <w:ind w:left="340" w:right="20" w:hanging="332"/>
        <w:spacing w:after="0" w:line="268"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Seek additional IP and technologies to complement and strengthen Microbot’s current IP portfolio</w:t>
      </w:r>
      <w:r>
        <w:rPr>
          <w:rFonts w:ascii="Times New Roman" w:cs="Times New Roman" w:eastAsia="Times New Roman" w:hAnsi="Times New Roman"/>
          <w:sz w:val="18"/>
          <w:szCs w:val="18"/>
          <w:color w:val="auto"/>
        </w:rPr>
        <w:t>. Microbot intends to continue exploring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technologies, IP and know-how to add to its current portfolio through licensing, mergers and/or acquisitions and to allow Microbot to enter new spaces and strengthen its overall product portfolio.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LIBERTY Competitive Landscape</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the main competitor to the LIBERTY system is the CorPath GRX vascular robotics system by Corindus Vascular Robotics, a Siemens Healthineers company. To our knowledge, CorPath GRX system is FDA-approved and CE-marked for percutaneous coronary and vascular procedures, is CE-marked for neurovascular interventions and is pending FDA approval for neurovascular interventions. Another competitor is Robocath (CE Marked for PCI only). We believe these systems have drawbacks, such as limited maneuverability, the requirement to exchange and use multiple expensive surgical tools, being cumbersome to set-up and operate, and requiring significant upfront capital expenditures. We also expect that we could be competing with other technologies that are in different stages of development, including pre-clinical and without CE/FDA approvals, such as LN Robotics and Endoways, of which additional competitive data will be required to better explore their respective positioning in the competitive landscape.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6" w:name="page47"/>
    <w:bookmarkEnd w:id="46"/>
    <w:p>
      <w:pPr>
        <w:jc w:val="both"/>
        <w:spacing w:after="0" w:line="256" w:lineRule="auto"/>
        <w:rPr>
          <w:sz w:val="20"/>
          <w:szCs w:val="20"/>
          <w:color w:val="auto"/>
        </w:rPr>
      </w:pPr>
      <w:r>
        <w:rPr>
          <w:rFonts w:ascii="Times New Roman" w:cs="Times New Roman" w:eastAsia="Times New Roman" w:hAnsi="Times New Roman"/>
          <w:sz w:val="18"/>
          <w:szCs w:val="18"/>
          <w:color w:val="auto"/>
        </w:rPr>
        <w:t>Microbot’s existing and planned products could also be rendered obsolete or uneconomical by technological advances developed in the future by existing or new competitors. Some of Microbot’s competitors currently have significantly greater resources than Microbot does; have established relationships with healthcare professionals, customers and third-party payors; and have long-term contracts with group purchasing organizations in the United States. In addition, some of Microbot’s competitors have established distributor networks, greater resources for product development, sales and marketing, additional lines of products and the ability to offer financial incentives such as rebates, bundled products or discounts on other product lines that Microbot cannot provide.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LIBERTY platform core technology is co-owned by Microbot and The Technion Research and Development Foundation Ltd., or TRDF. The NovaCross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device is based on technologies acquired by Microbot from Nitiloop Ltd. Microbot may develop other medical-robotic solutions through internal research and development, to strengthen its intellectual property position, and to continue exploring strategic collaborations and accretive acquisition opportunities. Microbot currently holds an intellectual property portfolio of 12 patents issued/allowed and 41 patent applications pending worldwide. Microbot also holds 10 design patents issued/allowed and 5 design patents pending worldwide. It also has registered trademarks in Israel, Europe, UK and the US relating to its LIBERTY platform, and also has trademarks relating to its proprietary Microbot Medical wordmark and logo registered in Israel, Europe, and UK, and pending in the US and China, in addition to having registered trademarks for the “One &amp; Done” wordmark in Israel, Europe, the US, UK, and Japan. Microbot also has a registered trademark in the US for the newly acquired NovaCross trademark.</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relies or intends to rely on intellectual property licensed or developed, including patents, trade secrets, trademarks, technical innovations, laws of unfair competition and various licensing agreements, to provide its future growth, to build its competitive position and to protect its technology. As Microbot continues to expand its intellectual property portfolio, it is critical for Microbot to continue to invest in filing patent applications to protect its technology, inventions, and improvements.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requires its employees and consultants to execute confidentiality agreements in connection with their employment or consulting relationships with Microbot. Microbot also requires its employees and consultants who work on its product candidates to agree to disclose and assign to Microbot all inventions conceived during the term of their service, while using Microbot property, or which relate to Microbot’s business.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Patent applications in the United States and in foreign countries are maintained in secrecy for a period of time after filing, which results in a delay between the filing date of the patent applications and the time when they are published. Patents issued and patent applications filed relating to medical devices are numerous, and there can be no assurance that current and potential competitors and other third parties have not filed or in the future will not file applications for, or have not received or in the future will not receive, patents or obtain additional proprietary rights relating to product candidates, products, devices or processes used or proposed to be used by Microbot. Microbot believes that the technologies it employs in its products and systems do not infringe the valid claims of any third-party patents. There can be no assurance, however, that third parties will not seek to assert that Microbot devices and systems infringe their patents or seek to expand their patent claims to cover aspects of Microbot’s products and systems.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medical device industry in general has been characterized by substantial litigation regarding patents and other intellectual property rights. Any such claims, regardless of their merit, could be time-consuming and expensive to respond to and could divert Microbot’s technical and management personnel. Microbot may be involved in litigation to defend against claims of infringement by other patent holders, to enforce patents issued to Microbot, or to protect Microbot’s trade secrets. If any relevant claims of third-party patents are upheld as valid and enforceable in any litigation or administrative proceeding, Microbot could be prevented from practicing the subject matter claimed in such patents, or would be required to obtain licenses from the patent owners of each such patent, or to redesign Microbot’s products, devices or processes to avoid infringement. There can be no assurance that such licenses would be available or, if available, would be available on terms acceptable to Microbot or that Microbot would be successful in any attempt to redesign products or processes to avoid infringement. Accordingly, an adverse determination in a judicial or administrative proceeding or failure to obtain necessary licenses, could potentially prevent Microbot from manufacturing and selling its products.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7" w:name="page48"/>
    <w:bookmarkEnd w:id="47"/>
    <w:p>
      <w:pPr>
        <w:jc w:val="both"/>
        <w:spacing w:after="0" w:line="282" w:lineRule="auto"/>
        <w:rPr>
          <w:sz w:val="20"/>
          <w:szCs w:val="20"/>
          <w:color w:val="auto"/>
        </w:rPr>
      </w:pPr>
      <w:r>
        <w:rPr>
          <w:rFonts w:ascii="Times New Roman" w:cs="Times New Roman" w:eastAsia="Times New Roman" w:hAnsi="Times New Roman"/>
          <w:sz w:val="18"/>
          <w:szCs w:val="18"/>
          <w:color w:val="auto"/>
        </w:rPr>
        <w:t>Microbot’s issued U.S. patents, which cover Microbot’s product candidates, will expire between 2032 and 2040, not including any patent term adjustments that may be available. Issued patents outside of the United States directed to Microbot’s product candidates will expire between 2032 and 2040.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the Technion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2012, Microbot entered into a license agreement with TRDF, the technology transfer subsidiary of The Technion Institute of Technology, pursuant to which it obtained an exclusive, worldwide, royalty-bearing, sub-licensable license to certain patents and inventions relating to the SCS and TipCAT technology platforms invented by Professor Moshe Shoham, a former director of and an advisor to the Company, and in certain circumstances other TRDF-related persons. During the second and third quarters of 2023, as a result of our core-business focus program and our cost reduction plan, we ceased research and development activities relating to the SCS and TipCat platforms. As a result, we returned intellectual property relating to the SCS (ViRob) and TipCat to TRDF.</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LIBERTY platform, which was invented by employees of Microbot together with Professor Moshe Shoham of the Technion, in his capacity as a consultant to Microbot, is co-owned by Microbot and TRDF, and the parties established the LIBERTY platform as a “Joint Invention” in accordance with the terms of the License Agreement. Once the Joint Invention is established, Microbot will have to pay TRDF royalties of between 1.5% and 3.0% of net sales of products covered by this Joint Invention.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Microbot’s research and development programs are generally pursued by engineers and scientists employed by Microbot in its offices in Israel on a full-time basis or as consultants, or through partnerships with industry leaders in manufacturing and design and researchers in academia. Microbot is also working with subcontractors in developing specific components of its technologies.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primary objectives of Microbot’s research and development efforts are to continue to introduce incremental enhancements to the capabilities of its candidate products and to advance the development of proposed products.</w:t>
      </w:r>
    </w:p>
    <w:p>
      <w:pPr>
        <w:spacing w:after="0" w:line="16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Microbot Israel has received grants from the Israeli Innovation Authority (“IIA”) for participation in research and development since 2013 through September 30, 2023 totaling approximately $1,656,000. This amount includes advance payment in the third quarter of 2023 of approximately $156,000 which is a portion of additional grant previously approved from the IIA in the amount of approximately NIS 1.62 million, which based on an exchange rate on September 30, 2023 of NIS 1.00 = $0.2614, would be approximately $423,000, to further finance the development of the Company’s manufacturing process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robotic surgical system.</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as a result of the agreement with CardioSert on January 4, 2018, Microbot Israel took over the liability to repay CardioSert’s IIA grants in the aggregate amount of approximately $530,000, which liability will remain for so long as the Company continues to own the CardioSert assets.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agreement with Nitiloop, on October 6, 2022, Microbot Israel took over the liability to repay Nitiloop’s IIA grants in the aggregate amount of approximately $925,000.</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relation to the IIA grants described above, the Company is obligated to pay royalties amounting to 3%-5% of its future sales of the products relating to such grants.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grants are linked to the exchange rate of the dollar to the New Israeli Shekel and bears interest of Libor per annum.</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8" w:name="page49"/>
    <w:bookmarkEnd w:id="48"/>
    <w:p>
      <w:pPr>
        <w:jc w:val="both"/>
        <w:spacing w:after="0" w:line="266" w:lineRule="auto"/>
        <w:rPr>
          <w:sz w:val="20"/>
          <w:szCs w:val="20"/>
          <w:color w:val="auto"/>
        </w:rPr>
      </w:pPr>
      <w:r>
        <w:rPr>
          <w:rFonts w:ascii="Times New Roman" w:cs="Times New Roman" w:eastAsia="Times New Roman" w:hAnsi="Times New Roman"/>
          <w:sz w:val="18"/>
          <w:szCs w:val="18"/>
          <w:color w:val="auto"/>
        </w:rPr>
        <w:t>On March 2, 2023, the Company announced that it received approval for a grant from the Ministry of Economy of the State of Israel in the amount of approximately NIS 300 thousand, which based on an exchange rate on such date of NIS 1.00 = $0.27457, would be approximately $82,000, to further finance the marketing activities of the LIBERTY Robotic System in the US market.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November 1, 2023, the Company received NIS 109,474 (approximately US$27,000) of such amount.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relation to the Ministry of Economy grant, the Company is obligated to pay royalties amounting to between 3%-5% of future sales of the LIBERTY product up to the grant amount plus interest.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Microbot expects to continue to access government funding in the future.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fiscal years ended December 31, 2022 and 2021, respectively, Microbot incurred research and development expenses of approximately $7,736,000 and $6,153,000.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collaboration agreement with Stryker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22, 2021, the Company entered into a strategic collaboration agreement for technology co-development with Stryker Corporation, acting through its Neurovascular Division. Pursuant to the agreement, the collaborative development program between the Company and Stryker aims to integrate</w:t>
      </w: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certain of Stryker’s instruments with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Robotic System to address certain neurovascular procedures. The parties conducted discussions in the past to define the development plan, but as of the date of this prospectus no specific action plan was developed.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does not have any manufacturing facilities or manufacturing personnel. Microbot currently relies, and expects to continue to rely, on third parties for the manufacturing of its product candidates for preclinical and clinical testing, as well as for commercial manufacturing if its product candidates receive marketing approval.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2022 Microbot initiated the transfer to production by means of designing and building molds for plastic injection of parts which is a more cost-effective method for producing high quantities compared to conventional machined production of these parts. Some molds are already operative while others are being designed and built. We expect completing the molds during 2024.</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August 4, 2023, we signed a Turn-Key Manufacturing Agreement with a subcontractor that is suited to assemble and test our products under applicable regulatory requirements and regulations. As of the date of this prospectus, we are working with the subcontractor to transfer the production to the subcontractor.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23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Microbot has not yet established a sales, marketing or product distribution infrastructure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 which are still in development stages. Microbot plans to access the U.S. markets with its initial device offerings through direct sales, distributors, as well as strategic partnerships. Microbot has not yet developed a commercial strategy outside of the United States, but it most likely would utilize distributors and strategic partnerships.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Microbot’s medical technology products and operations are subject to extensive regulation in the United States and other countries. Most notably, if Microbot seeks to sell its products in the United States, its products will be subject to the Federal Food, Drug, and Cosmetic Act (FDCA) as implemented and enforced by the U.S. Food and Drug Administration (FDA). The FDA regulates the development, bench and clinical testing, manufacturing, labeling, storage, record-keeping, promotion, marketing, sales, distribution and post-market support and reporting of medical devices in the United States to ensure that medical products distributed domestically are safe and effective for their intended uses. Regulatory policy affecting its products can change at any time.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9" w:name="page50"/>
    <w:bookmarkEnd w:id="49"/>
    <w:p>
      <w:pPr>
        <w:jc w:val="both"/>
        <w:spacing w:after="0" w:line="261" w:lineRule="auto"/>
        <w:rPr>
          <w:sz w:val="20"/>
          <w:szCs w:val="20"/>
          <w:color w:val="auto"/>
        </w:rPr>
      </w:pPr>
      <w:r>
        <w:rPr>
          <w:rFonts w:ascii="Times New Roman" w:cs="Times New Roman" w:eastAsia="Times New Roman" w:hAnsi="Times New Roman"/>
          <w:sz w:val="18"/>
          <w:szCs w:val="18"/>
          <w:color w:val="auto"/>
        </w:rPr>
        <w:t>Advertising and promotion of medical devices in the United States, in addition to being regulated by the FDA, are also regulated by the Federal Trade Commission and by state regulatory and enforcement authorities. Recently, promotional activities for FDA-regulated products of other companies have been the subject of enforcement action brought under healthcare reimbursement laws and consumer protection statutes. In addition, under the federal Lanham Act and similar state laws, competitors and others can initiate litigation relating to advertising claims.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Foreign countries where Microbot wishes to sell its products may require similar or more onerous approvals to manufacture or market its products. Government agencies in those countries also enforce laws and regulations that govern the development, testing, manufacturing, labeling, advertising, marketing and distribution, and market surveillance of medical device products. These regulatory requirements can change rapidly with relatively short notice.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regulations Microbot encounters in the United States and in other jurisdictions are the regulations that are common to all businesses, such as employment legislation, implied warranty laws, and environmental, health and safety standards, to the extent applicable. In the future, Microbot will also encounter industry-specific government regulations that would govern its products, if and when they are developed for commercial use.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Regulation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FDA governs the following activities that Microbot performs, will perform, upon the clearance or approval of its product candidates, or that are performed on its behalf, to ensure that medical products distributed domestically or exported internationally are safe and effective for their intended uses:</w:t>
      </w:r>
    </w:p>
    <w:p>
      <w:pPr>
        <w:spacing w:after="0" w:line="162"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design, and development;</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safety, testing, labeling and storage;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keeping procedures;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marketing.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numerous FDA regulatory requirements governing the approval or clearance and subsequent commercial marketing of Microbot’s products.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include:</w:t>
      </w:r>
    </w:p>
    <w:p>
      <w:pPr>
        <w:spacing w:after="0" w:line="207"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submission of product listing and establishment registration information, along with associated establishment user fees;</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compliance with the Quality System Regulation, or QSR, which require specification developers and manufacturers, including third-party manufacturers, to follow stringent design, testing, control, documentation and other quality assurance procedures during all aspects of the manufacturing process;</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labeling regulations and FDA prohibitions against the promotion of products for uncleared, unapproved or off-label use or indication;</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clearance or approval of product modifications that could significantly affect the safety or effectiveness of the device or that would constitute a major change in intended use;</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Reporting regulations (MDR), which require that manufacturers keep detailed records of investigations or complaints against their devices and to report to the FDA if their device may have caused or contributed to a death or serious injury or malfunctioned in a way that would likely cause or contribute to a death or serious injury if it were to recur;</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use of the Corrective and Preventive Actions process to identify and correct or prevent significant systemic failures of products or processes or in trends which suggest same;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0" w:name="page51"/>
    <w:bookmarkEnd w:id="50"/>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post-approval restrictions or conditions, including post-approval study commitments;</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surveillance regulations, which apply when necessary to protect the public health or to provide additional safety and effectiveness data for the device; and</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of correction or removal and recall regulations.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an exemption applies, before Microbot can commercially distribute medical devices in the United States, Microbot must obtain, depending on the classification of the device, either prior 510(k) clearance, 510(k) de-novo clearance or premarket approval (PMA), from the FDA. The FDA classifies medical devices into one of three classes based on the degree of risk associated with each medical device and the extent of regulatory controls needed to ensure the device’s safety and effectiveness:</w:t>
      </w:r>
    </w:p>
    <w:p>
      <w:pPr>
        <w:spacing w:after="0" w:line="180" w:lineRule="exact"/>
        <w:rPr>
          <w:sz w:val="20"/>
          <w:szCs w:val="20"/>
          <w:color w:val="auto"/>
        </w:rPr>
      </w:pPr>
    </w:p>
    <w:p>
      <w:pPr>
        <w:jc w:val="both"/>
        <w:ind w:left="3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 devices, which are low risk and subject to only general controls (e.g., registration and listing, medical device labeling compliance, MDRs, Quality System Regulations, and prohibitions against adulteration and misbranding) and, in some cases, to the 510(k) premarket clearance requirements;</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 devices, which are moderate risk and generally require 510(k) or 510(k) de-novo premarket clearance before they may be commercially marketed in the United States as well as general controls and potentially special controls like performance standards or specific labeling requirements; and</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III devices, which are devices deemed by the FDA to pose the greatest risk, such as life-sustaining, life-supporting or implantable devices, or devices deemed not substantially equivalent to a predicate device. Class III devices generally require the submission and approval of a PMA supported by clinical trial data.</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Microbot expects the medical products in its pipeline currently to be classified as Class II. Class II devices are those for which general controls alone are insufficient to provide reasonable assurance of safety and effectiveness and there is sufficient information to establish special controls. Special controls can include performance standards, post-market surveillance, patient histories and FDA guidance documents. Premarket review and clearance by the FDA for these devices is generally accomplished through the 510(k) or 510(k) de-novo premarket notification process. As part of the 510(k) or 510(k) de-novo notification process, FDA may require the following:</w:t>
      </w:r>
    </w:p>
    <w:p>
      <w:pPr>
        <w:spacing w:after="0" w:line="183"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comprehensive product description and indications for use;</w:t>
      </w:r>
    </w:p>
    <w:p>
      <w:pPr>
        <w:spacing w:after="0" w:line="225" w:lineRule="exact"/>
        <w:rPr>
          <w:rFonts w:ascii="Times New Roman" w:cs="Times New Roman" w:eastAsia="Times New Roman" w:hAnsi="Times New Roman"/>
          <w:sz w:val="18"/>
          <w:szCs w:val="18"/>
          <w:color w:val="auto"/>
        </w:rPr>
      </w:pPr>
    </w:p>
    <w:p>
      <w:pPr>
        <w:ind w:left="340" w:right="280" w:hanging="332"/>
        <w:spacing w:after="0" w:line="282"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review of predicate devices and development of data supporting the new product’s substantial equivalence to one or more predicate devices; and</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appropriate and required, certain types of clinical trials (IDE submission and approval may be required for conducting a clinical trial in the US).</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Clinical trials involve use of the medical device on human subjects under the supervision of qualified investigators in accordance with current Good Clinical Practices (GCPs), including the requirement that all research subjects provide informed consent for their participation in the clinical study. A written protocol with predefined end points, an appropriate sample size and pre-determined patient inclusion and exclusion criteria, is required before initiating and conducting a clinical trial. All clinical investigations of devices to determine safety and effectiveness must be conducted in accordance with the FDA’s Investigational device Exemption, or IDE, regulations that among other things, govern investigational device labeling, prohibit promotion of the investigational device, and specify recordkeeping, reporting and monitoring responsibilities of study sponsors and study investigators. If the device presents a “significant risk,” as defined by the FDA, the agency requires the device sponsor to submit an IDE application, which must become effective prior to commencing human clinical trials. The IDE will automatically become effective 30 days after receipt by the FDA, unless the FDA denies the application or notifies the company that the investigation is on hold and may not begin. If the FDA determines that there are deficiencies or other concerns with an IDE that requires modification, the FDA may permit a clinical trial to proceed under a conditional approval. In addition, the study must be approved by, and conducted under the oversight of, an Institutional Review Board (IRB) for each clinical site. If the device presents a non-significant risk to the patient, a sponsor may begin the clinical trial after obtaining approval for the trial by one or more IRBs without separate approval from the FDA, but it must still follow abbreviated IDE requirements, such as monitoring the investigation, ensuring that the investigators obtain informed consent, and labeling and record-keeping requirements. 510(k) clearance typically involves the following:</w:t>
      </w:r>
    </w:p>
    <w:p>
      <w:pPr>
        <w:spacing w:after="0" w:line="197" w:lineRule="exact"/>
        <w:rPr>
          <w:sz w:val="20"/>
          <w:szCs w:val="20"/>
          <w:color w:val="auto"/>
        </w:rPr>
      </w:pPr>
    </w:p>
    <w:p>
      <w:pPr>
        <w:jc w:val="both"/>
        <w:ind w:left="34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successful completion of all required testing, a detailed 510(k) premarket notification or 510(k) de-novo is submitted to the FDA requesting clearance to market the product. The notification includes all relevant data from pertinent preclinical and clinical trials, together with detailed information relating to the product’s manufacturing controls and proposed labeling, and other relevant documentation.</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510(k) clearance letter from the FDA will authorize commercial marketing of the device for one or more specific indications for use.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1" w:name="page52"/>
    <w:bookmarkEnd w:id="51"/>
    <w:p>
      <w:pPr>
        <w:jc w:val="both"/>
        <w:ind w:left="340" w:hanging="332"/>
        <w:spacing w:after="0" w:line="256"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510(k) clearance, Microbot will be required to comply with a number of post-clearance requirements, including, but not limited to, Medical Device Reporting and complaint handling, and, if applicable, reporting of corrective actions. Also, quality control and manufacturing procedures must continue to conform to QSRs. The FDA periodically inspects manufacturing facilities to assess compliance with QSRs, which impose extensive procedural, substantive, and record keeping requirements on medical device manufacturers. In addition, changes to the manufacturing process are strictly regulated, and, depending on the change, validation activities may need to be performed. Accordingly, manufacturers must continue to expend time, money and effort in the area of production and quality control to maintain compliance with QSRs and other types of regulatory controls.</w:t>
      </w:r>
    </w:p>
    <w:p>
      <w:pPr>
        <w:spacing w:after="0" w:line="187"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a device receives 510(k) clearance from the FDA, any modification that could significantly affect its safety or effectiveness, or that would constitute a major change in its intended use or technological characteristics, requires a new 510(k) clearance or could require a PMA. The FDA requires each manufacturer to make the determination of whether a modification requires a new 510(k) notification or PMA in the first instance, but the FDA can review any such decision. If the FDA disagrees with a manufacturer’s decision not to seek a new 510(k) clearance or PMA for a particular change, the FDA may retroactively require the manufacturer to seek 510(k) clearance or PMA. The FDA can also require the manufacturer to cease U.S. marketing and/or recall the modified device until additional 510(k) clearance or PMA approval is obtained.</w:t>
      </w:r>
    </w:p>
    <w:p>
      <w:pPr>
        <w:spacing w:after="0" w:line="18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and the Federal Trade Commission, or FTC, will also regulate the advertising claims of Microbot’s products to ensure that the claims Microbot makes are consistent with its regulatory clearances, that there is scientific data to substantiate the claims and that product advertising is neither false nor misleading.</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obtain 510(k) clearance, Microbot must submit a notification to the FDA demonstrating that its proposed device is substantially equivalent to a predicate device (i.e., a device that was in commercial distribution before May 28, 1976, a device that has been reclassified from Class III to Class I or Class II, or a 510(k)-cleared device). The FDA’s 510(k) clearance process generally takes from three to 12 months from the date the application is submitted but also can take significantly longer. If the FDA determines that the device or its intended use is not substantially equivalent to a predicate device, the device is automatically placed into Class III, requiring the submission of a PMA.</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no guarantee that the FDA will grant Microbot 510(k) clearance for its pipeline medical device products, and failure to obtain the necessary clearances for its products would adversely affect Microbot’s ability to grow its business. Delays in receipt or failure to receive the necessary clearances, or the failure to comply with existing or future regulatory requirements, could reduce its business prospects.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Devices that cannot be cleared through the 510(k) process due to lack of a predicate device but would be considered low or moderate risk may be eligible for the 510(k) de-novo process. In 1997, the Food and Drug Administration Modernization Act, or FDAMA added the de novo classification pathway now codified in section 513(f)(2) of the FD&amp;C Act. This law established an alternate pathway to classify new devices into Class I or II that had automatically been placed in Class III after receiving a Not Substantially Equivalent, or NSE, determination in response to a 510(k) submission. Through this regulatory process, a sponsor who receives an NSE determination may, within 30 days of receipt, request FDA to make a risk-based classification of the device through what is called a “de novo request.” In 2012, section 513(f)(2) of the FD&amp;C Act was amended by section 607 of the Food and Drug Administration Safety and Innovation Act (FDASIA), in order to provide a second option for de novo classification. Under this second pathway, a sponsor who determines that there is no legally marketed device upon which to base a determination of substantial equivalence can submit a de novo request to FDA without first submitting a 510(k).</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52" w:name="page53"/>
    <w:bookmarkEnd w:id="52"/>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that Microbot receives a Not Substantially Equivalent determination for either of its device candidates in response to a 510(k) submission, the Microbot device may still be eligible for the 510(k) de-novo classification process.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Devices that cannot be cleared through the 510(k) or 510(k) de-novo classification process require the submission of a PMA. The PMA process is much more time consuming and demanding than the 510(k) notification process. A PMA must be supported by extensive data, including but not limited to data obtained from preclinical and/or clinical studies and data relating to manufacturing and labeling, to demonstrate to the FDA’s satisfaction the safety and effectiveness of the device. After a PMA application is submitted, the FDA’s in-depth review of the information generally takes between one and three years and may take significantly longer. If the FDA does not grant 510(k) clearance to its products, there is no guarantee that Microbot will submit a PMA or that if Microbot does, that the FDA would grant a PMA approval of Microbot’s products, either of which would adversely affect Microbot’s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Regulation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regulations in the United States, Microbot will be subject to a variety of foreign regulations governing clinical trials, marketing authorization and commercial sales and distribution of its products in foreign countries. The approval process varies from country to country, and the time may be longer or shorter than that required for FDA approval or clearance. The requirements governing the conduct of clinical trials, product licensing, pricing and reimbursement vary greatly from country to country.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International sales of medical devices are subject to foreign governmental regulations which vary substantially from country to country. Whether or not Microbot obtains FDA approval or clearance for its products, Microbot will be required to make new regulatory submissions to the comparable regulatory authorities of foreign countries before Microbot can commence clinical trials or marketing of the product in such countries. The time required to obtain certification or approval by a foreign country may be longer or shorter than that required for FDA clearance or approval, and the requirements may differ. Below are summaries of the regulatory systems for medical devices in Europe and Israel, where Microbot currently anticipates marketing its products. However, its products may also be marketed in other countries that have different systems or minimal requirements for medical devices.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Europe</w:t>
      </w:r>
      <w:r>
        <w:rPr>
          <w:rFonts w:ascii="Times New Roman" w:cs="Times New Roman" w:eastAsia="Times New Roman" w:hAnsi="Times New Roman"/>
          <w:sz w:val="18"/>
          <w:szCs w:val="18"/>
          <w:color w:val="auto"/>
        </w:rPr>
        <w:t>. The primary regulatory body in Europe is the European Union, or E.U., which consists of 27 member states and has a coordinated system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authorization of medical devices.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E.U. has adopted legislation, in the form of directives to be implemented in each member state, concerning the regulation of medical devices within the European Union. The directives include, among others, the Medical Device Regulation, or MDR, that establishes certain requirements with which medical devices must comply before they can be commercialized in the European Economic Area, or EEA (which comprises the member states of the E.U. plus Norway, Liechtenstein and Iceland). Under the MDR, medical devices are classified into four Classes, I, IIa, IIb, and III, with Class I being the lowest risk and Class III being the highest risk.</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commercialize medical devices in the European Union, a CE Mark certificate is needed. This certification verifies that a device meets all regulatory requirements for medical devices under the new Medical Devices Regulation (MDR 2017/745). The CE approval process in Europe is summarized below:</w:t>
      </w:r>
    </w:p>
    <w:p>
      <w:pPr>
        <w:spacing w:after="0" w:line="176" w:lineRule="exact"/>
        <w:rPr>
          <w:sz w:val="20"/>
          <w:szCs w:val="20"/>
          <w:color w:val="auto"/>
        </w:rPr>
      </w:pPr>
    </w:p>
    <w:p>
      <w:pPr>
        <w:ind w:left="340" w:hanging="332"/>
        <w:spacing w:after="0" w:line="282"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obtain CE Marking certification, comply with European Commission Regulation (EU) No. 2017/745, commonly known as the Medical Device Regulation (MDR).</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 Person Responsible for Regulatory Compliance (PRRC). Determine classification of device - Class I (self-certified); Class I (sterile, measuring or reusable surgical instrument); Class IIa, Class IIb, or Class III.</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devices, implement a Quality Management System (QMS) in accordance with the MDR. Companies usually apply the EN ISO 13485 standard to achieve compliance. The QMS must include Clinical Evaluation, Post-Market Surveillance (PMS) and Post Market Clinical Follow-up (PMCF) plans. Make arrangements with suppliers about unannounced Notified Body audits. For Class I (self-certified), implement a QMS though Notified Body intervention is not required.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3" w:name="page54"/>
    <w:bookmarkEnd w:id="53"/>
    <w:p>
      <w:pPr>
        <w:jc w:val="both"/>
        <w:ind w:left="340" w:hanging="332"/>
        <w:spacing w:after="0" w:line="258"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 CE Technical Documentation or Design Dossier (Class III) providing information about the device and its intended use plus testing reports, Clinical Evaluation Report (CER), risk management file, Instruction For Use (IFU), labeling and more. Obtain a Unique Device Identifier (UDI) for the device. All devices, even legacy products in use for decades, will require clinical data. Most of these data should refer to the subject device. Clinical studies are generally required for implantable and Class III devices. Existing clinical data may be acceptable. Clinical trials in Europe must be pre-approved by a European Competent Authority.</w:t>
      </w:r>
    </w:p>
    <w:p>
      <w:pPr>
        <w:spacing w:after="0" w:line="183"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does not have a location in Europe, appoint an Authorized Representative (EC REP) located in the EU who is qualified to handle regulatory issues. Place the EC REP name and address on device label. Obtain a Single Registration Number from the regulators.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devices except Class I (self-certified), the QMS and Technical Documentation or Design Dossier must be audited by a Notified Body, a third party accredited by European authorities to audit medical device companies and products.</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devices except Class I (self-certified), the company will be issued a European CE Marking Certificate for the device and an ISO 13485 certificate for the company’s facility following successful completion of the Notified Body audit. ISO 13485 certification must be renewed every year. CE Marking certificates are typically valid for a maximum of 5 years, but are typically reviewed during the annual surveillance audit.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 Declaration of Conformity, a legally binding document prepared by the manufacturer stating that the device is in compliance with the applicable European requirements. At this time, the CE Marking may be affixed.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device and its Unique Device Identifier (UDI) in the EUDAMED database. UDI must be on label and associated with the regulatory documents.</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Class I (self-certified), annual NB audits are not required. However, CER, Technical File, and PMS activities must be kept updated. For all other classes, the company will be audited each year by a Notified Body to ensure ongoing compliance with the MDR. Failure to pass the audit will invalidate the CE Marking certificate. The company must perform Clinical Evaluation, PMS, and PMCF.</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Microbot intends to apply for the CE Mark for each of its medical device products. There is no guarantee that Microbot will be granted a CE Mark for all or any of its pipeline products and failure to obtain the CE Mark would adversely affect its ability to grow its business.</w:t>
      </w:r>
    </w:p>
    <w:p>
      <w:pPr>
        <w:spacing w:after="0" w:line="16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On October 24 2023, we announced that we received confirmation for the commencement of the process to support our future CE Mark approval, and to ultimately allow us to market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Europe as well as other regions who accept the CE Mark. According to the confirmation, we will commence audits for ISO 13485 certification to ensure compliance with the Quality Management System (QMS) requirements of the EU Medical Devices Regulation (MDR 2017/745), during the first half of 2024. We had previously taken the first step to advance our European program by engaging with a leading Notified Body, who recently confirmed dates for conducting the required audits.</w:t>
      </w:r>
    </w:p>
    <w:p>
      <w:pPr>
        <w:spacing w:after="0" w:line="19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Israel</w:t>
      </w:r>
      <w:r>
        <w:rPr>
          <w:rFonts w:ascii="Times New Roman" w:cs="Times New Roman" w:eastAsia="Times New Roman" w:hAnsi="Times New Roman"/>
          <w:sz w:val="18"/>
          <w:szCs w:val="18"/>
          <w:color w:val="auto"/>
        </w:rPr>
        <w:t>. Israel’s Medical Devices Law generally requires the registration of all medical products with the Ministry of Health, or MOH, Registrar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precondition for production and distribution in Israel. Special exemptions may apply under limited circumstances and for purposes such as the provision of essential medical treatment, research and development of the medical device, and personal use, among others.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Registration of medical devices requires the submission of an application to the Ministry of Health Medical Institutions and Devices Licensing Department, or AMAR. An application for the registration of a medical device includes the following:</w:t>
      </w:r>
    </w:p>
    <w:p>
      <w:pPr>
        <w:spacing w:after="0" w:line="162" w:lineRule="exact"/>
        <w:rPr>
          <w:sz w:val="20"/>
          <w:szCs w:val="20"/>
          <w:color w:val="auto"/>
        </w:rPr>
      </w:pPr>
    </w:p>
    <w:p>
      <w:pPr>
        <w:ind w:left="5540" w:right="5520" w:hanging="5532"/>
        <w:spacing w:after="0" w:line="532" w:lineRule="auto"/>
        <w:tabs>
          <w:tab w:leader="none" w:pos="33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address of the manufacturer, and of the importer as applicable;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4" w:name="page55"/>
    <w:bookmarkEnd w:id="54"/>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 of the intended use of the medical device and of its medical indications;</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details of the medical device and of its components, and in the event that the device or the components are not new, information should be provided on the date or renovation;</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 attesting to the safety of the device, issued by a competent authority of one of the following countries: Australia, Canada, European Community (EC), Member States (MSs), Israel, Japan, or the United States;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on any risk which may be associated with the use of the device (including precautionary measures to be taken);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Instructions for use of the device in Hebrew; the MOH may allow the instructions to be in English for certain devices;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of the standards to which the device complies;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 of the technical and maintenance services, including periodic checks and inspections;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Declaration, as appropriate: of the local manufacturer/importer, and of the foreign manufacturer.</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application includes a certificate issued by a competent authority of one of the following “recognized” countries: Australia, Canada, European Community (CE) Member States (MSs), Japan, or the United States, the registration process is generally expedited, but could still take 6-9 months for approval. If such certificate is not available, the registration process will take significantly longer and a license is rarely issued. Furthermore, the MOH will determine what type of testing is needed. In general, in the case of Israeli manufactured devices that are not registered or authorized in any “recognized” country, the application requires presentation of a risk analysis, a clinical evaluation, a summary of the clinical trials, and expert opinions regarding the device’s safety and effectiveness. Additional requirements may apply during the registration period, including follow-up reviews, to improve the quality and safety of the devices.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 to regulations issued by Israel’s Minister of Health in June 2013, a decision on a request to register a medical device must be delivered by AMAR within 120 days from the date of the request, although this rarely occurs. The current rules for the registration of medical devices do not provide for an expedited approval process.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Once granted by the MOH, a license (marketing authorization) for a medical device is valid for five years from the date of registration of the device, except for implants with a life-supporting function, for which the validity is for only two years from the date of registration. Furthermore, the holder of the license, the Israeli Registration Holder, or IRH, must do the following to maintain its license:</w:t>
      </w:r>
    </w:p>
    <w:p>
      <w:pPr>
        <w:spacing w:after="0" w:line="176" w:lineRule="exact"/>
        <w:rPr>
          <w:sz w:val="20"/>
          <w:szCs w:val="20"/>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 and maintain a place of business in Israel and serve as the regulatory representative.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questions from AMAR concerning the registered products.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adverse events to AMAR.</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 the registration on time to keep the market approval active.</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Comply with post-marketing requirements, including reporting of adverse and unexpected events occurring in Israel or in other countries where the device is in use.</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Getting a device listed on Israel’s four major Sick Funds (health insurance entities) is also necessary in order for Israeli hospitals and health care providers to order such products.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Microbot intends to apply for a license from the MOH for each of its medical devices. There is no guarantee that Microbot will be granted licenses for its pipeline products and failure to obtain such licenses would adversely affect its ability to grow its business.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 xml:space="preserve">Legal Proceedings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Litigation Resulting from 2017 Financing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were named as the defendant in a lawsuit captioned Empery Asset Master Ltd., Empery Tax Efficient, LP, Empery Tax Efficient II, LP, Hudson Bay Master Fund Ltd., Plaintiffs, against Microbot Medical Inc., Defendant, in the Supreme Court of the State of New York, County of New York (Index No. 651182/2020). The complaint alleges, among other things, that we breached multiple representations and warranties contained in the SPA, of which the Plaintiffs participated, and fraudulently induced Plaintiffs into signing the Securities Purchase Agreement (the “SPA”) related to our June 8, 2017 equity financing (the “Financing”). The complaint seeks rescission of the SPA and return of the Plaintiffs’ $6.75 million purchase price with respect to the Financing.</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January 26, 2024 (the “Effective Date”), we entered into a Settlement Agreement and Release with the Plaintiffs. Pursuant to the Settlement Agreement, we paid the Plaintiffs $2,154,000 (the “Total Settlement Amount”), consisting of a cash payment covered by our insurance carrier of $1,100,000 and 1,005,965 shares of restricted common stock which represent the whole number of restricted shares of our common stock calculated pursuant to the following formula: $1,054,000/[closing price of common stock on the Effective Date * 0.825]. Additionally, the Plaintiffs and the Company each agreed to fully release the other from all claims arising out of the 2017 financing, the Securities Purchase Agreement and/or the allegations and claims asserted in the lawsuit, subject to customary carve-outs.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the Plaintiffs are expected to file a stipulation discontinuing the Empery/Hudson Bay Lawsuit with prejudice.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a Registration Rights Agreement, we are filing a registration statement on Form S-1, of which this prospectus forms a part, covering the resale of the 1,005,965 shares, and we agreed to use reasonable best efforts to have such registration statement declared effective by the Securities and Exchange Commission within 60 days (or, in the event of a “full review” by the Securities and Exchange Commission, within 90 days) following the Effective Date. We shall be required to make cash payments to the Plaintiffs in the event we fail to register the shares and keep the registration statement effective pursuant to the terms of the Registration Rights Agreement, and if we fail to remove the restrictions on the shares pursuant to the terms of the Settlement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Property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Microbot’s employees currently either work remotely or at leased premises in the suburbs of Boston, Massachusetts of approximately 300 square feet. It has also retained a small leased storage facility and a mailing address in the United States. Microbot also occupies facilities in premises of approximately 6,975 square feet at 6 Hayozma St., Yokneam, P.O.B. 242, Israel. This facility is expected to provide the space and infrastructure necessary to accommodate its development work based on its current operating plan. Microbot does not own any real property.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16, 2024, we have 21 employees (including full-time and hourly employees).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Microbot’s Chief Executive Officer, President and Chairman, Harel Gadot, along with 5 full-time, are based in the United States. Additionally, Microbot has 14 full-time employees and 1 part time employee based in its office located in Yokneam, Israel. These employees oversee day-to-day operations of the Company and leading engineering, manufacturing, intellectual property and administration functions of the Company. As required, Microbot also engages consultants to provide services to the Company, including regulatory, legal and corporate services. We are subject to labor laws and regulations within our locations in the U.S. and Israel. These laws and regulations principally concern matters such as pensions, paid annual vacation, paid sick days, length of the workday and work week, minimum wages, overtime pay, insurance for work-related accidents, severance pay and other conditions of employment. Microbot has no unionized employees.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historically been able to attract and retain top talent by creating a culture that challenges and engages our employees, offering them opportunities to learn, grow and achieve their career goals.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Benefits and Wellbeing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provide competitive compensation for our employees We have historically offered annual bonuses and stock-based compensation for eligible employees. As a result of our recent cost reduction plan, our executive officers and certain of our employees have taken salary reductions, although all of them have since had their salaries reinstated. We can give no assurance that such plan will not have an adverse effect on our ability to attract and/or retain employees or remain competitive for talent.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Leadership, Training and Development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aim to provide our employees with advanced professional and development skills, so that they can perform effectively in their roles and build their capabilities and career prospects for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Diversity, Equity and Inclusion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strive to encourage a diversity of views and to create an equal opportunity workplace. During the past year, we have increased the total number of women in management positions.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 AND 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currently have seven directors serving on our Board. The following table lists the names, ages and positions of the individuals who serve as directors of the Company, as of February 16,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600" w:type="dxa"/>
            <w:vAlign w:val="bottom"/>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7860" w:type="dxa"/>
            <w:vAlign w:val="bottom"/>
          </w:tcPr>
          <w:p>
            <w:pPr>
              <w:ind w:left="362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198"/>
        </w:trPr>
        <w:tc>
          <w:tcPr>
            <w:tcW w:w="23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Harel Gadot</w:t>
            </w:r>
          </w:p>
        </w:tc>
        <w:tc>
          <w:tcPr>
            <w:tcW w:w="220" w:type="dxa"/>
            <w:vAlign w:val="bottom"/>
          </w:tcPr>
          <w:p>
            <w:pPr>
              <w:spacing w:after="0"/>
              <w:rPr>
                <w:sz w:val="17"/>
                <w:szCs w:val="17"/>
                <w:color w:val="auto"/>
              </w:rPr>
            </w:pPr>
          </w:p>
        </w:tc>
        <w:tc>
          <w:tcPr>
            <w:tcW w:w="5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52</w:t>
            </w:r>
          </w:p>
        </w:tc>
        <w:tc>
          <w:tcPr>
            <w:tcW w:w="220" w:type="dxa"/>
            <w:vAlign w:val="bottom"/>
          </w:tcPr>
          <w:p>
            <w:pPr>
              <w:spacing w:after="0"/>
              <w:rPr>
                <w:sz w:val="17"/>
                <w:szCs w:val="17"/>
                <w:color w:val="auto"/>
              </w:rPr>
            </w:pPr>
          </w:p>
        </w:tc>
        <w:tc>
          <w:tcPr>
            <w:tcW w:w="78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President, Chief Executive Officer and Chairman of the Board of Directors</w:t>
            </w:r>
          </w:p>
        </w:tc>
      </w:tr>
      <w:tr>
        <w:trPr>
          <w:trHeight w:val="216"/>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Yoseph Bornstein(1)(3)</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2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Burell(1)(2)</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2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Martin Madden(1)(3)</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2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Prattipati Laxminarain(2)</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2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Aileen Stockburger(3)</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2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Tal Wenderow(2)</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220" w:type="dxa"/>
            <w:vAlign w:val="bottom"/>
          </w:tcPr>
          <w:p>
            <w:pPr>
              <w:spacing w:after="0"/>
              <w:rPr>
                <w:sz w:val="20"/>
                <w:szCs w:val="20"/>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Audit Committee.</w:t>
      </w:r>
    </w:p>
    <w:p>
      <w:pPr>
        <w:spacing w:after="0" w:line="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Corporate Governance Committee.</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Compensation Committee.</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a classified Board, with each of our directors serving a staggered three-year term. The following table shows the current composition of the three classes of our Board: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I Directors (terms scheduled to expire in 2025):</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Harel Gadot</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Martin Madden</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Tal Wenderow</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II Directors (term scheduled to expire in 2026):</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Scott Burell</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Aileen Stockburger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III Directors (term scheduled to expire in 2024):</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Yoseph Bornstein</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Prattipati Laxminarain</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independent members of our Board, as determined by the Board in accordance with the existing Nasdaq Listing rules, are Messrs. Bornstein, Burell, Madden, Laxminarain and Wenderow, and Ms. Stockburger.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Biographies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Harel Gadot</w:t>
      </w:r>
      <w:r>
        <w:rPr>
          <w:rFonts w:ascii="Times New Roman" w:cs="Times New Roman" w:eastAsia="Times New Roman" w:hAnsi="Times New Roman"/>
          <w:sz w:val="18"/>
          <w:szCs w:val="18"/>
          <w:color w:val="auto"/>
        </w:rPr>
        <w:t>, became President, Chief Executive Officer and Chairman of the Company’s Board following the consummation of the merger of C&amp;RD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Israel Ltd, a wholly owned subsidiary of the Company, with and into Microbot Medical Ltd. (“Microbot Israel”), with Microbot Israel surviving as a wholly owned subsidiary of the Company (the “Merger”). Mr. Gadot is a co-founder of Microbot Israel and has served as Microbot Israel’s Chief Executive Officer since Microbot Israel was founded in November 2010. He has been the Chairman of Microbot Israel’s board of directors since July 2014. He also served as a director until January 2024 of XACT Robotics Ltd., an Israel-based private company that recently ceased operations and is in insolvency proceedings in Israel, and was its Chairman from August 2013 until September 2023. Mr. Gadot serves as Chairman of MEDX Xelerator L.P., a medical device and digital health Israeli incubator, since July 2016. From December 2007 to April 2010 Mr. Gadot was a Worldwide Group Marketing Director at Ethicon Inc., a Johnson and Johnson Company, where he was responsible for the global strategic marketing of the Company. Mr. Gadot also held management positions, as well as leading regional strategic position for Europe, Middle-East and Africa, as well as In Israel, while at Johnson and Johnson. Mr. Gadot served as director for ConTIPI Ltd. from August 2010 until November 2013 when ConTIPI Ltd. was acquired by Kimberly-Clark Corporation. Mr. Gadot holds a B.Sc. in Business from Siena College, Loudonville NY, and an M.B.A. from the University of Manchester, UK. The Company believes that Mr. Gadot is qualified to serve as Chairman of the Board and as President and Chief Executive Officer of the Company due to his extensive experience in strategic marketing and general management in the medical device industry.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7" w:name="page58"/>
    <w:bookmarkEnd w:id="57"/>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Yoseph Bornstein</w:t>
      </w:r>
      <w:r>
        <w:rPr>
          <w:rFonts w:ascii="Times New Roman" w:cs="Times New Roman" w:eastAsia="Times New Roman" w:hAnsi="Times New Roman"/>
          <w:sz w:val="18"/>
          <w:szCs w:val="18"/>
          <w:color w:val="auto"/>
        </w:rPr>
        <w:t>, became a director of the Company following the Merger. Mr. Bornstein is a co-founder of Microbot Israel and has been a member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since Microbot Israel was founded in November 2010. Mr. Bornstein founded Shizim Ltd., a life science holding group in October 2000 and has served as its CEO and director since then. Mr. Bornstein is the Chairman of, and through Shizim owns a stake in: GCP Clinical Studies Ltd., a provider of clinical research services and educational programs in Israel since January 2002; Biotis Ltd., a service company for the bio-pharmaceutical industry, since June 2000; Dolphin Medical Ltd., which supplies the medical device industry, since April 2012, and LSA - Life Science Accelerator Ltd., since 2000. He is the Chairman of ASIS Enterprises B.B.G. Ltd., a business development company focusing on creating business ties between Israeli and Japanese entities, since August 2007. Mr. Bornstein is a co-founder and until January 2024 was a director of XACT Robotics, an Israel-based private company that recently ceased operations and is in insolvency proceedings in Israel. In October 1992, Mr. Bornstein founded Pharmateam Ltd., an Israeli company that specialized in representing international pharmaceutical companies which was sold in 2000. Mr. Bornstein is also a founder of a number of other privately held life-science companies. Mr. Bornstein served as the Biotechnology Committee Chairman of the United States-Israel Science &amp; Technology Commission (the “USISTC”) from September 2002 to February 2005 as well as a consultant for USISTC from September 2002 to February 2005. He is also the founder of ILSI-Israel Life Science Industry Organization (who was integrated into IATI) and ITTN-Israel Tech Transfer Organization. He founded in July 2014 ShizimXL Ltd., an international medical device innovation center, and founded in January 2020 ShizimVS Ltd., a digital health innovation center. Mr. Bornstein is an external director in Can-fite BioPharma Ltd. (Nasdaq:CANF). At the time of his last nomination and election in 2022, the Company believed that Mr. Bornstein was qualified to serve as a member of the Board due to his extensive experience in, and knowledge of, the life sciences industry and international business.</w:t>
      </w:r>
    </w:p>
    <w:p>
      <w:pPr>
        <w:spacing w:after="0" w:line="1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Scott R. Burell</w:t>
      </w:r>
      <w:r>
        <w:rPr>
          <w:rFonts w:ascii="Times New Roman" w:cs="Times New Roman" w:eastAsia="Times New Roman" w:hAnsi="Times New Roman"/>
          <w:sz w:val="18"/>
          <w:szCs w:val="18"/>
          <w:color w:val="auto"/>
        </w:rPr>
        <w:t>, became a director of the Company in November 2016. Since August 2018, Mr. Burell has been the Chief Financial Officer and Secretary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AIVITA Biomedical, Inc., an Irvine California-based immuno-oncology company focused on the advancement of commercial and clinical-stage programs utilizing curative and regenerative medicines. From November 2006 until its sale to Invitae Corp. (NASDAQ: NVTA) in November 2017, he was the Chief Financial Officer, Secretary and Treasurer of CombiMatrix Corporation (NASDAQ: CBMX), a family health-focused clinical molecular diagnostic laboratory specializing in pre-implantation genetic screening, prenatal diagnosis, miscarriage analysis, and pediatric developmental disorders. He successfully led the split-off of CombiMatrix in 2007 from its former parent, has led several successful public and private debt and equity financing transactions as well as CombiMatrix’s reorganization in 2010. Prior to this, Mr. Burell had served as CombiMatrix’s Vice President of Finance since November 2001 and as its Controller from February 2001 to November 2001. From May 1999 to first joining CombiMatrix in February 2001, Mr. Burell was the Controller for Network Commerce, Inc. (NASDAQ: SPNW), a publicly traded technology and information infrastructure company located in Seattle. Prior to this, Mr. Burell spent nine years with Arthur Andersen’s Audit and Business Advisory practice in Seattle. During his tenure in public accounting, Mr. Burell worked with many clients, both public and private, in the high-tech and healthcare markets, and was involved in numerous public offerings, spin-offs, mergers and acquisitions. Mr. Burell obtained his Washington state CPA license in 1992 and is a certified public accountant (currently inactive). He holds Bachelor of Science degrees in Accounting and Business Finance from Central Washington University. The Company believes Mr. Burell’s qualifications to serve on the Board include his experience as an executive of a public life sciences company and knowledge of financial accounting in the medical technology field.</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Martin Madden</w:t>
      </w:r>
      <w:r>
        <w:rPr>
          <w:rFonts w:ascii="Times New Roman" w:cs="Times New Roman" w:eastAsia="Times New Roman" w:hAnsi="Times New Roman"/>
          <w:sz w:val="18"/>
          <w:szCs w:val="18"/>
          <w:color w:val="auto"/>
        </w:rPr>
        <w:t>, has been a director of the Company since February 6, 2017. Mr. Madden has held various positions at Johnson &amp; Johnson and its affiliates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1986 to January 2017, most recently as Vice President, Research &amp; Development of DePuy Synthes, a Johnson &amp; Johnson Company, from February 2016 to January 2017. Prior to that, from July 2015 to February 2016, Mr. Madden was the Vice President, New Product Development of Johnson &amp; Johnson Medical Devices. From January 2012 to July 2015, Mr. Madden was the Vice President, Research &amp; Development of Johnson &amp; Johnson’s Global Surgery Group. During his thirty-year tenure with Johnson &amp; Johnson’s Medical Device organization, he was an innovator and research leader for nearly every medical device business including Cardiology, Electrophysiology, Peripheral Vascular Surgery, General and Colorectal Surgery, Aesthetics, Orthopaedics, Sports Medicine, Spine, and Trauma. As an executive of Johnson &amp; Johnson, Mr. Madden served on the management boards of Johnson &amp; Johnson’s Global Surgery Group, Ethicon, Ethicon Endo-Surgery, DePuy-Synthes, and Cordis, with responsibility for research and development - inclusive of organic and licensed/acquired technology. He was also Chairman of J&amp;J’s Medical Device Research Council, with responsibility for talent strategy and technology acceleration. Mr. Madden serves on the Board of Directors of Novocure (NASDAQ: NVCR), a global oncology company, and is an advisor to numerous medical device start-ups. Mr. Madden holds a MBA from Columbia University, a M.S. from Carnegie Mellon University in Mechanical Engineering, and a B.S. from the University of Dayton in Mechanical Engineering. The Company believes that Mr. Madden is qualified to serve as a member of the Board due to his extensive experience in research and development, portfolio planning, technology assessment and assimilation, and project management and budgeting.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58" w:name="page59"/>
    <w:bookmarkEnd w:id="58"/>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Prattipati Laxminarain</w:t>
      </w:r>
      <w:r>
        <w:rPr>
          <w:rFonts w:ascii="Times New Roman" w:cs="Times New Roman" w:eastAsia="Times New Roman" w:hAnsi="Times New Roman"/>
          <w:sz w:val="18"/>
          <w:szCs w:val="18"/>
          <w:color w:val="auto"/>
        </w:rPr>
        <w:t>, has been a director of the Company since December 6, 2017. From April 2006 through October 2017, Mr. Laxminarain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Worldwide President at Codman Neuro, a global neurosurgery and neurovascular company that offers a portfolio of devices for hydrocephalus management, neuro intensive care and cranial surgery and other technologies, and which was part of DePuy Synthes Companies of Johnson &amp; Johnson. Mr. Laxminarain is currently the CEO of Deinde Medical Corporation, and is a Board Member of Oculogica Inc., Millar Inc., and GT Medical Inc. He has a degree in Mechanical Engineering from Osmania University, Hyderabad, India and an MBA from Indian Institute of Management. The Company believes that Mr. Laxminarain is qualified as a Board member of the Company because of his extensive experience working with medical device companies and knowledge of the industries in which the Company intends to compete.</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Aileen Stockburger </w:t>
      </w:r>
      <w:r>
        <w:rPr>
          <w:rFonts w:ascii="Times New Roman" w:cs="Times New Roman" w:eastAsia="Times New Roman" w:hAnsi="Times New Roman"/>
          <w:sz w:val="18"/>
          <w:szCs w:val="18"/>
          <w:color w:val="auto"/>
        </w:rPr>
        <w:t>was appointed by the Board on March 26, 2020 to fill a vacancy on the Board and to serve as a Class II director of the Company,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commencing on April 1, 2020. Since February 2018, Ms. Stockburger has provided M&amp;A consulting and advisory services through Aileen Stockburger LLC. Prior to that, from 1989 through January 2018, Ms. Stockburger held various positions in Johnson &amp; Johnson, most recently as Vice President, Worldwide Business Development &amp; Strategic Planning for the DePuy Synthes Group of Johnson &amp; Johnson, and as a member of its Worldwide Board and Group Operating Committee, from 2010-2018. In that role, she oversaw the group’s merger and acquisition activities, including deal structuring, negotiations, contract design and review, and deal terms. Before joining Johnson &amp; Johnson, Ms. Stockburger spent several years at PriceWaterhouseCoopers, and earned her CPA certification. She is also the Chair of Next Science Limited (ASX: NXS), a medical technology company headquartered in Sydney, Australia, with a primary focus in the development and continued commercialization of its proprietary technology to reduce the impact of biofilm based infections in human health, and she also serves on the Audit Committee and the People, Culture and Remuneration Committee of the Board of Directors of Next Science Limited. Ms. Stockburger received her MBA and BS from The Wharton School, University of Pennsylvania. The Company believes that Ms. Stockburger is qualified as a Board member of the Company because of her extensive experience in strategizing, managing and closing sizable, complex worldwide mergers and acquisitions, licensing agreements and divestitures, as well as her expertise in business development, strategic planning and finance.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Tal Wenderow </w:t>
      </w:r>
      <w:r>
        <w:rPr>
          <w:rFonts w:ascii="Times New Roman" w:cs="Times New Roman" w:eastAsia="Times New Roman" w:hAnsi="Times New Roman"/>
          <w:sz w:val="18"/>
          <w:szCs w:val="18"/>
          <w:color w:val="auto"/>
        </w:rPr>
        <w:t>was appointed by the Board on July 29, 2020 to fill a vacancy on the Board and to serve as a Class I director of the Company, with a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commencing on August 1, 2020. Since September 2021, Mr. Wenderow serves as the Venture Partner at Genesis MedTech, a global medical device company. Previously, from February 2019, Mr. Wenderow served as the President and CEO of Vocalis Health Inc., an AI healthtech company pioneering the development of vocal biomarkers. Previously, Mr. Wenderow co-founded Corindus Vascular Robotics in 2002, which was a New York Stock Exchange-listed company upon its acquisition by Siemens Healthineers in 2019. Mr. Wenderow held various positions at Corindus from founder, Chief Executive Officer and director at inception, Executive Vice President Product &amp; Business Development to his most recent role as Executive Vice President of International &amp; Business Development. Mr. Wenderow received a B.Sc. in Mechanical Engineering at the Technion - Israel Institute of Technology, Haifa, Israel. The Company believes that Mr. Wenderow is qualified as a Board member of the Company because of his extensive knowledge of the medical robotics space with specific focus on interventional procedures, as well as his medical devices start up experience.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t>Board Diversity Matrix</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matrix below reflects our Board’s gender and racial characteristics and LGBTQ+ status, based on the self-identification of our directors. Each of the categories listed below has the meaning as it is used in Nasdaq Rule 5605(f).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Diversity Matrix (as of February 16,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80" w:type="dxa"/>
            <w:vAlign w:val="bottom"/>
            <w:tcBorders>
              <w:top w:val="single" w:sz="8" w:color="auto"/>
            </w:tcBorders>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Total Number of Directors</w:t>
            </w:r>
          </w:p>
        </w:tc>
        <w:tc>
          <w:tcPr>
            <w:tcW w:w="158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w:t>
            </w:r>
          </w:p>
        </w:tc>
        <w:tc>
          <w:tcPr>
            <w:tcW w:w="156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r>
      <w:tr>
        <w:trPr>
          <w:trHeight w:val="453"/>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Gender Identity:</w:t>
            </w: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Male</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Female</w:t>
            </w:r>
          </w:p>
        </w:tc>
        <w:tc>
          <w:tcPr>
            <w:tcW w:w="220" w:type="dxa"/>
            <w:vAlign w:val="bottom"/>
          </w:tcPr>
          <w:p>
            <w:pPr>
              <w:spacing w:after="0"/>
              <w:rPr>
                <w:sz w:val="24"/>
                <w:szCs w:val="24"/>
                <w:color w:val="auto"/>
              </w:rPr>
            </w:pP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Non-Binary</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Gender Undisclosed</w:t>
            </w:r>
          </w:p>
        </w:tc>
      </w:tr>
      <w:tr>
        <w:trPr>
          <w:trHeight w:val="216"/>
        </w:trPr>
        <w:tc>
          <w:tcPr>
            <w:tcW w:w="4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Directors</w:t>
            </w:r>
          </w:p>
        </w:tc>
        <w:tc>
          <w:tcPr>
            <w:tcW w:w="2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24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61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Number of Directors who Identify in any of the Categories Below:</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African American or Black</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78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88"/>
              </w:rPr>
              <w:t>0</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Alaskan Native or Native American</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7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88"/>
              </w:rPr>
              <w:t>0</w:t>
            </w:r>
          </w:p>
        </w:tc>
        <w:tc>
          <w:tcPr>
            <w:tcW w:w="2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Asian</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78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88"/>
              </w:rPr>
              <w:t>0</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Hispanic or Latinx</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7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88"/>
              </w:rPr>
              <w:t>0</w:t>
            </w:r>
          </w:p>
        </w:tc>
        <w:tc>
          <w:tcPr>
            <w:tcW w:w="2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Native Hawaiian or Pacific Islander</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78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88"/>
              </w:rPr>
              <w:t>0</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White</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2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7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88"/>
              </w:rPr>
              <w:t>0</w:t>
            </w:r>
          </w:p>
        </w:tc>
        <w:tc>
          <w:tcPr>
            <w:tcW w:w="2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Two or More Races or Ethnicities</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78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88"/>
              </w:rPr>
              <w:t>0</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LGBTQ+</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Did Not Disclose Demographic Background</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Committees of the Board of Directors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Presently, the Board has three standing committees - the Audit Committee, the Compensation and Stock Option Committee (the “Compensation Committee”), and the Corporate Governance and Nominating Committee (the “Corporate Governance Committee”). All members of the Audit Committee, the Compensation Committee, and the Corporate Governance Committee are, and are required by the charters of the respective committees to be, independent as determined under Nasdaq Listing rules.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Audit Committee is composed of Messrs. Burell, Madden and Bornstein. Each of the members of the Audit Committee is independent, and the Board has determined that Mr. Burell is an “audit committee financial expert,” as defined in SEC rules. The Audit Committee acts pursuant to a written charter which is available through our website at www.microbotmedical.com. The Audit Committee held four meetings during the fiscal year ended December 31, 2023.</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primary function of the Audit Committee is to assist the Board of Directors in fulfilling its oversight responsibilities. The Audit Committee does this primarily by reviewing the Company’s financial reports and other financial information as well as the Company’s systems of internal controls regarding finance, accounting, legal compliance, and ethics that management and the Board of Directors have established. The Audit Committee also assesses the Company’s auditing, accounting and financial processes more generally. The Audit Committee recommends to the Board of Directors the appointment of a firm of independent auditors to audit the financial statements of the Company and meets with such personnel of the Company to review the scope and the results of the annual audit, the amount of audit fees, the company’s internal accounting controls, the Company’s financial statements contained in this proxy statement, and other related matters.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Compensation Committee is composed of Messrs. Madden (Chairman), Bornstein and Stockburger. Each of the members of the Compensation Committee is independent. The Compensation Committee acts pursuant to a written charter which is available through our website at www.microbotmedical.com. The Compensation Committee held two meetings during the fiscal year ended December 31, 2023 and acted by unanimous written consent three times.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Compensation Committee acts pursuant to a written charter. The Compensation Committee makes recommendations to the Board of Directors and management concerning salaries in general, determines executive compensation and approves incentive compensation for employees and consultants.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Governance Committee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Corporate Governance Committee is composed of Messrs. Laxminarain, Burell and Wenderow. Each of the members of the Corporate Governance Committee is independent. The Corporate Governance Committee acts pursuant to a written charter which is available through our website at www.microbotmedical.com. The Corporate Governance Committee acted by unanimous written consent one time during the fiscal year ended December 31, 2023.</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0" w:name="page61"/>
    <w:bookmarkEnd w:id="60"/>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Corporate Governance Committee oversees nominations to the Board and considers the experience, ability and character of potential nominees to serve as directors, as well as particular skills or knowledge that may be desirable in light of the Company’s position at any time. From time to time, the Corporate Governance Committee may engage the services of a paid search firm to help the Corporate Governance Committee identify potential nominees to the Board. The Corporate Governance Committee and Board seek to nominate and appoint candidates to the Board who have significant business experience, technical expertise or personal attributes, or a combination of these, sufficient to suggest, in the Board’s judgment, that the candidate would have the ability to help direct the affairs of the Company and enhance the Board as a whole. The Corporate Governance Committee may identify potential candidates through any reliable means available, including recommendations of past or current members of the Board from their knowledge of the industry and of the Company. The Corporate Governance Committee also considers past service on the Board or on the board of directors of other publicly traded or technology focused companies. The Corporate Governance Committee has not adopted a formulaic approach to evaluating potential nominees to the Board; it does not have a formal policy concerning diversity, for example. Rather, the Corporate Governance Committee weighs and considers the experience, expertise, intellect, and judgment of potential nominees irrespective of their race, gender, age, religion, or other personal characteristics. The Corporate Governance Committee may look for nominees that can bring new skill sets or diverse business perspectives. Potential candidates recommended by security holders will be considered as provided in the company’s “Policy Regarding Shareholder Candidates for Nomination as a Director,” which sets forth the procedures and conditions for such recommendations. This policy is available through our website at </w:t>
      </w:r>
      <w:r>
        <w:rPr>
          <w:rFonts w:ascii="Times New Roman" w:cs="Times New Roman" w:eastAsia="Times New Roman" w:hAnsi="Times New Roman"/>
          <w:sz w:val="18"/>
          <w:szCs w:val="18"/>
          <w:u w:val="single" w:color="auto"/>
          <w:color w:val="auto"/>
        </w:rPr>
        <w:t>www.microbotmedical.com</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Oversight and Qualifications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management is responsible for the day-to-day management of the risks the company faces, the Board, as a whole and through its committees, has responsibility for the oversight of risk management. An important part of risk management is not only understanding the risks facing the company and what steps management is taking to manage those risks, but also understanding what level of risk is appropriate for the company. In support of this oversight function, the Board receives regular reports from our Chief Executive Officer and members of senior management on operational, financial, legal, and regulatory issues and risks. The Audit Committee additionally is charged under its charter with oversight of financial risk, including the company’s internal controls, and it receives regular reports from management, the company’s internal auditors and the company’s independent auditors. The chairman of the Board and independent members of the Board work together to provide strong, independent oversight of the company’s management and affairs through its standing committees and, when necessary, special meetings of directors.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are the name, age and other information for our executive officers. All company officers have been appointed to serve until their successors are elected and qualified or until their earlier resignation or removal. Information regarding Harel Gadot, our Chairman, President and Chief Executive Officer, is set forth above under “Board of Directors and Management-Director Biographies” above.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600" w:type="dxa"/>
            <w:vAlign w:val="bottom"/>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7860" w:type="dxa"/>
            <w:vAlign w:val="bottom"/>
          </w:tcPr>
          <w:p>
            <w:pPr>
              <w:ind w:left="362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198"/>
        </w:trPr>
        <w:tc>
          <w:tcPr>
            <w:tcW w:w="23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Harel Gadot</w:t>
            </w:r>
          </w:p>
        </w:tc>
        <w:tc>
          <w:tcPr>
            <w:tcW w:w="220" w:type="dxa"/>
            <w:vAlign w:val="bottom"/>
          </w:tcPr>
          <w:p>
            <w:pPr>
              <w:spacing w:after="0"/>
              <w:rPr>
                <w:sz w:val="17"/>
                <w:szCs w:val="17"/>
                <w:color w:val="auto"/>
              </w:rPr>
            </w:pPr>
          </w:p>
        </w:tc>
        <w:tc>
          <w:tcPr>
            <w:tcW w:w="5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52</w:t>
            </w:r>
          </w:p>
        </w:tc>
        <w:tc>
          <w:tcPr>
            <w:tcW w:w="220" w:type="dxa"/>
            <w:vAlign w:val="bottom"/>
          </w:tcPr>
          <w:p>
            <w:pPr>
              <w:spacing w:after="0"/>
              <w:rPr>
                <w:sz w:val="17"/>
                <w:szCs w:val="17"/>
                <w:color w:val="auto"/>
              </w:rPr>
            </w:pPr>
          </w:p>
        </w:tc>
        <w:tc>
          <w:tcPr>
            <w:tcW w:w="78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President, Chief Executive Officer and Chairman of the Board of Directors</w:t>
            </w:r>
          </w:p>
        </w:tc>
      </w:tr>
      <w:tr>
        <w:trPr>
          <w:trHeight w:val="216"/>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Rachel Vaknin</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2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Simon Sharon</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2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Chief Technology Officer and General Manager, Microbot Israel</w:t>
            </w:r>
          </w:p>
        </w:tc>
      </w:tr>
      <w:tr>
        <w:trPr>
          <w:trHeight w:val="234"/>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Juan Diaz-Cartelle</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220" w:type="dxa"/>
            <w:vAlign w:val="bottom"/>
          </w:tcPr>
          <w:p>
            <w:pPr>
              <w:spacing w:after="0"/>
              <w:rPr>
                <w:sz w:val="20"/>
                <w:szCs w:val="20"/>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Chief Medical Officer</w:t>
            </w:r>
          </w:p>
        </w:tc>
      </w:tr>
    </w:tbl>
    <w:p>
      <w:pPr>
        <w:spacing w:after="0" w:line="1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Rachel Vaknin, </w:t>
      </w:r>
      <w:r>
        <w:rPr>
          <w:rFonts w:ascii="Times New Roman" w:cs="Times New Roman" w:eastAsia="Times New Roman" w:hAnsi="Times New Roman"/>
          <w:sz w:val="18"/>
          <w:szCs w:val="18"/>
          <w:color w:val="auto"/>
        </w:rPr>
        <w:t>has served as the Company’s Chief Financial Officer since April 2022 and before that was its VP Finance since January 2022.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2017 to December 2021, Ms. Vaknin served as the Chief Financial Officer at Imagry, an Israeli-American autonomous technologies software provider. From April 2004 through December 2016, Ms. Vaknin was the FP&amp;A Department Manager at Mellanox Technologies Ltd., an Israeli-American multinational supplier of computer networking products acquired by Nvidia in 2020, where she was responsible, among other things, for budget planning, budget control, building and maintaining business intelligence key performance indicators, leading teams with respect to preparing quarterly financial statements, obtaining and managing grant monies, and Sarbanes-Oxley controls.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1" w:name="page62"/>
    <w:bookmarkEnd w:id="61"/>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Simon Sharon</w:t>
      </w:r>
      <w:r>
        <w:rPr>
          <w:rFonts w:ascii="Times New Roman" w:cs="Times New Roman" w:eastAsia="Times New Roman" w:hAnsi="Times New Roman"/>
          <w:sz w:val="18"/>
          <w:szCs w:val="18"/>
          <w:color w:val="auto"/>
        </w:rPr>
        <w:t>, has served as the Company’s Chief Technology Officer since April 2018 and as the General Manager of Microbot Israel since April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August 2016 to March 2018, Mr. Sharon served as the Chief Technology Officer at MEDX Xelerator, an Israel-based medical device and digital health incubator. He was also a director until January 2024 of XACT Robotics Ltd., an Israel-based private company that recently ceased operations and is in insolvency proceedings in Israel. Mr. Harel Gadot, the Company’s President, CEO and Chairman, is the Chairman of MEDX Xelerator. Prior to this, Mr. Sharon held the position of Chief Operating Officer at Microbot Israel before it became a publicly traded company from February 2013 to August 2016. Prior to joining Microbot Israel, Mr. Sharon was the Vice President of Research &amp; Development with IceCure Medical, a TASE traded company developing a portfolio of cryogenic ablation systems. Prior to IceCure, he held roles of increasing responsibility at Rockwell Automation-Anorad Israel Ltd., a leading linear motor-based, precision positioning equipment manufacturer. Prior to Rockwell, Mr. Sharon was the Research &amp; Development Manager at Disc-O-Tech Medical Technologies Ltd., a private orthopedic venture that was acquired by Kyphon (currently part of Medtronic), and before this was the Research &amp; Development Manager at CI Systems, a worldwide supplier of a wide range of electro-optical test and measurement equipment.</w:t>
      </w:r>
    </w:p>
    <w:p>
      <w:pPr>
        <w:spacing w:after="0" w:line="18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i w:val="1"/>
          <w:iCs w:val="1"/>
          <w:color w:val="auto"/>
        </w:rPr>
        <w:t>Dr. Juan Diaz-Cartelle</w:t>
      </w:r>
      <w:r>
        <w:rPr>
          <w:rFonts w:ascii="Times New Roman" w:cs="Times New Roman" w:eastAsia="Times New Roman" w:hAnsi="Times New Roman"/>
          <w:sz w:val="18"/>
          <w:szCs w:val="18"/>
          <w:color w:val="auto"/>
        </w:rPr>
        <w:t>, has served as the Company’s Chief Medical Officer since December 1, 2023. As CMO, Dr. Diaz-Cartelle will lead the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execution of the clinical strategy of the Company, including its planned clinical trials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the U.S., the medical affairs activity, and will be an integral part of the team leading its regulatory process with the FDA and commercial efforts. Most recently, from May 2022 to November 2023, Dr. Diaz-Cartelle served as the Executive Medical Director at Haemonetics Corporation (NYSE: HAE), where he advised that company on new investments in the cardiovascular space, among other responsibilities. Prior to that, from June 2008 to May 2022, Dr. Diaz-Cartelle served as the Senior Medical Director for the Peripheral Interventional Division (Endovascular and Interventional Oncology) at Boston Scientific Corporation (NYSE: BSX), where he played a pivotal part in the development of global clinical strategy and study oversight, supporting commercial activities and future pipeline development. Dr. Diaz-Cartelle obtained his medical degree at the University of Navarra (Spain) and completed his specialty as Angiologist and Vascular Surgeon at Hospital General Universitario Gregorio Maranon in Madrid (Spain).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16(a) Reports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Section 16(a) of the Exchange Act requires our executive officers, directors, and persons who own more than 10% of a registered class of our equity securities, to file with the SEC reports of ownership of our securities and changes in reported ownership. Executive officers, directors and greater than 10% beneficial owners are required by SEC rules to furnish us with copies of all Section 16(a) reports they file. Based solely on a review of the copies of such forms furnished to us, or written representations from the reporting persons that no Form 5 was required, we believe that, during the fiscal year ended December 31, 2023, all Section 16(a) filing requirements applicable to our officers, directors and greater than 10% beneficial owners have been met.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 of Business Conduct and Ethics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adopted a Code of Ethics and Conduct that applies to all of our directors, officers, employees, and consultants. A copy of our code of ethics is posted on our website at www.microbotmedical.com. We intend to disclose any substantive amendment or waivers to this code on our website. There were no substantive amendments or waivers to this code in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Involving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legal proceedings involving the members of the Board.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each element of compensation that was paid or awarded to the named executive officers of the Company for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Non-Equity</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Incentive Plan</w:t>
            </w:r>
          </w:p>
        </w:tc>
        <w:tc>
          <w:tcPr>
            <w:tcW w:w="14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6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25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80" w:type="dxa"/>
            <w:vAlign w:val="bottom"/>
          </w:tcPr>
          <w:p>
            <w:pPr>
              <w:spacing w:after="0"/>
              <w:rPr>
                <w:sz w:val="21"/>
                <w:szCs w:val="21"/>
                <w:color w:val="auto"/>
              </w:rPr>
            </w:pP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Year</w:t>
            </w:r>
          </w:p>
        </w:tc>
        <w:tc>
          <w:tcPr>
            <w:tcW w:w="6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1"/>
                <w:szCs w:val="21"/>
                <w:color w:val="auto"/>
              </w:rPr>
            </w:pP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1"/>
                <w:szCs w:val="2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(1)</w:t>
            </w:r>
          </w:p>
        </w:tc>
        <w:tc>
          <w:tcPr>
            <w:tcW w:w="140" w:type="dxa"/>
            <w:vAlign w:val="bottom"/>
          </w:tcPr>
          <w:p>
            <w:pPr>
              <w:spacing w:after="0"/>
              <w:rPr>
                <w:sz w:val="21"/>
                <w:szCs w:val="21"/>
                <w:color w:val="auto"/>
              </w:rPr>
            </w:pPr>
          </w:p>
        </w:tc>
        <w:tc>
          <w:tcPr>
            <w:tcW w:w="124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1"/>
                <w:szCs w:val="21"/>
                <w:color w:val="auto"/>
              </w:rPr>
            </w:pPr>
          </w:p>
        </w:tc>
        <w:tc>
          <w:tcPr>
            <w:tcW w:w="12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38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Total ($)</w:t>
            </w:r>
          </w:p>
        </w:tc>
      </w:tr>
      <w:tr>
        <w:trPr>
          <w:trHeight w:val="216"/>
        </w:trPr>
        <w:tc>
          <w:tcPr>
            <w:tcW w:w="25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Harel Gadot</w:t>
            </w:r>
          </w:p>
        </w:tc>
        <w:tc>
          <w:tcPr>
            <w:tcW w:w="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370,552</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386,000(2)</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470,302</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13,800(4)</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1,240,654</w:t>
            </w: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CEO, President &amp; Chairman</w:t>
            </w:r>
          </w:p>
        </w:tc>
        <w:tc>
          <w:tcPr>
            <w:tcW w:w="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542,000</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300,000(3)</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971,217</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13,800(4)</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1,827,017</w:t>
            </w:r>
          </w:p>
        </w:tc>
      </w:tr>
      <w:tr>
        <w:trPr>
          <w:trHeight w:val="216"/>
        </w:trPr>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Simon Sharon</w:t>
            </w:r>
          </w:p>
        </w:tc>
        <w:tc>
          <w:tcPr>
            <w:tcW w:w="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271,662</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87,022(2)</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88,418</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22,828(5)</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469,930</w:t>
            </w: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CTO and GM</w:t>
            </w:r>
          </w:p>
        </w:tc>
        <w:tc>
          <w:tcPr>
            <w:tcW w:w="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348,197</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89,721(3)</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65,114</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23,298(5)</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526,330</w:t>
            </w:r>
          </w:p>
        </w:tc>
      </w:tr>
      <w:tr>
        <w:trPr>
          <w:trHeight w:val="216"/>
        </w:trPr>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Eyal Morag</w:t>
            </w:r>
          </w:p>
        </w:tc>
        <w:tc>
          <w:tcPr>
            <w:tcW w:w="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314,033</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82,878(2)</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101,356</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13,605(5)</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511,872</w:t>
            </w: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CMO (6)</w:t>
            </w:r>
          </w:p>
        </w:tc>
        <w:tc>
          <w:tcPr>
            <w:tcW w:w="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401,517</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89,164(3)</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90,836</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19,752(5)</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601,269</w:t>
            </w:r>
          </w:p>
        </w:tc>
      </w:tr>
      <w:tr>
        <w:trPr>
          <w:trHeight w:val="216"/>
        </w:trPr>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Rachel Vaknin</w:t>
            </w:r>
          </w:p>
        </w:tc>
        <w:tc>
          <w:tcPr>
            <w:tcW w:w="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185,343</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27,626(2)</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76,533</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289,502</w:t>
            </w: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CFO</w:t>
            </w:r>
          </w:p>
        </w:tc>
        <w:tc>
          <w:tcPr>
            <w:tcW w:w="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189,384</w:t>
            </w: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45,263</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234,647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jc w:val="both"/>
        <w:ind w:left="340" w:hanging="332"/>
        <w:spacing w:after="0" w:line="255"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do not reflect cash compensation actually received by the named executive officer. Instead, the amounts shown are the non-cash aggregate grant date fair values of stock option awards made during the periods presented as determined pursuant to ASC Topic 718 and excludes the effect of forfeiture assumptions. The assumptions used to calculate the fair value of stock option awards are set forth under Note 9 to the Consolidated Financial Statements of the Company for the fiscal year ended December 31, 2022 included in this prospectus.</w:t>
      </w:r>
    </w:p>
    <w:p>
      <w:pPr>
        <w:spacing w:after="0" w:line="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bonus for the 2022 fiscal year, which amount was actually paid in 2023.</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bonus for the 2021 fiscal year, which amount was actually paid in 2022.</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includes Mr. Gadot’s monthly automobile allowance.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includes the executive’s yearly automobile allowance.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29, 2023, Dr. Morag resigned from his position with the Company, effective November 29, 2023.</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outstanding equity awards held by each of the named executive officers as of the end of the fiscal year ended December 31,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66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gridSpan w:val="4"/>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7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2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6"/>
                <w:szCs w:val="16"/>
                <w:color w:val="auto"/>
              </w:rPr>
            </w:pPr>
          </w:p>
        </w:tc>
      </w:tr>
      <w:tr>
        <w:trPr>
          <w:trHeight w:val="216"/>
        </w:trPr>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Incentive</w:t>
            </w:r>
          </w:p>
        </w:tc>
      </w:tr>
      <w:tr>
        <w:trPr>
          <w:trHeight w:val="216"/>
        </w:trPr>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Incentive</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Plan</w:t>
            </w:r>
          </w:p>
        </w:tc>
      </w:tr>
      <w:tr>
        <w:trPr>
          <w:trHeight w:val="216"/>
        </w:trPr>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Plan</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Awards:</w:t>
            </w:r>
          </w:p>
        </w:tc>
      </w:tr>
      <w:tr>
        <w:trPr>
          <w:trHeight w:val="216"/>
        </w:trPr>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Market</w:t>
            </w:r>
          </w:p>
        </w:tc>
      </w:tr>
      <w:tr>
        <w:trPr>
          <w:trHeight w:val="216"/>
        </w:trPr>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7"/>
              </w:rPr>
              <w:t>or Payout</w:t>
            </w:r>
          </w:p>
        </w:tc>
      </w:tr>
      <w:tr>
        <w:trPr>
          <w:trHeight w:val="216"/>
        </w:trPr>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of</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Value of</w:t>
            </w:r>
          </w:p>
        </w:tc>
      </w:tr>
      <w:tr>
        <w:trPr>
          <w:trHeight w:val="216"/>
        </w:trPr>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value of</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7"/>
              </w:rPr>
              <w:t>Unearned</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7"/>
              </w:rPr>
              <w:t>Unearned</w:t>
            </w:r>
          </w:p>
        </w:tc>
      </w:tr>
      <w:tr>
        <w:trPr>
          <w:trHeight w:val="216"/>
        </w:trPr>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16"/>
        </w:trPr>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0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or Units</w:t>
            </w: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of Units</w:t>
            </w: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Units or</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Units or</w:t>
            </w:r>
          </w:p>
        </w:tc>
      </w:tr>
      <w:tr>
        <w:trPr>
          <w:trHeight w:val="216"/>
        </w:trPr>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of Stock</w:t>
            </w: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of Stock</w:t>
            </w: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216"/>
        </w:trPr>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20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That</w:t>
            </w: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That</w:t>
            </w: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Rights</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Rights</w:t>
            </w:r>
          </w:p>
        </w:tc>
      </w:tr>
      <w:tr>
        <w:trPr>
          <w:trHeight w:val="216"/>
        </w:trPr>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Have</w:t>
            </w: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Have</w:t>
            </w: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That</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That</w:t>
            </w:r>
          </w:p>
        </w:tc>
      </w:tr>
      <w:tr>
        <w:trPr>
          <w:trHeight w:val="216"/>
        </w:trPr>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0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Not</w:t>
            </w: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Not</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9"/>
              </w:rPr>
              <w:t>Have Not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Have Not</w:t>
            </w:r>
          </w:p>
        </w:tc>
      </w:tr>
      <w:tr>
        <w:trPr>
          <w:trHeight w:val="245"/>
        </w:trPr>
        <w:tc>
          <w:tcPr>
            <w:tcW w:w="2660" w:type="dxa"/>
            <w:vAlign w:val="bottom"/>
          </w:tcPr>
          <w:p>
            <w:pPr>
              <w:ind w:left="11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 w:type="dxa"/>
            <w:vAlign w:val="bottom"/>
          </w:tcPr>
          <w:p>
            <w:pPr>
              <w:spacing w:after="0"/>
              <w:rPr>
                <w:sz w:val="21"/>
                <w:szCs w:val="21"/>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Unexercisable</w:t>
            </w: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Vested</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Vested</w:t>
            </w:r>
          </w:p>
        </w:tc>
      </w:tr>
      <w:tr>
        <w:trPr>
          <w:trHeight w:val="216"/>
        </w:trPr>
        <w:tc>
          <w:tcPr>
            <w:tcW w:w="26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Harel Gadot</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77,846</w:t>
            </w:r>
          </w:p>
        </w:tc>
        <w:tc>
          <w:tcPr>
            <w:tcW w:w="15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4.20</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1/01/2025</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120,847</w:t>
            </w:r>
          </w:p>
        </w:tc>
        <w:tc>
          <w:tcPr>
            <w:tcW w:w="15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15.75</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9/14/2027</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166,666</w:t>
            </w:r>
          </w:p>
        </w:tc>
        <w:tc>
          <w:tcPr>
            <w:tcW w:w="15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9.64</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2/25/2030</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190,000</w:t>
            </w:r>
          </w:p>
        </w:tc>
        <w:tc>
          <w:tcPr>
            <w:tcW w:w="1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8.48</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02/01/2031</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w:t>
            </w:r>
          </w:p>
        </w:tc>
        <w:tc>
          <w:tcPr>
            <w:tcW w:w="1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37,500</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6.48</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01/26/2032</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96,000</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3.73</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12/21/2032</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80,000</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2.43</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08/01/2033</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Simon Sharon</w:t>
            </w:r>
          </w:p>
        </w:tc>
        <w:tc>
          <w:tcPr>
            <w:tcW w:w="180" w:type="dxa"/>
            <w:vAlign w:val="bottom"/>
          </w:tcPr>
          <w:p>
            <w:pPr>
              <w:spacing w:after="0"/>
              <w:rPr>
                <w:sz w:val="17"/>
                <w:szCs w:val="17"/>
                <w:color w:val="auto"/>
              </w:rPr>
            </w:pPr>
          </w:p>
        </w:tc>
        <w:tc>
          <w:tcPr>
            <w:tcW w:w="9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ind w:right="3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00"/>
              <w:spacing w:after="0" w:line="198" w:lineRule="exact"/>
              <w:rPr>
                <w:sz w:val="20"/>
                <w:szCs w:val="20"/>
                <w:color w:val="auto"/>
              </w:rPr>
            </w:pPr>
            <w:r>
              <w:rPr>
                <w:rFonts w:ascii="Times New Roman" w:cs="Times New Roman" w:eastAsia="Times New Roman" w:hAnsi="Times New Roman"/>
                <w:sz w:val="18"/>
                <w:szCs w:val="18"/>
                <w:color w:val="auto"/>
              </w:rPr>
              <w:t>9.00</w:t>
            </w:r>
          </w:p>
        </w:tc>
        <w:tc>
          <w:tcPr>
            <w:tcW w:w="1020" w:type="dxa"/>
            <w:vAlign w:val="bottom"/>
            <w:gridSpan w:val="2"/>
          </w:tcPr>
          <w:p>
            <w:pPr>
              <w:jc w:val="right"/>
              <w:ind w:right="180"/>
              <w:spacing w:after="0" w:line="198" w:lineRule="exact"/>
              <w:rPr>
                <w:sz w:val="20"/>
                <w:szCs w:val="20"/>
                <w:color w:val="auto"/>
              </w:rPr>
            </w:pPr>
            <w:r>
              <w:rPr>
                <w:rFonts w:ascii="Times New Roman" w:cs="Times New Roman" w:eastAsia="Times New Roman" w:hAnsi="Times New Roman"/>
                <w:sz w:val="18"/>
                <w:szCs w:val="18"/>
                <w:color w:val="auto"/>
                <w:w w:val="99"/>
              </w:rPr>
              <w:t>08/13/2028</w:t>
            </w:r>
          </w:p>
        </w:tc>
        <w:tc>
          <w:tcPr>
            <w:tcW w:w="960" w:type="dxa"/>
            <w:vAlign w:val="bottom"/>
            <w:gridSpan w:val="2"/>
          </w:tcPr>
          <w:p>
            <w:pPr>
              <w:jc w:val="right"/>
              <w:ind w:right="3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14,170</w:t>
            </w:r>
          </w:p>
        </w:tc>
        <w:tc>
          <w:tcPr>
            <w:tcW w:w="15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5.95</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08/12/2029</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15,625</w:t>
            </w:r>
          </w:p>
        </w:tc>
        <w:tc>
          <w:tcPr>
            <w:tcW w:w="15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9,375</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6.48</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01/26/2032</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11,375</w:t>
            </w:r>
          </w:p>
        </w:tc>
        <w:tc>
          <w:tcPr>
            <w:tcW w:w="15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23,625</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3.48</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12/21/2032</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660" w:type="dxa"/>
            <w:vAlign w:val="bottom"/>
          </w:tcPr>
          <w:p>
            <w:pPr>
              <w:spacing w:after="0"/>
              <w:rPr>
                <w:sz w:val="20"/>
                <w:szCs w:val="20"/>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17,500</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2.43</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08/01/2033</w:t>
            </w: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Rachel Vaknin</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12,500</w:t>
            </w:r>
          </w:p>
        </w:tc>
        <w:tc>
          <w:tcPr>
            <w:tcW w:w="15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7,500</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6.48</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01/26/2032</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4,750</w:t>
            </w:r>
          </w:p>
        </w:tc>
        <w:tc>
          <w:tcPr>
            <w:tcW w:w="15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5,250</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4.80</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07/18/2032</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5,200</w:t>
            </w:r>
          </w:p>
        </w:tc>
        <w:tc>
          <w:tcPr>
            <w:tcW w:w="15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7,800</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3.73</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12/21/2032</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17500</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2.43</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08/01/2033</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2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Eyal Morag</w:t>
            </w:r>
          </w:p>
        </w:tc>
        <w:tc>
          <w:tcPr>
            <w:tcW w:w="180" w:type="dxa"/>
            <w:vAlign w:val="bottom"/>
          </w:tcPr>
          <w:p>
            <w:pPr>
              <w:spacing w:after="0"/>
              <w:rPr>
                <w:sz w:val="17"/>
                <w:szCs w:val="17"/>
                <w:color w:val="auto"/>
              </w:rPr>
            </w:pPr>
          </w:p>
        </w:tc>
        <w:tc>
          <w:tcPr>
            <w:tcW w:w="104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25,000</w:t>
            </w:r>
          </w:p>
        </w:tc>
        <w:tc>
          <w:tcPr>
            <w:tcW w:w="1560" w:type="dxa"/>
            <w:vAlign w:val="bottom"/>
            <w:gridSpan w:val="3"/>
          </w:tcPr>
          <w:p>
            <w:pPr>
              <w:jc w:val="right"/>
              <w:ind w:right="3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00"/>
              <w:spacing w:after="0" w:line="198" w:lineRule="exact"/>
              <w:rPr>
                <w:sz w:val="20"/>
                <w:szCs w:val="20"/>
                <w:color w:val="auto"/>
              </w:rPr>
            </w:pPr>
            <w:r>
              <w:rPr>
                <w:rFonts w:ascii="Times New Roman" w:cs="Times New Roman" w:eastAsia="Times New Roman" w:hAnsi="Times New Roman"/>
                <w:sz w:val="18"/>
                <w:szCs w:val="18"/>
                <w:color w:val="auto"/>
              </w:rPr>
              <w:t>6.16</w:t>
            </w:r>
          </w:p>
        </w:tc>
        <w:tc>
          <w:tcPr>
            <w:tcW w:w="1020" w:type="dxa"/>
            <w:vAlign w:val="bottom"/>
            <w:gridSpan w:val="2"/>
          </w:tcPr>
          <w:p>
            <w:pPr>
              <w:jc w:val="right"/>
              <w:ind w:right="180"/>
              <w:spacing w:after="0" w:line="198" w:lineRule="exact"/>
              <w:rPr>
                <w:sz w:val="20"/>
                <w:szCs w:val="20"/>
                <w:color w:val="auto"/>
              </w:rPr>
            </w:pPr>
            <w:r>
              <w:rPr>
                <w:rFonts w:ascii="Times New Roman" w:cs="Times New Roman" w:eastAsia="Times New Roman" w:hAnsi="Times New Roman"/>
                <w:sz w:val="18"/>
                <w:szCs w:val="18"/>
                <w:color w:val="auto"/>
                <w:w w:val="99"/>
              </w:rPr>
              <w:t>02/29/2024</w:t>
            </w:r>
          </w:p>
        </w:tc>
        <w:tc>
          <w:tcPr>
            <w:tcW w:w="960" w:type="dxa"/>
            <w:vAlign w:val="bottom"/>
            <w:gridSpan w:val="2"/>
          </w:tcPr>
          <w:p>
            <w:pPr>
              <w:jc w:val="right"/>
              <w:ind w:right="3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2660" w:type="dxa"/>
            <w:vAlign w:val="bottom"/>
          </w:tcPr>
          <w:p>
            <w:pPr>
              <w:spacing w:after="0"/>
              <w:rPr>
                <w:sz w:val="20"/>
                <w:szCs w:val="20"/>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15,625</w:t>
            </w:r>
          </w:p>
        </w:tc>
        <w:tc>
          <w:tcPr>
            <w:tcW w:w="15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6.48</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02/29/2024</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Employment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Harel Gadot Employment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entered into an employment agreement (the “Gadot Agreement”) with Harel Gadot on November 28, 2016, to serve as the Company’s Chairman of the Board of Directors and Chief Executive Officer, on an indefinite basis subject to the termination provisions described in the Agreement. The Gadot Agreement was amended most recently on January 26, 2022, with a subsequent annual salary increase on December 21, 2022. Mr. Gadot’s annual base salary for 2023 was $530,450; however, as a result of the Company’s May 2023 cost reduction plan, Mr. Gadot agreed to a 50% reduction of his base salary, with reinstatement of his full base salary effective as of January 1, 2024. The salary is reviewed on an annual basis by the Compensation Committee of the Company to determine potential increases taking into account such performance metrics and criteria as established by Mr. Gadot and the Company.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as of January 26, 2022, Mr. Gadot shall also be entitled to receive a target annual cash bonus of up to a maximum amount of 75% of base salary, which amount for the 2023 fiscal year has not yet been determined.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4" w:name="page65"/>
    <w:bookmarkEnd w:id="64"/>
    <w:p>
      <w:pPr>
        <w:jc w:val="both"/>
        <w:spacing w:after="0" w:line="261" w:lineRule="auto"/>
        <w:rPr>
          <w:sz w:val="20"/>
          <w:szCs w:val="20"/>
          <w:color w:val="auto"/>
        </w:rPr>
      </w:pPr>
      <w:r>
        <w:rPr>
          <w:rFonts w:ascii="Times New Roman" w:cs="Times New Roman" w:eastAsia="Times New Roman" w:hAnsi="Times New Roman"/>
          <w:sz w:val="18"/>
          <w:szCs w:val="18"/>
          <w:color w:val="auto"/>
        </w:rPr>
        <w:t>Mr. Gadot shall be further entitled to a monthly automobile allowance and tax gross up on such allowance of $1,150. Upon execution of the Gadot Agreement, he was granted options to purchase shares of common stock of the Company representing 5% of the issued and outstanding shares of the Company. Since then, the Compensation Committee of the Board of Directors considers the granting to Mr. Gadot of additional compensatory options on an annual basis. Most recently, in August 2023, the Company granted Mr. Gadot 80,000 options.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Mr. Gadot’s employment is terminated as a result of death, Mr. Gadot’s estate would be entitled to receive any earned annual salary, bonus, reimbursement of business expenses and accrued vacation, if any, that is unpaid up to the date of Mr. Gadot’s death.</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Mr. Gadot’s employment is terminated as a result of disability, Mr. Gadot would be entitled to receive any earned annual salary, bonus, reimbursement of business expenses and accrued vacation, if any, incurred up to the date of termination.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Mr. Gadot’s employment is terminated by the Company for cause, Mr. Gadot would be entitled to receive any compensation then due and payable incurred up to the date of termination.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Mr. Gadot’s employment is terminated by the Company without cause, he would be entitled to receive (i) any earned annual salary; (ii) 12 months’ pay and full benefits, (iii) a pro rata bonus equal to the maximum target bonus for that calendar year; (iv) the dollar value of unused and accrued vacation days; and (v) applicable premiums (inclusive of premiums for Mr. Gadot’s dependents) pursuant to the Consolidated Omnibus Budget Reconciliation Act of 1986, as amended, for twelve (12) months from the date of termination for any benefits plan sponsored by the Company. In addition, 100% of any unvested portion of his stock options shall immediately vest and become exercisable.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agreement contains customary non-competition and non-solicitation provisions pursuant to which Mr. Gadot agrees not to compete and solicit with the Company. Mr. Gadot also agreed to customary terms regarding confidentiality and ownership of intellectual property.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Rachel Vaknin Employment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entered into an employment agreement (the “Vaknin Agreement”), dated November 22, 2021, with Ms. Vaknin, amended as of May 15, 2023 (the “Vaknin Addendum”), to serve as the Company’s Chief Financial Officer, on an indefinite basis subject to the termination provisions described in the Vaknin Agreement. The salary is reviewed on an annual basis by the Compensation Committee of the Company to determine potential increases taking into account such performance metrics and criteria as established by the Company. Ms. Vaknin was to receive an annual base salary in 2023 of $170,000; however, as a result of the Company’s May 2023 cost reduction plan and the Vaknin Addendum, Ms. Vaknin’s gross monthly salary was decreased to a gross amount of NIS 35,000 and social and fringe benefits due to Ms. Vaknin were calculated based upon the updated salary, excluding sick days and vacation days which continued to be accumulated per her existing Agreement. The reinstatement of her full base salary was effective as of November 1, 2023.</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Ms. Vaknin shall also be entitled to receive a target annual cash bonus, based on certain milestones, of up to a maximum amount of 25% (increased from 20% in January 2023) of her annual salary.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Ms. Vaknin shall be further entitled to a monthly automobile allowance not to exceed NIS 1,000 per month plus expenses and applicable taxes, and originally was granted options to purchase 20,000 shares of common stock of the Company based on vesting and other terms set forth in the Vaknin Agreement. Since then, the Compensation Committee of the Board of Directors considers the granting to Ms. Vaknin of additional compensatory options on an annual basis. Most recently, in August 2023, the Company granted Ms. Vaknin 17,500 options.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Vaknin Agreement, the Company shall pay an amount equal to 8.33% of Ms. Vaknin’s salary to be allocated for severance pay, 6.5% of Ms. Vaknin’s salary to be allocated for pension savings and 7.5% to be allocated to an educational fund. The Company may have additional payment obligations for disability insurance as specified in the Vaknin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5" w:name="page66"/>
    <w:bookmarkEnd w:id="6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Either the Company or Ms. Vaknin may terminate the Vaknin Agreement at its discretion at any time by providing the other party with two months prior written notice of termination (the “Advance Notice Period”).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may terminate the Vaknin Agreement “For Cause” (as defined in the Vaknin Agreement) at any time by written notice without the Advance Notice Period.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Vaknin Agreement contains customary non-competition and non-solicit provisions pursuant to which Ms. Vaknin agrees not to compete and solicit with the Company. Ms. Vaknin also agreed to customary terms regarding confidentiality and ownership of intellectual property.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Simon Sharon Employment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an employment agreement, dated as of March 31, 2018 and amended pursuant to a First Amendment to Employment Agreement dated as of April 19, 2021 (as so amended, the “Sharon Agreement”), as further amended as of May 15, 2023 (the “Sharon Addendum”), with Mr. Sharon, to serve as the Company’s Chief Technology Officer and the General Manager of Microbot Israel, on an indefinite basis subject to the termination provisions described in the Sharon Agreement.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salary is reviewed on an annual basis by the Compensation Committee of the Company to determine potential increases taking into account such performance metrics and criteria as established by the Company.</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terms of the Sharon Agreement, Mr. Sharon was to have received in 2023 a combined base salary and overtime payment of NIS74,160 per month. Mr. Sharon is also entitled to receive an annual cash bonus of up to 35% of the annual combined salary and overtime payment, based on certain performance factors established and assessed by the Compensation Committee of the Board of Directors of the Company, which he received in full for the 2022 fiscal year. For 2023, as a result of the Company’s May 2023 cost reduction plan and the Sharon Addendum, Mr. Sharon’s gross monthly salary was decreased to a gross amount of NIS44,496 and social and fringe benefits due to Mr. Sharon were calculated based upon the updated salary, excluding sick days and vacation days which continued to be accumulated per the Sharon Agreement. The reinstatement of his full base salary was effective as of November 1, 2023.</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Sharon shall be further entitled to a monthly automobile allowance plus a tax gross up to cover taxes relating to the grant of such motor vehicle, and pursuant to the Sharon Agreement was initially granted options in 2018 to purchase 150,000 shares (pre-stock split) of common stock of the Company. Since then, the Compensation Committee of the Board of Directors considers the granting to Mr. Sharon of additional compensatory options on an annual basis. Most recently, in August 2023, the Company granted Mr. Sharon 17,500 options.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Sharon Agreement, the Company pays to (unless agreed otherwise by the parties) an insurance company or a pension fund, for Mr. Sharon, an amount equal to 8.33% of the base salary and overtime payments, which shall be allocated to a fund for severance pay, and an additional amount equal to 6.5% of the base salary and overtime payments, which shall be allocated to a provident fund or pension plan. The Company also pays an additional sum for disability insurance to insure Mr. Sharon for up to 75% of base salary and overtime payments, and 7.5% of each monthly payment to be allocated to an educational fund.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Either the Company or Mr. Sharon may terminate the Sharon Agreement without cause (as defined in the Sharon Agreement) by providing the other party with ninety days prior written notice.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terminate the Sharon Agreement for cause at any time by written notice without any advance notice.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Sharon Agreement contains customary non-competition and non-solicit provisions pursuant to which Mr. Sharon agrees not to compete and solicit with the Company. Mr. Sharon also agreed to customary terms regarding confidentiality and ownership of intellectual property.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i w:val="1"/>
          <w:iCs w:val="1"/>
          <w:color w:val="auto"/>
        </w:rPr>
        <w:t>Juan Diaz-Cartelle Employment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entered into an employment agreement (the “Diaz-Cartelle Agreement”), effective as of December 1, 2023, with Dr. Diaz-Cartelle, to serve as CMO on an indefinite basis subject to the termination provisions described in the Diaz-Cartelle Agreement. Pursuant to the terms of the Agreement, Dr. Diaz-Cartelle shall receive an annual base salary of $350,000, which shall be reviewed on an annual basis by the Company’s Compensation Committee, which may provide for increases as it may determine, taking into account such performance metrics and criteria of Dr. Diaz-Cartelle and the Company in its sole discretion.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Dr. Diaz-Cartelle shall also be entitled to receive a target annual cash bonus, based on corporate performance factors established and assessed by the Compensation Committee, of up to a maximum amount of 30% of his annual base salary.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Dr. Diaz-Cartelle was granted 10-year options to purchase 25,000 shares of common stock of the Company pursuant to the Company’s 2020 Omnibus Performance Award Plan, as amended, having an exercise price per share based on the closing price of the Company’s common stock on the date of grant, and which vests in total over three years. He shall also be entitled to receive additional incentive equity awards on an annual basis at the discretion of the Compensation Committee.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terms and conditions of the Agreement, either the Company or Dr. Diaz-Cartelle shall have the right to earlier terminate Dr. Diaz-Cartelle’s employment at any time for any reason or no reason upon at least one month prior written notice.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terminate the Agreement for “Cause” (as defined in the Diaz-Cartelle Agreement) at any time by written notice, subject to Dr. Diaz-Cartelle’s right to cure as provided in the Diaz-Cartelle Agreement. Upon Dr. Diaz-Cartelle’s termination of employment for Cause, or if Dr. Diaz-Cartelle shall terminate without Good Reason (as defined below), Dr. Diaz-Cartelle shall forfeit the right to receive any and all further payments under the Diaz-Cartelle Agreement, other than the right to receive any compensation then due and payable to him through to the date of termination.</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Dr. Diaz-Cartelle may terminate the Agreement with “Good Reason” (as defined in the Diaz-Cartelle Agreement) at any time by written notice, subject to the Company’s right to cure as provided in the Diaz-Cartelle Agreement. In the event of the termination of Dr. Diaz-Cartelle’s employment by the Company without Cause or upon Dr. Diaz-Cartelle’s voluntary termination of his employment for Good Reason, (i) all amounts of base salary accrued but unpaid as of the termination date shall be paid by the Company within thirty days following the date of termination, (ii) an amount equal to the base salary on the date of termination for a period of one month (in the event such termination is on or prior to the one year anniversary of the Diaz-Cartelle Agreement) or two months (in the event such termination is subsequent to the one year anniversary of the Diaz-Cartelle Agreement) shall be paid by the Company in twelve equal monthly installments, (iii) the dollar value of unused and accrued vacation days shall be paid by the Company; and (iv) applicable premiums (inclusive of premiums for his dependents) shall be paid by the Company pursuant to the Consolidated Omnibus Budget Reconciliation Act of 1986, as amended, for twelve months from the date of termination for any benefits plan sponsored by the Company.</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terminate the Diaz-Cartelle Agreement as a result of any mental or physical disability or illness which results in (i) Dr. Diaz-Cartelle being unable to substantially perform his duties for a continuous period of 150 days or for periods aggregating 180 days within any period of 365 days or</w:t>
      </w:r>
    </w:p>
    <w:p>
      <w:pPr>
        <w:jc w:val="both"/>
        <w:ind w:firstLine="8"/>
        <w:spacing w:after="0" w:line="253" w:lineRule="auto"/>
        <w:tabs>
          <w:tab w:leader="none" w:pos="28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Diaz-Cartelle being subject to a permanent or indefinite inability to perform essential functions based on the reasonable opinion of a qualified medical provider chosen in good faith by the Company. Termination will be effective on the date designated by the Company, and Dr. Diaz-Cartelle will be paid any unpaid earned base salary, earned target bonus (if any), reimbursement of business expenses and accrued vacation, if any, and benefits through the date of termination.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Diaz-Cartelle Agreement contains customary non-competition and non-solicit provisions pursuant to which Dr. Diaz-Cartelle agrees not to compete and solicit with the Company. Dr. Diaz-Cartelle also agreed to customary terms regarding non-disparagement, confidentiality and ownership of intellectual property.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generally enters into indemnification agreements with each of its directors and executive officers. Pursuant to the indemnification agreements, the Company has agreed to indemnify and hold harmless these current and former directors and officers to the fullest extent permitted by the Delaware General Corporation Law. The agreements generally cover expenses that a director or officer incurs or amounts that a director or officer becomes obligated to pay because of any proceeding to which he is made or threatened to be made a party or participant by reason of his service as a current or former director, officer, employee or agent of the Company, provided that he acted in good faith and in a manner he reasonably believed to be in or not opposed to the best interests of the Company. The agreements also provide for the advancement of expenses to the directors and officers subject to specified conditions. There are certain exceptions to the Company’s obligation to indemnify the directors and officers, and, with certain exceptions, with respect to proceedings that he initiates.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Limits on Liability and Indemnification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provide directors and officers insurance for our current directors and officers.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eliminate the personal liability of our directors to the fullest extent permitted by law. The certificate of incorporation further provide that the Company will indemnify its officers and directors to the fullest extent permitted by law. We believe that this indemnification covers at least negligence on the part of the indemnified parties. Insofar as indemnification for liabilities under the Securities Act may be permitted to our directors, officers, and controlling persons under the foregoing provisions or otherwise, we have been advised that in the opinion of the Securities and Exchange Commission such indemnification is against public policy as expressed in the Securities Act of 1933 and is therefore unenforceable.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adopted in January 2021 an amended compensation package for the non-management members of its Board, pursuant to which each such Board member would receive for his or her services $35,000 per annum. Furthermore, each member of the Audit Committee of the Board receives an additional $10,000 per annum ($20,000 if Chairman), each member of the Compensation Committee of the Board receives an additional $7,500 per annum ($15,000 if Chairman) and each member of the Corporate Governance and Nominating Committee of the Board receives an additional $5,000 per annum ($10,000 if Chairman). Board members are also entitled to receive equity awards. Upon joining the Board, a member would receive an initial grant of $190,000 of stock options (calculated as the product of the exercise price on the date of grant multiplied by the number of shares underlying the stock option award required to equal $190,000), with an additional grant of stock options each year thereafter, to purchase such number of shares of the Company’s common stock equal to $95,000, computed on a similar basis. As a result of the Company’s May 2023 cost reduction plan, the independent members of the Board agreed to a suspension of their quarterly director fees, with reinstatement of such fees effective as of January 1,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cash and equity-based compensation information for our outside directors, for the year ended December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Nonqualified</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earned or</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Non-Equity</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Deferred</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7"/>
              </w:rPr>
              <w:t>Incentive Plan</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7"/>
              </w:rPr>
              <w:t>Compensation</w:t>
            </w:r>
          </w:p>
        </w:tc>
        <w:tc>
          <w:tcPr>
            <w:tcW w:w="160" w:type="dxa"/>
            <w:vAlign w:val="bottom"/>
          </w:tcPr>
          <w:p>
            <w:pPr>
              <w:spacing w:after="0"/>
              <w:rPr>
                <w:sz w:val="18"/>
                <w:szCs w:val="18"/>
                <w:color w:val="auto"/>
              </w:rPr>
            </w:pPr>
          </w:p>
        </w:tc>
        <w:tc>
          <w:tcPr>
            <w:tcW w:w="14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230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cash</w:t>
            </w: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Awards (1)</w:t>
            </w:r>
          </w:p>
        </w:tc>
        <w:tc>
          <w:tcPr>
            <w:tcW w:w="15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5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80" w:type="dxa"/>
            <w:vAlign w:val="bottom"/>
          </w:tcPr>
          <w:p>
            <w:pPr>
              <w:spacing w:after="0"/>
              <w:rPr>
                <w:sz w:val="21"/>
                <w:szCs w:val="21"/>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23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Yoseph Bornstein</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13,125</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64,116</w:t>
            </w:r>
          </w:p>
        </w:tc>
        <w:tc>
          <w:tcPr>
            <w:tcW w:w="15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77,241</w:t>
            </w: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Scott Burell</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15,000</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64,116</w:t>
            </w:r>
          </w:p>
        </w:tc>
        <w:tc>
          <w:tcPr>
            <w:tcW w:w="15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79,116</w:t>
            </w: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Martin Madden</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15,000</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64,116</w:t>
            </w:r>
          </w:p>
        </w:tc>
        <w:tc>
          <w:tcPr>
            <w:tcW w:w="15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79,116</w:t>
            </w: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Prattipati Laxminarain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11,250</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64,116</w:t>
            </w:r>
          </w:p>
        </w:tc>
        <w:tc>
          <w:tcPr>
            <w:tcW w:w="15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75,366</w:t>
            </w: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Aileen Stockburger</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10,625</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67,504</w:t>
            </w:r>
          </w:p>
        </w:tc>
        <w:tc>
          <w:tcPr>
            <w:tcW w:w="15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78,129</w:t>
            </w:r>
          </w:p>
        </w:tc>
      </w:tr>
      <w:tr>
        <w:trPr>
          <w:trHeight w:val="234"/>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Tal Wenderow</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10,000</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66,819</w:t>
            </w:r>
          </w:p>
        </w:tc>
        <w:tc>
          <w:tcPr>
            <w:tcW w:w="15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76,819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jc w:val="both"/>
        <w:ind w:left="340" w:hanging="332"/>
        <w:spacing w:after="0" w:line="261"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do not reflect cash compensation actually received by the director. Instead, the amounts shown are the non-cash aggregate grant date fair values of stock option awards made during the period presented as determined pursuant to U.S. GAAP. The assumptions used to calculate the fair value of stock option awards are described in Note 9 to the Consolidated Financial Statements of the Company included in this prospectus for the fiscal year ended December 31, 2022.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Gadot received compensation for his services to the Company as set forth under the summary compensation table above.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Related parties can include any of our directors or executive officers, certain of our stockholders and their immediate family members. Each year, we prepare and require our directors and executive officers to complete Director and Officer Questionnaires identifying any transactions with us in which the officer or director or their family members have an interest. This helps us identify potential conflicts of interest. A conflict of interest occurs when an individual’s private interest interferes, or appears to interfere, in any way with the interests of the company as a whole. Our code of ethics requires all directors, officers and employees who may have a potential or apparent conflict of interest to immediately notify our general counsel, who serves as our compliance officer. In addition, the Corporate Governance Committee is responsible for considering and reporting to the Board any questions of possible conflicts of interest of Board members. Our code of ethics further requires pre-clearance before any employee, officer or director engages in any personal or business activity that may raise concerns about conflict, potential conflict or apparent conflict of interest. Copies of our code of ethics and the Corporate Governance Committee charter are posted on the corporate governance section of our website at www.microbotmedical.com.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related party transactions or any other transactions or relationships required to be disclosed pursuant to Item 404 of Regulation S-K.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 Table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shares of our common stock that may be issued upon the exercise of options under all of our existing compensation plans as of December 31,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20" w:type="dxa"/>
            <w:vAlign w:val="bottom"/>
          </w:tcPr>
          <w:p>
            <w:pPr>
              <w:spacing w:after="0"/>
              <w:rPr>
                <w:sz w:val="18"/>
                <w:szCs w:val="18"/>
                <w:color w:val="auto"/>
              </w:rPr>
            </w:pPr>
          </w:p>
        </w:tc>
        <w:tc>
          <w:tcPr>
            <w:tcW w:w="17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5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420" w:type="dxa"/>
            <w:vAlign w:val="bottom"/>
          </w:tcPr>
          <w:p>
            <w:pPr>
              <w:spacing w:after="0"/>
              <w:rPr>
                <w:sz w:val="18"/>
                <w:szCs w:val="18"/>
                <w:color w:val="auto"/>
              </w:rPr>
            </w:pPr>
          </w:p>
        </w:tc>
        <w:tc>
          <w:tcPr>
            <w:tcW w:w="17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securities to be</w:t>
            </w:r>
          </w:p>
        </w:tc>
        <w:tc>
          <w:tcPr>
            <w:tcW w:w="16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average exercise</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420" w:type="dxa"/>
            <w:vAlign w:val="bottom"/>
          </w:tcPr>
          <w:p>
            <w:pPr>
              <w:spacing w:after="0"/>
              <w:rPr>
                <w:sz w:val="18"/>
                <w:szCs w:val="18"/>
                <w:color w:val="auto"/>
              </w:rPr>
            </w:pPr>
          </w:p>
        </w:tc>
        <w:tc>
          <w:tcPr>
            <w:tcW w:w="17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issued upon</w:t>
            </w:r>
          </w:p>
        </w:tc>
        <w:tc>
          <w:tcPr>
            <w:tcW w:w="140" w:type="dxa"/>
            <w:vAlign w:val="bottom"/>
          </w:tcPr>
          <w:p>
            <w:pPr>
              <w:spacing w:after="0"/>
              <w:rPr>
                <w:sz w:val="18"/>
                <w:szCs w:val="18"/>
                <w:color w:val="auto"/>
              </w:rPr>
            </w:pPr>
          </w:p>
        </w:tc>
        <w:tc>
          <w:tcPr>
            <w:tcW w:w="15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price of</w:t>
            </w: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6420" w:type="dxa"/>
            <w:vAlign w:val="bottom"/>
          </w:tcPr>
          <w:p>
            <w:pPr>
              <w:spacing w:after="0"/>
              <w:rPr>
                <w:sz w:val="18"/>
                <w:szCs w:val="18"/>
                <w:color w:val="auto"/>
              </w:rPr>
            </w:pPr>
          </w:p>
        </w:tc>
        <w:tc>
          <w:tcPr>
            <w:tcW w:w="17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140" w:type="dxa"/>
            <w:vAlign w:val="bottom"/>
          </w:tcPr>
          <w:p>
            <w:pPr>
              <w:spacing w:after="0"/>
              <w:rPr>
                <w:sz w:val="18"/>
                <w:szCs w:val="18"/>
                <w:color w:val="auto"/>
              </w:rPr>
            </w:pPr>
          </w:p>
        </w:tc>
        <w:tc>
          <w:tcPr>
            <w:tcW w:w="15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r>
      <w:tr>
        <w:trPr>
          <w:trHeight w:val="216"/>
        </w:trPr>
        <w:tc>
          <w:tcPr>
            <w:tcW w:w="6420" w:type="dxa"/>
            <w:vAlign w:val="bottom"/>
          </w:tcPr>
          <w:p>
            <w:pPr>
              <w:spacing w:after="0"/>
              <w:rPr>
                <w:sz w:val="18"/>
                <w:szCs w:val="18"/>
                <w:color w:val="auto"/>
              </w:rPr>
            </w:pPr>
          </w:p>
        </w:tc>
        <w:tc>
          <w:tcPr>
            <w:tcW w:w="17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40" w:type="dxa"/>
            <w:vAlign w:val="bottom"/>
          </w:tcPr>
          <w:p>
            <w:pPr>
              <w:spacing w:after="0"/>
              <w:rPr>
                <w:sz w:val="18"/>
                <w:szCs w:val="18"/>
                <w:color w:val="auto"/>
              </w:rPr>
            </w:pPr>
          </w:p>
        </w:tc>
        <w:tc>
          <w:tcPr>
            <w:tcW w:w="15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remaining</w:t>
            </w:r>
          </w:p>
        </w:tc>
      </w:tr>
      <w:tr>
        <w:trPr>
          <w:trHeight w:val="216"/>
        </w:trPr>
        <w:tc>
          <w:tcPr>
            <w:tcW w:w="6420" w:type="dxa"/>
            <w:vAlign w:val="bottom"/>
          </w:tcPr>
          <w:p>
            <w:pPr>
              <w:spacing w:after="0"/>
              <w:rPr>
                <w:sz w:val="18"/>
                <w:szCs w:val="18"/>
                <w:color w:val="auto"/>
              </w:rPr>
            </w:pPr>
          </w:p>
        </w:tc>
        <w:tc>
          <w:tcPr>
            <w:tcW w:w="17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options, warrants</w:t>
            </w:r>
          </w:p>
        </w:tc>
        <w:tc>
          <w:tcPr>
            <w:tcW w:w="140" w:type="dxa"/>
            <w:vAlign w:val="bottom"/>
          </w:tcPr>
          <w:p>
            <w:pPr>
              <w:spacing w:after="0"/>
              <w:rPr>
                <w:sz w:val="18"/>
                <w:szCs w:val="18"/>
                <w:color w:val="auto"/>
              </w:rPr>
            </w:pPr>
          </w:p>
        </w:tc>
        <w:tc>
          <w:tcPr>
            <w:tcW w:w="15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warrants</w:t>
            </w: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available for</w:t>
            </w:r>
          </w:p>
        </w:tc>
      </w:tr>
      <w:tr>
        <w:trPr>
          <w:trHeight w:val="245"/>
        </w:trPr>
        <w:tc>
          <w:tcPr>
            <w:tcW w:w="6420" w:type="dxa"/>
            <w:vAlign w:val="bottom"/>
          </w:tcPr>
          <w:p>
            <w:pPr>
              <w:spacing w:after="0"/>
              <w:rPr>
                <w:sz w:val="21"/>
                <w:szCs w:val="21"/>
                <w:color w:val="auto"/>
              </w:rPr>
            </w:pPr>
          </w:p>
        </w:tc>
        <w:tc>
          <w:tcPr>
            <w:tcW w:w="17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and rights</w:t>
            </w:r>
          </w:p>
        </w:tc>
        <w:tc>
          <w:tcPr>
            <w:tcW w:w="140" w:type="dxa"/>
            <w:vAlign w:val="bottom"/>
          </w:tcPr>
          <w:p>
            <w:pPr>
              <w:spacing w:after="0"/>
              <w:rPr>
                <w:sz w:val="21"/>
                <w:szCs w:val="21"/>
                <w:color w:val="auto"/>
              </w:rPr>
            </w:pPr>
          </w:p>
        </w:tc>
        <w:tc>
          <w:tcPr>
            <w:tcW w:w="15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and rights</w:t>
            </w: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future issuance</w:t>
            </w:r>
          </w:p>
        </w:tc>
      </w:tr>
      <w:tr>
        <w:trPr>
          <w:trHeight w:val="216"/>
        </w:trPr>
        <w:tc>
          <w:tcPr>
            <w:tcW w:w="6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3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2017 Equity Incentive Plan</w:t>
            </w: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492,133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10.48</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131,585</w:t>
            </w:r>
          </w:p>
        </w:tc>
        <w:tc>
          <w:tcPr>
            <w:tcW w:w="80" w:type="dxa"/>
            <w:vAlign w:val="bottom"/>
            <w:shd w:val="clear" w:color="auto" w:fill="CCEEFF"/>
          </w:tcPr>
          <w:p>
            <w:pPr>
              <w:spacing w:after="0"/>
              <w:rPr>
                <w:sz w:val="18"/>
                <w:szCs w:val="18"/>
                <w:color w:val="auto"/>
              </w:rPr>
            </w:pPr>
          </w:p>
        </w:tc>
      </w:tr>
      <w:tr>
        <w:trPr>
          <w:trHeight w:val="216"/>
        </w:trPr>
        <w:tc>
          <w:tcPr>
            <w:tcW w:w="6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2020 Omnibus Performance Award Plan</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1,438,806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4.19</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581,846</w:t>
            </w:r>
          </w:p>
        </w:tc>
        <w:tc>
          <w:tcPr>
            <w:tcW w:w="8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Microbot Israel Employee Stock Option Plan(1)</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61,577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0.01</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36"/>
        </w:trPr>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Options (2)</w:t>
            </w: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77, 846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4.20</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r>
      <w:tr>
        <w:trPr>
          <w:trHeight w:val="203"/>
        </w:trPr>
        <w:tc>
          <w:tcPr>
            <w:tcW w:w="64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w:t>
            </w:r>
          </w:p>
        </w:tc>
        <w:tc>
          <w:tcPr>
            <w:tcW w:w="13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2,070,362</w:t>
            </w:r>
          </w:p>
        </w:tc>
        <w:tc>
          <w:tcPr>
            <w:tcW w:w="3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713,431</w:t>
            </w: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0"/>
        </w:trPr>
        <w:tc>
          <w:tcPr>
            <w:tcW w:w="64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jc w:val="both"/>
        <w:ind w:left="340" w:hanging="332"/>
        <w:spacing w:after="0" w:line="257"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options were originally issued by Microbot Israel under its Employee Stock Option Plan, and represented the right to purchase an aggregate of 500,000 of Microbot Israel’s ordinary shares. As of the effective time of the Merger, such options were retroactively adjusted to reflect the Merger and now represent the right to purchase shares of our common stock.</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options were originally issued by Microbot Israel to MEDX Ventures Group LLC, of which Mr. Gadot is the Chief Executive Officer, Company Group Chairman and majority equity owner, and represented the right to purchase an aggregate of 486,263 of Microbot Israel’s ordinary shares. As of the effective time of the Merger, such options were retroactively adjusted to reflect the Merger and now represent the right to purchase shares of our common stock.</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table shows the number of shares of our common stock beneficially owned, as of February 16, 2024, by (i) each of our directors, (ii) each of our named executive officers, (iii) all of our current directors and executive officers as a group, and (iv) all those known by us to be a beneficial owner of more than 5% of the Company’s common stock. In general, “beneficial ownership” refers to shares that an individual or entity has the power to vote or dispose of, and any rights to acquire common stock that are currently exercisable or will become exercisable within 60 days of February 16, 2024. We calculated percentage ownership in accordance with the rules of the SEC. The percentage of common stock beneficially owned is based on 14,398,964 shares outstanding as of February 16, 2024. In addition, shares issuable pursuant to options or other convertible securities that may be acquired within 60 days of February 16, 2024 are deemed to be issued and outstanding and have been treated as outstanding in calculating and determining the beneficial ownership and percentage ownership of those persons possessing those securities, but not for any other persons.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table is based on information supplied by each director, officer and principal stockholder of the Company. Except as indicated in footnotes to this table, the Company believes that the stockholders named in this table have sole voting and investment power with respect to all shares of Common Stock shown to be beneficially owned by them, based on information provided by such stockholders. Unless otherwise indicated, the address for each director, executive officer and 5% or greater stockholders of the Company listed is: c/o Microbot Medical Inc., 288 Grove Street, Suite 388, Braintree, MA 02184.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r>
      <w:tr>
        <w:trPr>
          <w:trHeight w:val="216"/>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2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r>
      <w:tr>
        <w:trPr>
          <w:trHeight w:val="245"/>
        </w:trPr>
        <w:tc>
          <w:tcPr>
            <w:tcW w:w="6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Beneficial Owner</w:t>
            </w:r>
          </w:p>
        </w:tc>
        <w:tc>
          <w:tcPr>
            <w:tcW w:w="200" w:type="dxa"/>
            <w:vAlign w:val="bottom"/>
            <w:tcBorders>
              <w:bottom w:val="single" w:sz="8" w:color="CCEEFF"/>
            </w:tcBorders>
          </w:tcPr>
          <w:p>
            <w:pPr>
              <w:spacing w:after="0"/>
              <w:rPr>
                <w:sz w:val="21"/>
                <w:szCs w:val="21"/>
                <w:color w:val="auto"/>
              </w:rPr>
            </w:pPr>
          </w:p>
        </w:tc>
        <w:tc>
          <w:tcPr>
            <w:tcW w:w="1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320" w:type="dxa"/>
            <w:vAlign w:val="bottom"/>
            <w:tcBorders>
              <w:bottom w:val="single" w:sz="8" w:color="CCEEFF"/>
            </w:tcBorders>
          </w:tcPr>
          <w:p>
            <w:pPr>
              <w:spacing w:after="0"/>
              <w:rPr>
                <w:sz w:val="21"/>
                <w:szCs w:val="21"/>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160" w:type="dxa"/>
            <w:vAlign w:val="bottom"/>
            <w:tcBorders>
              <w:bottom w:val="single" w:sz="8" w:color="CCEEFF"/>
            </w:tcBorders>
          </w:tcPr>
          <w:p>
            <w:pPr>
              <w:spacing w:after="0"/>
              <w:rPr>
                <w:sz w:val="21"/>
                <w:szCs w:val="21"/>
                <w:color w:val="auto"/>
              </w:rPr>
            </w:pPr>
          </w:p>
        </w:tc>
      </w:tr>
      <w:tr>
        <w:trPr>
          <w:trHeight w:val="257"/>
        </w:trPr>
        <w:tc>
          <w:tcPr>
            <w:tcW w:w="67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Harel Gadot</w:t>
            </w:r>
            <w:r>
              <w:rPr>
                <w:rFonts w:ascii="Times New Roman" w:cs="Times New Roman" w:eastAsia="Times New Roman" w:hAnsi="Times New Roman"/>
                <w:sz w:val="29"/>
                <w:szCs w:val="29"/>
                <w:color w:val="auto"/>
                <w:vertAlign w:val="superscript"/>
              </w:rPr>
              <w:t>(1)</w:t>
            </w:r>
          </w:p>
        </w:tc>
        <w:tc>
          <w:tcPr>
            <w:tcW w:w="200" w:type="dxa"/>
            <w:vAlign w:val="bottom"/>
            <w:shd w:val="clear" w:color="auto" w:fill="CCEEFF"/>
          </w:tcPr>
          <w:p>
            <w:pPr>
              <w:spacing w:after="0"/>
              <w:rPr>
                <w:sz w:val="22"/>
                <w:szCs w:val="22"/>
                <w:color w:val="auto"/>
              </w:rPr>
            </w:pP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858,206</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5.68%</w:t>
            </w:r>
          </w:p>
        </w:tc>
      </w:tr>
      <w:tr>
        <w:trPr>
          <w:trHeight w:val="257"/>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Yoseph Bornstein</w:t>
            </w:r>
            <w:r>
              <w:rPr>
                <w:rFonts w:ascii="Times New Roman" w:cs="Times New Roman" w:eastAsia="Times New Roman" w:hAnsi="Times New Roman"/>
                <w:sz w:val="29"/>
                <w:szCs w:val="29"/>
                <w:color w:val="auto"/>
                <w:vertAlign w:val="superscript"/>
              </w:rPr>
              <w:t>(2)</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274,301</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Scott Burell</w:t>
            </w:r>
            <w:r>
              <w:rPr>
                <w:rFonts w:ascii="Times New Roman" w:cs="Times New Roman" w:eastAsia="Times New Roman" w:hAnsi="Times New Roman"/>
                <w:sz w:val="29"/>
                <w:szCs w:val="29"/>
                <w:color w:val="auto"/>
                <w:vertAlign w:val="superscript"/>
              </w:rPr>
              <w:t>(3)</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32,273</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Martin Madden</w:t>
            </w:r>
            <w:r>
              <w:rPr>
                <w:rFonts w:ascii="Times New Roman" w:cs="Times New Roman" w:eastAsia="Times New Roman" w:hAnsi="Times New Roman"/>
                <w:sz w:val="29"/>
                <w:szCs w:val="29"/>
                <w:color w:val="auto"/>
                <w:vertAlign w:val="superscript"/>
              </w:rPr>
              <w:t>(3)</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32,273</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Prattipati Laxminarain</w:t>
            </w:r>
            <w:r>
              <w:rPr>
                <w:rFonts w:ascii="Times New Roman" w:cs="Times New Roman" w:eastAsia="Times New Roman" w:hAnsi="Times New Roman"/>
                <w:sz w:val="29"/>
                <w:szCs w:val="29"/>
                <w:color w:val="auto"/>
                <w:vertAlign w:val="superscript"/>
              </w:rPr>
              <w:t>(3)</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32,273</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Aileen Stockburger</w:t>
            </w:r>
            <w:r>
              <w:rPr>
                <w:rFonts w:ascii="Times New Roman" w:cs="Times New Roman" w:eastAsia="Times New Roman" w:hAnsi="Times New Roman"/>
                <w:sz w:val="29"/>
                <w:szCs w:val="29"/>
                <w:color w:val="auto"/>
                <w:vertAlign w:val="superscript"/>
              </w:rPr>
              <w:t>(3)</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27,177</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Simon Sharon</w:t>
            </w:r>
            <w:r>
              <w:rPr>
                <w:rFonts w:ascii="Times New Roman" w:cs="Times New Roman" w:eastAsia="Times New Roman" w:hAnsi="Times New Roman"/>
                <w:sz w:val="29"/>
                <w:szCs w:val="29"/>
                <w:color w:val="auto"/>
                <w:vertAlign w:val="superscript"/>
              </w:rPr>
              <w:t>(3)</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60,045</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Tal Wenderow</w:t>
            </w:r>
            <w:r>
              <w:rPr>
                <w:rFonts w:ascii="Times New Roman" w:cs="Times New Roman" w:eastAsia="Times New Roman" w:hAnsi="Times New Roman"/>
                <w:sz w:val="29"/>
                <w:szCs w:val="29"/>
                <w:color w:val="auto"/>
                <w:vertAlign w:val="superscript"/>
              </w:rPr>
              <w:t>(3)</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25,586</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Rachel Vaknin</w:t>
            </w:r>
            <w:r>
              <w:rPr>
                <w:rFonts w:ascii="Times New Roman" w:cs="Times New Roman" w:eastAsia="Times New Roman" w:hAnsi="Times New Roman"/>
                <w:sz w:val="29"/>
                <w:szCs w:val="29"/>
                <w:color w:val="auto"/>
                <w:vertAlign w:val="superscript"/>
              </w:rPr>
              <w:t>(3)</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30,050</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Juan Diaz-Cartelle</w:t>
            </w:r>
            <w:r>
              <w:rPr>
                <w:rFonts w:ascii="Times New Roman" w:cs="Times New Roman" w:eastAsia="Times New Roman" w:hAnsi="Times New Roman"/>
                <w:sz w:val="29"/>
                <w:szCs w:val="29"/>
                <w:color w:val="auto"/>
                <w:vertAlign w:val="superscript"/>
              </w:rPr>
              <w:t>(3)</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Eyal Morag</w:t>
            </w:r>
            <w:r>
              <w:rPr>
                <w:rFonts w:ascii="Times New Roman" w:cs="Times New Roman" w:eastAsia="Times New Roman" w:hAnsi="Times New Roman"/>
                <w:sz w:val="29"/>
                <w:szCs w:val="29"/>
                <w:color w:val="auto"/>
                <w:vertAlign w:val="superscript"/>
              </w:rPr>
              <w:t>(3)</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40,625</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394"/>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current directors and executive officers as a group (10 persons)</w:t>
            </w:r>
            <w:r>
              <w:rPr>
                <w:rFonts w:ascii="Times New Roman" w:cs="Times New Roman" w:eastAsia="Times New Roman" w:hAnsi="Times New Roman"/>
                <w:sz w:val="29"/>
                <w:szCs w:val="29"/>
                <w:color w:val="auto"/>
                <w:vertAlign w:val="superscript"/>
              </w:rPr>
              <w:t>(4)</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1,372,184</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81" w:lineRule="exact"/>
        <w:rPr>
          <w:sz w:val="20"/>
          <w:szCs w:val="20"/>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jc w:val="both"/>
        <w:ind w:left="340" w:hanging="332"/>
        <w:spacing w:after="0" w:line="250"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136,847 shares of our common stock owned by MEDX Ventures Group LLC, (ii) 77,846 shares of our common stock issuable upon the exercise of options granted to MEDX Ventures Group LLC, and (iii) 643,513 shares of our common stock issuable upon the exercise of options granted to Mr. Gadot. Mr. Gadot is the Chief Executive Officer, Company Group Chairman and majority equity owner of MEDX Venture Group, LLC and thus may be deemed to share voting and investment power over the shares and options beneficially owned by this entity.</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242,028 shares of our common stock owned by LSA - Life Science Accelerator Ltd. and (ii) 32,273 shares of our common stock issuable to Mr. Bornstein upon exercise of options. Based on representations and other information made or provided to the Company by Mr. Bornstein, Mr. Bornstein is the CEO and Director of LSA - Life Science Accelerator Ltd. and of Shizim Ltd., and Mr. Bornstein is the majority equity owner of Shizim Ltd. Shizim Ltd. is the majority equity owner of LSA - Life Science Accelerator Ltd. Accordingly, Mr. Bornstein may be deemed to share voting and investment power over the shares beneficially owned by these entities and has an address of 16 Irus Street, Rosh-Ha’Ayin Israel 4858022.</w:t>
      </w:r>
    </w:p>
    <w:p>
      <w:pPr>
        <w:spacing w:after="0" w:line="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to acquire shares of our common stock.</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our common stock issuable upon the exercise of options as set forth in footnotes (1), (2) and (3).</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common stock being offered by the selling shareholders are those previously issued to the selling shareholders. For additional information regarding the issuances of those shares of common stock, see “Litigation Settlement” above. We are registering the shares of common stock in order to permit the selling shareholders to offer the shares for resale from time to time. Except for the ownership of the shares of common stock and as described in “Litigation Settlement” described above, the selling shareholders have not had any material relationship with us within the past three years.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lists the selling shareholders and other information regarding the beneficial ownership of the shares of common stock by each of the selling shareholders. The second column lists the number of shares of common stock beneficially owned by each selling shareholder, based on its ownership of the shares of common stock, as of the referenced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third column lists the shares of common stock being offered by this prospectus by the selling shareholders.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the terms of a registration rights agreement with the selling shareholders, this prospectus generally covers the resale of the sum of the number of shares of common stock issued to the selling shareholders in “Litigation Settlement” described above. The fourth column assumes the sale of all of the shares offered by the selling shareholders pursuant to this 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selling shareholders may sell all, some or none of their shares in this offering. See “Plan of Distribution.”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Minimum</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Shares of</w:t>
            </w: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Shares of</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Stock to be</w:t>
            </w: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Stock Owned</w:t>
            </w: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Sold Pursuant</w:t>
            </w: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Stock Owned</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to this</w:t>
            </w: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5"/>
        </w:trPr>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8"/>
                <w:szCs w:val="18"/>
                <w:b w:val="1"/>
                <w:bCs w:val="1"/>
                <w:color w:val="auto"/>
              </w:rPr>
              <w:t>ame of Selling Stockholder</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4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of Class</w:t>
            </w:r>
          </w:p>
        </w:tc>
        <w:tc>
          <w:tcPr>
            <w:tcW w:w="36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3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34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 of Class</w:t>
            </w:r>
          </w:p>
        </w:tc>
        <w:tc>
          <w:tcPr>
            <w:tcW w:w="160" w:type="dxa"/>
            <w:vAlign w:val="bottom"/>
            <w:tcBorders>
              <w:bottom w:val="single" w:sz="8" w:color="CCEEFF"/>
            </w:tcBorders>
          </w:tcPr>
          <w:p>
            <w:pPr>
              <w:spacing w:after="0"/>
              <w:rPr>
                <w:sz w:val="21"/>
                <w:szCs w:val="21"/>
                <w:color w:val="auto"/>
              </w:rPr>
            </w:pPr>
          </w:p>
        </w:tc>
      </w:tr>
      <w:tr>
        <w:trPr>
          <w:trHeight w:val="256"/>
        </w:trPr>
        <w:tc>
          <w:tcPr>
            <w:tcW w:w="38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Empery Asset Master, Ltd.</w:t>
            </w:r>
            <w:r>
              <w:rPr>
                <w:rFonts w:ascii="Times New Roman" w:cs="Times New Roman" w:eastAsia="Times New Roman" w:hAnsi="Times New Roman"/>
                <w:sz w:val="29"/>
                <w:szCs w:val="29"/>
                <w:color w:val="auto"/>
                <w:vertAlign w:val="superscript"/>
              </w:rPr>
              <w:t>(1)</w:t>
            </w:r>
          </w:p>
        </w:tc>
        <w:tc>
          <w:tcPr>
            <w:tcW w:w="22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280,574</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5)</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280,574</w:t>
            </w: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Empery Tax Efficient, LP</w:t>
            </w:r>
            <w:r>
              <w:rPr>
                <w:rFonts w:ascii="Times New Roman" w:cs="Times New Roman" w:eastAsia="Times New Roman" w:hAnsi="Times New Roman"/>
                <w:sz w:val="29"/>
                <w:szCs w:val="29"/>
                <w:color w:val="auto"/>
                <w:vertAlign w:val="superscript"/>
              </w:rPr>
              <w:t>(2)</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140,999</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5)</w:t>
            </w: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140,999</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Empery Tax Efficient III, LP </w:t>
            </w:r>
            <w:r>
              <w:rPr>
                <w:rFonts w:ascii="Times New Roman" w:cs="Times New Roman" w:eastAsia="Times New Roman" w:hAnsi="Times New Roman"/>
                <w:sz w:val="29"/>
                <w:szCs w:val="29"/>
                <w:color w:val="auto"/>
                <w:vertAlign w:val="superscript"/>
              </w:rPr>
              <w:t>(3)</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182,006</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5)</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182,006</w:t>
            </w: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Hudson Bay Master Fund Ltd.</w:t>
            </w:r>
            <w:r>
              <w:rPr>
                <w:rFonts w:ascii="Times New Roman" w:cs="Times New Roman" w:eastAsia="Times New Roman" w:hAnsi="Times New Roman"/>
                <w:sz w:val="29"/>
                <w:szCs w:val="29"/>
                <w:color w:val="auto"/>
                <w:vertAlign w:val="superscript"/>
              </w:rPr>
              <w:t>(4)</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402,386</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6)</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2.79%</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402,386</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1,005,965</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6.99%</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1,005,965</w:t>
            </w: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w w:val="95"/>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one percent of the outstanding shares of our common stock.</w:t>
      </w:r>
    </w:p>
    <w:p>
      <w:pPr>
        <w:spacing w:after="0" w:line="27" w:lineRule="exact"/>
        <w:rPr>
          <w:sz w:val="20"/>
          <w:szCs w:val="20"/>
          <w:color w:val="auto"/>
        </w:rPr>
      </w:pPr>
    </w:p>
    <w:p>
      <w:pPr>
        <w:jc w:val="both"/>
        <w:ind w:left="340" w:hanging="332"/>
        <w:spacing w:after="0" w:line="250"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Empery Asset Management LP, the authorized agent of Empery Asset Master Ltd (“EAM”), has discretionary authority to vote and dispose of the shares held by EAM and may be deemed to be the beneficial owner of these shares. Martin Hoe and Ryan Lane, in their capacity as investment managers of Empery Asset Management LP, may also be deemed to have investment discretion and voting power over the shares held by EAM. EAM, Mr. Hoe and Mr. Lane each disclaim any beneficial ownership of these shares. The address of Empery Asset Management LP is One Rockefeller Plaza, Suite 1205, New York, New York 10020.</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Empery Asset Management LP, the authorized agent of Empery Tax Efficient, LP (“ETE”), has discretionary authority to vote and dispose of the shares held by ETE and may be deemed to be the beneficial owner of these shares. Martin Hoe and Ryan Lane, in their capacity as investment managers of Empery Asset Management LP, may also be deemed to have investment discretion and voting power over the shares held by ETE. ETE, Mr. Hoe and Mr. Lane each disclaim any beneficial ownership of these shares. The address of Empery Asset Management LP is One Rockefeller Plaza, Suite 1205, New York, New York 10020.</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Empery Asset Management LP, the authorized agent of Empery Tax Efficient III, LP (“ETE III”), has discretionary authority to vote and dispose of the shares held by ETE III and may be deemed to be the beneficial owner of these shares. Martin Hoe and Ryan Lane, in their capacity as investment managers of Empery Asset Management LP, may also be deemed to have investment discretion and voting power over the shares held by ETE III. ETE III, Mr. Hoe and Mr. Lane each disclaim any beneficial ownership of these shares. The address of Empery Asset Management LP is One Rockefeller Plaza, Suite 1205, New York, New York 10020.</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Hudson Bay Capital Management LP, the investment manager of Hudson Bay Master Fund Ltd., has voting and investment power over these securities. Sander Gerber is the managing member of Hudson Bay Capital GP LLC, which is the general partner of Hudson Bay Capital Management LP. Each of Hudson Bay Master Fund Ltd. and Sander Gerber disclaims beneficial ownership over these securities. The address of Hudson Bay Capital Management LP is 28 Havemeyer Place, 2nd Floor, Greenwich CT 06830.</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February 8, 2024.</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February 9, 2024.</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about any other selling stockholders will be included in prospectus supplements or post-effective amendments, if required. Information about the selling stockholders may change from time to time. Any changed information with respect to which we are given notice will be included in prospectus supplements.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Relationships with the Selling Stockholders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than in connection with the transactions described above and elsewhere in this prospectus, we have not had any material relationships with the selling stockholders in the last three years.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109"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Selling Stockholder (the “Selling Stockholders”) of the securities and any of their pledgees, assignees and successors-in-interest may, from time to time, sell any or all of their securities covered hereby on the principal Trading Market or any other stock exchange, market or trading facility on which the securities are traded or in private transactions. These sales may be at fixed or negotiated prices. A Selling Stockholder may use any one or more of the following methods when selling securities:</w:t>
      </w:r>
    </w:p>
    <w:p>
      <w:pPr>
        <w:spacing w:after="0" w:line="180"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dealer solicits purchasers;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 dealer will attempt to sell the securities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 dealer as principal and resale by the broker dealer for its account;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 dealers that agree with the Selling Stockholders to sell a specified number of such securities at a stipulated price per security;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Selling Stockholders may also sell securities under Rule 144 or any other exemption from registration under the Securities Act of 1933, as amended (the “Securities Act”), if available, rather than under this prospectus.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Broker dealers engaged by the Selling Stockholders may arrange for other brokers dealers to participate in sales. Broker dealers may receive commissions or discounts from the Selling Stockholders (or, if any broker dealer acts as agent for the purchasers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securities.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required to pay certain fees and expenses incurred by the Company incident to the registration of the securities. The Company has agreed to indemnify the Selling Stockholders against certain losses, claims, damages and liabilities, including liabilities under the Securities Act.</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agreed to keep this prospectus effective until the earlier of (i) the date on which the securities may be resold by the Selling Stockholders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258"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description summarizes the material terms of our capital stock as of the date of this prospectus. Because it is only a summary, it does not contain all the information that may be important to you. For a complete description of our capital stock, you should refer to our certificate of incorporation and our bylaws, and to the provisions of applicable Nevada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authorized capital stock consists of 60,000,000 shares of common stock, par value $0.01, of which 14,398,964 shares were issued and outstanding as of February 16, 2024 and 1,000,000 shares of preferred stock, none of which are issued and outstanding. Our preferred stock and/or common stock may be issued from time to time without prior approval by our stockholders. Our preferred stock and/or common stock may be issued for such consideration as may be fixed from time to time by our Board of Directors. Our Board of Directors may issue such shares of our preferred stock in one or more series, with such voting powers, designations, preferences and rights or qualifications, limitations or restrictions thereof as shall be stated in the resolution or resolutions.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authorized to issue 60,000,000 shares of common stock, $0.01 par value. Each share of common stock shall have one vote per share for all purposes. The holders of a majority of the shares entitled to vote, present in person or represented by proxy shall constitute a quorum at all meetings of our stockholders. Our common stock does not provide preemptive, subscription or conversion rights and there are no redemption or sinking fund provisions or rights. Our common stock holders are not entitled to cumulative voting for election of the Board of Directors.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Holders of common stock are entitled to one vote for each share held on all matters submitted to a vote of stockholders and do not have cumulative voting rights. Holders of common stock are entitled to receive proportionately any dividends as may be declared by our board of directors, out of funds that we may legally use to pay dividends, subject to any preferential dividend rights of any outstanding series of preferred stock or series of preferred stock that we may designate and issue in the future. All shares of common stock outstanding as of the date of this prospectus and, upon issuance and sale, all shares of common stock that we may offer pursuant to this prospectus, will be fully paid and nonassessable.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authorized to issue 1,000,000 shares of preferred stock. Our Board of Directors is authorized to cause us to issue, from our authorized but unissued shares of preferred stock, one or more series of preferred stock, to establish from time to time the number of shares to be included in each such series, as well as to fix the designation and any preferences, conversion and other rights and limitations of such series. These rights and limitations may include voting powers, limitations as to dividends, and qualifications and terms and conditions of redemption of the shares of each such series. As of the date of this prospectus, no shares of our preferred stock were outstanding or designated.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we had:</w:t>
      </w:r>
    </w:p>
    <w:p>
      <w:pPr>
        <w:spacing w:after="0" w:line="225" w:lineRule="exact"/>
        <w:rPr>
          <w:sz w:val="20"/>
          <w:szCs w:val="20"/>
          <w:color w:val="auto"/>
        </w:rPr>
      </w:pPr>
    </w:p>
    <w:p>
      <w:pPr>
        <w:ind w:left="340" w:hanging="332"/>
        <w:spacing w:after="0" w:line="282"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2,070,362 shares of our common stock issuable upon the exercise of outstanding stock options granted to employees, directors and consultants, with exercise prices ranging from approximately $0.005 to $15.75 and having a weighted-average exercise price of $5.56 per share;</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131,585 shares of our common stock reserved for future grant under our 2017 Equity Incentive Plan;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581,846 shares of our common stock reserved for future grant under our 2020 Omnibus Performance Award Plan.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 and Preferred Investment 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16, 2024, we had outstanding:</w:t>
      </w:r>
    </w:p>
    <w:p>
      <w:pPr>
        <w:spacing w:after="0" w:line="225" w:lineRule="exact"/>
        <w:rPr>
          <w:sz w:val="20"/>
          <w:szCs w:val="20"/>
          <w:color w:val="auto"/>
        </w:rPr>
      </w:pPr>
    </w:p>
    <w:p>
      <w:pPr>
        <w:ind w:left="340" w:hanging="332"/>
        <w:spacing w:after="0" w:line="282"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51,125 shares of our common stock issuable upon the exercise of outstanding warrants expiring in October 2027, at an exercise price per share of $6.1125;</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32,778 shares of our common stock issuable upon the exercise of outstanding warrants expiring in November 2026, at an exercise price per share of $2.75;</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60,476 shares of our common stock issuable upon the exercise of outstanding warrants expiring in November 2026, at an exercise price per share of $2.75;</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35,088 shares of our common stock issuable upon the exercise of outstanding warrants expiring in November 2026, at an exercise price per share of $2.6719;</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1,685,682 shares of our common stock issuable upon the exercise of outstanding series E preferred investment options expiring in July 2029, at an exercise price per share of $1.50;</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31,231 shares of our common stock issuable upon the exercise of outstanding warrants expiring in June 2028, at an exercise price per share of $4.0625; and</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84,284 shares of our common stock issuable upon the exercise of outstanding placement agent preferred investment options expiring in July 2029, at an exercise price per share of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Market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of our common stock are currently quoted on the Nasdaq Capital Market under the symbol “MBOT”.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of our common stock is Computershare Trust Company, N.A. Its address is 33 North LaSalle Street, Suite 1100, Chicago, IL 60602.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Provisions of Delaware Law and of the Company’s Certificate of Incorporation and Bylaws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Delaware Law</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the anti-takeover provisions of Section 203 of the Delaware General Corporation Law, or DGCL. Section 203 prohibits a publicly-held Delaware corporation from engaging in a “business combination” with an “interested stockholder” for a period of three years after the date of the transaction in which the person became an interested stockholder, unless the business combination is, or the transaction in which the person became an interested stockholder was, approved in a prescribed manner or another prescribed exception applies. For purposes of Section 203, a “business combination” is defined broadly to include a merger, asset sale or other transaction resulting in a financial benefit to the interested stockholder, and, subject to certain exceptions, an “interested stockholder” is a person who, together with his or her affiliates and associates, owns, or within three years prior, did own, 15% or more of the corporation’s voting stock.</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i w:val="1"/>
          <w:iCs w:val="1"/>
          <w:color w:val="auto"/>
        </w:rPr>
        <w:t>Staggered Board</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restated certificate of incorporation and restated by-laws provide for the Board of Directors to be divided into three classes serving staggered terms. At each annual meeting of stockholders, directors elected to succeed those directors whose terms expire are elected for a three-year term of office. All directors elected to our classified Board of Directors will serve until the election and qualification of their respective successors or their earlier resignation or removal. The Board of Directors is authorized to create new directorships and to fill such positions so created and is permitted to specify the class to which any such new position is assigned. The person filling such position would serve for the term applicable to that class. The Board of Directors (or its remaining members, even if less than a quorum) is also empowered to fill vacancies on the Board of Directors occurring for any reason for the remainder of the term of the class of directors in which the vacancy occurred. Members of the Board of Directors may only be removed for cause and only by the affirmative vote of 80% of the outstanding voting stock. These provisions are likely to increase the time required for stockholders to change the composition of the Board of Directors. For example, in general, at least two annual meetings will be necessary for stockholders to effect a change in a majority of the members of the Board of Directors. The provision for a classified board could prevent a party who acquires control of a majority of our outstanding common stock from obtaining control of our Board of Directors until our second annual stockholders meeting following the date the acquirer obtains the controlling stock interest. The classified board provision could have the effect of discouraging a potential acquirer from making a tender offer or otherwise attempting to obtain control of us and could increase the likelihood that incumbent directors will retain their positions.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 notice provisions for stockholder proposals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restated by-laws establish an advance notice procedure for stockholder nominations of candidates for election to our Board of Directors, as well as procedures for including proposed nominations at special meetings at which directors are to be elected. Stockholders at our annual meeting may only consider proposals or nominations specified in the notice of meeting or brought before the meeting by or at the direction of our board or by a stockholder who was a stockholder of record on the record date for the meeting, who is entitled to vote at the meeting and who has given to our secretary timely written notice, in proper form, of the stockholder’s intention to bring that business before the meeting, and who has complied with the procedures and requirements set forth in the by-laws. Although the by-laws do not give the Board of Directors the power to approve or disapprove stockholder nominations of candidates or proposals regarding other business to be conducted at a special or annual meeting, these by-laws may have the effect of precluding the conduct of some business at a meeting if the proper procedures are not followed or may discourage or defer a potential acquirer from conducting a solicitation of proxies to elect its own slate of directors or otherwise attempting to obtain control of Microbot.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meetings of stockholders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Special meetings of the stockholders may be called only by the Board of Directors, president or secretary upon the application of a majority of the directors. Stockholders are not permitted to call a special meeting or to require our Board of Directors to call a special meeting.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stockholder action by written consent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restated certificate of incorporation and restated by-laws do not permit our stockholders to act by written consent. As a result, any action to be effected by our stockholders must be effected at a duly called annual or special meeting of the stockholders.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Super-majority stockholder vote required for certain actions.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shares entitled to vote on any matter is required to amend a corporation’s certificate of incorporation or by-laws, unless the corporation’s certificate of incorporation or by-laws, as the case may be, requires a greater percentage. Our restated certificate of incorporation requires the affirmative vote of the holders of at least 80% of our outstanding voting stock to amend or repeal certain provisions of our restated certificate of incorporation. This 80% stockholder vote would be in addition to any separate class vote that might in the future be required pursuant to the terms of any preferred stock that might then be outstanding. In addition, an 80% vote is also required for any amendment to, or repeal of, our restated by-laws by the stockholders. Our restated by-laws may be amended or repealed by a vote of a majority of the total number of authorized directors.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 of Liability and Indemnification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restated certificate of incorporation and our amended and restated bylaws provide that each person who was or is made a party or is threatened to be made a party to or is otherwise involved (including, without limitation, as a witness) in any action, suit or proceeding, whether civil, criminal, administrative or investigative, by reason of the fact that he or she is or was one of our directors or officers or is or was serving at our request as a director, officer, or trustee of another corporation, or of a partnership, joint venture, trust or other enterprise, including service with respect to an employee benefit plan, whether the basis of such proceeding is alleged action in an official capacity as a director, officer or trustee or in any other capacity while serving as a director, officer or trustee, shall be indemnified and held harmless by us to the fullest extent authorized by the DGCL against all expense, liability and loss (including attorneys’ fees, judgments, fines, ERISA excise taxes or penalties and amounts paid in settlement) reasonably incurred or suffered by such.</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145 of the DGCL permits a corporation to indemnify any director or officer of the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or she reasonably believed to be in, or not opposed to, the best interests of the corporation, and, with respect to any criminal action or proceeding, if he or she had no reasonable cause to believe his or her conduct was unlawful. In a derivative action (i.e., one brought by or on behalf of the corporation), indemnification may be provided only for expenses actually and reasonably incurred by any director or officer in connection with the defense or settlement of such an action or suit if such person acted in good faith and in a manner that he or she reasonably believed to be in, or not opposed to, the best interests of the corporation, except that no indemnification shall be provided if such person shall have been adjudged to be liable to the corporation, unless and only to the extent that the Delaware Chancery Court or the court in which the action or suit was brought shall determine that such person is fairly and reasonably entitled to indemnity for such expenses despite such adjudication of liability.</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Section 102(b)(7) of the DGCL, Article Ninth of our restated certificate of incorporation eliminates the liability of a director to us or our stockholders for monetary damages for such a breach of fiduciary duty as a director, except for liabilities arising:</w:t>
      </w:r>
    </w:p>
    <w:p>
      <w:pPr>
        <w:spacing w:after="0" w:line="162" w:lineRule="exact"/>
        <w:rPr>
          <w:sz w:val="20"/>
          <w:szCs w:val="20"/>
          <w:color w:val="auto"/>
        </w:rPr>
      </w:pPr>
    </w:p>
    <w:p>
      <w:pPr>
        <w:ind w:left="340" w:hanging="332"/>
        <w:spacing w:after="0"/>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any breach of the director’s duty of loyalty to us or our stockholders;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acts or omissions not in good faith or which involve intentional misconduct or a knowing violation of law;</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174 of the DGCL;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any transaction from which the director derived an improper personal benefit.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certain officers, in addition to the indemnification provided in our restated certificate of incorporation and our amended and restated bylaws, and intend to enter into indemnification agreements with any new directors and executive officers in the future. We have purchased and intend to maintain insurance on behalf of any person who is or was a director or officer against any loss arising from any claim asserted against him or her and incurred by him or her in any such capacity, subject to certain exclusions.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discussion of our restated certificate of incorporation, amended and restated bylaws, indemnification agreements, indemnity agreement, and Delaware law is not intended to be exhaustive and is qualified in its entirety by such restated certificate of incorporation, amended and restated bylaws, indemnification agreements, indemnity agreement, or law.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validity of the shares of common stock being offered by this prospectus will be passed upon for us by Ruskin Moscou Faltischek, PC, Uniondale, New York.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Microbot Medical Inc. as of December 31, 2022 and 2021, and for each of the two years in the period ended December 31, 2022, included in this Prospectus, have been audited by Brightman Almagor Zohar and Co., a Firm in the Deloitte Global Network, an independent registered public accounting firm, as stated in their report. Such consolidated financial statements are included in reliance upon the report of such firm given their authority as experts in accounting and auditing.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which constitutes a part of the Registration Statement on Form S-1 that we have filed with the SEC under the Securities Act, does not contain all of the information in the registration statement and its exhibits. For further information with respect to us and the common stock offered by this prospectus, you should refer to the registration statement and the exhibits filed as part of that document.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are subject to the reporting requirements of the Securities Exchange Act of 1934, as amended, and file annual, quarterly and current reports, proxy statements and other information with the SEC. You can read our SEC filings, including the registration statement, over the Internet at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We also maintain a website at</w:t>
      </w:r>
      <w:r>
        <w:rPr>
          <w:rFonts w:ascii="Times New Roman" w:cs="Times New Roman" w:eastAsia="Times New Roman" w:hAnsi="Times New Roman"/>
          <w:sz w:val="18"/>
          <w:szCs w:val="18"/>
          <w:i w:val="1"/>
          <w:iCs w:val="1"/>
          <w:color w:val="auto"/>
        </w:rPr>
        <w:t xml:space="preserve"> http://www.microbotmedical.com</w:t>
      </w:r>
      <w:r>
        <w:rPr>
          <w:rFonts w:ascii="Times New Roman" w:cs="Times New Roman" w:eastAsia="Times New Roman" w:hAnsi="Times New Roman"/>
          <w:sz w:val="18"/>
          <w:szCs w:val="18"/>
          <w:color w:val="auto"/>
        </w:rPr>
        <w:t>, at which you may access these materials free of charge as soon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reasonably practicable after they are electronically filed with, or furnished to, the SEC. The information contained in, or that can be accessed through, our website is not part of this prospectus. You may also request a copy of these filings, at no cost, by writing or telephoning us at: 288 Grove Street, Suite 388, Braintree, MA 02184, (781) 875-3605.</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520" w:type="dxa"/>
            <w:vAlign w:val="bottom"/>
            <w:gridSpan w:val="8"/>
          </w:tcPr>
          <w:p>
            <w:pPr>
              <w:jc w:val="center"/>
              <w:ind w:right="2760"/>
              <w:spacing w:after="0"/>
              <w:rPr>
                <w:sz w:val="20"/>
                <w:szCs w:val="20"/>
                <w:color w:val="auto"/>
              </w:rPr>
            </w:pPr>
            <w:r>
              <w:rPr>
                <w:rFonts w:ascii="Times New Roman" w:cs="Times New Roman" w:eastAsia="Times New Roman" w:hAnsi="Times New Roman"/>
                <w:sz w:val="18"/>
                <w:szCs w:val="18"/>
                <w:b w:val="1"/>
                <w:bCs w:val="1"/>
                <w:color w:val="auto"/>
              </w:rPr>
              <w:t>MICROBOT MEDICAL INC.</w:t>
            </w:r>
          </w:p>
        </w:tc>
        <w:tc>
          <w:tcPr>
            <w:tcW w:w="980" w:type="dxa"/>
            <w:vAlign w:val="bottom"/>
          </w:tcPr>
          <w:p>
            <w:pPr>
              <w:spacing w:after="0"/>
              <w:rPr>
                <w:sz w:val="20"/>
                <w:szCs w:val="20"/>
                <w:color w:val="auto"/>
              </w:rPr>
            </w:pPr>
          </w:p>
        </w:tc>
      </w:tr>
      <w:tr>
        <w:trPr>
          <w:trHeight w:val="432"/>
        </w:trPr>
        <w:tc>
          <w:tcPr>
            <w:tcW w:w="3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520" w:type="dxa"/>
            <w:vAlign w:val="bottom"/>
            <w:gridSpan w:val="8"/>
          </w:tcPr>
          <w:p>
            <w:pPr>
              <w:jc w:val="center"/>
              <w:ind w:right="276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980" w:type="dxa"/>
            <w:vAlign w:val="bottom"/>
          </w:tcPr>
          <w:p>
            <w:pPr>
              <w:spacing w:after="0"/>
              <w:rPr>
                <w:sz w:val="24"/>
                <w:szCs w:val="24"/>
                <w:color w:val="auto"/>
              </w:rPr>
            </w:pPr>
          </w:p>
        </w:tc>
      </w:tr>
      <w:tr>
        <w:trPr>
          <w:trHeight w:val="439"/>
        </w:trPr>
        <w:tc>
          <w:tcPr>
            <w:tcW w:w="3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3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(PCAOB ID No. 1197)</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F-2 - F-3</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December 31, 2022, and 2021</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F-4</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Comprehensive Loss for the years ended December 31, 2022 and 2021</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F-5</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Shareholders’ Equity for the years ended December 31, 2022 and 2021</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F-6</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2022 and 2021</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F-7</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F-8 – F-24</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Interim Consolidated Balance Sheets as of September 30, 2023 (Unaudited) and December 31, 2022 (Audited)</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F-25</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Interim Consolidated Statements of Comprehensive Loss for the Three and Nine Months Ended September 30, 2023 and 2022 (Unaudited)</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F-26</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Interim Consolidated Statements of Shareholders’ Equity for the Three and Nine Months Ended September 30, 2023 and 2022 (Unaudited)</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F-27</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Interim Consolidated Statements of Cash Flows for the Nine Months Ended September 30, 2023 and 2022 (Unaudited)</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F-28</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Interim Consolidated Financial Statements</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F-29 – F-36</w:t>
            </w:r>
          </w:p>
        </w:tc>
      </w:tr>
      <w:tr>
        <w:trPr>
          <w:trHeight w:val="439"/>
        </w:trPr>
        <w:tc>
          <w:tcPr>
            <w:tcW w:w="342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960" w:type="dxa"/>
            <w:vAlign w:val="bottom"/>
            <w:tcBorders>
              <w:top w:val="single" w:sz="8" w:color="CCEEFF"/>
              <w:bottom w:val="single" w:sz="8" w:color="auto"/>
            </w:tcBorders>
          </w:tcPr>
          <w:p>
            <w:pPr>
              <w:spacing w:after="0"/>
              <w:rPr>
                <w:sz w:val="24"/>
                <w:szCs w:val="24"/>
                <w:color w:val="auto"/>
              </w:rPr>
            </w:pPr>
          </w:p>
        </w:tc>
        <w:tc>
          <w:tcPr>
            <w:tcW w:w="5560" w:type="dxa"/>
            <w:vAlign w:val="bottom"/>
            <w:tcBorders>
              <w:top w:val="single" w:sz="8" w:color="CCEEFF"/>
              <w:bottom w:val="single" w:sz="8" w:color="auto"/>
            </w:tcBorders>
            <w:gridSpan w:val="7"/>
          </w:tcPr>
          <w:p>
            <w:pPr>
              <w:jc w:val="center"/>
              <w:ind w:right="3720"/>
              <w:spacing w:after="0"/>
              <w:rPr>
                <w:sz w:val="20"/>
                <w:szCs w:val="20"/>
                <w:color w:val="auto"/>
              </w:rPr>
            </w:pPr>
            <w:r>
              <w:rPr>
                <w:rFonts w:ascii="Times New Roman" w:cs="Times New Roman" w:eastAsia="Times New Roman" w:hAnsi="Times New Roman"/>
                <w:sz w:val="18"/>
                <w:szCs w:val="18"/>
                <w:color w:val="auto"/>
                <w:w w:val="95"/>
              </w:rPr>
              <w:t>F-1</w:t>
            </w:r>
          </w:p>
        </w:tc>
        <w:tc>
          <w:tcPr>
            <w:tcW w:w="9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78" w:name="page79"/>
    <w:bookmarkEnd w:id="7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571750" cy="6083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2571750" cy="60833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Board of Directors and Shareholders of Microbot Medical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Microbot Medical Inc. and its subsidiary (the “Company”) as of December 31, 2022 and 2021 and the related consolidated statements of comprehensive loss, shareholders’ equity and cash flows, for each of the two years in the period ended December 31, 2022, and the related notes (collectively referred to as the “financial statements”).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opinion, the financial statements present fairly, in all material respects, the financial position of the Company as of December 31, 2022 and 2021, and the results of its operations and its cash flows for each of the two years in the period ended December 31, 2022, in conformity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1B to the financial statements, the Company’s financial statements include a net loss of $ 13,168 thousand for the year ended December 31, 2022 and accumulated deficit of $ 68,761 thousand as of December 31, 2022. The Company is dependent on its ability to obtain additional debt or equity in order to continue its operations. These conditions raise substantial doubt about its ability to continue as a going concern. The financial statements do not include any adjustments that might result from the outcome of this uncertainty.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3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2571750" cy="6083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2571750" cy="6083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Contingencies: Litigation — Refer to Note 2P and 9 to the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involved in a litigation as the defendant resulting from the 2017 financing Litigation from third parties may result in a substantial loss. An estimated loss from a loss contingency is accrued by a charge to expenses or shareholders’ equity if it is probable that a liability has been incurred and the amount of the loss can be reasonably estimated.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concluded that the loss from the case is not probable and it cannot be reasonably estimable at this stage and no provision was recorded as of December 31, 2022.</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determination of litigation contingency accruals is subject to significant management judgement in assessing the likelihood of a loss being incurred and when determining whether a reasonable estimate of the loss or range of loss can be made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Given the inherent uncertainty of the outcome of identified litigation, auditing the valuation assertion of litigation contingency required a high degree of auditor judgment and an increased extent of effort when performing audit procedures to evaluate management’s assessment on the likelihood and magnitude of the contingent loss and whether this litigation is reasonably estimable as of December 31, 2022.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potential loss contingency liability and disclosure of the litigation included the following, among others:</w:t>
      </w:r>
    </w:p>
    <w:p>
      <w:pPr>
        <w:spacing w:after="0" w:line="225"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made inquiries with management to obtain an understanding of litigation matter and status that the Company is currently undergoing.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legal letters from the external legal counsel.</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inquired of the external and internal legal counsels to determine the status of the case and to understand the basis for management’s conclusion that the loss from the case is not probable and it cannot be reasonably estimable at this stage.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assumptions used by management to estimate the litigation contingency likelihood and magnitude, including corroborating these assumptions with internal and external legal counsel.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Company’s litigation contingencies disclosure for consistency with our evidence obtained on the litigation matter.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Brightman Almagor Zohar &amp; Co.</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Brightman Almagor Zohar &amp; Co.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firm in the Deloitte Global Network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Aviv, Israel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154305</wp:posOffset>
            </wp:positionV>
            <wp:extent cx="4286250" cy="12941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286250"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6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0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640" w:type="dxa"/>
            <w:vAlign w:val="bottom"/>
          </w:tcPr>
          <w:p>
            <w:pPr>
              <w:spacing w:after="0"/>
              <w:rPr>
                <w:sz w:val="20"/>
                <w:szCs w:val="20"/>
                <w:color w:val="auto"/>
              </w:rPr>
            </w:pPr>
          </w:p>
        </w:tc>
        <w:tc>
          <w:tcPr>
            <w:tcW w:w="182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5640" w:type="dxa"/>
            <w:vAlign w:val="bottom"/>
            <w:tcBorders>
              <w:top w:val="single" w:sz="8" w:color="CCEEFF"/>
            </w:tcBorders>
            <w:shd w:val="clear" w:color="auto" w:fill="CCEEFF"/>
          </w:tcPr>
          <w:p>
            <w:pPr>
              <w:ind w:left="23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2,442</w:t>
            </w:r>
          </w:p>
        </w:tc>
        <w:tc>
          <w:tcPr>
            <w:tcW w:w="62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13,493</w:t>
            </w:r>
          </w:p>
        </w:tc>
      </w:tr>
      <w:tr>
        <w:trPr>
          <w:trHeight w:val="216"/>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4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3,4</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5,760</w:t>
            </w:r>
          </w:p>
        </w:tc>
        <w:tc>
          <w:tcPr>
            <w:tcW w:w="6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1,999</w:t>
            </w:r>
          </w:p>
        </w:tc>
      </w:tr>
      <w:tr>
        <w:trPr>
          <w:trHeight w:val="216"/>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deposit</w:t>
            </w:r>
          </w:p>
        </w:tc>
        <w:tc>
          <w:tcPr>
            <w:tcW w:w="1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w:t>
            </w:r>
          </w:p>
        </w:tc>
        <w:tc>
          <w:tcPr>
            <w:tcW w:w="6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77</w:t>
            </w:r>
          </w:p>
        </w:tc>
        <w:tc>
          <w:tcPr>
            <w:tcW w:w="6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r>
      <w:tr>
        <w:trPr>
          <w:trHeight w:val="249"/>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532</w:t>
            </w:r>
          </w:p>
        </w:tc>
        <w:tc>
          <w:tcPr>
            <w:tcW w:w="6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r>
      <w:tr>
        <w:trPr>
          <w:trHeight w:val="203"/>
        </w:trPr>
        <w:tc>
          <w:tcPr>
            <w:tcW w:w="5640" w:type="dxa"/>
            <w:vAlign w:val="bottom"/>
            <w:tcBorders>
              <w:top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146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8,814</w:t>
            </w:r>
          </w:p>
        </w:tc>
        <w:tc>
          <w:tcPr>
            <w:tcW w:w="320" w:type="dxa"/>
            <w:vAlign w:val="bottom"/>
            <w:tcBorders>
              <w:top w:val="single" w:sz="8" w:color="CCEEFF"/>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15,879</w:t>
            </w:r>
          </w:p>
        </w:tc>
        <w:tc>
          <w:tcPr>
            <w:tcW w:w="100" w:type="dxa"/>
            <w:vAlign w:val="bottom"/>
            <w:tcBorders>
              <w:top w:val="single" w:sz="8" w:color="CCEEFF"/>
            </w:tcBorders>
          </w:tcPr>
          <w:p>
            <w:pPr>
              <w:spacing w:after="0"/>
              <w:rPr>
                <w:sz w:val="17"/>
                <w:szCs w:val="17"/>
                <w:color w:val="auto"/>
              </w:rPr>
            </w:pPr>
          </w:p>
        </w:tc>
      </w:tr>
      <w:tr>
        <w:trPr>
          <w:trHeight w:val="216"/>
        </w:trPr>
        <w:tc>
          <w:tcPr>
            <w:tcW w:w="56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221</w:t>
            </w:r>
          </w:p>
        </w:tc>
        <w:tc>
          <w:tcPr>
            <w:tcW w:w="6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w:t>
            </w:r>
          </w:p>
        </w:tc>
      </w:tr>
      <w:tr>
        <w:trPr>
          <w:trHeight w:val="250"/>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14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502</w:t>
            </w:r>
          </w:p>
        </w:tc>
        <w:tc>
          <w:tcPr>
            <w:tcW w:w="6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644</w:t>
            </w:r>
          </w:p>
        </w:tc>
      </w:tr>
      <w:tr>
        <w:trPr>
          <w:trHeight w:val="256"/>
        </w:trPr>
        <w:tc>
          <w:tcPr>
            <w:tcW w:w="5640" w:type="dxa"/>
            <w:vAlign w:val="bottom"/>
            <w:tcBorders>
              <w:top w:val="single" w:sz="8" w:color="CCEEFF"/>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460" w:type="dxa"/>
            <w:vAlign w:val="bottom"/>
            <w:tcBorders>
              <w:top w:val="single" w:sz="8" w:color="CCEEFF"/>
              <w:bottom w:val="single" w:sz="8" w:color="CCEEFF"/>
            </w:tcBorders>
          </w:tcPr>
          <w:p>
            <w:pPr>
              <w:spacing w:after="0"/>
              <w:rPr>
                <w:sz w:val="22"/>
                <w:szCs w:val="22"/>
                <w:color w:val="auto"/>
              </w:rPr>
            </w:pPr>
          </w:p>
        </w:tc>
        <w:tc>
          <w:tcPr>
            <w:tcW w:w="360" w:type="dxa"/>
            <w:vAlign w:val="bottom"/>
            <w:tcBorders>
              <w:top w:val="single" w:sz="8" w:color="CCEEFF"/>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9,537</w:t>
            </w:r>
          </w:p>
        </w:tc>
        <w:tc>
          <w:tcPr>
            <w:tcW w:w="320" w:type="dxa"/>
            <w:vAlign w:val="bottom"/>
            <w:tcBorders>
              <w:top w:val="single" w:sz="8" w:color="CCEEFF"/>
              <w:bottom w:val="single" w:sz="8" w:color="CCEEFF"/>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16,767</w:t>
            </w:r>
          </w:p>
        </w:tc>
        <w:tc>
          <w:tcPr>
            <w:tcW w:w="100" w:type="dxa"/>
            <w:vAlign w:val="bottom"/>
            <w:tcBorders>
              <w:top w:val="single" w:sz="8" w:color="CCEEFF"/>
              <w:bottom w:val="single" w:sz="8" w:color="CCEEFF"/>
            </w:tcBorders>
          </w:tcPr>
          <w:p>
            <w:pPr>
              <w:spacing w:after="0"/>
              <w:rPr>
                <w:sz w:val="22"/>
                <w:szCs w:val="22"/>
                <w:color w:val="auto"/>
              </w:rPr>
            </w:pPr>
          </w:p>
        </w:tc>
      </w:tr>
      <w:tr>
        <w:trPr>
          <w:trHeight w:val="197"/>
        </w:trPr>
        <w:tc>
          <w:tcPr>
            <w:tcW w:w="56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6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payables</w:t>
            </w: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116</w:t>
            </w:r>
          </w:p>
        </w:tc>
        <w:tc>
          <w:tcPr>
            <w:tcW w:w="62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w:t>
            </w:r>
          </w:p>
        </w:tc>
      </w:tr>
      <w:tr>
        <w:trPr>
          <w:trHeight w:val="216"/>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14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283</w:t>
            </w:r>
          </w:p>
        </w:tc>
        <w:tc>
          <w:tcPr>
            <w:tcW w:w="6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w:t>
            </w:r>
          </w:p>
        </w:tc>
      </w:tr>
      <w:tr>
        <w:trPr>
          <w:trHeight w:val="237"/>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4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8</w:t>
            </w: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1,670</w:t>
            </w:r>
          </w:p>
        </w:tc>
        <w:tc>
          <w:tcPr>
            <w:tcW w:w="6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1,427</w:t>
            </w:r>
          </w:p>
        </w:tc>
      </w:tr>
      <w:tr>
        <w:trPr>
          <w:trHeight w:val="216"/>
        </w:trPr>
        <w:tc>
          <w:tcPr>
            <w:tcW w:w="56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4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179</w:t>
            </w:r>
          </w:p>
        </w:tc>
        <w:tc>
          <w:tcPr>
            <w:tcW w:w="6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402</w:t>
            </w:r>
          </w:p>
        </w:tc>
      </w:tr>
      <w:tr>
        <w:trPr>
          <w:trHeight w:val="223"/>
        </w:trPr>
        <w:tc>
          <w:tcPr>
            <w:tcW w:w="56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46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4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9</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$0.01 par value; 60,000,000 shares authorized as of</w:t>
            </w:r>
          </w:p>
        </w:tc>
        <w:tc>
          <w:tcPr>
            <w:tcW w:w="1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2022 and 2021; 7,890,628 and 7,108,133 shares issued and</w:t>
            </w:r>
          </w:p>
        </w:tc>
        <w:tc>
          <w:tcPr>
            <w:tcW w:w="1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2022 and 2021, respectively.</w:t>
            </w:r>
          </w:p>
        </w:tc>
        <w:tc>
          <w:tcPr>
            <w:tcW w:w="14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10</w:t>
            </w:r>
          </w:p>
        </w:tc>
        <w:tc>
          <w:tcPr>
            <w:tcW w:w="3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80</w:t>
            </w:r>
          </w:p>
        </w:tc>
        <w:tc>
          <w:tcPr>
            <w:tcW w:w="6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75,970</w:t>
            </w:r>
          </w:p>
        </w:tc>
        <w:tc>
          <w:tcPr>
            <w:tcW w:w="6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69,902</w:t>
            </w:r>
          </w:p>
        </w:tc>
      </w:tr>
      <w:tr>
        <w:trPr>
          <w:trHeight w:val="249"/>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4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(68,761)</w:t>
            </w:r>
          </w:p>
        </w:tc>
        <w:tc>
          <w:tcPr>
            <w:tcW w:w="6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(55,593)</w:t>
            </w:r>
          </w:p>
        </w:tc>
      </w:tr>
      <w:tr>
        <w:trPr>
          <w:trHeight w:val="210"/>
        </w:trPr>
        <w:tc>
          <w:tcPr>
            <w:tcW w:w="564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stockholders’ equity</w:t>
            </w:r>
          </w:p>
        </w:tc>
        <w:tc>
          <w:tcPr>
            <w:tcW w:w="146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7,289</w:t>
            </w:r>
          </w:p>
        </w:tc>
        <w:tc>
          <w:tcPr>
            <w:tcW w:w="320" w:type="dxa"/>
            <w:vAlign w:val="bottom"/>
            <w:tcBorders>
              <w:top w:val="single" w:sz="8" w:color="CCEEFF"/>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14,381</w:t>
            </w:r>
          </w:p>
        </w:tc>
        <w:tc>
          <w:tcPr>
            <w:tcW w:w="100" w:type="dxa"/>
            <w:vAlign w:val="bottom"/>
            <w:tcBorders>
              <w:top w:val="single" w:sz="8" w:color="CCEEFF"/>
              <w:bottom w:val="single" w:sz="8" w:color="CCEEFF"/>
            </w:tcBorders>
          </w:tcPr>
          <w:p>
            <w:pPr>
              <w:spacing w:after="0"/>
              <w:rPr>
                <w:sz w:val="18"/>
                <w:szCs w:val="18"/>
                <w:color w:val="auto"/>
              </w:rPr>
            </w:pPr>
          </w:p>
        </w:tc>
      </w:tr>
      <w:tr>
        <w:trPr>
          <w:trHeight w:val="230"/>
        </w:trPr>
        <w:tc>
          <w:tcPr>
            <w:tcW w:w="56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9,537</w:t>
            </w:r>
          </w:p>
        </w:tc>
        <w:tc>
          <w:tcPr>
            <w:tcW w:w="3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60" w:type="dxa"/>
            <w:vAlign w:val="bottom"/>
            <w:tcBorders>
              <w:bottom w:val="single" w:sz="8" w:color="CCEEFF"/>
            </w:tcBorders>
          </w:tcPr>
          <w:p>
            <w:pPr>
              <w:spacing w:after="0"/>
              <w:rPr>
                <w:sz w:val="21"/>
                <w:szCs w:val="21"/>
                <w:color w:val="auto"/>
              </w:rPr>
            </w:pPr>
          </w:p>
        </w:tc>
        <w:tc>
          <w:tcPr>
            <w:tcW w:w="238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top w:val="single" w:sz="8" w:color="auto"/>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3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(7,736)</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(6,153)</w:t>
            </w:r>
          </w:p>
        </w:tc>
        <w:tc>
          <w:tcPr>
            <w:tcW w:w="100" w:type="dxa"/>
            <w:vAlign w:val="bottom"/>
            <w:shd w:val="clear" w:color="auto" w:fill="CCEEFF"/>
          </w:tcPr>
          <w:p>
            <w:pPr>
              <w:spacing w:after="0"/>
              <w:rPr>
                <w:sz w:val="18"/>
                <w:szCs w:val="18"/>
                <w:color w:val="auto"/>
              </w:rPr>
            </w:pPr>
          </w:p>
        </w:tc>
      </w:tr>
      <w:tr>
        <w:trPr>
          <w:trHeight w:val="237"/>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(5,545)</w:t>
            </w:r>
          </w:p>
        </w:tc>
        <w:tc>
          <w:tcPr>
            <w:tcW w:w="38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(5,204)</w:t>
            </w:r>
          </w:p>
        </w:tc>
      </w:tr>
      <w:tr>
        <w:trPr>
          <w:trHeight w:val="216"/>
        </w:trPr>
        <w:tc>
          <w:tcPr>
            <w:tcW w:w="50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loss</w:t>
            </w:r>
          </w:p>
        </w:tc>
        <w:tc>
          <w:tcPr>
            <w:tcW w:w="23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(13,281)</w:t>
            </w: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income, net</w:t>
            </w:r>
          </w:p>
        </w:tc>
        <w:tc>
          <w:tcPr>
            <w:tcW w:w="2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118</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44</w:t>
            </w:r>
          </w:p>
        </w:tc>
      </w:tr>
      <w:tr>
        <w:trPr>
          <w:trHeight w:val="237"/>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loss</w:t>
            </w:r>
          </w:p>
        </w:tc>
        <w:tc>
          <w:tcPr>
            <w:tcW w:w="2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tcPr>
          <w:p>
            <w:pPr>
              <w:spacing w:after="0"/>
              <w:rPr>
                <w:sz w:val="20"/>
                <w:szCs w:val="20"/>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3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(13,168</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0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0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2760" w:type="dxa"/>
            <w:vAlign w:val="bottom"/>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(1.81)</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50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weighted average common shares outstanding</w:t>
            </w:r>
          </w:p>
        </w:tc>
        <w:tc>
          <w:tcPr>
            <w:tcW w:w="23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7,260,344</w:t>
            </w:r>
          </w:p>
        </w:tc>
        <w:tc>
          <w:tcPr>
            <w:tcW w:w="3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7,108,133</w:t>
            </w:r>
          </w:p>
        </w:tc>
      </w:tr>
      <w:tr>
        <w:trPr>
          <w:trHeight w:val="20"/>
        </w:trPr>
        <w:tc>
          <w:tcPr>
            <w:tcW w:w="7440" w:type="dxa"/>
            <w:vAlign w:val="bottom"/>
            <w:tcBorders>
              <w:top w:val="single" w:sz="8" w:color="CCEEFF"/>
            </w:tcBorders>
            <w:gridSpan w:val="2"/>
          </w:tcPr>
          <w:p>
            <w:pPr>
              <w:spacing w:after="0" w:line="20" w:lineRule="exact"/>
              <w:rPr>
                <w:sz w:val="1"/>
                <w:szCs w:val="1"/>
                <w:color w:val="auto"/>
              </w:rPr>
            </w:pPr>
          </w:p>
        </w:tc>
        <w:tc>
          <w:tcPr>
            <w:tcW w:w="170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9460" w:type="dxa"/>
            <w:vAlign w:val="bottom"/>
            <w:gridSpan w:val="5"/>
          </w:tcPr>
          <w:p>
            <w:pPr>
              <w:ind w:left="2280"/>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50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2"/>
          </w:tcPr>
          <w:p>
            <w:pPr>
              <w:jc w:val="right"/>
              <w:ind w:right="1996"/>
              <w:spacing w:after="0"/>
              <w:rPr>
                <w:sz w:val="20"/>
                <w:szCs w:val="20"/>
                <w:color w:val="auto"/>
              </w:rPr>
            </w:pPr>
            <w:r>
              <w:rPr>
                <w:rFonts w:ascii="Times New Roman" w:cs="Times New Roman" w:eastAsia="Times New Roman" w:hAnsi="Times New Roman"/>
                <w:sz w:val="18"/>
                <w:szCs w:val="18"/>
                <w:color w:val="auto"/>
              </w:rPr>
              <w:t>F-5</w:t>
            </w:r>
          </w:p>
        </w:tc>
        <w:tc>
          <w:tcPr>
            <w:tcW w:w="1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82" w:name="page83"/>
    <w:bookmarkEnd w:id="8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Balances, December 31, 2021</w:t>
      </w:r>
    </w:p>
    <w:p>
      <w:pPr>
        <w:spacing w:after="0" w:line="2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Issuance of common stock and warrants net of issuance costs</w:t>
      </w:r>
    </w:p>
    <w:p>
      <w:pPr>
        <w:spacing w:after="0" w:line="1" w:lineRule="exact"/>
        <w:rPr>
          <w:sz w:val="20"/>
          <w:szCs w:val="20"/>
          <w:color w:val="auto"/>
        </w:rPr>
      </w:pPr>
    </w:p>
    <w:p>
      <w:pPr>
        <w:ind w:right="1420"/>
        <w:spacing w:after="0" w:line="255" w:lineRule="auto"/>
        <w:rPr>
          <w:sz w:val="20"/>
          <w:szCs w:val="20"/>
          <w:color w:val="auto"/>
        </w:rPr>
      </w:pPr>
      <w:r>
        <w:rPr>
          <w:rFonts w:ascii="Times New Roman" w:cs="Times New Roman" w:eastAsia="Times New Roman" w:hAnsi="Times New Roman"/>
          <w:sz w:val="18"/>
          <w:szCs w:val="18"/>
          <w:color w:val="auto"/>
        </w:rPr>
        <w:t>Share-based compensation Net loss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Balances, December 31, 2022</w:t>
      </w:r>
    </w:p>
    <w:p>
      <w:pPr>
        <w:spacing w:after="0" w:line="20" w:lineRule="exact"/>
        <w:rPr>
          <w:sz w:val="20"/>
          <w:szCs w:val="20"/>
          <w:color w:val="auto"/>
        </w:rPr>
      </w:pPr>
      <w:r>
        <w:rPr>
          <w:sz w:val="20"/>
          <w:szCs w:val="20"/>
          <w:color w:val="auto"/>
        </w:rPr>
        <w:br w:type="column"/>
      </w:r>
    </w:p>
    <w:p>
      <w:pPr>
        <w:jc w:val="center"/>
        <w:ind w:right="3720"/>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ind w:right="3720"/>
        <w:spacing w:after="0"/>
        <w:rPr>
          <w:sz w:val="20"/>
          <w:szCs w:val="20"/>
          <w:color w:val="auto"/>
        </w:rPr>
      </w:pPr>
      <w:r>
        <w:rPr>
          <w:rFonts w:ascii="Times New Roman" w:cs="Times New Roman" w:eastAsia="Times New Roman" w:hAnsi="Times New Roman"/>
          <w:sz w:val="17"/>
          <w:szCs w:val="17"/>
          <w:b w:val="1"/>
          <w:bCs w:val="1"/>
          <w:u w:val="single" w:color="auto"/>
          <w:color w:val="auto"/>
        </w:rPr>
        <w:t>Consolidated Statements of Shareholders’ Equity</w:t>
      </w:r>
    </w:p>
    <w:p>
      <w:pPr>
        <w:spacing w:after="0" w:line="21" w:lineRule="exact"/>
        <w:rPr>
          <w:sz w:val="20"/>
          <w:szCs w:val="20"/>
          <w:color w:val="auto"/>
        </w:rPr>
      </w:pPr>
    </w:p>
    <w:p>
      <w:pPr>
        <w:jc w:val="center"/>
        <w:ind w:right="3720"/>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ind w:right="3720"/>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20" w:type="dxa"/>
            <w:vAlign w:val="bottom"/>
            <w:gridSpan w:val="3"/>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8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59"/>
        </w:trPr>
        <w:tc>
          <w:tcPr>
            <w:tcW w:w="240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tcBorders>
              <w:bottom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60" w:type="dxa"/>
            <w:vAlign w:val="bottom"/>
          </w:tcPr>
          <w:p>
            <w:pPr>
              <w:spacing w:after="0"/>
              <w:rPr>
                <w:sz w:val="22"/>
                <w:szCs w:val="22"/>
                <w:color w:val="auto"/>
              </w:rPr>
            </w:pPr>
          </w:p>
        </w:tc>
        <w:tc>
          <w:tcPr>
            <w:tcW w:w="1260" w:type="dxa"/>
            <w:vAlign w:val="bottom"/>
            <w:gridSpan w:val="2"/>
          </w:tcPr>
          <w:p>
            <w:pPr>
              <w:jc w:val="center"/>
              <w:ind w:right="401"/>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160" w:type="dxa"/>
            <w:vAlign w:val="bottom"/>
          </w:tcPr>
          <w:p>
            <w:pPr>
              <w:spacing w:after="0"/>
              <w:rPr>
                <w:sz w:val="22"/>
                <w:szCs w:val="22"/>
                <w:color w:val="auto"/>
              </w:rPr>
            </w:pPr>
          </w:p>
        </w:tc>
        <w:tc>
          <w:tcPr>
            <w:tcW w:w="10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36"/>
        </w:trPr>
        <w:tc>
          <w:tcPr>
            <w:tcW w:w="14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60" w:type="dxa"/>
            <w:vAlign w:val="bottom"/>
          </w:tcPr>
          <w:p>
            <w:pPr>
              <w:spacing w:after="0"/>
              <w:rPr>
                <w:sz w:val="20"/>
                <w:szCs w:val="20"/>
                <w:color w:val="auto"/>
              </w:rPr>
            </w:pPr>
          </w:p>
        </w:tc>
        <w:tc>
          <w:tcPr>
            <w:tcW w:w="1260" w:type="dxa"/>
            <w:vAlign w:val="bottom"/>
            <w:gridSpan w:val="2"/>
          </w:tcPr>
          <w:p>
            <w:pPr>
              <w:jc w:val="center"/>
              <w:ind w:right="401"/>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60" w:type="dxa"/>
            <w:vAlign w:val="bottom"/>
          </w:tcPr>
          <w:p>
            <w:pPr>
              <w:spacing w:after="0"/>
              <w:rPr>
                <w:sz w:val="20"/>
                <w:szCs w:val="20"/>
                <w:color w:val="auto"/>
              </w:rPr>
            </w:pPr>
          </w:p>
        </w:tc>
        <w:tc>
          <w:tcPr>
            <w:tcW w:w="10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34"/>
        </w:trPr>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7,108,133</w:t>
            </w:r>
          </w:p>
        </w:tc>
        <w:tc>
          <w:tcPr>
            <w:tcW w:w="340" w:type="dxa"/>
            <w:vAlign w:val="bottom"/>
          </w:tcPr>
          <w:p>
            <w:pPr>
              <w:spacing w:after="0"/>
              <w:rPr>
                <w:sz w:val="20"/>
                <w:szCs w:val="20"/>
                <w:color w:val="auto"/>
              </w:rPr>
            </w:pPr>
          </w:p>
        </w:tc>
        <w:tc>
          <w:tcPr>
            <w:tcW w:w="920" w:type="dxa"/>
            <w:vAlign w:val="bottom"/>
            <w:tcBorders>
              <w:top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34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69,902</w:t>
            </w:r>
          </w:p>
        </w:tc>
        <w:tc>
          <w:tcPr>
            <w:tcW w:w="3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(55,593)</w:t>
            </w:r>
          </w:p>
        </w:tc>
        <w:tc>
          <w:tcPr>
            <w:tcW w:w="3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14,381</w:t>
            </w:r>
          </w:p>
        </w:tc>
        <w:tc>
          <w:tcPr>
            <w:tcW w:w="60" w:type="dxa"/>
            <w:vAlign w:val="bottom"/>
            <w:gridSpan w:val="2"/>
          </w:tcPr>
          <w:p>
            <w:pPr>
              <w:spacing w:after="0"/>
              <w:rPr>
                <w:sz w:val="20"/>
                <w:szCs w:val="20"/>
                <w:color w:val="auto"/>
              </w:rPr>
            </w:pPr>
          </w:p>
        </w:tc>
      </w:tr>
      <w:tr>
        <w:trPr>
          <w:trHeight w:val="395"/>
        </w:trPr>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782,495</w:t>
            </w:r>
          </w:p>
        </w:tc>
        <w:tc>
          <w:tcPr>
            <w:tcW w:w="920" w:type="dxa"/>
            <w:vAlign w:val="bottom"/>
          </w:tcPr>
          <w:p>
            <w:pPr>
              <w:spacing w:after="0"/>
              <w:rPr>
                <w:sz w:val="24"/>
                <w:szCs w:val="24"/>
                <w:color w:val="auto"/>
              </w:rPr>
            </w:pP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4"/>
                <w:szCs w:val="24"/>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4,316</w:t>
            </w:r>
          </w:p>
        </w:tc>
        <w:tc>
          <w:tcPr>
            <w:tcW w:w="160" w:type="dxa"/>
            <w:vAlign w:val="bottom"/>
          </w:tcPr>
          <w:p>
            <w:pPr>
              <w:spacing w:after="0"/>
              <w:rPr>
                <w:sz w:val="24"/>
                <w:szCs w:val="24"/>
                <w:color w:val="auto"/>
              </w:rPr>
            </w:pPr>
          </w:p>
        </w:tc>
        <w:tc>
          <w:tcPr>
            <w:tcW w:w="12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4,324</w:t>
            </w:r>
          </w:p>
        </w:tc>
        <w:tc>
          <w:tcPr>
            <w:tcW w:w="40" w:type="dxa"/>
            <w:vAlign w:val="bottom"/>
          </w:tcPr>
          <w:p>
            <w:pPr>
              <w:spacing w:after="0"/>
              <w:rPr>
                <w:sz w:val="24"/>
                <w:szCs w:val="24"/>
                <w:color w:val="auto"/>
              </w:rPr>
            </w:pPr>
          </w:p>
        </w:tc>
      </w:tr>
      <w:tr>
        <w:trPr>
          <w:trHeight w:val="216"/>
        </w:trPr>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1,752</w:t>
            </w:r>
          </w:p>
        </w:tc>
        <w:tc>
          <w:tcPr>
            <w:tcW w:w="160" w:type="dxa"/>
            <w:vAlign w:val="bottom"/>
          </w:tcPr>
          <w:p>
            <w:pPr>
              <w:spacing w:after="0"/>
              <w:rPr>
                <w:sz w:val="18"/>
                <w:szCs w:val="18"/>
                <w:color w:val="auto"/>
              </w:rPr>
            </w:pPr>
          </w:p>
        </w:tc>
        <w:tc>
          <w:tcPr>
            <w:tcW w:w="12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1,752</w:t>
            </w:r>
          </w:p>
        </w:tc>
        <w:tc>
          <w:tcPr>
            <w:tcW w:w="40" w:type="dxa"/>
            <w:vAlign w:val="bottom"/>
          </w:tcPr>
          <w:p>
            <w:pPr>
              <w:spacing w:after="0"/>
              <w:rPr>
                <w:sz w:val="18"/>
                <w:szCs w:val="18"/>
                <w:color w:val="auto"/>
              </w:rPr>
            </w:pPr>
          </w:p>
        </w:tc>
      </w:tr>
      <w:tr>
        <w:trPr>
          <w:trHeight w:val="255"/>
        </w:trPr>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2"/>
                <w:szCs w:val="22"/>
                <w:color w:val="auto"/>
              </w:rPr>
            </w:pP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(13,168)</w:t>
            </w:r>
          </w:p>
        </w:tc>
        <w:tc>
          <w:tcPr>
            <w:tcW w:w="160" w:type="dxa"/>
            <w:vAlign w:val="bottom"/>
          </w:tcPr>
          <w:p>
            <w:pPr>
              <w:spacing w:after="0"/>
              <w:rPr>
                <w:sz w:val="22"/>
                <w:szCs w:val="22"/>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(13,168)</w:t>
            </w:r>
          </w:p>
        </w:tc>
      </w:tr>
      <w:tr>
        <w:trPr>
          <w:trHeight w:val="229"/>
        </w:trPr>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7,890,628</w:t>
            </w:r>
          </w:p>
        </w:tc>
        <w:tc>
          <w:tcPr>
            <w:tcW w:w="3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75,970</w:t>
            </w: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(68,761</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7,289</w:t>
            </w:r>
          </w:p>
        </w:tc>
        <w:tc>
          <w:tcPr>
            <w:tcW w:w="40" w:type="dxa"/>
            <w:vAlign w:val="bottom"/>
          </w:tcPr>
          <w:p>
            <w:pPr>
              <w:spacing w:after="0"/>
              <w:rPr>
                <w:sz w:val="19"/>
                <w:szCs w:val="19"/>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-2369185</wp:posOffset>
            </wp:positionH>
            <wp:positionV relativeFrom="paragraph">
              <wp:posOffset>-890905</wp:posOffset>
            </wp:positionV>
            <wp:extent cx="7132320" cy="146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-471170</wp:posOffset>
            </wp:positionV>
            <wp:extent cx="713232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-179070</wp:posOffset>
            </wp:positionV>
            <wp:extent cx="7132320" cy="1625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60" w:space="380"/>
            <w:col w:w="7500"/>
          </w:cols>
          <w:pgMar w:left="320" w:top="657" w:right="339" w:bottom="1440" w:gutter="0" w:footer="0" w:header="0"/>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2020</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7,108,133</w:t>
            </w:r>
          </w:p>
        </w:tc>
        <w:tc>
          <w:tcPr>
            <w:tcW w:w="70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72</w:t>
            </w:r>
          </w:p>
        </w:tc>
        <w:tc>
          <w:tcPr>
            <w:tcW w:w="5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68,516</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(44,280)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24,308</w:t>
            </w:r>
          </w:p>
        </w:tc>
        <w:tc>
          <w:tcPr>
            <w:tcW w:w="8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1,386</w:t>
            </w:r>
          </w:p>
        </w:tc>
        <w:tc>
          <w:tcPr>
            <w:tcW w:w="320" w:type="dxa"/>
            <w:vAlign w:val="bottom"/>
          </w:tcPr>
          <w:p>
            <w:pPr>
              <w:spacing w:after="0"/>
              <w:rPr>
                <w:sz w:val="18"/>
                <w:szCs w:val="18"/>
                <w:color w:val="auto"/>
              </w:rPr>
            </w:pPr>
          </w:p>
        </w:tc>
        <w:tc>
          <w:tcPr>
            <w:tcW w:w="11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1,386</w:t>
            </w:r>
          </w:p>
        </w:tc>
        <w:tc>
          <w:tcPr>
            <w:tcW w:w="80" w:type="dxa"/>
            <w:vAlign w:val="bottom"/>
          </w:tcPr>
          <w:p>
            <w:pPr>
              <w:spacing w:after="0"/>
              <w:rPr>
                <w:sz w:val="18"/>
                <w:szCs w:val="18"/>
                <w:color w:val="auto"/>
              </w:rPr>
            </w:pPr>
          </w:p>
        </w:tc>
      </w:tr>
      <w:tr>
        <w:trPr>
          <w:trHeight w:val="250"/>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(11,313)</w:t>
            </w:r>
          </w:p>
        </w:tc>
        <w:tc>
          <w:tcPr>
            <w:tcW w:w="32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(11,313)</w:t>
            </w:r>
          </w:p>
        </w:tc>
      </w:tr>
      <w:tr>
        <w:trPr>
          <w:trHeight w:val="217"/>
        </w:trPr>
        <w:tc>
          <w:tcPr>
            <w:tcW w:w="41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Balances, December 31, 2021</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7,108,133</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69,902</w:t>
            </w:r>
          </w:p>
        </w:tc>
        <w:tc>
          <w:tcPr>
            <w:tcW w:w="34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(55,593</w:t>
            </w:r>
          </w:p>
        </w:tc>
        <w:tc>
          <w:tcPr>
            <w:tcW w:w="320" w:type="dxa"/>
            <w:vAlign w:val="bottom"/>
            <w:tcBorders>
              <w:top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14,381</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440" w:type="dxa"/>
            <w:vAlign w:val="bottom"/>
          </w:tcPr>
          <w:p>
            <w:pPr>
              <w:spacing w:after="0"/>
              <w:rPr>
                <w:sz w:val="21"/>
                <w:szCs w:val="21"/>
                <w:color w:val="auto"/>
              </w:rPr>
            </w:pPr>
          </w:p>
        </w:tc>
        <w:tc>
          <w:tcPr>
            <w:tcW w:w="3800" w:type="dxa"/>
            <w:vAlign w:val="bottom"/>
            <w:gridSpan w:val="7"/>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0" w:type="dxa"/>
            <w:vAlign w:val="bottom"/>
          </w:tcPr>
          <w:p>
            <w:pPr>
              <w:spacing w:after="0"/>
              <w:rPr>
                <w:sz w:val="1"/>
                <w:szCs w:val="1"/>
                <w:color w:val="auto"/>
              </w:rPr>
            </w:pPr>
          </w:p>
        </w:tc>
      </w:tr>
      <w:tr>
        <w:trPr>
          <w:trHeight w:val="237"/>
        </w:trPr>
        <w:tc>
          <w:tcPr>
            <w:tcW w:w="7440" w:type="dxa"/>
            <w:vAlign w:val="bottom"/>
            <w:tcBorders>
              <w:bottom w:val="single" w:sz="8" w:color="CCEEFF"/>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2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tcPr>
          <w:p>
            <w:pPr>
              <w:jc w:val="right"/>
              <w:ind w:right="91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(13,168)</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(11,313)</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flows used in operating activities:</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102</w:t>
            </w:r>
          </w:p>
        </w:tc>
        <w:tc>
          <w:tcPr>
            <w:tcW w:w="3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 from marketable securities</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(12)</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1,752</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13</w:t>
            </w:r>
          </w:p>
        </w:tc>
        <w:tc>
          <w:tcPr>
            <w:tcW w:w="3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payables and accrued liabilities</w:t>
            </w:r>
          </w:p>
        </w:tc>
        <w:tc>
          <w:tcPr>
            <w:tcW w:w="1080" w:type="dxa"/>
            <w:vAlign w:val="bottom"/>
          </w:tcPr>
          <w:p>
            <w:pPr>
              <w:spacing w:after="0"/>
              <w:rPr>
                <w:sz w:val="20"/>
                <w:szCs w:val="20"/>
                <w:color w:val="auto"/>
              </w:rPr>
            </w:pPr>
          </w:p>
        </w:tc>
        <w:tc>
          <w:tcPr>
            <w:tcW w:w="9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(241)</w:t>
            </w:r>
          </w:p>
        </w:tc>
        <w:tc>
          <w:tcPr>
            <w:tcW w:w="380" w:type="dxa"/>
            <w:vAlign w:val="bottom"/>
          </w:tcPr>
          <w:p>
            <w:pPr>
              <w:spacing w:after="0"/>
              <w:rPr>
                <w:sz w:val="20"/>
                <w:szCs w:val="20"/>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36"/>
        </w:trPr>
        <w:tc>
          <w:tcPr>
            <w:tcW w:w="74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108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(11,549</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(9,354</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74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Investing activities:</w:t>
            </w: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deposit</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080" w:type="dxa"/>
            <w:vAlign w:val="bottom"/>
          </w:tcPr>
          <w:p>
            <w:pPr>
              <w:spacing w:after="0"/>
              <w:rPr>
                <w:sz w:val="18"/>
                <w:szCs w:val="18"/>
                <w:color w:val="auto"/>
              </w:rPr>
            </w:pPr>
          </w:p>
        </w:tc>
        <w:tc>
          <w:tcPr>
            <w:tcW w:w="9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(84)</w:t>
            </w:r>
          </w:p>
        </w:tc>
        <w:tc>
          <w:tcPr>
            <w:tcW w:w="38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investment</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1080" w:type="dxa"/>
            <w:vAlign w:val="bottom"/>
          </w:tcPr>
          <w:p>
            <w:pPr>
              <w:spacing w:after="0"/>
              <w:rPr>
                <w:sz w:val="18"/>
                <w:szCs w:val="18"/>
                <w:color w:val="auto"/>
              </w:rPr>
            </w:pPr>
          </w:p>
        </w:tc>
        <w:tc>
          <w:tcPr>
            <w:tcW w:w="9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(3,749)</w:t>
            </w:r>
          </w:p>
        </w:tc>
        <w:tc>
          <w:tcPr>
            <w:tcW w:w="3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sales of marketable security</w:t>
            </w:r>
          </w:p>
        </w:tc>
        <w:tc>
          <w:tcPr>
            <w:tcW w:w="10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Net cash flows provided by (used in) investing activities</w:t>
            </w:r>
          </w:p>
        </w:tc>
        <w:tc>
          <w:tcPr>
            <w:tcW w:w="10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(3,836</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3,200</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and warrants net of issuance costs</w:t>
            </w:r>
          </w:p>
        </w:tc>
        <w:tc>
          <w:tcPr>
            <w:tcW w:w="1080" w:type="dxa"/>
            <w:vAlign w:val="bottom"/>
          </w:tcPr>
          <w:p>
            <w:pPr>
              <w:spacing w:after="0"/>
              <w:rPr>
                <w:sz w:val="20"/>
                <w:szCs w:val="20"/>
                <w:color w:val="auto"/>
              </w:rPr>
            </w:pP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4,324</w:t>
            </w:r>
          </w:p>
        </w:tc>
        <w:tc>
          <w:tcPr>
            <w:tcW w:w="38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4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flows provided by financing activities</w:t>
            </w:r>
          </w:p>
        </w:tc>
        <w:tc>
          <w:tcPr>
            <w:tcW w:w="108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(11,061)</w:t>
            </w:r>
          </w:p>
        </w:tc>
        <w:tc>
          <w:tcPr>
            <w:tcW w:w="3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(6,154)</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080" w:type="dxa"/>
            <w:vAlign w:val="bottom"/>
          </w:tcPr>
          <w:p>
            <w:pPr>
              <w:spacing w:after="0"/>
              <w:rPr>
                <w:sz w:val="20"/>
                <w:szCs w:val="20"/>
                <w:color w:val="auto"/>
              </w:rPr>
            </w:pP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13,580</w:t>
            </w:r>
          </w:p>
        </w:tc>
        <w:tc>
          <w:tcPr>
            <w:tcW w:w="380" w:type="dxa"/>
            <w:vAlign w:val="bottom"/>
          </w:tcPr>
          <w:p>
            <w:pPr>
              <w:spacing w:after="0"/>
              <w:rPr>
                <w:sz w:val="20"/>
                <w:szCs w:val="20"/>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19,734</w:t>
            </w:r>
          </w:p>
        </w:tc>
        <w:tc>
          <w:tcPr>
            <w:tcW w:w="0" w:type="dxa"/>
            <w:vAlign w:val="bottom"/>
          </w:tcPr>
          <w:p>
            <w:pPr>
              <w:spacing w:after="0"/>
              <w:rPr>
                <w:sz w:val="1"/>
                <w:szCs w:val="1"/>
                <w:color w:val="auto"/>
              </w:rPr>
            </w:pPr>
          </w:p>
        </w:tc>
      </w:tr>
      <w:tr>
        <w:trPr>
          <w:trHeight w:val="229"/>
        </w:trPr>
        <w:tc>
          <w:tcPr>
            <w:tcW w:w="74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at ending of period</w:t>
            </w:r>
          </w:p>
        </w:tc>
        <w:tc>
          <w:tcPr>
            <w:tcW w:w="1080" w:type="dxa"/>
            <w:vAlign w:val="bottom"/>
            <w:tcBorders>
              <w:top w:val="single" w:sz="8" w:color="auto"/>
              <w:bottom w:val="single" w:sz="8" w:color="auto"/>
            </w:tcBorders>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13,580</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received from interest</w:t>
            </w:r>
          </w:p>
        </w:tc>
        <w:tc>
          <w:tcPr>
            <w:tcW w:w="108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51</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Right-of-use assets and lease liability</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40" w:type="dxa"/>
            <w:vAlign w:val="bottom"/>
            <w:vMerge w:val="continue"/>
          </w:tcPr>
          <w:p>
            <w:pPr>
              <w:spacing w:after="0"/>
              <w:rPr>
                <w:sz w:val="17"/>
                <w:szCs w:val="17"/>
                <w:color w:val="auto"/>
              </w:rPr>
            </w:pPr>
          </w:p>
        </w:tc>
        <w:tc>
          <w:tcPr>
            <w:tcW w:w="1080" w:type="dxa"/>
            <w:vAlign w:val="bottom"/>
            <w:tcBorders>
              <w:bottom w:val="single" w:sz="8" w:color="auto"/>
            </w:tcBorders>
          </w:tcPr>
          <w:p>
            <w:pPr>
              <w:jc w:val="right"/>
              <w:ind w:right="91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320" w:type="dxa"/>
            <w:vAlign w:val="bottom"/>
            <w:vMerge w:val="continue"/>
          </w:tcPr>
          <w:p>
            <w:pPr>
              <w:spacing w:after="0"/>
              <w:rPr>
                <w:sz w:val="17"/>
                <w:szCs w:val="17"/>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GENERAL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A.  Description of business:</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Microbot Medical Inc. (the “Company”) is a pre-clinical medical device company specializing in the research, design and development of next generation micro-robotics assisted medical technologies targeting the minimally invasive surgery space. The Company is primarily focused on leveraging its micro-robotic technologies with the goal of redefining surgical robotics while improving surgical outcomes for patients.</w:t>
      </w:r>
    </w:p>
    <w:p>
      <w:pPr>
        <w:spacing w:after="0" w:line="180"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incorporated on August 2, 1988 in the State of Delaware under the name Cellular Transplants, Inc. The original Certificate of Incorporation was restated on February 14, 1992 to change the name of the Company to Cyto Therapeutics, Inc. On May 24, 2000, the Certificate of Incorporation as restated was further amended to change the name of the Company to StemCells, Inc.</w:t>
      </w:r>
    </w:p>
    <w:p>
      <w:pPr>
        <w:spacing w:after="0" w:line="176"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On November 28, 2016, the Company consummated a transaction pursuant to an Agreement and Plan of Merger, dated August 15, 2016, with Microbot Medical Ltd., a private medical device company organized under the laws of the State of Israel (“Microbot Israel”). On the same day and in connection with the Merger, the Company changed its name from StemCells, Inc. to Microbot Medical Inc. On November 29, 2016, the Company’s common stock began trading on the Nasdaq Capital Market under the symbol “MBOT”.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and its subsidiary are sometimes collectively referred to as the “Company” as the context may require.</w:t>
      </w:r>
    </w:p>
    <w:p>
      <w:pPr>
        <w:spacing w:after="0" w:line="221" w:lineRule="exact"/>
        <w:rPr>
          <w:sz w:val="20"/>
          <w:szCs w:val="20"/>
          <w:color w:val="auto"/>
        </w:rPr>
      </w:pPr>
    </w:p>
    <w:p>
      <w:pPr>
        <w:ind w:left="98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B.</w:t>
        <w:tab/>
        <w:t>Risk Factors:</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To date, the Company has not generated revenues from its operations. As of December 31, 2022, the Company had cash equivalents and marketable securities balance of approximately $8,202 excluding encumbered cash, which management believes is sufficient to fund its operations for additional 4 months form the date of this annual report. As of the issuance date, there is a substantial doubt as to the Company’s ability to continue as a going concern.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7"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Due to continuing research and development activities, the Company expects to continue to incur additional losses for the foreseeable future. While management of the Company believes that it has sufficient funds until August 2023, the Company will seek to raise additional funds through future issuances of either debt and/or equity securities and possibly additional grants from the Israeli Innovation Authority and other government institutions. The Company’s ability to raise additional capital in the equity and debt markets is dependent on a number of factors, including, but not limited to, the market demand for the Company’s stock, which itself is subject to a number of development and business risks and uncertainties, as well as the uncertainty that the Company would be able to raise such additional capital at a price or on terms that are favorable to the Company.</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C.  Use of estimates: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pertaining to transactions and matters whose ultimate effect on the financial statements cannot precisely be determined at the time of financial statements preparation. Although these estimates are based on management’s best judgment, actual results may differ from these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significant accounting policies applied in the preparation of the financial statements are as follows:</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A.  Basis of presentation:</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financial statements have been prepared in conformity with accounting principles generally accepted in the United States of America (“US GAAP”).</w:t>
      </w:r>
    </w:p>
    <w:p>
      <w:pPr>
        <w:spacing w:after="0" w:line="158" w:lineRule="exact"/>
        <w:rPr>
          <w:sz w:val="20"/>
          <w:szCs w:val="20"/>
          <w:color w:val="auto"/>
        </w:rPr>
      </w:pPr>
    </w:p>
    <w:p>
      <w:pPr>
        <w:ind w:left="98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B.</w:t>
        <w:tab/>
        <w:t>Financial statement in U.S. dollars:</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functional currency of the Company is the U.S. dollar (“dollar”) since the dollar is the currency of the primary economic environment in which the Company has operated and expects to continue to operate in the foreseeable future.</w:t>
      </w:r>
    </w:p>
    <w:p>
      <w:pPr>
        <w:spacing w:after="0" w:line="162"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Transactions and balances denominated in dollars are presented at their original amounts. Transactions and balances denominated in foreign currencies have been re-measured to dollars in accordance with the provisions of Accounting Standards Codification (“ASC”) 830-10, “Foreign Currency Translation”.</w:t>
      </w:r>
    </w:p>
    <w:p>
      <w:pPr>
        <w:spacing w:after="0" w:line="176"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All transaction gains and losses from re-measurement of monetary balance sheet items denominated in non-dollar currencies are reflected in the statement of operations as financial income or expenses, as appropriate.</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C.  Principles of consolidation:</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 owned subsidiary. Inter-company balances and transactions have been eliminated in consolidation.</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D.  Cash and cash equivalents:</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cash and demand deposits in banks, and other short-term liquid investments (primarily interest-bearing time deposits) with original maturities of three months or less at the date of purchase.</w:t>
      </w:r>
    </w:p>
    <w:p>
      <w:pPr>
        <w:spacing w:after="0" w:line="158" w:lineRule="exact"/>
        <w:rPr>
          <w:sz w:val="20"/>
          <w:szCs w:val="20"/>
          <w:color w:val="auto"/>
        </w:rPr>
      </w:pPr>
    </w:p>
    <w:p>
      <w:pPr>
        <w:ind w:left="98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E.</w:t>
        <w:tab/>
        <w:t>Restricted cash:</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Restricted cash as of December 31, 2022 and 2021 included an $77 and $87, respectively, collateral account for the Company’s leases agreements and credit line from the bank.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6" w:name="page87"/>
    <w:bookmarkEnd w:id="86"/>
    <w:p>
      <w:pPr>
        <w:jc w:val="center"/>
        <w:ind w:right="980"/>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ind w:left="320" w:hanging="320"/>
        <w:spacing w:after="0"/>
        <w:tabs>
          <w:tab w:leader="none" w:pos="32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values of cash and cash equivalents, other receivable and other accounts payable and accrued liabilities approximate their fair value due to the short-term maturity of these instruments.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measures the fair value of certain of its financial instruments (such as marketable securities) on a recurring basis. The method of determining the fair value of marketable securities is discussed in Note 4.</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Quoted prices (unadjusted) in active markets for identical assets and liabilities.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Inputs other than Level 1 that are observable, either directly or indirectly, such as unadjusted quoted prices for similar assets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 unadjusted quoted prices in the markets that are not active, or other inputs that are observable or can be corroborated by observable market data for substantially the full term of the assets or liabilities.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Unobservable inputs that are supported by little or no market activity and that are significant to the fair value of the assets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Concentrations of credit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credit risk consist primarily of cash and cash equivalents and marketable securities. The Company holds these investments in highly rated financial institutions. These amounts at times may exceed federally insured limits. The Company has not experienced any credit losses in such accounts and does not believe it is exposed to any significant credit risk on these funds. The Company has no off-balance sheet concentrations of credit risk, such as foreign currency exchange contracts, option contracts, or other hedging arrangements.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Property and equipment: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Property and equipment are presented at cost less accumulated depreciation. Depreciation is calculated based on the straight-line method over the estimated useful lives of the assets, at the following annual rates:</w:t>
      </w:r>
    </w:p>
    <w:p>
      <w:pPr>
        <w:spacing w:after="0" w:line="171" w:lineRule="exact"/>
        <w:rPr>
          <w:sz w:val="20"/>
          <w:szCs w:val="20"/>
          <w:color w:val="auto"/>
        </w:rPr>
      </w:pPr>
    </w:p>
    <w:tbl>
      <w:tblPr>
        <w:tblLayout w:type="fixed"/>
        <w:tblInd w:w="16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6460" w:type="dxa"/>
            <w:vAlign w:val="bottom"/>
          </w:tcPr>
          <w:p>
            <w:pPr>
              <w:spacing w:after="0"/>
              <w:rPr>
                <w:sz w:val="21"/>
                <w:szCs w:val="21"/>
                <w:color w:val="auto"/>
              </w:rPr>
            </w:pPr>
          </w:p>
        </w:tc>
        <w:tc>
          <w:tcPr>
            <w:tcW w:w="242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equipment and software</w:t>
            </w:r>
          </w:p>
        </w:tc>
        <w:tc>
          <w:tcPr>
            <w:tcW w:w="242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25-33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242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5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Over the lease period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320" w:hanging="320"/>
        <w:spacing w:after="0"/>
        <w:tabs>
          <w:tab w:leader="none" w:pos="32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Liabilities due to termination of employment agreements: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Israeli employment laws, employees of Microbot Israel are included under Article 14 of the Severance Compensation Act, 1963 (“Article 14”). According to Article 14, these employees are entitled to monthly deposits made by Microbot Israel on their behalf with insurance companies. Payments in accordance with Article 14 release Microbot Israel from any future severance payments (under the Israeli Severance Compensation Act, 1963) with respect of those employees. The aforementioned deposits are not recorded as an asset in the Company’s balance sheets.</w:t>
      </w:r>
    </w:p>
    <w:p>
      <w:pPr>
        <w:spacing w:after="0" w:line="18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57" w:right="339" w:bottom="1440" w:gutter="0" w:footer="0" w:header="0"/>
        </w:sectPr>
      </w:pPr>
    </w:p>
    <w:bookmarkStart w:id="87" w:name="page88"/>
    <w:bookmarkEnd w:id="87"/>
    <w:p>
      <w:pPr>
        <w:jc w:val="center"/>
        <w:ind w:right="980"/>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ind w:left="320" w:hanging="320"/>
        <w:spacing w:after="0"/>
        <w:tabs>
          <w:tab w:leader="none" w:pos="32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Basic and diluted net loss per share: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net loss per share is calculated by dividing net loss attributable to common stock shareholders by the weighted average number of shares of common stock outstanding during the year without consideration of potentially dilutive securities. Diluted net loss per share is calculated by giving effect to all potentially dilutive securities outstanding for the period using the treasury share method.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outstanding stock options and warrants have been excluded from the calculation of the diluted loss per share for the years ended December 31, 2022 and December 31, 2021, since all such securities have an anti-dilutive effect.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  Research and development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are charged to the statement of comprehensive loss as incurred. Grants for funding of approved research and development projects are recognized at the time the Company is entitled to such grants, on the basis of the costs incurred and applied as a deduction from the research and development expenses.</w:t>
      </w:r>
    </w:p>
    <w:p>
      <w:pPr>
        <w:spacing w:after="0" w:line="17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L.</w:t>
        <w:tab/>
        <w:t>Share-based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applies ASC 718-10, “Share-Based Payment” (“ASC 718-10”), which requires the measurement and recognition of compensation expenses for all share-based payment awards made to employees and directors including stock options under the Company’s stock plans based on estimated fair values.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ASC 718-10 requires companies to estimate the fair value of stock options using an option-pricing model, which is recognized as an expense over the requisite service periods in the Company’s statement of comprehensive loss, based on a straight-line method. The Company recognizes compensation cost for an equity classified award with only service conditions that has a graded vesting schedule on a straight-line basis over the requisite service period for the entire award, provided that the cumulative amount of compensation cost recognized at any date at least equals the portion of the grant date fair value of such award that is vested at that date.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accounts for shares and warrant grants issued to non-employees using the guidance of ASU No. 2018-07 “Compensation - Stock Compensation (Topic 718): Improvements to Nonemployee Share-Based Payment Accounting.” which expand the scope of Topic 718, Compensation - Stock Compensation (which currently only includes share-based payments to employees) to include share-based payments issued to nonemployees for goods or services.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estimates the fair value of stock options granted as share-based payment awards using a Black-Scholes options pricing model. The option-pricing model requires a number of assumptions, of which the most significant are expected volatility and the expected option term (the time from the grant date until the options are exercised or expire). Expected volatility is estimated based on volatility of similar companies in the technology sector for equity awards granted prior to the Merger and on the Company’s trading share price for equity awards granted subsequent to the Merger. The Company has historically not paid dividends and has no foreseeable plans to issue dividends. The risk-free interest rate is based on the yield from governmental zero-coupon bonds with an equivalent term.</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expected stock option term is calculated for stock options granted to employees and directors using the “simplified” method. Grants to non-employees are based on the contractual term. Changes in the determination of each of the inputs can affect the fair value of the stock options granted and the results of operations of the Company.</w:t>
      </w:r>
    </w:p>
    <w:p>
      <w:pPr>
        <w:spacing w:after="0" w:line="17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57" w:right="339" w:bottom="1440" w:gutter="0" w:footer="0" w:header="0"/>
        </w:sectPr>
      </w:pPr>
    </w:p>
    <w:bookmarkStart w:id="88" w:name="page89"/>
    <w:bookmarkEnd w:id="88"/>
    <w:p>
      <w:pPr>
        <w:jc w:val="center"/>
        <w:ind w:right="980"/>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 Income Taxes: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provides for income taxes using the asset and liability approach. Deferred tax assets and liabilities are recorded based on the differences between the financial statement and tax bases of assets and liabilities and the tax rates in effect when these differences are expected to reverse. Deferred tax assets are reduced by a valuation allowance if, based on the weight of available evidence, it is more likely than not that some or all of the deferred tax assets will not be realized. As of December 31, 2022, and 2021, the Company had a full valuation allowance against deferred tax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  Marketable securities: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invests in various debt securities and an equity security. Debt securities consist of U.S. treasury securities. Equity security consist of a mutual fund. The Company records these investments in the consolidated balance sheet at fair value. For all of the Company’s debt securities, the Company elected the fair value option and thus all unrealized gains or losses for these securities are included in financing income, net. Unrealized gains or losses for the equity security are included in financing income, net. The Company classifies its investments as current based on the nature of the investments and their availability for use in current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  Leases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implements ASU 2016-02, Leases (“Topic 842”). This ASU requires entities that lease assets to recognize on the balance sheet the assets and liabilities for the rights and obligations created by leases with lease terms of more than 12 months.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Arrangements that are determined to be leases at inception are recognized as long-term right-of-use assets (“ROU”) and lease liabilities in the balance sheet at lease commencement. Operating lease ROU assets and operating lease liabilities are recognized based on the present value of the future fixed lease payments over the lease term at commencement date. As most of the Company’s leases do not provide an implicit rate, the Company applies its incremental borrowing rate based on the economic environment at commencement date in determining the present value of future payments. Lease terms may include options to extend or terminate the lease when it is reasonably certain that the Company will exercise that option. Lease expense for operating leases or payments are recognized on a straight-line basis over the lease term.</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Operating lease assets are presented as operating lease ROU assets, and corresponding as lease liabilities (current portion), and as operating long-term lease liabilities, on the Company’s consolidated balance sheets.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Operating lease ROU assets and operating lease liabilities are recognized based on the present value of the remaining lease payments over the lease term at commencement date. The Company’s leases do not provide an implicit interest rate. The Company calculates the incremental borrowing rate to reflect the interest rate that it would have to pay to borrow on a collateralized basis an amount equal to the lease payments in a similar economic environment over a similar term and considers the Company’s historical borrowing activities and market data in this determination. The operating lease ROU asset also includes any lease payments made and excludes lease incentives and initial direct costs incurred. The Company’s lease terms may include options to extend or terminate the lease when it is reasonably certain that it will exercise that option. Lease expense for minimum lease payments is recognized on a straight-line basis over the lease term.</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lease agreements with lease and non-lease components, which it accounts for as a single lease component. The Company has elected not to recognize ROU assets and lease liabilities for short-term leases that have a term of 12 months or less. The effect of short-term leases on the Company’s ROU assets and lease liabilities was not material. The Company’s lease agreements do not contain any material residual value guarantees or material restrictive covenants. In addition, the Company does not have any related party leases and its sublease transactions are de minimis.</w:t>
      </w:r>
    </w:p>
    <w:p>
      <w:pPr>
        <w:spacing w:after="0" w:line="18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57"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ind w:left="1300" w:hanging="320"/>
        <w:spacing w:after="0"/>
        <w:tabs>
          <w:tab w:leader="none" w:pos="130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Management records and discloses legal contingencies in accordance with ASC Topic 450 Contingencies. A provision is recorded when it is both probable that a liability has been incurred and the amount of the loss can be reasonably estimated. The Company monitors the stage of progress of its litigation matters to determine if any adjustments are required.</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Q</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Government grants</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Government grants which are received from the IIA by way of participation in research and development that is conducted by the Company, are received in installments as the program progresses based on qualified research spending. Grants received are recognized when the grant becomes receivable, provided there was reasonable assurance that the Company will comply with the conditions attached to the grant and there was reasonable assurance the grant will be received.</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R.  Recently issued accounting pronouncements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FASB, or other standard setting bodies and adopted by the Company as of the specified effective date. Unless otherwise discussed, the impact of recently issued standards that are not yet effective will not have a material impact on our financial position or results of operations upon adoption.</w:t>
      </w:r>
    </w:p>
    <w:p>
      <w:pPr>
        <w:spacing w:after="0" w:line="176"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In November 2021, the FASB issued ASU 2021-10, Government Assistance (Topic 832), Disclosures by Business Entities About Government Assistance, which requires entities to provide disclosures on material government assistance transactions for annual reporting periods. The disclosures include information around the nature of the assistance, the related accounting policies used to account for government assistance, the effect of government assistance on the entity’s financial statements, and any significant terms and conditions of the agreements, including commitments and contingencies. The new standard is effective for the Company on January 1, 2022 and only impacts annual financial statement footnote disclosures. Refer to Note 2Q above.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CASH AND CASH EQUIVALENTS AND MARKETABLE SECURITIES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sets forth our cash, cash equivalents and marketable securities as of December 31, 2022 and 2021:</w:t>
      </w:r>
    </w:p>
    <w:p>
      <w:pPr>
        <w:spacing w:after="0" w:line="235" w:lineRule="exact"/>
        <w:rPr>
          <w:sz w:val="20"/>
          <w:szCs w:val="20"/>
          <w:color w:val="auto"/>
        </w:rPr>
      </w:pPr>
    </w:p>
    <w:tbl>
      <w:tblPr>
        <w:tblLayout w:type="fixed"/>
        <w:tblInd w:w="118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50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0" w:type="dxa"/>
            <w:vAlign w:val="bottom"/>
            <w:gridSpan w:val="6"/>
          </w:tcPr>
          <w:p>
            <w:pPr>
              <w:ind w:left="7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00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176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54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8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8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2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13,493</w:t>
            </w: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0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1760" w:type="dxa"/>
            <w:vAlign w:val="bottom"/>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54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86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2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8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5,760</w:t>
            </w:r>
          </w:p>
        </w:tc>
        <w:tc>
          <w:tcPr>
            <w:tcW w:w="2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and cash equivalents and marketable securities</w:t>
            </w:r>
          </w:p>
        </w:tc>
        <w:tc>
          <w:tcPr>
            <w:tcW w:w="1760" w:type="dxa"/>
            <w:vAlign w:val="bottom"/>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8,202</w:t>
            </w:r>
          </w:p>
        </w:tc>
        <w:tc>
          <w:tcPr>
            <w:tcW w:w="54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unrealized gains on our marketable securities were $12 and less than $1 for the years ended December 31, 2022 and 2021, respectively.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Treasuries have contractual maturities of less than 12 months.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 MEASUREMENTS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Fair value measurement</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financial assets subject to fair value measurement and the level of inputs used in such measurements as of December 31, 2022 and 2021:</w:t>
      </w:r>
    </w:p>
    <w:p>
      <w:pPr>
        <w:spacing w:after="0" w:line="171" w:lineRule="exact"/>
        <w:rPr>
          <w:sz w:val="20"/>
          <w:szCs w:val="20"/>
          <w:color w:val="auto"/>
        </w:rPr>
      </w:pPr>
    </w:p>
    <w:tbl>
      <w:tblPr>
        <w:tblLayout w:type="fixed"/>
        <w:tblInd w:w="118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3"/>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1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0"/>
                <w:szCs w:val="20"/>
                <w:color w:val="auto"/>
              </w:rPr>
            </w:pPr>
          </w:p>
        </w:tc>
        <w:tc>
          <w:tcPr>
            <w:tcW w:w="9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0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160" w:type="dxa"/>
            <w:vAlign w:val="bottom"/>
            <w:gridSpan w:val="2"/>
          </w:tcPr>
          <w:p>
            <w:pPr>
              <w:jc w:val="right"/>
              <w:ind w:right="7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0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1160" w:type="dxa"/>
            <w:vAlign w:val="bottom"/>
            <w:gridSpan w:val="2"/>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8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2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26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5,760</w:t>
            </w: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5,760</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33"/>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118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1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60" w:type="dxa"/>
            <w:vAlign w:val="bottom"/>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126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Reclassified</w:t>
      </w:r>
    </w:p>
    <w:p>
      <w:pPr>
        <w:spacing w:after="0" w:line="337"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Company’s financial assets are measured at fair value on a recurring basis by level within the fair value hierarchy. The Company’s securities and money market funds are classified as Level 1. Other than that, the Company doesn’t have any other financial assets or financial liabilities marked to market at fair value as of December 31, 2022 and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PREPAID EXPENSES AND OTHER CURRENT ASSETS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20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2540" w:type="dxa"/>
            <w:vAlign w:val="bottom"/>
            <w:tcBorders>
              <w:bottom w:val="single" w:sz="8" w:color="auto"/>
            </w:tcBorders>
            <w:gridSpan w:val="4"/>
          </w:tcPr>
          <w:p>
            <w:pPr>
              <w:jc w:val="right"/>
              <w:ind w:right="256"/>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3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2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Pr>
          <w:p>
            <w:pPr>
              <w:spacing w:after="0"/>
              <w:rPr>
                <w:sz w:val="20"/>
                <w:szCs w:val="20"/>
                <w:color w:val="auto"/>
              </w:rPr>
            </w:pPr>
          </w:p>
        </w:tc>
        <w:tc>
          <w:tcPr>
            <w:tcW w:w="12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2021</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from government institutions</w:t>
            </w:r>
          </w:p>
        </w:tc>
        <w:tc>
          <w:tcPr>
            <w:tcW w:w="314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0" w:type="dxa"/>
            <w:vAlign w:val="bottom"/>
            <w:gridSpan w:val="2"/>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200" w:type="dxa"/>
            <w:vAlign w:val="bottom"/>
          </w:tcPr>
          <w:p>
            <w:pPr>
              <w:spacing w:after="0"/>
              <w:rPr>
                <w:sz w:val="20"/>
                <w:szCs w:val="20"/>
                <w:color w:val="auto"/>
              </w:rPr>
            </w:pPr>
          </w:p>
        </w:tc>
        <w:tc>
          <w:tcPr>
            <w:tcW w:w="3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1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6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tcBorders>
              <w:bottom w:val="single" w:sz="8" w:color="CCEEFF"/>
            </w:tcBorders>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3680" w:type="dxa"/>
            <w:vAlign w:val="bottom"/>
            <w:tcBorders>
              <w:bottom w:val="single" w:sz="8" w:color="CCEEFF"/>
            </w:tcBorders>
            <w:shd w:val="clear" w:color="auto" w:fill="CCEEFF"/>
          </w:tcPr>
          <w:p>
            <w:pPr>
              <w:spacing w:after="0"/>
              <w:rPr>
                <w:sz w:val="19"/>
                <w:szCs w:val="19"/>
                <w:color w:val="auto"/>
              </w:rPr>
            </w:pPr>
          </w:p>
        </w:tc>
        <w:tc>
          <w:tcPr>
            <w:tcW w:w="2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Borders>
              <w:bottom w:val="single" w:sz="8" w:color="CCEEFF"/>
            </w:tcBorders>
            <w:shd w:val="clear" w:color="auto" w:fill="CCEEFF"/>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20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2"/>
          </w:tcPr>
          <w:p>
            <w:pPr>
              <w:jc w:val="right"/>
              <w:ind w:right="2130"/>
              <w:spacing w:after="0"/>
              <w:rPr>
                <w:sz w:val="20"/>
                <w:szCs w:val="20"/>
                <w:color w:val="auto"/>
              </w:rPr>
            </w:pPr>
            <w:r>
              <w:rPr>
                <w:rFonts w:ascii="Times New Roman" w:cs="Times New Roman" w:eastAsia="Times New Roman" w:hAnsi="Times New Roman"/>
                <w:sz w:val="18"/>
                <w:szCs w:val="18"/>
                <w:color w:val="auto"/>
              </w:rPr>
              <w:t>F-14</w:t>
            </w: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LEASES</w:t>
      </w:r>
    </w:p>
    <w:p>
      <w:pPr>
        <w:spacing w:after="0" w:line="229"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In November 2019, the Company signed a lease agreement for the period from November 2019 till October 2024. In addition, the Company received an option to extend the lease agreement for additional 5 years.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monthly lease payments are approximately $16.</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To secure the lease payments the Company had issued a bank guarantee of $54 in favor of the facility’s lessor.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was as follows:</w:t>
      </w:r>
    </w:p>
    <w:p>
      <w:pPr>
        <w:spacing w:after="0" w:line="235"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19685</wp:posOffset>
            </wp:positionV>
            <wp:extent cx="23488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348865" cy="17145"/>
                    </a:xfrm>
                    <a:prstGeom prst="rect">
                      <a:avLst/>
                    </a:prstGeom>
                    <a:noFill/>
                  </pic:spPr>
                </pic:pic>
              </a:graphicData>
            </a:graphic>
          </wp:anchor>
        </w:drawing>
      </w:r>
    </w:p>
    <w:p>
      <w:pPr>
        <w:spacing w:after="0" w:line="30" w:lineRule="exact"/>
        <w:rPr>
          <w:sz w:val="20"/>
          <w:szCs w:val="20"/>
          <w:color w:val="auto"/>
        </w:rPr>
      </w:pPr>
    </w:p>
    <w:p>
      <w:pPr>
        <w:ind w:left="8100"/>
        <w:spacing w:after="0"/>
        <w:tabs>
          <w:tab w:leader="none" w:pos="1010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1" w:lineRule="exact"/>
        <w:rPr>
          <w:sz w:val="20"/>
          <w:szCs w:val="20"/>
          <w:color w:val="auto"/>
        </w:rPr>
      </w:pPr>
    </w:p>
    <w:p>
      <w:pPr>
        <w:spacing w:after="0"/>
        <w:tabs>
          <w:tab w:leader="none" w:pos="7420" w:val="left"/>
          <w:tab w:leader="none" w:pos="8840" w:val="left"/>
          <w:tab w:leader="none" w:pos="9440" w:val="left"/>
          <w:tab w:leader="none" w:pos="10840" w:val="left"/>
        </w:tabs>
        <w:rPr>
          <w:sz w:val="20"/>
          <w:szCs w:val="20"/>
          <w:color w:val="auto"/>
        </w:rPr>
      </w:pPr>
      <w:r>
        <w:rPr>
          <w:rFonts w:ascii="Times New Roman" w:cs="Times New Roman" w:eastAsia="Times New Roman" w:hAnsi="Times New Roman"/>
          <w:sz w:val="18"/>
          <w:szCs w:val="18"/>
          <w:color w:val="auto"/>
        </w:rPr>
        <w:t>Cash payments and expenses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344</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48895</wp:posOffset>
            </wp:positionV>
            <wp:extent cx="234886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Undiscounted maturities of operating lease payments as of December 31, 2022 are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45"/>
        </w:trPr>
        <w:tc>
          <w:tcPr>
            <w:tcW w:w="9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tcPr>
          <w:p>
            <w:pPr>
              <w:spacing w:after="0"/>
              <w:rPr>
                <w:sz w:val="18"/>
                <w:szCs w:val="18"/>
                <w:color w:val="auto"/>
              </w:rPr>
            </w:pPr>
          </w:p>
        </w:tc>
      </w:tr>
      <w:tr>
        <w:trPr>
          <w:trHeight w:val="250"/>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1"/>
                <w:szCs w:val="21"/>
                <w:color w:val="auto"/>
              </w:rPr>
            </w:pPr>
          </w:p>
        </w:tc>
      </w:tr>
      <w:tr>
        <w:trPr>
          <w:trHeight w:val="203"/>
        </w:trPr>
        <w:tc>
          <w:tcPr>
            <w:tcW w:w="92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future lease payments</w:t>
            </w: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495</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50"/>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92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lease liability balance</w:t>
            </w:r>
          </w:p>
        </w:tc>
        <w:tc>
          <w:tcPr>
            <w:tcW w:w="2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9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200" w:type="dxa"/>
            <w:vAlign w:val="bottom"/>
          </w:tcPr>
          <w:p>
            <w:pPr>
              <w:spacing w:after="0"/>
              <w:rPr>
                <w:sz w:val="21"/>
                <w:szCs w:val="21"/>
                <w:color w:val="auto"/>
              </w:rPr>
            </w:pPr>
          </w:p>
        </w:tc>
        <w:tc>
          <w:tcPr>
            <w:tcW w:w="47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40" w:type="dxa"/>
            <w:vAlign w:val="bottom"/>
            <w:gridSpan w:val="8"/>
          </w:tcPr>
          <w:p>
            <w:pPr>
              <w:ind w:left="8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6"/>
        </w:trPr>
        <w:tc>
          <w:tcPr>
            <w:tcW w:w="120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gridSpan w:val="3"/>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 weighted average remaining lease term (in years)</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1640" w:type="dxa"/>
            <w:vAlign w:val="bottom"/>
            <w:gridSpan w:val="4"/>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4"/>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leases weighted average discount rate</w:t>
            </w: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20"/>
                <w:szCs w:val="20"/>
                <w:color w:val="auto"/>
              </w:rPr>
            </w:pPr>
          </w:p>
        </w:tc>
        <w:tc>
          <w:tcPr>
            <w:tcW w:w="1640" w:type="dxa"/>
            <w:vAlign w:val="bottom"/>
            <w:gridSpan w:val="4"/>
          </w:tcPr>
          <w:p>
            <w:pPr>
              <w:ind w:left="1380"/>
              <w:spacing w:after="0"/>
              <w:rPr>
                <w:sz w:val="20"/>
                <w:szCs w:val="20"/>
                <w:color w:val="auto"/>
              </w:rPr>
            </w:pPr>
            <w:r>
              <w:rPr>
                <w:rFonts w:ascii="Times New Roman" w:cs="Times New Roman" w:eastAsia="Times New Roman" w:hAnsi="Times New Roman"/>
                <w:sz w:val="18"/>
                <w:szCs w:val="18"/>
                <w:color w:val="auto"/>
                <w:w w:val="99"/>
              </w:rPr>
              <w:t>9%</w:t>
            </w:r>
          </w:p>
        </w:tc>
        <w:tc>
          <w:tcPr>
            <w:tcW w:w="0" w:type="dxa"/>
            <w:vAlign w:val="bottom"/>
          </w:tcPr>
          <w:p>
            <w:pPr>
              <w:spacing w:after="0"/>
              <w:rPr>
                <w:sz w:val="1"/>
                <w:szCs w:val="1"/>
                <w:color w:val="auto"/>
              </w:rPr>
            </w:pPr>
          </w:p>
        </w:tc>
      </w:tr>
      <w:tr>
        <w:trPr>
          <w:trHeight w:val="414"/>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7 - PROPERTY AND EQUIPMENT, NET</w:t>
            </w: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40" w:type="dxa"/>
            <w:vAlign w:val="bottom"/>
            <w:gridSpan w:val="5"/>
            <w:vMerge w:val="restart"/>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20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5"/>
            <w:vMerge w:val="continue"/>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0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4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equipment and software</w:t>
            </w:r>
          </w:p>
        </w:tc>
        <w:tc>
          <w:tcPr>
            <w:tcW w:w="1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62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Leasehold improvement</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200" w:type="dxa"/>
            <w:vAlign w:val="bottom"/>
          </w:tcPr>
          <w:p>
            <w:pPr>
              <w:spacing w:after="0"/>
              <w:rPr>
                <w:sz w:val="20"/>
                <w:szCs w:val="20"/>
                <w:color w:val="auto"/>
              </w:rPr>
            </w:pPr>
          </w:p>
        </w:tc>
        <w:tc>
          <w:tcPr>
            <w:tcW w:w="47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11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tcBorders>
              <w:bottom w:val="single" w:sz="8" w:color="CCEEFF"/>
            </w:tcBorders>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200" w:type="dxa"/>
            <w:vAlign w:val="bottom"/>
          </w:tcPr>
          <w:p>
            <w:pPr>
              <w:spacing w:after="0"/>
              <w:rPr>
                <w:sz w:val="20"/>
                <w:szCs w:val="20"/>
                <w:color w:val="auto"/>
              </w:rPr>
            </w:pPr>
          </w:p>
        </w:tc>
        <w:tc>
          <w:tcPr>
            <w:tcW w:w="47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472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equipment and software</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4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Leasehold improvement</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200" w:type="dxa"/>
            <w:vAlign w:val="bottom"/>
          </w:tcPr>
          <w:p>
            <w:pPr>
              <w:spacing w:after="0"/>
              <w:rPr>
                <w:sz w:val="20"/>
                <w:szCs w:val="20"/>
                <w:color w:val="auto"/>
              </w:rPr>
            </w:pPr>
          </w:p>
        </w:tc>
        <w:tc>
          <w:tcPr>
            <w:tcW w:w="47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1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47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80" w:type="dxa"/>
            <w:vAlign w:val="bottom"/>
            <w:tcBorders>
              <w:bottom w:val="single" w:sz="8" w:color="CCEEFF"/>
            </w:tcBorders>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0" w:type="dxa"/>
            <w:vAlign w:val="bottom"/>
          </w:tcPr>
          <w:p>
            <w:pPr>
              <w:spacing w:after="0"/>
              <w:rPr>
                <w:sz w:val="19"/>
                <w:szCs w:val="19"/>
                <w:color w:val="auto"/>
              </w:rPr>
            </w:pPr>
          </w:p>
        </w:tc>
        <w:tc>
          <w:tcPr>
            <w:tcW w:w="47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80" w:type="dxa"/>
            <w:vAlign w:val="bottom"/>
            <w:tcBorders>
              <w:bottom w:val="single" w:sz="8" w:color="CCEEFF"/>
            </w:tcBorders>
            <w:shd w:val="clear" w:color="auto" w:fill="CCEEFF"/>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8 - ACCRUED LIABILITIES</w:t>
            </w:r>
          </w:p>
        </w:tc>
        <w:tc>
          <w:tcPr>
            <w:tcW w:w="1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gridSpan w:val="5"/>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2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9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gridSpan w:val="5"/>
            <w:vMerge w:val="continue"/>
          </w:tcPr>
          <w:p>
            <w:pPr>
              <w:spacing w:after="0"/>
              <w:rPr>
                <w:sz w:val="20"/>
                <w:szCs w:val="20"/>
                <w:color w:val="auto"/>
              </w:rPr>
            </w:pPr>
          </w:p>
        </w:tc>
        <w:tc>
          <w:tcPr>
            <w:tcW w:w="2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Employee-related liabilities</w:t>
            </w:r>
          </w:p>
        </w:tc>
        <w:tc>
          <w:tcPr>
            <w:tcW w:w="18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1,372</w:t>
            </w:r>
          </w:p>
        </w:tc>
        <w:tc>
          <w:tcPr>
            <w:tcW w:w="3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98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3240" w:type="dxa"/>
            <w:vAlign w:val="bottom"/>
            <w:tcBorders>
              <w:top w:val="single" w:sz="8" w:color="CCEEFF"/>
              <w:bottom w:val="single" w:sz="8" w:color="CCEEFF"/>
            </w:tcBorders>
            <w:shd w:val="clear" w:color="auto" w:fill="CCEEFF"/>
          </w:tcPr>
          <w:p>
            <w:pPr>
              <w:spacing w:after="0"/>
              <w:rPr>
                <w:sz w:val="19"/>
                <w:szCs w:val="19"/>
                <w:color w:val="auto"/>
              </w:rPr>
            </w:pPr>
          </w:p>
        </w:tc>
        <w:tc>
          <w:tcPr>
            <w:tcW w:w="15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2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F-15</w:t>
            </w: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Government Grants:</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Microbot Israel has received grants from the Israeli Innovation Authority (“IIA”) for participation in research and development since 2013 through December 31, 2022 totaling approximately $1,500.</w:t>
      </w:r>
    </w:p>
    <w:p>
      <w:pPr>
        <w:spacing w:after="0" w:line="162"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In addition, as a result of the agreement with CardioSert Ltd. (“CardioSert”) on January 4, 2018, Microbot Israel took over the liability to repay CardioSert’s IIA grants in the aggregate amount of approximately $530.</w:t>
      </w:r>
    </w:p>
    <w:p>
      <w:pPr>
        <w:spacing w:after="0" w:line="162"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In addition, as a result of the agreement with Nitiloop, on October 6, 2022, Microbot Israel took over the liability to repay Nitiloop’s IIA grants in the aggregate amount of approximately $925.</w:t>
      </w:r>
    </w:p>
    <w:p>
      <w:pPr>
        <w:spacing w:after="0" w:line="16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In relation to the IIA grants described above, the Company is obligated to pay royalties amounting to 3.0%-3.5% of its future sales of the products relating to such grants.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grants are linked to the exchange rate of the dollar to the New Israeli Shekel and bears interest of Libor per annum.</w:t>
      </w:r>
    </w:p>
    <w:p>
      <w:pPr>
        <w:spacing w:after="0" w:line="225"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TRDF Agreement:</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Microbot Israel signed an agreement with the Technion Research and Development Foundation (“TRDF”) in June 2012 by which TRDF transferred to Microbot Israel a global, exclusive, royalty-bearing license (as amended, the License Agreement”). As partial consideration for the license, Microbot Israel shall pay TRDF royalties on net sales (between 1.5%-3.0%) and on sublicense income as detailed in the agreement.</w:t>
      </w:r>
    </w:p>
    <w:p>
      <w:pPr>
        <w:spacing w:after="0" w:line="180" w:lineRule="exact"/>
        <w:rPr>
          <w:sz w:val="20"/>
          <w:szCs w:val="20"/>
          <w:color w:val="auto"/>
        </w:rPr>
      </w:pPr>
    </w:p>
    <w:p>
      <w:pPr>
        <w:jc w:val="both"/>
        <w:ind w:left="980"/>
        <w:spacing w:after="0" w:line="254" w:lineRule="auto"/>
        <w:rPr>
          <w:sz w:val="20"/>
          <w:szCs w:val="20"/>
          <w:color w:val="auto"/>
        </w:rPr>
      </w:pPr>
      <w:r>
        <w:rPr>
          <w:rFonts w:ascii="Times New Roman" w:cs="Times New Roman" w:eastAsia="Times New Roman" w:hAnsi="Times New Roman"/>
          <w:sz w:val="18"/>
          <w:szCs w:val="18"/>
          <w:color w:val="auto"/>
        </w:rPr>
        <w:t>Pursuant to the License Agreement, both parties agreed to extend the next development milestone for the Company’s Self Cleaning Shunt (SCS) project, which includes the First In Human milestone, until December 2024, and to continue to maintain the TipCat assets, which are still in a discovery phase, until December 2023. The Company in October 2022 suspended the SCS project while it evaluates alternatives for the SCS assets (mainly related patents), which may include seeking buyers for the assets, entering into joint ventures or licensing arrangements, spinning off the assets into a new operating company or discontinuing the project altogether. The Company has certain obligations to seek to develop and commercialize the SCS and the TipCat assets under the License Agreement. At the time of filing of this Annually Report on Form 10-K, the Company has been in discussions with TRDF with respect to the suspension of the SCS project and the status of the TipCat assets, and the Company expects that if it is unsuccessful in entering into alternative arrangements for such assets, the Company will return the licensed assets to TRDF.</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Agreement with CardioSert Ltd.:</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On January 4, 2018, Microbot Israel entered into an agreement with CardioSert to acquire certain patent-protected technology owned by CardioSert (the “Technology”). Pursuant to the Agreement, Microbot Israel made an initial payment of $50 to CardioSert and had 90-days to elect to complete the acquisition. At the end of the 90-day period, at Microbot Israel’s sole option, CardioSert shall assign and transfer the Technology to Microbot Israel and Microbot Israel shall pay to CardioSert additional amounts and securities as determined in the agreement.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3" w:name="page94"/>
    <w:bookmarkEnd w:id="93"/>
    <w:p>
      <w:pPr>
        <w:jc w:val="center"/>
        <w:ind w:right="980"/>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25, 2018, Microbot Israel, delivered an Exercise Notice to CardioSert Ltd., notifying it that Microbot Israel elected to exercise the option to acquire the Technology owned by CardioSert and therefore made an additional cash payment of $250 and 6,738 shares of common stock estimated at $74.</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agreement may be terminated by Microbot Israel at any time for convenience upon 90-days’ notice. The agreement may be terminated by CardioSert in case the first commercial sale does not occur by the third anniversary of the date of signing of the agreement except if Microbot Israel. has invested more than $2,000 in certain development stages, or the first commercial sale does not occur within 50 months. As of December 31, 2022, the 50 months period has expired and CardioSert can buy-back the Technology at any time. As of the report date, CardioSert has not purchased back the Technology.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each of the above termination events, or in case of breach by Microbot Israel, CardioSert shall have the right to buy back the Technology from Microbot Israel for $1.00, upon 60 days prior written notice, but only 1 year after such termination. Additionally, the agreement may be terminated by either party upon breach of the other (subject to cure). CardioSert agreed to assist Microbot Israel in the development of the Technology for a minimum of one year, for a monthly consultation fee of NIS40 (or approximately US$11.37, based on an exchange rate of NIS 3.519 to the dollar) covering up to 60 consulting hours per month.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ATM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10, 2021, the Company entered into an At-the-Market Offering Agreement (the “ATM Agreement”) with H.C. Wainwright &amp; Co. LLC (“Wainwright”), as sales agent, in connection with an “at the market offering” under which the Company may offer and sell, from time to time in its sole discretion, shares of its Common Stock having an aggregate offering price of up to $10,000 at market prices or as otherwise agreed with Wainwright. Any shares sold under the ATM Agreement from time to time will be offered and sold pursuant to the Company’s Registration Statement on Form S-3, which was initially filed on November 25, 2020 and which was declared effective by the SEC on December 4, 2020, and the related prospectus as supplemented by a prospectus supplement that the Company filed on June 10, 2021 (the “June 2021 Prospectus”). To date, we have not sold any shares of Common Stock pursuant to the ATM Agreement, and as of October 13, 2022, the Company suspended the ATM Agreement, which remains in full force and effect, and terminated the June 2021 Prospectus.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Nitiloop’s Assets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6, 2022, Microbot Israel purchased substantially all of the assets, including intellectual property, devices, components and product related materials (the “Assets”), of Nitiloop Ltd., an Israeli limited liability company (“Nitiloop”). The Assets include intellectual property and technology in the field of intraluminal revascularization devices with anchoring mechanism and integrated microcatheter (the “Technology”) and the products or potential products incorporating the Technology owned by Nitiloop and designated by Nitiloop as “NovaCross”, “NovaCross Xtreme” and “NovaCross BTK” and any enhancements, modifications and improvements thereof (“Devices”). Microbot Israel did not assume any material liabilities of Nitiloop other than obligations Nitiloop has to the IIA and relating to certain renewal/maintenance fees for a European patent application.</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consideration for the acquisition of the Assets, Microbot Israel shall pay royalties to Nitiloop, which shall not, in the aggregate, exceed $8,000, as follows:</w:t>
      </w:r>
    </w:p>
    <w:p>
      <w:pPr>
        <w:spacing w:after="0" w:line="162" w:lineRule="exact"/>
        <w:rPr>
          <w:sz w:val="20"/>
          <w:szCs w:val="20"/>
          <w:color w:val="auto"/>
        </w:rPr>
      </w:pPr>
    </w:p>
    <w:p>
      <w:pPr>
        <w:ind w:left="1940" w:right="280" w:hanging="968"/>
        <w:spacing w:after="0" w:line="261" w:lineRule="auto"/>
        <w:tabs>
          <w:tab w:leader="none" w:pos="19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Royalties at a rate of 3% of net revenue generated as a result of sales, license or other exploitation of the Devices; and</w:t>
      </w:r>
    </w:p>
    <w:p>
      <w:pPr>
        <w:ind w:left="1940" w:right="280" w:hanging="968"/>
        <w:spacing w:after="0" w:line="260" w:lineRule="auto"/>
        <w:tabs>
          <w:tab w:leader="none" w:pos="19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Royalties at a rate of 1.5% of net revenue generated from the sale, license or other exploitation of commercialization of the technology as part of an integrated product.</w:t>
      </w:r>
    </w:p>
    <w:p>
      <w:pPr>
        <w:spacing w:after="0" w:line="18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57" w:right="339" w:bottom="1440" w:gutter="0" w:footer="0" w:header="0"/>
        </w:sectPr>
      </w:pPr>
    </w:p>
    <w:bookmarkStart w:id="94" w:name="page95"/>
    <w:bookmarkEnd w:id="94"/>
    <w:p>
      <w:pPr>
        <w:jc w:val="center"/>
        <w:ind w:right="980"/>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evaluates acquisitions of assets and other similar transactions to assess whether or not the transaction should be accounted for as a business combination or asset acquisition by first applying a screen test to determine if substantially all of the fair value of the gross assets acquired is concentrated in a single identifiable asset or group of similar identifiable assets. If the screen is met, the transaction is accounted for as an asset acquisition. If the screen is not met, further determination is required as to whether or not the Company has acquired inputs and processes that have the ability to create outputs which would meet the definition of a business. Significant judgment is required in the application of the screen test to determine whether an acquisition is accounted for as business combination or an acquisition of assets. Based on the Company’s analysis, the Company concluded that the acquisition of the assets does not meet the definition of a business for the purpose of applying SEC Rules (S-X Rules of 3-05, 8-04 and 11-01).</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Litigation Resulting from 2017 Financing</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was named as the defendant in a lawsuit captioned Empery Asset Master Ltd., Empery Tax Efficient, LP, Empery Tax Efficient II, LP, Hudson Bay Master Fund Ltd., Plaintiffs, against Microbot Medical Inc., Defendant, in the Supreme Court of the State of New York, County of New York (Index No. 651182/2020). The complaint alleges, among other things, that the Company breached multiple representations and warranties contained in the Securities Purchase Agreement (the “SPA”) related to the Company’s June 8, 2017 equity financing (the “Financing”), of which the Plaintiffs participated, and fraudulently induced Plaintiffs into signing the SPA. The complaint seeks rescission of the SPA and return of the Plaintiffs’ $6,750 purchase price with respect to the Financing. The Company is currently in the discovery phase. Management is unable to assess the likelihood that the Company will succeed at trial with respect to the SPA or the Financing, having previously lost another lawsuit with respect to the Financing.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Alliance Litigation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28, 2019, the Company brought an action against Alliance Investment Management, Ltd. (“Alliance”), later amended to include Joseph Mona (“Mona”) as a defendant, in the Southern District of New York under Section 16(b) of the Securities Exchange Act of 1934, 15 U.S.C. 78p(b), to compel Alliance and Mona to disgorge short swing profits realized from purchases and sales of the Company’s securities within a period of less than six months. The case is Microbot Medical Inc. v. Alliance Investment Management, Ltd., No. 19-cv-3782-GBD (SDNY). The amount of profits was estimated in the complaint to be approximately $468.</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28, 2019, Alliance filed a motion for summary judgment requesting that the Court dismiss the claims against Alliance. On February 4, 2020, Mona answered the 16(b) claim the Company asserted against him by claiming various equitable defenses and filed a counterclaim against the Company under Section 10(b) of the Securities Exchange Act of 1934 and Rule 10b-5 promulgated thereunder, claiming a net loss on trading the Company’s stock of approximately $151.</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17, 2020, the Court issued a Memorandum Decision &amp; Order that, among other things, granted Alliance’s summary judgment motion.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30, 2021, the Court issued an Order; and on March 31, 2021, the Clerk entered judgment against Mona and in favor of the Company in the amount of approximately $485. On April 27, 2021, Mona filed an appeal of the Court’s judgment, which is pending before the U.S. Court of Appeals for the Second Circuit.</w:t>
      </w:r>
    </w:p>
    <w:p>
      <w:pPr>
        <w:spacing w:after="0" w:line="17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57"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7"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In June 2021, the Magistrate issued an order permitting Mona to file an Amended Counterclaim Complaint, and rejected the Company’s request to execute on the judgment. The Company filed a response to Mona’s amended counterclaim in July 2021, and in February 2023 filed a motion for summary judgment on Mona’s fraud claim on the basis of inability to demonstrate reliance or loss causation. The motion is scheduled to be fully briefed and submitted on May 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SHARE CAPITAL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Share Capital Developments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As of December 31, 2022, and 2021, the Company has 7,890,628 and 7,108,133 shares of common stock issued and outstanding, respectively.</w:t>
      </w:r>
    </w:p>
    <w:p>
      <w:pPr>
        <w:spacing w:after="0" w:line="237"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On October 21, 2022, the Company entered into a Securities Purchase Agreement (the “Purchase Agreement”) with an institutional investor (the “Investor”), pursuant to which the Company issued and sold, in a registered direct offering priced at-the-market under the rules of The Nasdaq Stock Market (the “Registered Offering”), (i) an aggregate of 782,495 shares of Common Stock, at an offering price of $4.89 per share and (ii) pre-funded warrants exercisable for up to 240,000 shares of Common Stock (the “Pre-Funded Warrants”) to the Investor at an offering price of $4.8899 per Pre-Funded Warrant, for aggregate gross proceeds from the Offerings (as defined below) of approximately $5,000 before deducting the placement agent fee (as described below) and related offering expenses.</w:t>
      </w:r>
    </w:p>
    <w:p>
      <w:pPr>
        <w:spacing w:after="0" w:line="187"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Each Pre-Funded Warrant represents the right to purchase one share of Common Stock at an exercise price of $0.0001 per share. The Pre-Funded Warrants are exercisable immediately and may be exercised at any time until the Pre-Funded Warrants are exercised in full.</w:t>
      </w:r>
    </w:p>
    <w:p>
      <w:pPr>
        <w:spacing w:after="0" w:line="162"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In a concurrent private placement (the “Private Placement” and, together with the Registered Offering, the “Offerings”), the Company issued to the Investor (i) Series A preferred investment options to purchase up to 1,022,495 shares of Common Stock (the “Series A Warrants”) at an exercise price of $4.64 per share and (ii) Series B preferred investment options to purchase up to 1,022,495 shares of Common Stock (the “Series B Warrants”) at an exercise price of $4.64 per share. Each Series A Warrant is exercisable immediately and will expire five years from the initial exercise date. Each Series B Warrant is exercisable immediately and will expire two years from the initial exercise date.</w:t>
      </w:r>
    </w:p>
    <w:p>
      <w:pPr>
        <w:spacing w:after="0" w:line="183"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The Company accounts for warrants as either equity-classified or liability-classified instruments based on an assessment of the warrant’s specific terms and applicable authoritative guidance in FASB ASC 480 and FASB ASC 815, “Derivatives and Hedging” (“ASC 815”). The assessment considers whether the warrants are freestanding financial instruments pursuant to ASC 480, meet the definition of a liability pursuant to ASC 480, and meet all of the requirements for equity classification under FASB ASC 815, including whether the warrants are indexed to the Company’s own ordinary shares and whether the warrant holders could potentially require “net cash settlement” in a circumstance outside of the Company’s control, among other conditions for equity classification. This assessment is conducted at the time of warrant issuance and as of each subsequent quarterly period end date while the warrants are outstanding.</w:t>
      </w:r>
    </w:p>
    <w:p>
      <w:pPr>
        <w:spacing w:after="0" w:line="18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analyzed the accounting treatment for the Pre-funded Warrants and for the Common Warrants. The Common Stocks of the Company are recognized as equity under the requirements of Accounting Standard Codification Topic 505 Equity (ASC 505). Based on the Company’s analysis the Warrants were classified as equity.</w:t>
      </w:r>
    </w:p>
    <w:p>
      <w:pPr>
        <w:spacing w:after="0" w:line="176" w:lineRule="exact"/>
        <w:rPr>
          <w:sz w:val="20"/>
          <w:szCs w:val="20"/>
          <w:color w:val="auto"/>
        </w:rPr>
      </w:pPr>
    </w:p>
    <w:p>
      <w:pPr>
        <w:jc w:val="both"/>
        <w:ind w:left="980"/>
        <w:spacing w:after="0" w:line="253" w:lineRule="auto"/>
        <w:rPr>
          <w:sz w:val="20"/>
          <w:szCs w:val="20"/>
          <w:color w:val="auto"/>
        </w:rPr>
      </w:pPr>
      <w:r>
        <w:rPr>
          <w:rFonts w:ascii="Times New Roman" w:cs="Times New Roman" w:eastAsia="Times New Roman" w:hAnsi="Times New Roman"/>
          <w:sz w:val="18"/>
          <w:szCs w:val="18"/>
          <w:color w:val="auto"/>
        </w:rPr>
        <w:t>On October 3, 2022 and in connection with the Offerings, the Company entered into an engagement letter with H.C. Wainwright &amp; Co., LLC (“Wainwright”), pursuant to which Wainwright agreed to serve as the exclusive placement agent for the issuance and sale of securities of the Company pursuant to the Purchase Agreement. As compensation for such placement agent services, the Company paid Wainwright aggregate cash fees and reimbursed Wainwright for its expenses aggregating approximately $565. The Company also issued to Wainwright or its designees warrants to purchase 51,125 shares of Common Stock (the “Wainwright Warrants”). The Wainwright Warrants have a term of five years from the commencement of sales in the Offerings, and have an exercise price of $6.11 per share. Upon any exercise for cash of any preferred investment options issued to investors in the offering, the Company obligate to pay 7% percent of the aggregate gross exercise price of the warrants issued in the Offering and shall issue to Wainwright (or its designees), within five (5) business days of the Company’s receipt of the exercise price, warrants to purchase that number of shares of common stock of the Company equal to five (5.0%) percent of the aggregate number of such shares of common stock underlying the preferred investment options that have been so exercised.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7"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analyzed the accounting treatment for the Wainwright Warrants issued to Wainwright. Since the Company did not identify any features causing liability classification of the Wainwright Warrants according to ASC 718, it concluded that the Wainwright Warrants are equity-classified awards.</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Employee Stock Option Grants</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2021, the Company granted to Mr. Harel Gadot, the Company’s Chairman of the Board, President and CEO, options to purchase an aggregate of 190,000 shares of the Company’s common stock, at an exercise price per share of $8.48. The stock options vest over a period of 2 years as outlined in the option agreements evidencing such grants. As a result, the Company recognized compensation expenses for the year ended December 31, 2021, in the total amount of $646.</w:t>
      </w:r>
    </w:p>
    <w:p>
      <w:pPr>
        <w:spacing w:after="0" w:line="180"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2021, the Company granted to certain employees and consultants and directors, options to purchase an aggregate of 231,426 shares of the Company’s common stock, at an exercise price per share of $6.72 - $7.26. The stock options vest over a period of 3 years as outlined in the option agreements evidencing such grants. As a result, the Company recognized compensation expenses for the year ended December 31, 2021, in the total amount of $740.</w:t>
      </w:r>
    </w:p>
    <w:p>
      <w:pPr>
        <w:spacing w:after="0" w:line="180"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granted to Mr. Harel Gadot, the Company’s Chairman of the Board, President and CEO, options to purchase an aggregate of 260,000 shares of the Common Stock, at an exercise price per share of $3.73-$6.48. The stock options vest over a period of three years as outlined in the option agreements evidencing such grants.</w:t>
      </w:r>
    </w:p>
    <w:p>
      <w:pPr>
        <w:spacing w:after="0" w:line="176"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granted to certain employees, consultants and directors, options to purchase an aggregate of 270,822 shares of the Common Stock, at an exercise price per share of $3.73-$6.48. The stock options vest over a period of three years as outlined in the option agreements evidencing such grants.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 summary of the Company’s option activity related to options to employees and directors, and related information is as follows:</w:t>
      </w:r>
    </w:p>
    <w:p>
      <w:pPr>
        <w:spacing w:after="0" w:line="235" w:lineRule="exact"/>
        <w:rPr>
          <w:sz w:val="20"/>
          <w:szCs w:val="20"/>
          <w:color w:val="auto"/>
        </w:rPr>
      </w:pPr>
    </w:p>
    <w:tbl>
      <w:tblPr>
        <w:tblLayout w:type="fixed"/>
        <w:tblInd w:w="118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5520" w:type="dxa"/>
            <w:vAlign w:val="bottom"/>
          </w:tcPr>
          <w:p>
            <w:pPr>
              <w:spacing w:after="0"/>
              <w:rPr>
                <w:sz w:val="21"/>
                <w:szCs w:val="21"/>
                <w:color w:val="auto"/>
              </w:rPr>
            </w:pPr>
          </w:p>
        </w:tc>
        <w:tc>
          <w:tcPr>
            <w:tcW w:w="3340" w:type="dxa"/>
            <w:vAlign w:val="bottom"/>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December 31, 2022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1740" w:type="dxa"/>
            <w:vAlign w:val="bottom"/>
            <w:tcBorders>
              <w:top w:val="single" w:sz="8" w:color="auto"/>
            </w:tcBorders>
            <w:gridSpan w:val="2"/>
          </w:tcPr>
          <w:p>
            <w:pPr>
              <w:jc w:val="right"/>
              <w:ind w:right="360"/>
              <w:spacing w:after="0" w:line="194" w:lineRule="exact"/>
              <w:rPr>
                <w:sz w:val="20"/>
                <w:szCs w:val="20"/>
                <w:color w:val="auto"/>
              </w:rPr>
            </w:pPr>
            <w:r>
              <w:rPr>
                <w:rFonts w:ascii="Times New Roman" w:cs="Times New Roman" w:eastAsia="Times New Roman" w:hAnsi="Times New Roman"/>
                <w:sz w:val="18"/>
                <w:szCs w:val="18"/>
                <w:b w:val="1"/>
                <w:bCs w:val="1"/>
                <w:color w:val="auto"/>
              </w:rPr>
              <w:t>Number of stock</w:t>
            </w:r>
          </w:p>
        </w:tc>
        <w:tc>
          <w:tcPr>
            <w:tcW w:w="2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520" w:type="dxa"/>
            <w:vAlign w:val="bottom"/>
          </w:tcPr>
          <w:p>
            <w:pPr>
              <w:spacing w:after="0"/>
              <w:rPr>
                <w:sz w:val="21"/>
                <w:szCs w:val="21"/>
                <w:color w:val="auto"/>
              </w:rPr>
            </w:pPr>
          </w:p>
        </w:tc>
        <w:tc>
          <w:tcPr>
            <w:tcW w:w="17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997,148</w:t>
            </w:r>
          </w:p>
        </w:tc>
        <w:tc>
          <w:tcPr>
            <w:tcW w:w="2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530,822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Cancelled</w:t>
            </w:r>
          </w:p>
        </w:tc>
        <w:tc>
          <w:tcPr>
            <w:tcW w:w="1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(20,833)</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52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1,507,137</w:t>
            </w:r>
          </w:p>
        </w:tc>
        <w:tc>
          <w:tcPr>
            <w:tcW w:w="24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8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5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Vested as of December 31, 2022</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899,609</w:t>
            </w:r>
          </w:p>
        </w:tc>
        <w:tc>
          <w:tcPr>
            <w:tcW w:w="240" w:type="dxa"/>
            <w:vAlign w:val="bottom"/>
          </w:tcPr>
          <w:p>
            <w:pPr>
              <w:spacing w:after="0"/>
              <w:rPr>
                <w:sz w:val="21"/>
                <w:szCs w:val="21"/>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20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33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December 31, 2021</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20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500" w:type="dxa"/>
            <w:vAlign w:val="bottom"/>
            <w:tcBorders>
              <w:top w:val="single" w:sz="8" w:color="auto"/>
            </w:tcBorders>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rPr>
              <w:t>Number of stock</w:t>
            </w:r>
          </w:p>
        </w:tc>
        <w:tc>
          <w:tcPr>
            <w:tcW w:w="2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20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5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2020</w:t>
            </w:r>
          </w:p>
        </w:tc>
        <w:tc>
          <w:tcPr>
            <w:tcW w:w="3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575,722</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20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3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421,426</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3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204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997,148</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vMerge w:val="restart"/>
          </w:tcPr>
          <w:p>
            <w:pPr>
              <w:spacing w:after="0"/>
              <w:rPr>
                <w:sz w:val="17"/>
                <w:szCs w:val="17"/>
                <w:color w:val="auto"/>
              </w:rPr>
            </w:pPr>
          </w:p>
        </w:tc>
        <w:tc>
          <w:tcPr>
            <w:tcW w:w="34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200" w:type="dxa"/>
            <w:vAlign w:val="bottom"/>
            <w:vMerge w:val="continue"/>
          </w:tcPr>
          <w:p>
            <w:pPr>
              <w:spacing w:after="0"/>
              <w:rPr>
                <w:sz w:val="21"/>
                <w:szCs w:val="21"/>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as of December 31, 2021</w:t>
            </w:r>
          </w:p>
        </w:tc>
        <w:tc>
          <w:tcPr>
            <w:tcW w:w="3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568,053</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80" w:type="dxa"/>
            <w:vAlign w:val="bottom"/>
            <w:shd w:val="clear" w:color="auto" w:fill="CCEEFF"/>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2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2"/>
          </w:tcPr>
          <w:p>
            <w:pPr>
              <w:jc w:val="right"/>
              <w:ind w:right="2330"/>
              <w:spacing w:after="0"/>
              <w:rPr>
                <w:sz w:val="20"/>
                <w:szCs w:val="20"/>
                <w:color w:val="auto"/>
              </w:rPr>
            </w:pPr>
            <w:r>
              <w:rPr>
                <w:rFonts w:ascii="Times New Roman" w:cs="Times New Roman" w:eastAsia="Times New Roman" w:hAnsi="Times New Roman"/>
                <w:sz w:val="18"/>
                <w:szCs w:val="18"/>
                <w:color w:val="auto"/>
              </w:rPr>
              <w:t>F-20</w:t>
            </w: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recognizes forfeitures of outstanding options as they occur.</w:t>
      </w:r>
    </w:p>
    <w:p>
      <w:pPr>
        <w:spacing w:after="0" w:line="225"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intrinsic value is calculated as the difference between the fair market value of the common stock and the exercise price, multiplied by the number of in-the-money stock options on those dates that would have been received by the stock option holders had all stock option holders exercised their stock options on those dates as of December 31, 2022 and December 31, 2021, respectively.</w:t>
      </w:r>
    </w:p>
    <w:p>
      <w:pPr>
        <w:spacing w:after="0" w:line="176"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As of December 31, 2022, and 2021, the aggregate intrinsic value of the outstanding options is $185 and $974 respectively, and the aggregate intrinsic value of the exercisable options is $185 and $815, respectively.</w:t>
      </w:r>
    </w:p>
    <w:p>
      <w:pPr>
        <w:spacing w:after="0" w:line="162"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As of December 31, 2022, there were approximately $2,036 of total unrecognized compensation costs related to unvested share-based compensation awards granted under the Share Incentive Plan. The costs are expected to be recognized over a weighted average period of 2.039 years</w:t>
      </w:r>
    </w:p>
    <w:p>
      <w:pPr>
        <w:spacing w:after="0" w:line="17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stock options outstanding as of December 31, 2022 and December 31, 2021, summarized by exercise prices,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Stock options</w:t>
            </w:r>
          </w:p>
        </w:tc>
        <w:tc>
          <w:tcPr>
            <w:tcW w:w="17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contractual life –</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contractual life</w:t>
            </w: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Stock options</w:t>
            </w:r>
          </w:p>
        </w:tc>
      </w:tr>
      <w:tr>
        <w:trPr>
          <w:trHeight w:val="216"/>
        </w:trPr>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outstanding as of</w:t>
            </w:r>
          </w:p>
        </w:tc>
        <w:tc>
          <w:tcPr>
            <w:tcW w:w="17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outstanding as of</w:t>
            </w: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years as of</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 years as of</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exercisable as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exercisable as</w:t>
            </w:r>
          </w:p>
        </w:tc>
      </w:tr>
      <w:tr>
        <w:trPr>
          <w:trHeight w:val="216"/>
        </w:trPr>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7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of December</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December</w:t>
            </w:r>
          </w:p>
        </w:tc>
      </w:tr>
      <w:tr>
        <w:trPr>
          <w:trHeight w:val="245"/>
        </w:trPr>
        <w:tc>
          <w:tcPr>
            <w:tcW w:w="17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Exercise price $</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36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32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34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31, 2022</w:t>
            </w:r>
          </w:p>
        </w:tc>
        <w:tc>
          <w:tcPr>
            <w:tcW w:w="3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31, 2021</w:t>
            </w:r>
          </w:p>
        </w:tc>
        <w:tc>
          <w:tcPr>
            <w:tcW w:w="100" w:type="dxa"/>
            <w:vAlign w:val="bottom"/>
          </w:tcPr>
          <w:p>
            <w:pPr>
              <w:spacing w:after="0"/>
              <w:rPr>
                <w:sz w:val="21"/>
                <w:szCs w:val="21"/>
                <w:color w:val="auto"/>
              </w:rPr>
            </w:pPr>
          </w:p>
        </w:tc>
      </w:tr>
      <w:tr>
        <w:trPr>
          <w:trHeight w:val="216"/>
        </w:trPr>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3.73</w:t>
            </w:r>
          </w:p>
        </w:tc>
        <w:tc>
          <w:tcPr>
            <w:tcW w:w="2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211,000</w:t>
            </w:r>
          </w:p>
        </w:tc>
        <w:tc>
          <w:tcPr>
            <w:tcW w:w="3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4.20</w:t>
            </w:r>
          </w:p>
        </w:tc>
        <w:tc>
          <w:tcPr>
            <w:tcW w:w="22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77,846</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77,846</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3.0</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77,846</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77,846</w:t>
            </w:r>
          </w:p>
        </w:tc>
      </w:tr>
      <w:tr>
        <w:trPr>
          <w:trHeight w:val="216"/>
        </w:trPr>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4.80</w:t>
            </w: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32,500</w:t>
            </w: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9.6</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5.06</w:t>
            </w:r>
          </w:p>
        </w:tc>
        <w:tc>
          <w:tcPr>
            <w:tcW w:w="22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15,808</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15,808</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6.8</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7.8</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15,808</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11,064</w:t>
            </w:r>
          </w:p>
        </w:tc>
      </w:tr>
      <w:tr>
        <w:trPr>
          <w:trHeight w:val="216"/>
        </w:trPr>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5.71</w:t>
            </w: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99,823</w:t>
            </w: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9.7</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5.95</w:t>
            </w:r>
          </w:p>
        </w:tc>
        <w:tc>
          <w:tcPr>
            <w:tcW w:w="22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17,503</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17,503</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6.6</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7.6</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17,503</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13,564</w:t>
            </w:r>
          </w:p>
        </w:tc>
      </w:tr>
      <w:tr>
        <w:trPr>
          <w:trHeight w:val="216"/>
        </w:trPr>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6.16</w:t>
            </w: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31,492</w:t>
            </w: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31,492</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8.5</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26,282</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16,834</w:t>
            </w:r>
          </w:p>
        </w:tc>
      </w:tr>
      <w:tr>
        <w:trPr>
          <w:trHeight w:val="216"/>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6.48</w:t>
            </w:r>
          </w:p>
        </w:tc>
        <w:tc>
          <w:tcPr>
            <w:tcW w:w="22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182,500</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9.1</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59,312</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6.72</w:t>
            </w: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117,500</w:t>
            </w: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125,000</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8.4</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9.4</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64,624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31,249</w:t>
            </w:r>
          </w:p>
        </w:tc>
      </w:tr>
      <w:tr>
        <w:trPr>
          <w:trHeight w:val="216"/>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7.00</w:t>
            </w:r>
          </w:p>
        </w:tc>
        <w:tc>
          <w:tcPr>
            <w:tcW w:w="22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81,426</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81,426</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8.8</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9.8</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38,676</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7.22</w:t>
            </w: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11,084</w:t>
            </w: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11,084</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7.9</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8.9</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7,756</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4,432</w:t>
            </w:r>
          </w:p>
        </w:tc>
      </w:tr>
      <w:tr>
        <w:trPr>
          <w:trHeight w:val="216"/>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7.26</w:t>
            </w:r>
          </w:p>
        </w:tc>
        <w:tc>
          <w:tcPr>
            <w:tcW w:w="22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20,000</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25,000</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8.8</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9.8</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8,000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8.16</w:t>
            </w: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4,902</w:t>
            </w: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4,902</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7.6</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8.6</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3,799</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2,328</w:t>
            </w:r>
          </w:p>
        </w:tc>
      </w:tr>
      <w:tr>
        <w:trPr>
          <w:trHeight w:val="216"/>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8.48</w:t>
            </w:r>
          </w:p>
        </w:tc>
        <w:tc>
          <w:tcPr>
            <w:tcW w:w="22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190,000</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190,000</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8.1</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9.1</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166,250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8.60</w:t>
            </w: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9,304</w:t>
            </w: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9,304</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6.1</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7.1</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9,304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9,304</w:t>
            </w:r>
          </w:p>
        </w:tc>
      </w:tr>
      <w:tr>
        <w:trPr>
          <w:trHeight w:val="216"/>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9.00</w:t>
            </w:r>
          </w:p>
        </w:tc>
        <w:tc>
          <w:tcPr>
            <w:tcW w:w="22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10,000</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10,000</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6.6</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9.64</w:t>
            </w: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166,666</w:t>
            </w: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166,666</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7.2</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8.2</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166,666</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166,666</w:t>
            </w:r>
          </w:p>
        </w:tc>
      </w:tr>
      <w:tr>
        <w:trPr>
          <w:trHeight w:val="216"/>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15.30</w:t>
            </w:r>
          </w:p>
        </w:tc>
        <w:tc>
          <w:tcPr>
            <w:tcW w:w="22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35,199</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38,533</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6.0</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35,199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38,533</w:t>
            </w:r>
          </w:p>
        </w:tc>
      </w:tr>
      <w:tr>
        <w:trPr>
          <w:trHeight w:val="216"/>
        </w:trPr>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15.75</w:t>
            </w: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131,007</w:t>
            </w: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131,007</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4.7</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5.7</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131,007</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124,656</w:t>
            </w:r>
          </w:p>
        </w:tc>
      </w:tr>
      <w:tr>
        <w:trPr>
          <w:trHeight w:val="237"/>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220" w:type="dxa"/>
            <w:vAlign w:val="bottom"/>
          </w:tcPr>
          <w:p>
            <w:pPr>
              <w:spacing w:after="0"/>
              <w:rPr>
                <w:sz w:val="20"/>
                <w:szCs w:val="20"/>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61,577</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61,577</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4.3</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61,577</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61,577</w:t>
            </w:r>
          </w:p>
        </w:tc>
      </w:tr>
      <w:tr>
        <w:trPr>
          <w:trHeight w:val="230"/>
        </w:trPr>
        <w:tc>
          <w:tcPr>
            <w:tcW w:w="14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1,507,137</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997,148</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899,609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568,053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$0.01.</w:t>
      </w:r>
    </w:p>
    <w:p>
      <w:pPr>
        <w:spacing w:after="0" w:line="225" w:lineRule="exact"/>
        <w:rPr>
          <w:sz w:val="20"/>
          <w:szCs w:val="20"/>
          <w:color w:val="auto"/>
        </w:rPr>
      </w:pPr>
    </w:p>
    <w:p>
      <w:pPr>
        <w:ind w:left="980" w:right="20"/>
        <w:spacing w:after="0" w:line="282" w:lineRule="auto"/>
        <w:rPr>
          <w:sz w:val="20"/>
          <w:szCs w:val="20"/>
          <w:color w:val="auto"/>
        </w:rPr>
      </w:pPr>
      <w:r>
        <w:rPr>
          <w:rFonts w:ascii="Times New Roman" w:cs="Times New Roman" w:eastAsia="Times New Roman" w:hAnsi="Times New Roman"/>
          <w:sz w:val="18"/>
          <w:szCs w:val="18"/>
          <w:color w:val="auto"/>
        </w:rPr>
        <w:t>Compensation expense recorded by the Company for its stock-based employee compensation awards in accordance with ASC 718-10 for the years ended December 31, 2022 and 2021 was $1,752 and $1,386,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Employee Stock Option Grants</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grant date fair values of stock options granted in the years ended December 31, 2022 and 2021 were estimated using the Black-Scholes valuation model with the following:</w:t>
      </w:r>
    </w:p>
    <w:p>
      <w:pPr>
        <w:spacing w:after="0" w:line="171" w:lineRule="exact"/>
        <w:rPr>
          <w:sz w:val="20"/>
          <w:szCs w:val="20"/>
          <w:color w:val="auto"/>
        </w:rPr>
      </w:pPr>
    </w:p>
    <w:tbl>
      <w:tblPr>
        <w:tblLayout w:type="fixed"/>
        <w:tblInd w:w="118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4060" w:type="dxa"/>
            <w:vAlign w:val="bottom"/>
            <w:gridSpan w:val="4"/>
          </w:tcPr>
          <w:p>
            <w:pPr>
              <w:ind w:left="64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36"/>
        </w:trPr>
        <w:tc>
          <w:tcPr>
            <w:tcW w:w="20" w:type="dxa"/>
            <w:vAlign w:val="bottom"/>
          </w:tcPr>
          <w:p>
            <w:pPr>
              <w:spacing w:after="0"/>
              <w:rPr>
                <w:sz w:val="20"/>
                <w:szCs w:val="20"/>
                <w:color w:val="auto"/>
              </w:rPr>
            </w:pPr>
          </w:p>
        </w:tc>
        <w:tc>
          <w:tcPr>
            <w:tcW w:w="4800" w:type="dxa"/>
            <w:vAlign w:val="bottom"/>
            <w:tcBorders>
              <w:bottom w:val="single" w:sz="8" w:color="CCEEFF"/>
            </w:tcBorders>
          </w:tcPr>
          <w:p>
            <w:pPr>
              <w:spacing w:after="0"/>
              <w:rPr>
                <w:sz w:val="20"/>
                <w:szCs w:val="20"/>
                <w:color w:val="auto"/>
              </w:rPr>
            </w:pPr>
          </w:p>
        </w:tc>
        <w:tc>
          <w:tcPr>
            <w:tcW w:w="188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bottom w:val="single" w:sz="8" w:color="CCEEFF"/>
            </w:tcBorders>
          </w:tcPr>
          <w:p>
            <w:pPr>
              <w:spacing w:after="0"/>
              <w:rPr>
                <w:sz w:val="20"/>
                <w:szCs w:val="20"/>
                <w:color w:val="auto"/>
              </w:rPr>
            </w:pPr>
          </w:p>
        </w:tc>
        <w:tc>
          <w:tcPr>
            <w:tcW w:w="184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CCEEFF"/>
            </w:tcBorders>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111.2%-161.7%</w:t>
            </w:r>
          </w:p>
        </w:tc>
        <w:tc>
          <w:tcPr>
            <w:tcW w:w="26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118.3%-134.3%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1.7%- 3.7%</w:t>
            </w:r>
          </w:p>
        </w:tc>
        <w:tc>
          <w:tcPr>
            <w:tcW w:w="26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0.4%-1.2%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26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terms (years)</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w:t>
            </w:r>
          </w:p>
        </w:tc>
        <w:tc>
          <w:tcPr>
            <w:tcW w:w="26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5.3</w:t>
            </w:r>
          </w:p>
        </w:tc>
        <w:tc>
          <w:tcPr>
            <w:tcW w:w="80" w:type="dxa"/>
            <w:vAlign w:val="bottom"/>
          </w:tcPr>
          <w:p>
            <w:pPr>
              <w:spacing w:after="0"/>
              <w:rPr>
                <w:sz w:val="20"/>
                <w:szCs w:val="20"/>
                <w:color w:val="auto"/>
              </w:rPr>
            </w:pPr>
          </w:p>
        </w:tc>
      </w:tr>
    </w:tbl>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remaining outstanding warrants and terms as of December 31, 2022 and 2021 are as follows:</w:t>
      </w:r>
    </w:p>
    <w:p>
      <w:pPr>
        <w:spacing w:after="0" w:line="221"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Outstanding and</w:t>
            </w:r>
          </w:p>
        </w:tc>
        <w:tc>
          <w:tcPr>
            <w:tcW w:w="18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Outstanding and</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exercisable as of</w:t>
            </w:r>
          </w:p>
        </w:tc>
        <w:tc>
          <w:tcPr>
            <w:tcW w:w="18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exercisable as of</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45"/>
        </w:trPr>
        <w:tc>
          <w:tcPr>
            <w:tcW w:w="290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Issuance date</w:t>
            </w:r>
          </w:p>
        </w:tc>
        <w:tc>
          <w:tcPr>
            <w:tcW w:w="18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December 31, 2022</w:t>
            </w:r>
          </w:p>
        </w:tc>
        <w:tc>
          <w:tcPr>
            <w:tcW w:w="18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December 31, 2021</w:t>
            </w:r>
          </w:p>
        </w:tc>
        <w:tc>
          <w:tcPr>
            <w:tcW w:w="140" w:type="dxa"/>
            <w:vAlign w:val="bottom"/>
          </w:tcPr>
          <w:p>
            <w:pPr>
              <w:spacing w:after="0"/>
              <w:rPr>
                <w:sz w:val="21"/>
                <w:szCs w:val="21"/>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Exercisable Through</w:t>
            </w:r>
          </w:p>
        </w:tc>
      </w:tr>
      <w:tr>
        <w:trPr>
          <w:trHeight w:val="216"/>
        </w:trPr>
        <w:tc>
          <w:tcPr>
            <w:tcW w:w="2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(2013)</w:t>
            </w:r>
          </w:p>
        </w:tc>
        <w:tc>
          <w:tcPr>
            <w:tcW w:w="2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3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2,754.00</w:t>
            </w:r>
          </w:p>
        </w:tc>
        <w:tc>
          <w:tcPr>
            <w:tcW w:w="28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9, 2023</w:t>
            </w:r>
          </w:p>
        </w:tc>
      </w:tr>
      <w:tr>
        <w:trPr>
          <w:trHeight w:val="216"/>
        </w:trPr>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 (2016)</w:t>
            </w: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2,770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40.50</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14, 2022</w:t>
            </w:r>
          </w:p>
        </w:tc>
      </w:tr>
      <w:tr>
        <w:trPr>
          <w:trHeight w:val="216"/>
        </w:trPr>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1.2019</w:t>
            </w:r>
          </w:p>
        </w:tc>
        <w:tc>
          <w:tcPr>
            <w:tcW w:w="1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8,082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8.13</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July 14, 2022</w:t>
            </w:r>
          </w:p>
        </w:tc>
      </w:tr>
      <w:tr>
        <w:trPr>
          <w:trHeight w:val="216"/>
        </w:trPr>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to underwriters 1.2019</w:t>
            </w: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29,500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12.50</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15, 2022</w:t>
            </w:r>
          </w:p>
        </w:tc>
      </w:tr>
      <w:tr>
        <w:trPr>
          <w:trHeight w:val="216"/>
        </w:trPr>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12.2019</w:t>
            </w:r>
          </w:p>
        </w:tc>
        <w:tc>
          <w:tcPr>
            <w:tcW w:w="1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45,643</w:t>
            </w:r>
          </w:p>
        </w:tc>
        <w:tc>
          <w:tcPr>
            <w:tcW w:w="1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45,643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13.13</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June 25, 2023</w:t>
            </w:r>
          </w:p>
        </w:tc>
      </w:tr>
      <w:tr>
        <w:trPr>
          <w:trHeight w:val="216"/>
        </w:trPr>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to underwriters 12.2019</w:t>
            </w: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47,619</w:t>
            </w: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47,619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13.13</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27, 2023</w:t>
            </w:r>
          </w:p>
        </w:tc>
      </w:tr>
      <w:tr>
        <w:trPr>
          <w:trHeight w:val="216"/>
        </w:trPr>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12.2019</w:t>
            </w:r>
          </w:p>
        </w:tc>
        <w:tc>
          <w:tcPr>
            <w:tcW w:w="1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45,045</w:t>
            </w:r>
          </w:p>
        </w:tc>
        <w:tc>
          <w:tcPr>
            <w:tcW w:w="1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45,045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13.88</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June 30, 2023</w:t>
            </w:r>
          </w:p>
        </w:tc>
      </w:tr>
      <w:tr>
        <w:trPr>
          <w:trHeight w:val="216"/>
        </w:trPr>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A 10.2022</w:t>
            </w: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1,022,495</w:t>
            </w: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4.64</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25, 2027</w:t>
            </w:r>
          </w:p>
        </w:tc>
      </w:tr>
      <w:tr>
        <w:trPr>
          <w:trHeight w:val="216"/>
        </w:trPr>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 10.2022</w:t>
            </w:r>
          </w:p>
        </w:tc>
        <w:tc>
          <w:tcPr>
            <w:tcW w:w="1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1,022,495</w:t>
            </w:r>
          </w:p>
        </w:tc>
        <w:tc>
          <w:tcPr>
            <w:tcW w:w="1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4.64</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October 25, 2024</w:t>
            </w:r>
          </w:p>
        </w:tc>
      </w:tr>
      <w:tr>
        <w:trPr>
          <w:trHeight w:val="234"/>
        </w:trPr>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to underwriters 10.2022</w:t>
            </w: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51,125</w:t>
            </w: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6.11</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21, 2027</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BASIC AND DILUTED NET LOSS PER SHARE</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basic and diluted net loss per share and weighted average number of shares of common stock used in the calculation of basic and diluted net loss per share were presented in the consolidated statements of comprehensive loss for the years ended December 31, 2022 and 2021.</w:t>
      </w:r>
    </w:p>
    <w:p>
      <w:pPr>
        <w:spacing w:after="0" w:line="162"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Due to the net loss to common stockholders in each of the periods presented above, diluted loss per share was computed without consideration to potentially dilutive instruments as their inclusion would have been anti-dilutive. As of December 31, 2022 and 2021, potentially dilutive securities excluded from the diluted loss per share calculation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20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340" w:type="dxa"/>
            <w:vAlign w:val="bottom"/>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20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5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and B warrants 2013 and 2016</w:t>
            </w:r>
          </w:p>
        </w:tc>
        <w:tc>
          <w:tcPr>
            <w:tcW w:w="3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Warrant to underwriters 12.2019</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138,307</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175,889</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and B warrants 10.2022</w:t>
            </w:r>
          </w:p>
        </w:tc>
        <w:tc>
          <w:tcPr>
            <w:tcW w:w="3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2,044,990</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Warrant to underwriters 10.2022</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51,125</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options to purchase common stock</w:t>
            </w:r>
          </w:p>
        </w:tc>
        <w:tc>
          <w:tcPr>
            <w:tcW w:w="3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1,507,137</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997,148</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120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8"/>
                <w:szCs w:val="18"/>
                <w:color w:val="auto"/>
              </w:rPr>
              <w:t>F-22</w:t>
            </w:r>
          </w:p>
        </w:tc>
        <w:tc>
          <w:tcPr>
            <w:tcW w:w="1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12 - RESEARCH AND DEVELOPMENT EXPENSES, NET</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120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60" w:type="dxa"/>
            <w:vAlign w:val="bottom"/>
            <w:gridSpan w:val="6"/>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 the Years Ended December 31,</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0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3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5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w:t>
            </w: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Materials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Rent</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and maintenance expenses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200" w:type="dxa"/>
            <w:vAlign w:val="bottom"/>
          </w:tcPr>
          <w:p>
            <w:pPr>
              <w:spacing w:after="0"/>
              <w:rPr>
                <w:sz w:val="21"/>
                <w:szCs w:val="21"/>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20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Borders>
              <w:bottom w:val="single" w:sz="8" w:color="auto"/>
            </w:tcBorders>
          </w:tcPr>
          <w:p>
            <w:pPr>
              <w:jc w:val="right"/>
              <w:ind w:right="85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7,736</w:t>
            </w:r>
          </w:p>
        </w:tc>
        <w:tc>
          <w:tcPr>
            <w:tcW w:w="260" w:type="dxa"/>
            <w:vAlign w:val="bottom"/>
          </w:tcPr>
          <w:p>
            <w:pPr>
              <w:spacing w:after="0"/>
              <w:rPr>
                <w:sz w:val="18"/>
                <w:szCs w:val="18"/>
                <w:color w:val="auto"/>
              </w:rPr>
            </w:pPr>
          </w:p>
        </w:tc>
        <w:tc>
          <w:tcPr>
            <w:tcW w:w="100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6,153</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13 - GENERAL AND ADMINISTRATIVE EXPENSES</w:t>
            </w:r>
          </w:p>
        </w:tc>
        <w:tc>
          <w:tcPr>
            <w:tcW w:w="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3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120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60" w:type="dxa"/>
            <w:vAlign w:val="bottom"/>
            <w:gridSpan w:val="6"/>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 the Years Ended December 31,</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0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3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5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Government fees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Public and investor relations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and maintenance expenses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Travel</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200" w:type="dxa"/>
            <w:vAlign w:val="bottom"/>
          </w:tcPr>
          <w:p>
            <w:pPr>
              <w:spacing w:after="0"/>
              <w:rPr>
                <w:sz w:val="21"/>
                <w:szCs w:val="21"/>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20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Borders>
              <w:bottom w:val="single" w:sz="8" w:color="auto"/>
            </w:tcBorders>
          </w:tcPr>
          <w:p>
            <w:pPr>
              <w:jc w:val="right"/>
              <w:ind w:right="85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5,545</w:t>
            </w:r>
          </w:p>
        </w:tc>
        <w:tc>
          <w:tcPr>
            <w:tcW w:w="260" w:type="dxa"/>
            <w:vAlign w:val="bottom"/>
          </w:tcPr>
          <w:p>
            <w:pPr>
              <w:spacing w:after="0"/>
              <w:rPr>
                <w:sz w:val="18"/>
                <w:szCs w:val="18"/>
                <w:color w:val="auto"/>
              </w:rPr>
            </w:pPr>
          </w:p>
        </w:tc>
        <w:tc>
          <w:tcPr>
            <w:tcW w:w="100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14 - TRANSACTIONS AND BALANCES WITH RELATED PARTIES</w:t>
            </w:r>
          </w:p>
        </w:tc>
        <w:tc>
          <w:tcPr>
            <w:tcW w:w="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3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120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60" w:type="dxa"/>
            <w:vAlign w:val="bottom"/>
            <w:gridSpan w:val="6"/>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 the Years Ended December 31,</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0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Transactions:</w:t>
            </w:r>
          </w:p>
        </w:tc>
        <w:tc>
          <w:tcPr>
            <w:tcW w:w="3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1340" w:type="dxa"/>
            <w:vAlign w:val="bottom"/>
            <w:gridSpan w:val="2"/>
          </w:tcPr>
          <w:p>
            <w:pPr>
              <w:jc w:val="right"/>
              <w:ind w:right="85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1260" w:type="dxa"/>
            <w:vAlign w:val="bottom"/>
            <w:gridSpan w:val="2"/>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ESOP expenses to CEO and executive officers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Board of directors fees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ESOP expenses to directors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200" w:type="dxa"/>
            <w:vAlign w:val="bottom"/>
          </w:tcPr>
          <w:p>
            <w:pPr>
              <w:spacing w:after="0"/>
              <w:rPr>
                <w:sz w:val="20"/>
                <w:szCs w:val="20"/>
                <w:color w:val="auto"/>
              </w:rPr>
            </w:pPr>
          </w:p>
        </w:tc>
        <w:tc>
          <w:tcPr>
            <w:tcW w:w="5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Insurance for directors and executives</w:t>
            </w:r>
          </w:p>
        </w:tc>
        <w:tc>
          <w:tcPr>
            <w:tcW w:w="3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26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80" w:type="dxa"/>
            <w:vAlign w:val="bottom"/>
            <w:tcBorders>
              <w:bottom w:val="single" w:sz="8" w:color="CCEEFF"/>
            </w:tcBorders>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51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5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w:t>
            </w:r>
          </w:p>
        </w:tc>
        <w:tc>
          <w:tcPr>
            <w:tcW w:w="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w:t>
            </w:r>
          </w:p>
        </w:tc>
        <w:tc>
          <w:tcPr>
            <w:tcW w:w="80" w:type="dxa"/>
            <w:vAlign w:val="bottom"/>
            <w:tcBorders>
              <w:bottom w:val="single" w:sz="8" w:color="CCEEFF"/>
            </w:tcBorders>
            <w:shd w:val="clear" w:color="auto" w:fill="CCEEFF"/>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120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tcBorders>
              <w:bottom w:val="single" w:sz="8" w:color="auto"/>
            </w:tcBorders>
            <w:gridSpan w:val="4"/>
          </w:tcPr>
          <w:p>
            <w:pPr>
              <w:jc w:val="center"/>
              <w:ind w:left="412"/>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c>
          <w:tcPr>
            <w:tcW w:w="5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0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w:t>
            </w:r>
          </w:p>
        </w:tc>
        <w:tc>
          <w:tcPr>
            <w:tcW w:w="3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Bonus to CEO and executive offices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Board of directors fees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200" w:type="dxa"/>
            <w:vAlign w:val="bottom"/>
          </w:tcPr>
          <w:p>
            <w:pPr>
              <w:spacing w:after="0"/>
              <w:rPr>
                <w:sz w:val="20"/>
                <w:szCs w:val="20"/>
                <w:color w:val="auto"/>
              </w:rPr>
            </w:pPr>
          </w:p>
        </w:tc>
        <w:tc>
          <w:tcPr>
            <w:tcW w:w="5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3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6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Borders>
              <w:bottom w:val="single" w:sz="8" w:color="CCEEFF"/>
            </w:tcBorders>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200" w:type="dxa"/>
            <w:vAlign w:val="bottom"/>
          </w:tcPr>
          <w:p>
            <w:pPr>
              <w:spacing w:after="0"/>
              <w:rPr>
                <w:sz w:val="19"/>
                <w:szCs w:val="19"/>
                <w:color w:val="auto"/>
              </w:rPr>
            </w:pPr>
          </w:p>
        </w:tc>
        <w:tc>
          <w:tcPr>
            <w:tcW w:w="51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5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80" w:type="dxa"/>
            <w:vAlign w:val="bottom"/>
            <w:tcBorders>
              <w:bottom w:val="single" w:sz="8" w:color="CCEEFF"/>
            </w:tcBorders>
            <w:shd w:val="clear" w:color="auto" w:fill="CCEEFF"/>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180" w:type="dxa"/>
            <w:vAlign w:val="bottom"/>
            <w:vMerge w:val="restart"/>
          </w:tcPr>
          <w:p>
            <w:pPr>
              <w:ind w:left="4260"/>
              <w:spacing w:after="0"/>
              <w:rPr>
                <w:sz w:val="20"/>
                <w:szCs w:val="20"/>
                <w:color w:val="auto"/>
              </w:rPr>
            </w:pPr>
            <w:r>
              <w:rPr>
                <w:rFonts w:ascii="Times New Roman" w:cs="Times New Roman" w:eastAsia="Times New Roman" w:hAnsi="Times New Roman"/>
                <w:sz w:val="18"/>
                <w:szCs w:val="18"/>
                <w:color w:val="auto"/>
              </w:rPr>
              <w:t>F-23</w:t>
            </w:r>
          </w:p>
        </w:tc>
        <w:tc>
          <w:tcPr>
            <w:tcW w:w="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120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TAXES ON INCOME</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is subject to income taxes under the Israeli and U.S. tax laws:</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Corporate tax rates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is subject to U.S. federal tax rate of 21% for the years ended December 31, 2022 and 2021.</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has not been audited by the Internal Revenue Service since its incorporation.</w:t>
      </w:r>
    </w:p>
    <w:p>
      <w:pPr>
        <w:spacing w:after="0" w:line="225"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As of December 31, 2022 and 2021, the Company has generated accumulated net operating losses in the U.S. of approximately $502,053 and $496,950, respectively. Net operating losses in the United States are available through 2035. Utilization of U.S. net operating losses may be subject to substantial annual limitation due to the “change in ownership” provisions of the Internal Revenue Code of 1986 and similar state provisions. The annual limitation may result in the expiration of net operating losses before utilization.</w:t>
      </w:r>
    </w:p>
    <w:p>
      <w:pPr>
        <w:spacing w:after="0" w:line="180"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Microbot Israel is subject to Israeli corporate tax rate of 23% for the years ended 2022 and 2021. Microbot Israel has not received a final tax assessment since 2016.</w:t>
      </w:r>
    </w:p>
    <w:p>
      <w:pPr>
        <w:spacing w:after="0" w:line="16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As of December 31, 2022 and 2021, Microbot Israel has generated accumulated net operating losses in Israel of approximately $34,688 and $26,623, respectively, which may be carried forward and offset against taxable income in the future for an indefinite period.</w:t>
      </w:r>
    </w:p>
    <w:p>
      <w:pPr>
        <w:spacing w:after="0" w:line="162"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is still in its development stage and has not yet generated revenues, therefore, it is more likely than not that sufficient taxable income will not be available for the tax losses to be utilized in the future. Therefore, a valuation allowance was recorded to reduce the deferred tax assets to its recoverable amounts.</w:t>
      </w:r>
    </w:p>
    <w:p>
      <w:pPr>
        <w:spacing w:after="0" w:line="185" w:lineRule="exact"/>
        <w:rPr>
          <w:sz w:val="20"/>
          <w:szCs w:val="20"/>
          <w:color w:val="auto"/>
        </w:rPr>
      </w:pPr>
    </w:p>
    <w:tbl>
      <w:tblPr>
        <w:tblLayout w:type="fixed"/>
        <w:tblInd w:w="118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40" w:type="dxa"/>
            <w:vAlign w:val="bottom"/>
            <w:tcBorders>
              <w:bottom w:val="single" w:sz="8" w:color="auto"/>
            </w:tcBorders>
            <w:gridSpan w:val="5"/>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7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2022</w:t>
            </w: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2021</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160" w:type="dxa"/>
            <w:vAlign w:val="bottom"/>
            <w:gridSpan w:val="2"/>
            <w:shd w:val="clear" w:color="auto" w:fill="CCEEFF"/>
          </w:tcPr>
          <w:p>
            <w:pPr>
              <w:jc w:val="right"/>
              <w:ind w:right="111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113,393</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15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Operation lease liabilities</w:t>
            </w:r>
          </w:p>
        </w:tc>
        <w:tc>
          <w:tcPr>
            <w:tcW w:w="8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vacation pay</w:t>
            </w:r>
          </w:p>
        </w:tc>
        <w:tc>
          <w:tcPr>
            <w:tcW w:w="8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Total deferred tax assets</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113,569</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110,684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8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(113,455)</w:t>
            </w:r>
          </w:p>
        </w:tc>
        <w:tc>
          <w:tcPr>
            <w:tcW w:w="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(110,536)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deferred tax assets</w:t>
            </w:r>
          </w:p>
        </w:tc>
        <w:tc>
          <w:tcPr>
            <w:tcW w:w="880" w:type="dxa"/>
            <w:vAlign w:val="bottom"/>
            <w:tcBorders>
              <w:top w:val="single" w:sz="8" w:color="CCEEFF"/>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114</w:t>
            </w:r>
          </w:p>
        </w:tc>
        <w:tc>
          <w:tcPr>
            <w:tcW w:w="2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148</w:t>
            </w: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 right-of-use assets</w:t>
            </w:r>
          </w:p>
        </w:tc>
        <w:tc>
          <w:tcPr>
            <w:tcW w:w="8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8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880" w:type="dxa"/>
            <w:vAlign w:val="bottom"/>
            <w:tcBorders>
              <w:top w:val="single" w:sz="8" w:color="CCEEFF"/>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1112"/>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11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Reconciliation of Income Taxes:</w:t>
      </w:r>
    </w:p>
    <w:p>
      <w:pPr>
        <w:spacing w:after="0" w:line="229"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the taxes on income assuming that all income is taxed at the ordinary statutory corporate tax rate in Israel and the effective income tax rate:</w:t>
      </w:r>
    </w:p>
    <w:p>
      <w:pPr>
        <w:spacing w:after="0" w:line="171" w:lineRule="exact"/>
        <w:rPr>
          <w:sz w:val="20"/>
          <w:szCs w:val="20"/>
          <w:color w:val="auto"/>
        </w:rPr>
      </w:pPr>
    </w:p>
    <w:tbl>
      <w:tblPr>
        <w:tblLayout w:type="fixed"/>
        <w:tblInd w:w="118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160" w:type="dxa"/>
            <w:vAlign w:val="bottom"/>
            <w:gridSpan w:val="6"/>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 Israel</w:t>
            </w:r>
          </w:p>
        </w:tc>
        <w:tc>
          <w:tcPr>
            <w:tcW w:w="16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8,065</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Net loss in U.S.</w:t>
            </w:r>
          </w:p>
        </w:tc>
        <w:tc>
          <w:tcPr>
            <w:tcW w:w="16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5,103</w:t>
            </w:r>
          </w:p>
        </w:tc>
        <w:tc>
          <w:tcPr>
            <w:tcW w:w="240" w:type="dxa"/>
            <w:vAlign w:val="bottom"/>
          </w:tcPr>
          <w:p>
            <w:pPr>
              <w:spacing w:after="0"/>
              <w:rPr>
                <w:sz w:val="18"/>
                <w:szCs w:val="18"/>
                <w:color w:val="auto"/>
              </w:rPr>
            </w:pPr>
          </w:p>
        </w:tc>
        <w:tc>
          <w:tcPr>
            <w:tcW w:w="3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tax rate</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Income Tax under statutory tax rate</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4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(2,922)</w:t>
            </w: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(2,513)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Actual provision for income tax</w:t>
            </w:r>
          </w:p>
        </w:tc>
        <w:tc>
          <w:tcPr>
            <w:tcW w:w="148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SUBSEQUENT EVENT</w:t>
      </w:r>
    </w:p>
    <w:p>
      <w:pPr>
        <w:spacing w:after="0" w:line="229"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On February 13, 2023, 240,000 pre-funded warrants were exercised to shares of Common Stock (the “Pre-Funded Warrants”) in exercise price of $0.0001 per share.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149"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07"/>
        </w:trPr>
        <w:tc>
          <w:tcPr>
            <w:tcW w:w="3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tc>
        <w:tc>
          <w:tcPr>
            <w:tcW w:w="440" w:type="dxa"/>
            <w:vAlign w:val="bottom"/>
            <w:gridSpan w:val="2"/>
          </w:tcPr>
          <w:p>
            <w:pPr>
              <w:spacing w:after="0"/>
              <w:rPr>
                <w:sz w:val="17"/>
                <w:szCs w:val="17"/>
                <w:color w:val="auto"/>
              </w:rPr>
            </w:pPr>
          </w:p>
        </w:tc>
        <w:tc>
          <w:tcPr>
            <w:tcW w:w="1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3740" w:type="dxa"/>
            <w:vAlign w:val="bottom"/>
          </w:tcPr>
          <w:p>
            <w:pPr>
              <w:spacing w:after="0"/>
              <w:rPr>
                <w:sz w:val="24"/>
                <w:szCs w:val="24"/>
                <w:color w:val="auto"/>
              </w:rPr>
            </w:pPr>
          </w:p>
        </w:tc>
        <w:tc>
          <w:tcPr>
            <w:tcW w:w="3500" w:type="dxa"/>
            <w:vAlign w:val="bottom"/>
            <w:gridSpan w:val="6"/>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Interim Consolidated Balance Sheets</w:t>
            </w: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3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0" w:type="dxa"/>
            <w:vAlign w:val="bottom"/>
            <w:gridSpan w:val="5"/>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U.S. dollars in thousands</w:t>
            </w:r>
          </w:p>
        </w:tc>
        <w:tc>
          <w:tcPr>
            <w:tcW w:w="1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740" w:type="dxa"/>
            <w:vAlign w:val="bottom"/>
          </w:tcPr>
          <w:p>
            <w:pPr>
              <w:spacing w:after="0"/>
              <w:rPr>
                <w:sz w:val="24"/>
                <w:szCs w:val="24"/>
                <w:color w:val="auto"/>
              </w:rPr>
            </w:pPr>
          </w:p>
        </w:tc>
        <w:tc>
          <w:tcPr>
            <w:tcW w:w="3500" w:type="dxa"/>
            <w:vAlign w:val="bottom"/>
            <w:gridSpan w:val="6"/>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(Except share and per share data)</w:t>
            </w: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3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3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3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40" w:type="dxa"/>
            <w:vAlign w:val="bottom"/>
            <w:gridSpan w:val="4"/>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6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1"/>
                <w:szCs w:val="21"/>
                <w:color w:val="auto"/>
              </w:rPr>
            </w:pPr>
          </w:p>
        </w:tc>
      </w:tr>
      <w:tr>
        <w:trPr>
          <w:trHeight w:val="216"/>
        </w:trPr>
        <w:tc>
          <w:tcPr>
            <w:tcW w:w="3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8"/>
              </w:rPr>
              <w:t>Unaudited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Audited</w:t>
            </w: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ind w:left="2260"/>
              <w:spacing w:after="0"/>
              <w:rPr>
                <w:sz w:val="20"/>
                <w:szCs w:val="20"/>
                <w:color w:val="auto"/>
              </w:rPr>
            </w:pPr>
            <w:r>
              <w:rPr>
                <w:rFonts w:ascii="Times New Roman" w:cs="Times New Roman" w:eastAsia="Times New Roman" w:hAnsi="Times New Roman"/>
                <w:sz w:val="18"/>
                <w:szCs w:val="18"/>
                <w:color w:val="auto"/>
              </w:rPr>
              <w:t>ASSETS</w:t>
            </w: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500" w:type="dxa"/>
            <w:vAlign w:val="bottom"/>
            <w:gridSpan w:val="6"/>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1,335</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2,442</w:t>
            </w:r>
          </w:p>
        </w:tc>
      </w:tr>
      <w:tr>
        <w:trPr>
          <w:trHeight w:val="216"/>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292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5,760</w:t>
            </w:r>
          </w:p>
        </w:tc>
      </w:tr>
      <w:tr>
        <w:trPr>
          <w:trHeight w:val="216"/>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deposit</w:t>
            </w: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r>
      <w:tr>
        <w:trPr>
          <w:trHeight w:val="249"/>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7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532</w:t>
            </w:r>
          </w:p>
        </w:tc>
      </w:tr>
      <w:tr>
        <w:trPr>
          <w:trHeight w:val="203"/>
        </w:trPr>
        <w:tc>
          <w:tcPr>
            <w:tcW w:w="3740" w:type="dxa"/>
            <w:vAlign w:val="bottom"/>
            <w:tcBorders>
              <w:top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70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8,407</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8,814</w:t>
            </w:r>
          </w:p>
        </w:tc>
        <w:tc>
          <w:tcPr>
            <w:tcW w:w="100" w:type="dxa"/>
            <w:vAlign w:val="bottom"/>
            <w:tcBorders>
              <w:top w:val="single" w:sz="8" w:color="CCEEFF"/>
            </w:tcBorders>
          </w:tcPr>
          <w:p>
            <w:pPr>
              <w:spacing w:after="0"/>
              <w:rPr>
                <w:sz w:val="17"/>
                <w:szCs w:val="17"/>
                <w:color w:val="auto"/>
              </w:rPr>
            </w:pPr>
          </w:p>
        </w:tc>
      </w:tr>
      <w:tr>
        <w:trPr>
          <w:trHeight w:val="216"/>
        </w:trPr>
        <w:tc>
          <w:tcPr>
            <w:tcW w:w="3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w:t>
            </w:r>
          </w:p>
        </w:tc>
      </w:tr>
      <w:tr>
        <w:trPr>
          <w:trHeight w:val="249"/>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2920" w:type="dxa"/>
            <w:vAlign w:val="bottom"/>
            <w:gridSpan w:val="3"/>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502</w:t>
            </w:r>
          </w:p>
        </w:tc>
      </w:tr>
      <w:tr>
        <w:trPr>
          <w:trHeight w:val="257"/>
        </w:trPr>
        <w:tc>
          <w:tcPr>
            <w:tcW w:w="3740" w:type="dxa"/>
            <w:vAlign w:val="bottom"/>
            <w:tcBorders>
              <w:top w:val="single" w:sz="8" w:color="CCEEFF"/>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700" w:type="dxa"/>
            <w:vAlign w:val="bottom"/>
            <w:tcBorders>
              <w:top w:val="single" w:sz="8" w:color="CCEEFF"/>
              <w:bottom w:val="single" w:sz="8" w:color="CCEEFF"/>
            </w:tcBorders>
          </w:tcPr>
          <w:p>
            <w:pPr>
              <w:spacing w:after="0"/>
              <w:rPr>
                <w:sz w:val="22"/>
                <w:szCs w:val="22"/>
                <w:color w:val="auto"/>
              </w:rPr>
            </w:pPr>
          </w:p>
        </w:tc>
        <w:tc>
          <w:tcPr>
            <w:tcW w:w="960" w:type="dxa"/>
            <w:vAlign w:val="bottom"/>
            <w:tcBorders>
              <w:top w:val="single" w:sz="8" w:color="CCEEFF"/>
              <w:bottom w:val="single" w:sz="8" w:color="CCEEFF"/>
            </w:tcBorders>
          </w:tcPr>
          <w:p>
            <w:pPr>
              <w:spacing w:after="0"/>
              <w:rPr>
                <w:sz w:val="22"/>
                <w:szCs w:val="22"/>
                <w:color w:val="auto"/>
              </w:rPr>
            </w:pPr>
          </w:p>
        </w:tc>
        <w:tc>
          <w:tcPr>
            <w:tcW w:w="126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CCEEFF"/>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8,888</w:t>
            </w:r>
          </w:p>
        </w:tc>
        <w:tc>
          <w:tcPr>
            <w:tcW w:w="20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CCEEFF"/>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9,537</w:t>
            </w:r>
          </w:p>
        </w:tc>
        <w:tc>
          <w:tcPr>
            <w:tcW w:w="100" w:type="dxa"/>
            <w:vAlign w:val="bottom"/>
            <w:tcBorders>
              <w:top w:val="single" w:sz="8" w:color="CCEEFF"/>
              <w:bottom w:val="single" w:sz="8" w:color="CCEEFF"/>
            </w:tcBorders>
          </w:tcPr>
          <w:p>
            <w:pPr>
              <w:spacing w:after="0"/>
              <w:rPr>
                <w:sz w:val="22"/>
                <w:szCs w:val="22"/>
                <w:color w:val="auto"/>
              </w:rPr>
            </w:pPr>
          </w:p>
        </w:tc>
      </w:tr>
      <w:tr>
        <w:trPr>
          <w:trHeight w:val="197"/>
        </w:trPr>
        <w:tc>
          <w:tcPr>
            <w:tcW w:w="37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240" w:type="dxa"/>
            <w:vAlign w:val="bottom"/>
            <w:gridSpan w:val="7"/>
          </w:tcPr>
          <w:p>
            <w:pPr>
              <w:ind w:left="74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500" w:type="dxa"/>
            <w:vAlign w:val="bottom"/>
            <w:gridSpan w:val="6"/>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238</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2920" w:type="dxa"/>
            <w:vAlign w:val="bottom"/>
            <w:gridSpan w:val="3"/>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283</w:t>
            </w:r>
          </w:p>
        </w:tc>
      </w:tr>
      <w:tr>
        <w:trPr>
          <w:trHeight w:val="237"/>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7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1,047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1,670</w:t>
            </w:r>
          </w:p>
        </w:tc>
      </w:tr>
      <w:tr>
        <w:trPr>
          <w:trHeight w:val="216"/>
        </w:trPr>
        <w:tc>
          <w:tcPr>
            <w:tcW w:w="37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7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292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w:t>
            </w:r>
          </w:p>
        </w:tc>
      </w:tr>
      <w:tr>
        <w:trPr>
          <w:trHeight w:val="223"/>
        </w:trPr>
        <w:tc>
          <w:tcPr>
            <w:tcW w:w="37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70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3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4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240" w:type="dxa"/>
            <w:vAlign w:val="bottom"/>
            <w:gridSpan w:val="7"/>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$0.01 par value; 60,000,000 shares authorized as of</w:t>
            </w:r>
          </w:p>
        </w:tc>
        <w:tc>
          <w:tcPr>
            <w:tcW w:w="1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24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September  30,  2023  and  December  31,  2022;  11,707,317 and</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4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7,890,628 shares issued and outstanding as of September 30, 2023</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December 31, 2022, respectively.</w:t>
            </w:r>
          </w:p>
        </w:tc>
        <w:tc>
          <w:tcPr>
            <w:tcW w:w="7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83,587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75,970</w:t>
            </w:r>
          </w:p>
        </w:tc>
      </w:tr>
      <w:tr>
        <w:trPr>
          <w:trHeight w:val="250"/>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7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(76,347)</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(68,761)</w:t>
            </w:r>
          </w:p>
        </w:tc>
      </w:tr>
      <w:tr>
        <w:trPr>
          <w:trHeight w:val="210"/>
        </w:trPr>
        <w:tc>
          <w:tcPr>
            <w:tcW w:w="374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shareholders’ equity</w:t>
            </w:r>
          </w:p>
        </w:tc>
        <w:tc>
          <w:tcPr>
            <w:tcW w:w="700" w:type="dxa"/>
            <w:vAlign w:val="bottom"/>
            <w:tcBorders>
              <w:top w:val="single" w:sz="8" w:color="CCEEFF"/>
              <w:bottom w:val="single" w:sz="8" w:color="CCEEFF"/>
            </w:tcBorders>
          </w:tcPr>
          <w:p>
            <w:pPr>
              <w:spacing w:after="0"/>
              <w:rPr>
                <w:sz w:val="18"/>
                <w:szCs w:val="18"/>
                <w:color w:val="auto"/>
              </w:rPr>
            </w:pPr>
          </w:p>
        </w:tc>
        <w:tc>
          <w:tcPr>
            <w:tcW w:w="960" w:type="dxa"/>
            <w:vAlign w:val="bottom"/>
            <w:tcBorders>
              <w:top w:val="single" w:sz="8" w:color="CCEEFF"/>
              <w:bottom w:val="single" w:sz="8" w:color="CCEEFF"/>
            </w:tcBorders>
          </w:tcPr>
          <w:p>
            <w:pPr>
              <w:spacing w:after="0"/>
              <w:rPr>
                <w:sz w:val="18"/>
                <w:szCs w:val="18"/>
                <w:color w:val="auto"/>
              </w:rPr>
            </w:pPr>
          </w:p>
        </w:tc>
        <w:tc>
          <w:tcPr>
            <w:tcW w:w="126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7,358</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7,289</w:t>
            </w:r>
          </w:p>
        </w:tc>
        <w:tc>
          <w:tcPr>
            <w:tcW w:w="100" w:type="dxa"/>
            <w:vAlign w:val="bottom"/>
            <w:tcBorders>
              <w:top w:val="single" w:sz="8" w:color="CCEEFF"/>
              <w:bottom w:val="single" w:sz="8" w:color="CCEEFF"/>
            </w:tcBorders>
          </w:tcPr>
          <w:p>
            <w:pPr>
              <w:spacing w:after="0"/>
              <w:rPr>
                <w:sz w:val="18"/>
                <w:szCs w:val="18"/>
                <w:color w:val="auto"/>
              </w:rPr>
            </w:pPr>
          </w:p>
        </w:tc>
      </w:tr>
      <w:tr>
        <w:trPr>
          <w:trHeight w:val="230"/>
        </w:trPr>
        <w:tc>
          <w:tcPr>
            <w:tcW w:w="3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7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8,888</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3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Interim Consolidated Statements of Comprehensive Loss</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ectPr>
          <w:pgSz w:w="11900" w:h="16838" w:orient="portrait"/>
          <w:cols w:equalWidth="0" w:num="1">
            <w:col w:w="11240"/>
          </w:cols>
          <w:pgMar w:left="320" w:top="684" w:right="339" w:bottom="1440" w:gutter="0" w:footer="0" w:header="0"/>
        </w:sectPr>
      </w:pPr>
    </w:p>
    <w:p>
      <w:pPr>
        <w:spacing w:after="0" w:line="225" w:lineRule="exact"/>
        <w:rPr>
          <w:sz w:val="20"/>
          <w:szCs w:val="20"/>
          <w:color w:val="auto"/>
        </w:rPr>
      </w:pPr>
    </w:p>
    <w:p>
      <w:pPr>
        <w:jc w:val="center"/>
        <w:ind w:left="468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spacing w:after="0" w:line="31" w:lineRule="exact"/>
        <w:rPr>
          <w:sz w:val="20"/>
          <w:szCs w:val="20"/>
          <w:color w:val="auto"/>
        </w:rPr>
      </w:pPr>
    </w:p>
    <w:p>
      <w:pPr>
        <w:jc w:val="center"/>
        <w:ind w:left="474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5715</wp:posOffset>
            </wp:positionV>
            <wp:extent cx="195453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954530" cy="17145"/>
                    </a:xfrm>
                    <a:prstGeom prst="rect">
                      <a:avLst/>
                    </a:prstGeom>
                    <a:noFill/>
                  </pic:spPr>
                </pic:pic>
              </a:graphicData>
            </a:graphic>
          </wp:anchor>
        </w:drawing>
      </w:r>
    </w:p>
    <w:p>
      <w:pPr>
        <w:spacing w:after="0" w:line="7" w:lineRule="exact"/>
        <w:rPr>
          <w:sz w:val="20"/>
          <w:szCs w:val="20"/>
          <w:color w:val="auto"/>
        </w:rPr>
      </w:pPr>
    </w:p>
    <w:p>
      <w:pPr>
        <w:ind w:left="5240"/>
        <w:spacing w:after="0"/>
        <w:tabs>
          <w:tab w:leader="none" w:pos="6920" w:val="left"/>
        </w:tabs>
        <w:rPr>
          <w:sz w:val="20"/>
          <w:szCs w:val="20"/>
          <w:color w:val="auto"/>
        </w:rPr>
      </w:pP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b w:val="1"/>
          <w:bCs w:val="1"/>
          <w:color w:val="auto"/>
        </w:rPr>
        <w:t>2022</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7"/>
          <w:szCs w:val="17"/>
          <w:b w:val="1"/>
          <w:bCs w:val="1"/>
          <w:color w:val="auto"/>
        </w:rPr>
        <w:t>For the Nine Months Ended</w:t>
      </w:r>
    </w:p>
    <w:p>
      <w:pPr>
        <w:spacing w:after="0" w:line="4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wp:posOffset>
            </wp:positionH>
            <wp:positionV relativeFrom="paragraph">
              <wp:posOffset>5715</wp:posOffset>
            </wp:positionV>
            <wp:extent cx="190309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903095" cy="17145"/>
                    </a:xfrm>
                    <a:prstGeom prst="rect">
                      <a:avLst/>
                    </a:prstGeom>
                    <a:noFill/>
                  </pic:spPr>
                </pic:pic>
              </a:graphicData>
            </a:graphic>
          </wp:anchor>
        </w:drawing>
      </w:r>
    </w:p>
    <w:p>
      <w:pPr>
        <w:spacing w:after="0" w:line="7" w:lineRule="exact"/>
        <w:rPr>
          <w:sz w:val="20"/>
          <w:szCs w:val="20"/>
          <w:color w:val="auto"/>
        </w:rPr>
      </w:pPr>
    </w:p>
    <w:p>
      <w:pPr>
        <w:ind w:left="80"/>
        <w:spacing w:after="0"/>
        <w:tabs>
          <w:tab w:leader="none" w:pos="1720" w:val="left"/>
        </w:tabs>
        <w:rPr>
          <w:sz w:val="20"/>
          <w:szCs w:val="20"/>
          <w:color w:val="auto"/>
        </w:rPr>
      </w:pP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b w:val="1"/>
          <w:bCs w:val="1"/>
          <w:color w:val="auto"/>
        </w:rPr>
        <w:t>2022</w:t>
      </w:r>
    </w:p>
    <w:p>
      <w:pPr>
        <w:spacing w:after="0" w:line="31" w:lineRule="exact"/>
        <w:rPr>
          <w:sz w:val="20"/>
          <w:szCs w:val="20"/>
          <w:color w:val="auto"/>
        </w:rPr>
      </w:pPr>
    </w:p>
    <w:p>
      <w:pPr>
        <w:sectPr>
          <w:pgSz w:w="11900" w:h="16838" w:orient="portrait"/>
          <w:cols w:equalWidth="0" w:num="2">
            <w:col w:w="7820" w:space="720"/>
            <w:col w:w="2700"/>
          </w:cols>
          <w:pgMar w:left="320" w:top="684" w:right="339" w:bottom="1440" w:gutter="0" w:footer="0" w:header="0"/>
          <w:type w:val="continuous"/>
        </w:sectPr>
      </w:pP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Research and development, net</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Operating loss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Financing income, net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48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gridSpan w:val="4"/>
          </w:tcPr>
          <w:p>
            <w:pPr>
              <w:jc w:val="right"/>
              <w:ind w:right="360"/>
              <w:spacing w:after="0" w:line="205" w:lineRule="exact"/>
              <w:rPr>
                <w:sz w:val="20"/>
                <w:szCs w:val="20"/>
                <w:color w:val="auto"/>
              </w:rPr>
            </w:pPr>
            <w:r>
              <w:rPr>
                <w:rFonts w:ascii="Times New Roman" w:cs="Times New Roman" w:eastAsia="Times New Roman" w:hAnsi="Times New Roman"/>
                <w:sz w:val="18"/>
                <w:szCs w:val="18"/>
                <w:color w:val="auto"/>
              </w:rPr>
              <w:t>Unaudited</w:t>
            </w:r>
          </w:p>
        </w:tc>
        <w:tc>
          <w:tcPr>
            <w:tcW w:w="8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gridSpan w:val="4"/>
          </w:tcPr>
          <w:p>
            <w:pPr>
              <w:jc w:val="right"/>
              <w:ind w:right="300"/>
              <w:spacing w:after="0" w:line="205" w:lineRule="exact"/>
              <w:rPr>
                <w:sz w:val="20"/>
                <w:szCs w:val="20"/>
                <w:color w:val="auto"/>
              </w:rPr>
            </w:pPr>
            <w:r>
              <w:rPr>
                <w:rFonts w:ascii="Times New Roman" w:cs="Times New Roman" w:eastAsia="Times New Roman" w:hAnsi="Times New Roman"/>
                <w:sz w:val="18"/>
                <w:szCs w:val="18"/>
                <w:color w:val="auto"/>
              </w:rPr>
              <w:t>Unaudited</w:t>
            </w:r>
          </w:p>
        </w:tc>
        <w:tc>
          <w:tcPr>
            <w:tcW w:w="8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(1,612)</w:t>
            </w:r>
          </w:p>
        </w:tc>
        <w:tc>
          <w:tcPr>
            <w:tcW w:w="7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(1,953)</w:t>
            </w: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(4,594)</w:t>
            </w:r>
          </w:p>
        </w:tc>
        <w:tc>
          <w:tcPr>
            <w:tcW w:w="6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(5,852)</w:t>
            </w:r>
          </w:p>
        </w:tc>
      </w:tr>
      <w:tr>
        <w:trPr>
          <w:trHeight w:val="255"/>
        </w:trPr>
        <w:tc>
          <w:tcPr>
            <w:tcW w:w="480" w:type="dxa"/>
            <w:vAlign w:val="bottom"/>
          </w:tcPr>
          <w:p>
            <w:pPr>
              <w:spacing w:after="0"/>
              <w:rPr>
                <w:sz w:val="22"/>
                <w:szCs w:val="22"/>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(932)</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(1,521)</w:t>
            </w:r>
          </w:p>
        </w:tc>
        <w:tc>
          <w:tcPr>
            <w:tcW w:w="480" w:type="dxa"/>
            <w:vAlign w:val="bottom"/>
          </w:tcPr>
          <w:p>
            <w:pPr>
              <w:spacing w:after="0"/>
              <w:rPr>
                <w:sz w:val="22"/>
                <w:szCs w:val="2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(3,193)</w:t>
            </w: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(4,361)</w:t>
            </w:r>
          </w:p>
        </w:tc>
      </w:tr>
      <w:tr>
        <w:trPr>
          <w:trHeight w:val="234"/>
        </w:trPr>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(3,474)</w:t>
            </w:r>
          </w:p>
        </w:tc>
        <w:tc>
          <w:tcPr>
            <w:tcW w:w="3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(10,213)</w:t>
            </w:r>
          </w:p>
        </w:tc>
        <w:tc>
          <w:tcPr>
            <w:tcW w:w="60" w:type="dxa"/>
            <w:vAlign w:val="bottom"/>
          </w:tcPr>
          <w:p>
            <w:pPr>
              <w:spacing w:after="0"/>
              <w:rPr>
                <w:sz w:val="20"/>
                <w:szCs w:val="20"/>
                <w:color w:val="auto"/>
              </w:rPr>
            </w:pPr>
          </w:p>
        </w:tc>
      </w:tr>
      <w:tr>
        <w:trPr>
          <w:trHeight w:val="395"/>
        </w:trPr>
        <w:tc>
          <w:tcPr>
            <w:tcW w:w="48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w:t>
            </w:r>
          </w:p>
        </w:tc>
        <w:tc>
          <w:tcPr>
            <w:tcW w:w="48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201</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tcPr>
          <w:p>
            <w:pPr>
              <w:spacing w:after="0"/>
              <w:rPr>
                <w:sz w:val="24"/>
                <w:szCs w:val="24"/>
                <w:color w:val="auto"/>
              </w:rPr>
            </w:pPr>
          </w:p>
        </w:tc>
      </w:tr>
      <w:tr>
        <w:trPr>
          <w:trHeight w:val="261"/>
        </w:trPr>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(2,446)</w:t>
            </w:r>
          </w:p>
        </w:tc>
        <w:tc>
          <w:tcPr>
            <w:tcW w:w="7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(3,468)</w:t>
            </w: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(7,586)</w:t>
            </w:r>
          </w:p>
        </w:tc>
        <w:tc>
          <w:tcPr>
            <w:tcW w:w="6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-864870</wp:posOffset>
            </wp:positionV>
            <wp:extent cx="713232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-574040</wp:posOffset>
            </wp:positionV>
            <wp:extent cx="7132320" cy="146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-290830</wp:posOffset>
            </wp:positionV>
            <wp:extent cx="713232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020" w:space="720"/>
            <w:col w:w="6500"/>
          </w:cols>
          <w:pgMar w:left="320" w:top="684"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474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r>
      <w:tr>
        <w:trPr>
          <w:trHeight w:val="28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(0.21)</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(0.49)</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(0.79)</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w:t>
            </w:r>
          </w:p>
        </w:tc>
      </w:tr>
      <w:tr>
        <w:trPr>
          <w:trHeight w:val="151"/>
        </w:trPr>
        <w:tc>
          <w:tcPr>
            <w:tcW w:w="4740" w:type="dxa"/>
            <w:vAlign w:val="bottom"/>
            <w:tcBorders>
              <w:top w:val="single" w:sz="8" w:color="CCEEFF"/>
            </w:tcBorders>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Basic and diluted weighted average common shares</w:t>
            </w:r>
          </w:p>
        </w:tc>
        <w:tc>
          <w:tcPr>
            <w:tcW w:w="3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r>
      <w:tr>
        <w:trPr>
          <w:trHeight w:val="261"/>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w:t>
            </w: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11,707,317</w:t>
            </w:r>
          </w:p>
        </w:tc>
        <w:tc>
          <w:tcPr>
            <w:tcW w:w="1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7,108,133</w:t>
            </w:r>
          </w:p>
        </w:tc>
        <w:tc>
          <w:tcPr>
            <w:tcW w:w="3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9,653,337</w:t>
            </w:r>
          </w:p>
        </w:tc>
        <w:tc>
          <w:tcPr>
            <w:tcW w:w="1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7,108,133</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Interim Consolidated Statements of Shareholders’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80" w:type="dxa"/>
            <w:vAlign w:val="bottom"/>
          </w:tcPr>
          <w:p>
            <w:pPr>
              <w:spacing w:after="0"/>
              <w:rPr>
                <w:sz w:val="20"/>
                <w:szCs w:val="20"/>
                <w:color w:val="auto"/>
              </w:rPr>
            </w:pPr>
          </w:p>
        </w:tc>
        <w:tc>
          <w:tcPr>
            <w:tcW w:w="2860" w:type="dxa"/>
            <w:vAlign w:val="bottom"/>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180" w:type="dxa"/>
            <w:vAlign w:val="bottom"/>
          </w:tcPr>
          <w:p>
            <w:pPr>
              <w:spacing w:after="0"/>
              <w:rPr>
                <w:sz w:val="24"/>
                <w:szCs w:val="24"/>
                <w:color w:val="auto"/>
              </w:rPr>
            </w:pPr>
          </w:p>
        </w:tc>
        <w:tc>
          <w:tcPr>
            <w:tcW w:w="2860" w:type="dxa"/>
            <w:vAlign w:val="bottom"/>
            <w:gridSpan w:val="6"/>
            <w:vMerge w:val="restart"/>
          </w:tcPr>
          <w:p>
            <w:pPr>
              <w:ind w:left="7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32"/>
        </w:trPr>
        <w:tc>
          <w:tcPr>
            <w:tcW w:w="4180" w:type="dxa"/>
            <w:vAlign w:val="bottom"/>
          </w:tcPr>
          <w:p>
            <w:pPr>
              <w:spacing w:after="0"/>
              <w:rPr>
                <w:sz w:val="20"/>
                <w:szCs w:val="20"/>
                <w:color w:val="auto"/>
              </w:rPr>
            </w:pPr>
          </w:p>
        </w:tc>
        <w:tc>
          <w:tcPr>
            <w:tcW w:w="2860" w:type="dxa"/>
            <w:vAlign w:val="bottom"/>
            <w:gridSpan w:val="6"/>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20" w:type="dxa"/>
            <w:vAlign w:val="bottom"/>
            <w:gridSpan w:val="3"/>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223"/>
        </w:trPr>
        <w:tc>
          <w:tcPr>
            <w:tcW w:w="4180" w:type="dxa"/>
            <w:vAlign w:val="bottom"/>
          </w:tcPr>
          <w:p>
            <w:pPr>
              <w:spacing w:after="0"/>
              <w:rPr>
                <w:sz w:val="19"/>
                <w:szCs w:val="19"/>
                <w:color w:val="auto"/>
              </w:rPr>
            </w:pPr>
          </w:p>
        </w:tc>
        <w:tc>
          <w:tcPr>
            <w:tcW w:w="130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80" w:type="dxa"/>
            <w:vAlign w:val="bottom"/>
          </w:tcPr>
          <w:p>
            <w:pPr>
              <w:spacing w:after="0"/>
              <w:rPr>
                <w:sz w:val="19"/>
                <w:szCs w:val="19"/>
                <w:color w:val="auto"/>
              </w:rPr>
            </w:pPr>
          </w:p>
        </w:tc>
        <w:tc>
          <w:tcPr>
            <w:tcW w:w="1240" w:type="dxa"/>
            <w:vAlign w:val="bottom"/>
            <w:gridSpan w:val="2"/>
          </w:tcPr>
          <w:p>
            <w:pPr>
              <w:jc w:val="center"/>
              <w:ind w:right="421"/>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200" w:type="dxa"/>
            <w:vAlign w:val="bottom"/>
          </w:tcPr>
          <w:p>
            <w:pPr>
              <w:spacing w:after="0"/>
              <w:rPr>
                <w:sz w:val="19"/>
                <w:szCs w:val="19"/>
                <w:color w:val="auto"/>
              </w:rPr>
            </w:pPr>
          </w:p>
        </w:tc>
        <w:tc>
          <w:tcPr>
            <w:tcW w:w="10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2021 (Audited)</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7,108,133</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69,902</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(55,593)</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14,381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429</w:t>
            </w:r>
          </w:p>
        </w:tc>
        <w:tc>
          <w:tcPr>
            <w:tcW w:w="180" w:type="dxa"/>
            <w:vAlign w:val="bottom"/>
          </w:tcPr>
          <w:p>
            <w:pPr>
              <w:spacing w:after="0"/>
              <w:rPr>
                <w:sz w:val="18"/>
                <w:szCs w:val="18"/>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49"/>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(3,189)</w:t>
            </w:r>
          </w:p>
        </w:tc>
        <w:tc>
          <w:tcPr>
            <w:tcW w:w="20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(3,189)</w:t>
            </w:r>
          </w:p>
        </w:tc>
        <w:tc>
          <w:tcPr>
            <w:tcW w:w="0" w:type="dxa"/>
            <w:vAlign w:val="bottom"/>
          </w:tcPr>
          <w:p>
            <w:pPr>
              <w:spacing w:after="0"/>
              <w:rPr>
                <w:sz w:val="1"/>
                <w:szCs w:val="1"/>
                <w:color w:val="auto"/>
              </w:rPr>
            </w:pPr>
          </w:p>
        </w:tc>
      </w:tr>
      <w:tr>
        <w:trPr>
          <w:trHeight w:val="257"/>
        </w:trPr>
        <w:tc>
          <w:tcPr>
            <w:tcW w:w="418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Balances, March 31, 2022 (Unaudited)</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7,108,133</w:t>
            </w:r>
          </w:p>
        </w:tc>
        <w:tc>
          <w:tcPr>
            <w:tcW w:w="16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70,331</w:t>
            </w:r>
          </w:p>
        </w:tc>
        <w:tc>
          <w:tcPr>
            <w:tcW w:w="34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(58,782</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11,621</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180" w:type="dxa"/>
            <w:vAlign w:val="bottom"/>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Share-based compensation</w:t>
            </w:r>
          </w:p>
        </w:tc>
        <w:tc>
          <w:tcPr>
            <w:tcW w:w="11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432</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432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(3,513)</w:t>
            </w:r>
          </w:p>
        </w:tc>
        <w:tc>
          <w:tcPr>
            <w:tcW w:w="20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(3,513)</w:t>
            </w:r>
          </w:p>
        </w:tc>
        <w:tc>
          <w:tcPr>
            <w:tcW w:w="0" w:type="dxa"/>
            <w:vAlign w:val="bottom"/>
          </w:tcPr>
          <w:p>
            <w:pPr>
              <w:spacing w:after="0"/>
              <w:rPr>
                <w:sz w:val="1"/>
                <w:szCs w:val="1"/>
                <w:color w:val="auto"/>
              </w:rPr>
            </w:pPr>
          </w:p>
        </w:tc>
      </w:tr>
      <w:tr>
        <w:trPr>
          <w:trHeight w:val="230"/>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June 30, 2022 (Unaudited)</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7,108,133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70,763</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(62,295</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80" w:type="dxa"/>
            <w:vAlign w:val="bottom"/>
            <w:vMerge w:val="continue"/>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461</w:t>
            </w:r>
          </w:p>
        </w:tc>
        <w:tc>
          <w:tcPr>
            <w:tcW w:w="3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461</w:t>
            </w:r>
          </w:p>
        </w:tc>
        <w:tc>
          <w:tcPr>
            <w:tcW w:w="2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(3,468)</w:t>
            </w:r>
          </w:p>
        </w:tc>
        <w:tc>
          <w:tcPr>
            <w:tcW w:w="20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(3,468)</w:t>
            </w:r>
          </w:p>
        </w:tc>
        <w:tc>
          <w:tcPr>
            <w:tcW w:w="0" w:type="dxa"/>
            <w:vAlign w:val="bottom"/>
          </w:tcPr>
          <w:p>
            <w:pPr>
              <w:spacing w:after="0"/>
              <w:rPr>
                <w:sz w:val="1"/>
                <w:szCs w:val="1"/>
                <w:color w:val="auto"/>
              </w:rPr>
            </w:pPr>
          </w:p>
        </w:tc>
      </w:tr>
      <w:tr>
        <w:trPr>
          <w:trHeight w:val="217"/>
        </w:trPr>
        <w:tc>
          <w:tcPr>
            <w:tcW w:w="41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Balances, September 30, 2022 (Unaudited)</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7,108,133</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71,224</w:t>
            </w: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(65,763</w:t>
            </w:r>
          </w:p>
        </w:tc>
        <w:tc>
          <w:tcPr>
            <w:tcW w:w="320" w:type="dxa"/>
            <w:vAlign w:val="bottom"/>
            <w:tcBorders>
              <w:top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5,533</w:t>
            </w: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4180" w:type="dxa"/>
            <w:vAlign w:val="bottom"/>
          </w:tcPr>
          <w:p>
            <w:pPr>
              <w:spacing w:after="0"/>
              <w:rPr>
                <w:sz w:val="24"/>
                <w:szCs w:val="24"/>
                <w:color w:val="auto"/>
              </w:rPr>
            </w:pPr>
          </w:p>
        </w:tc>
        <w:tc>
          <w:tcPr>
            <w:tcW w:w="2860" w:type="dxa"/>
            <w:vAlign w:val="bottom"/>
            <w:gridSpan w:val="6"/>
            <w:vMerge w:val="restart"/>
          </w:tcPr>
          <w:p>
            <w:pPr>
              <w:ind w:left="7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32"/>
        </w:trPr>
        <w:tc>
          <w:tcPr>
            <w:tcW w:w="4180" w:type="dxa"/>
            <w:vAlign w:val="bottom"/>
          </w:tcPr>
          <w:p>
            <w:pPr>
              <w:spacing w:after="0"/>
              <w:rPr>
                <w:sz w:val="20"/>
                <w:szCs w:val="20"/>
                <w:color w:val="auto"/>
              </w:rPr>
            </w:pPr>
          </w:p>
        </w:tc>
        <w:tc>
          <w:tcPr>
            <w:tcW w:w="2860" w:type="dxa"/>
            <w:vAlign w:val="bottom"/>
            <w:gridSpan w:val="6"/>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20" w:type="dxa"/>
            <w:vAlign w:val="bottom"/>
            <w:gridSpan w:val="3"/>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223"/>
        </w:trPr>
        <w:tc>
          <w:tcPr>
            <w:tcW w:w="4180" w:type="dxa"/>
            <w:vAlign w:val="bottom"/>
          </w:tcPr>
          <w:p>
            <w:pPr>
              <w:spacing w:after="0"/>
              <w:rPr>
                <w:sz w:val="19"/>
                <w:szCs w:val="19"/>
                <w:color w:val="auto"/>
              </w:rPr>
            </w:pPr>
          </w:p>
        </w:tc>
        <w:tc>
          <w:tcPr>
            <w:tcW w:w="130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80" w:type="dxa"/>
            <w:vAlign w:val="bottom"/>
          </w:tcPr>
          <w:p>
            <w:pPr>
              <w:spacing w:after="0"/>
              <w:rPr>
                <w:sz w:val="19"/>
                <w:szCs w:val="19"/>
                <w:color w:val="auto"/>
              </w:rPr>
            </w:pPr>
          </w:p>
        </w:tc>
        <w:tc>
          <w:tcPr>
            <w:tcW w:w="1240" w:type="dxa"/>
            <w:vAlign w:val="bottom"/>
            <w:gridSpan w:val="2"/>
          </w:tcPr>
          <w:p>
            <w:pPr>
              <w:jc w:val="center"/>
              <w:ind w:right="421"/>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200" w:type="dxa"/>
            <w:vAlign w:val="bottom"/>
          </w:tcPr>
          <w:p>
            <w:pPr>
              <w:spacing w:after="0"/>
              <w:rPr>
                <w:sz w:val="19"/>
                <w:szCs w:val="19"/>
                <w:color w:val="auto"/>
              </w:rPr>
            </w:pPr>
          </w:p>
        </w:tc>
        <w:tc>
          <w:tcPr>
            <w:tcW w:w="10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2022 (Audited)</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7,890,628</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75,970</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(68,761)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412</w:t>
            </w:r>
          </w:p>
        </w:tc>
        <w:tc>
          <w:tcPr>
            <w:tcW w:w="180" w:type="dxa"/>
            <w:vAlign w:val="bottom"/>
          </w:tcPr>
          <w:p>
            <w:pPr>
              <w:spacing w:after="0"/>
              <w:rPr>
                <w:sz w:val="18"/>
                <w:szCs w:val="18"/>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198"/>
        </w:trPr>
        <w:tc>
          <w:tcPr>
            <w:tcW w:w="41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 of</w:t>
            </w: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240,000</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(2,853)</w:t>
            </w:r>
          </w:p>
        </w:tc>
        <w:tc>
          <w:tcPr>
            <w:tcW w:w="20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(2,853)</w:t>
            </w:r>
          </w:p>
        </w:tc>
        <w:tc>
          <w:tcPr>
            <w:tcW w:w="0" w:type="dxa"/>
            <w:vAlign w:val="bottom"/>
          </w:tcPr>
          <w:p>
            <w:pPr>
              <w:spacing w:after="0"/>
              <w:rPr>
                <w:sz w:val="1"/>
                <w:szCs w:val="1"/>
                <w:color w:val="auto"/>
              </w:rPr>
            </w:pPr>
          </w:p>
        </w:tc>
      </w:tr>
      <w:tr>
        <w:trPr>
          <w:trHeight w:val="230"/>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March 31, 2023 (Unaudited)</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8,130,628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76,379</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(71,614</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80" w:type="dxa"/>
            <w:vAlign w:val="bottom"/>
            <w:vMerge w:val="continue"/>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349</w:t>
            </w:r>
          </w:p>
        </w:tc>
        <w:tc>
          <w:tcPr>
            <w:tcW w:w="3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349</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1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and warrants net of</w:t>
            </w: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costs (*)</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3,576,689</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6,523</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6,558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(2,287)</w:t>
            </w:r>
          </w:p>
        </w:tc>
        <w:tc>
          <w:tcPr>
            <w:tcW w:w="20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(2,287)</w:t>
            </w:r>
          </w:p>
        </w:tc>
        <w:tc>
          <w:tcPr>
            <w:tcW w:w="0" w:type="dxa"/>
            <w:vAlign w:val="bottom"/>
          </w:tcPr>
          <w:p>
            <w:pPr>
              <w:spacing w:after="0"/>
              <w:rPr>
                <w:sz w:val="1"/>
                <w:szCs w:val="1"/>
                <w:color w:val="auto"/>
              </w:rPr>
            </w:pPr>
          </w:p>
        </w:tc>
      </w:tr>
      <w:tr>
        <w:trPr>
          <w:trHeight w:val="230"/>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June 30, 2023 (Unaudited)</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11,707,317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83,251</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(73,901</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80" w:type="dxa"/>
            <w:vAlign w:val="bottom"/>
            <w:vMerge w:val="continue"/>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336</w:t>
            </w:r>
          </w:p>
        </w:tc>
        <w:tc>
          <w:tcPr>
            <w:tcW w:w="3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336</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(2,446)</w:t>
            </w: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(2,446)</w:t>
            </w:r>
          </w:p>
        </w:tc>
        <w:tc>
          <w:tcPr>
            <w:tcW w:w="0" w:type="dxa"/>
            <w:vAlign w:val="bottom"/>
          </w:tcPr>
          <w:p>
            <w:pPr>
              <w:spacing w:after="0"/>
              <w:rPr>
                <w:sz w:val="1"/>
                <w:szCs w:val="1"/>
                <w:color w:val="auto"/>
              </w:rPr>
            </w:pPr>
          </w:p>
        </w:tc>
      </w:tr>
      <w:tr>
        <w:trPr>
          <w:trHeight w:val="243"/>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Balances, September 30, 2023 (Unaudited)</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11,707,317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83,587</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(76,347)</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7,358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Net of issuance costs in the amount of $1,075.</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07"/>
        </w:trPr>
        <w:tc>
          <w:tcPr>
            <w:tcW w:w="4440" w:type="dxa"/>
            <w:vAlign w:val="bottom"/>
          </w:tcPr>
          <w:p>
            <w:pPr>
              <w:spacing w:after="0"/>
              <w:rPr>
                <w:sz w:val="17"/>
                <w:szCs w:val="17"/>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8380" w:type="dxa"/>
            <w:vAlign w:val="bottom"/>
            <w:gridSpan w:val="4"/>
          </w:tcPr>
          <w:p>
            <w:pPr>
              <w:jc w:val="center"/>
              <w:ind w:left="2790"/>
              <w:spacing w:after="0"/>
              <w:rPr>
                <w:sz w:val="20"/>
                <w:szCs w:val="20"/>
                <w:color w:val="auto"/>
              </w:rPr>
            </w:pPr>
            <w:r>
              <w:rPr>
                <w:rFonts w:ascii="Times New Roman" w:cs="Times New Roman" w:eastAsia="Times New Roman" w:hAnsi="Times New Roman"/>
                <w:sz w:val="18"/>
                <w:szCs w:val="18"/>
                <w:b w:val="1"/>
                <w:bCs w:val="1"/>
                <w:color w:val="auto"/>
                <w:w w:val="99"/>
              </w:rPr>
              <w:t>Interim Consolidated Statements of Cash Flows</w:t>
            </w: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440" w:type="dxa"/>
            <w:vAlign w:val="bottom"/>
          </w:tcPr>
          <w:p>
            <w:pPr>
              <w:spacing w:after="0"/>
              <w:rPr>
                <w:sz w:val="20"/>
                <w:szCs w:val="20"/>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4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80" w:type="dxa"/>
            <w:vAlign w:val="bottom"/>
            <w:gridSpan w:val="5"/>
          </w:tcPr>
          <w:p>
            <w:pPr>
              <w:jc w:val="right"/>
              <w:ind w:right="354"/>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44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gridSpan w:val="4"/>
          </w:tcPr>
          <w:p>
            <w:pPr>
              <w:jc w:val="right"/>
              <w:ind w:right="874"/>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114"/>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Unaudited</w:t>
            </w:r>
          </w:p>
        </w:tc>
        <w:tc>
          <w:tcPr>
            <w:tcW w:w="5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Unaudited</w:t>
            </w:r>
          </w:p>
        </w:tc>
        <w:tc>
          <w:tcPr>
            <w:tcW w:w="5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580" w:type="dxa"/>
            <w:vAlign w:val="bottom"/>
            <w:gridSpan w:val="2"/>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(7,586)</w:t>
            </w:r>
          </w:p>
        </w:tc>
        <w:tc>
          <w:tcPr>
            <w:tcW w:w="1340" w:type="dxa"/>
            <w:vAlign w:val="bottom"/>
            <w:gridSpan w:val="2"/>
          </w:tcPr>
          <w:p>
            <w:pPr>
              <w:jc w:val="right"/>
              <w:ind w:right="1154"/>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(10,170)</w:t>
            </w: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flows used in operating activities: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and unrealized gains from marketable securities, net</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1,097</w:t>
            </w: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549</w:t>
            </w: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payables and accrued liabilities</w:t>
            </w: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(738)</w:t>
            </w:r>
          </w:p>
        </w:tc>
        <w:tc>
          <w:tcPr>
            <w:tcW w:w="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210"/>
        </w:trPr>
        <w:tc>
          <w:tcPr>
            <w:tcW w:w="6800" w:type="dxa"/>
            <w:vAlign w:val="bottom"/>
            <w:tcBorders>
              <w:top w:val="single" w:sz="8" w:color="CCEEFF"/>
              <w:bottom w:val="single" w:sz="8" w:color="CCEEFF"/>
            </w:tcBorders>
            <w:gridSpan w:val="2"/>
          </w:tcPr>
          <w:p>
            <w:pPr>
              <w:ind w:left="360"/>
              <w:spacing w:after="0" w:line="203" w:lineRule="exact"/>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180" w:type="dxa"/>
            <w:vAlign w:val="bottom"/>
            <w:tcBorders>
              <w:top w:val="single" w:sz="8" w:color="CCEEFF"/>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(6,712</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bottom w:val="single" w:sz="8" w:color="CCEEFF"/>
            </w:tcBorders>
          </w:tcPr>
          <w:p>
            <w:pPr>
              <w:spacing w:after="0"/>
              <w:rPr>
                <w:sz w:val="18"/>
                <w:szCs w:val="18"/>
                <w:color w:val="auto"/>
              </w:rPr>
            </w:pPr>
          </w:p>
        </w:tc>
        <w:tc>
          <w:tcPr>
            <w:tcW w:w="13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(9,086</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 of property and equipment</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(8,379)</w:t>
            </w: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sales of a marketable securities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2,039</w:t>
            </w:r>
          </w:p>
        </w:tc>
        <w:tc>
          <w:tcPr>
            <w:tcW w:w="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5,389</w:t>
            </w: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 term deposit</w:t>
            </w: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800" w:type="dxa"/>
            <w:vAlign w:val="bottom"/>
            <w:tcBorders>
              <w:top w:val="single" w:sz="8" w:color="CCEEFF"/>
              <w:bottom w:val="single" w:sz="8" w:color="CCEEFF"/>
            </w:tcBorders>
            <w:gridSpan w:val="2"/>
          </w:tcPr>
          <w:p>
            <w:pPr>
              <w:ind w:left="360"/>
              <w:spacing w:after="0" w:line="203" w:lineRule="exact"/>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180" w:type="dxa"/>
            <w:vAlign w:val="bottom"/>
            <w:tcBorders>
              <w:top w:val="single" w:sz="8" w:color="CCEEFF"/>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(984</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bottom w:val="single" w:sz="8" w:color="CCEEFF"/>
            </w:tcBorders>
          </w:tcPr>
          <w:p>
            <w:pPr>
              <w:spacing w:after="0"/>
              <w:rPr>
                <w:sz w:val="18"/>
                <w:szCs w:val="18"/>
                <w:color w:val="auto"/>
              </w:rPr>
            </w:pPr>
          </w:p>
        </w:tc>
        <w:tc>
          <w:tcPr>
            <w:tcW w:w="13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and warrants, net of issuance costs</w:t>
            </w: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6,558</w:t>
            </w:r>
          </w:p>
        </w:tc>
        <w:tc>
          <w:tcPr>
            <w:tcW w:w="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800" w:type="dxa"/>
            <w:vAlign w:val="bottom"/>
            <w:tcBorders>
              <w:top w:val="single" w:sz="8" w:color="CCEEFF"/>
              <w:bottom w:val="single" w:sz="8" w:color="CCEEFF"/>
            </w:tcBorders>
            <w:gridSpan w:val="2"/>
          </w:tcPr>
          <w:p>
            <w:pPr>
              <w:ind w:left="180"/>
              <w:spacing w:after="0" w:line="203" w:lineRule="exact"/>
              <w:rPr>
                <w:sz w:val="20"/>
                <w:szCs w:val="20"/>
                <w:color w:val="auto"/>
              </w:rPr>
            </w:pPr>
            <w:r>
              <w:rPr>
                <w:rFonts w:ascii="Times New Roman" w:cs="Times New Roman" w:eastAsia="Times New Roman" w:hAnsi="Times New Roman"/>
                <w:sz w:val="18"/>
                <w:szCs w:val="18"/>
                <w:color w:val="auto"/>
              </w:rPr>
              <w:t>Net cash flows provided by financing activities</w:t>
            </w:r>
          </w:p>
        </w:tc>
        <w:tc>
          <w:tcPr>
            <w:tcW w:w="180" w:type="dxa"/>
            <w:vAlign w:val="bottom"/>
            <w:tcBorders>
              <w:top w:val="single" w:sz="8" w:color="CCEEFF"/>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6,558</w:t>
            </w:r>
          </w:p>
        </w:tc>
        <w:tc>
          <w:tcPr>
            <w:tcW w:w="3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3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(1,138)</w:t>
            </w: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(9,169)</w:t>
            </w:r>
          </w:p>
        </w:tc>
        <w:tc>
          <w:tcPr>
            <w:tcW w:w="0" w:type="dxa"/>
            <w:vAlign w:val="bottom"/>
          </w:tcPr>
          <w:p>
            <w:pPr>
              <w:spacing w:after="0"/>
              <w:rPr>
                <w:sz w:val="1"/>
                <w:szCs w:val="1"/>
                <w:color w:val="auto"/>
              </w:rPr>
            </w:pPr>
          </w:p>
        </w:tc>
      </w:tr>
      <w:tr>
        <w:trPr>
          <w:trHeight w:val="250"/>
        </w:trPr>
        <w:tc>
          <w:tcPr>
            <w:tcW w:w="6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2,519</w:t>
            </w:r>
          </w:p>
        </w:tc>
        <w:tc>
          <w:tcPr>
            <w:tcW w:w="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800" w:type="dxa"/>
            <w:vAlign w:val="bottom"/>
            <w:tcBorders>
              <w:top w:val="single" w:sz="8" w:color="CCEEFF"/>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80" w:type="dxa"/>
            <w:vAlign w:val="bottom"/>
            <w:tcBorders>
              <w:top w:val="single" w:sz="8" w:color="CCEEFF"/>
              <w:bottom w:val="single" w:sz="8" w:color="CCEEFF"/>
            </w:tcBorders>
          </w:tcPr>
          <w:p>
            <w:pPr>
              <w:spacing w:after="0"/>
              <w:rPr>
                <w:sz w:val="22"/>
                <w:szCs w:val="22"/>
                <w:color w:val="auto"/>
              </w:rPr>
            </w:pPr>
          </w:p>
        </w:tc>
        <w:tc>
          <w:tcPr>
            <w:tcW w:w="1400" w:type="dxa"/>
            <w:vAlign w:val="bottom"/>
            <w:tcBorders>
              <w:top w:val="single" w:sz="8" w:color="auto"/>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32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115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4,411</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44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received from interest</w:t>
            </w:r>
          </w:p>
        </w:tc>
        <w:tc>
          <w:tcPr>
            <w:tcW w:w="1580" w:type="dxa"/>
            <w:vAlign w:val="bottom"/>
            <w:gridSpan w:val="2"/>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100</w:t>
            </w:r>
          </w:p>
        </w:tc>
        <w:tc>
          <w:tcPr>
            <w:tcW w:w="1340" w:type="dxa"/>
            <w:vAlign w:val="bottom"/>
            <w:gridSpan w:val="2"/>
            <w:shd w:val="clear" w:color="auto" w:fill="CCEEFF"/>
          </w:tcPr>
          <w:p>
            <w:pPr>
              <w:jc w:val="right"/>
              <w:ind w:right="115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bottom w:val="single" w:sz="8" w:color="CCEEFF"/>
            </w:tcBorders>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Right-of-use asset and lease liability</w:t>
            </w: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0" w:type="dxa"/>
            <w:vAlign w:val="bottom"/>
            <w:gridSpan w:val="2"/>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400" w:type="dxa"/>
            <w:vAlign w:val="bottom"/>
            <w:tcBorders>
              <w:bottom w:val="single" w:sz="8" w:color="auto"/>
            </w:tcBorders>
          </w:tcPr>
          <w:p>
            <w:pPr>
              <w:jc w:val="right"/>
              <w:ind w:right="1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3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320" w:type="dxa"/>
            <w:vAlign w:val="bottom"/>
            <w:tcBorders>
              <w:bottom w:val="single" w:sz="8" w:color="auto"/>
            </w:tcBorders>
          </w:tcPr>
          <w:p>
            <w:pPr>
              <w:jc w:val="right"/>
              <w:ind w:right="115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147</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Interim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GENERAL</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 Description of business</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Microbot Medical Inc. (the “Company”) is a pre-clinical medical device company specializing in the research, design and development of next generation robotic endoluminal surgery devices targeting the minimally invasive surgery space. The Company is primarily focused on leveraging its robotic technologies with the goal of redefining surgical robotics while improving surgical outcomes for patients.</w:t>
      </w:r>
    </w:p>
    <w:p>
      <w:pPr>
        <w:spacing w:after="0" w:line="176"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 incorporated on August 2, 1988 in the State of Delaware under the name Cellular Transplants, Inc. The original Certificate of Incorporation was restated on February 14, 1992 to change the name of the Company to Cyto Therapeutics, Inc. On May 24, 2000, the Certificate of Incorporation as restated was further amended to change the name of the Company to StemCells, Inc.</w:t>
      </w:r>
    </w:p>
    <w:p>
      <w:pPr>
        <w:spacing w:after="0" w:line="176"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On November 28, 2016, the Company consummated a transaction pursuant to an Agreement and Plan of Merger, dated August 15, 2016, with Microbot Medical Ltd., a private medical device company organized under the laws of the State of Israel (“Microbot Israel”). On the same day and in connection with the Merger, the Company changed its name from StemCells, Inc. to Microbot Medical Inc. On November 29, 2016, the Company’s common stock, par value $0.01 per share (the “Common Stock”) began trading on the Nasdaq Capital Market under the symbol “MBOT”.</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and Microbot Israel, its sole subsidiary, are sometimes collectively referred to as the “Company” as the context may require.</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B. Risk Factors</w:t>
      </w:r>
    </w:p>
    <w:p>
      <w:pPr>
        <w:spacing w:after="0" w:line="22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To date, the Company has not generated revenues from its operations. As of September 30, 2023, the Company had cash equivalents and marketable securities balance of approximately $8,153, excluding restricted cash, which management believes is sufficient to fund its operations for five months from the filing date of this Quarterly Report on Form 10-Q. Accordingly, as of such filing date, there is a substantial doubt as to the Company’s ability to continue as a going concern.</w:t>
      </w:r>
    </w:p>
    <w:p>
      <w:pPr>
        <w:spacing w:after="0" w:line="180"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Due to continuing research and development activities, the Company expects to continue to incur additional losses for the foreseeable future. While management of the Company believes that it has sufficient funds until approximately April 2024, partially as a result of the Company’s cost reduction program implemented in May 2023 and capital raises in May and June 2023, the Company will seek to raise additional funds through future issuances of either debt and/or equity securities and possibly additional grants from the Israeli Innovation Authority and other government institutions. The Company’s ability to raise additional capital in the equity and debt markets is dependent on a number of factors, including, but not limited to, the market demand for the Company’s stock, which itself is subject to a number of development and business risks and uncertainties, as well as the uncertainty that the Company would be able to raise such additional capital at a price or on terms that are favorable to the Company. See Note 6 for additional risk factors which have developed subsequent to September 30, 2023.</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 Use of estimates</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pertaining to transactions and matters whose ultimate effect on the financial statements cannot precisely be determined at the time of financial statements preparation. Although these estimates are based on management’s best judgment, actual results may differ from these estimates.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6" w:name="page107"/>
    <w:bookmarkEnd w:id="106"/>
    <w:p>
      <w:pPr>
        <w:ind w:left="340"/>
        <w:spacing w:after="0"/>
        <w:rPr>
          <w:sz w:val="20"/>
          <w:szCs w:val="20"/>
          <w:color w:val="auto"/>
        </w:rPr>
      </w:pPr>
      <w:r>
        <w:rPr>
          <w:rFonts w:ascii="Times New Roman" w:cs="Times New Roman" w:eastAsia="Times New Roman" w:hAnsi="Times New Roman"/>
          <w:sz w:val="18"/>
          <w:szCs w:val="18"/>
          <w:b w:val="1"/>
          <w:bCs w:val="1"/>
          <w:color w:val="auto"/>
        </w:rPr>
        <w:t>D. Unaudited Interim Financial Statements</w:t>
      </w:r>
    </w:p>
    <w:p>
      <w:pPr>
        <w:spacing w:after="0" w:line="22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have been prepared in accordance with U.S. GAAP for interim financial information and with the instructions to Form 10-Q and Article 10 of U.S. Securities and Exchange Commission (“SEC”) regulations. Accordingly, they do not include all the information and footnotes required by GAAP for complete financial statements. In the opinion of management, all adjustments considered necessary for a fair presentation have been included (consisting only of normal recurring adjustments except as otherwise discussed).</w:t>
      </w:r>
    </w:p>
    <w:p>
      <w:pPr>
        <w:spacing w:after="0" w:line="183"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Operating results for the nine and three-month periods ended September 30, 2023, are not necessarily indicative of the results that may be expected for the year ended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9"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The significant accounting policies followed in the preparation of these unaudited interim consolidated financial statements are identical to those applied in the preparation of the latest annual audited financial statements.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carrying values of cash and cash equivalents, other receivables and other accounts payable and accrued liabilities approximate their fair value due to the short-term maturity of these instruments.</w:t>
      </w:r>
    </w:p>
    <w:p>
      <w:pPr>
        <w:spacing w:after="0" w:line="162"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Quoted prices (unadjusted) in active markets for identical assets and liabilities.</w:t>
      </w:r>
    </w:p>
    <w:p>
      <w:pPr>
        <w:spacing w:after="0" w:line="225" w:lineRule="exact"/>
        <w:rPr>
          <w:sz w:val="20"/>
          <w:szCs w:val="20"/>
          <w:color w:val="auto"/>
        </w:rPr>
      </w:pPr>
    </w:p>
    <w:p>
      <w:pPr>
        <w:jc w:val="both"/>
        <w:ind w:left="340"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Inputs other than Level 1 that are observable, either directly or indirectly, such as unadjusted quoted prices for similar assets and liabilities,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unadjusted quoted prices in the markets that are not active, or other inputs that are observable or can be corroborated by observable market data for substantially the full term of the assets or liabilities.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Unobservable inputs that are supported by little or no market activity and that are significant to the fair value of the assets or liabilities.</w:t>
      </w:r>
    </w:p>
    <w:p>
      <w:pPr>
        <w:spacing w:after="0" w:line="229"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The following tables summarizes the Company’s financial assets subject to fair value measurement and the level of inputs used in such measurements as of September 30, 2023 and December 31, 2022:</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gridSpan w:val="3"/>
          </w:tcPr>
          <w:p>
            <w:pPr>
              <w:jc w:val="right"/>
              <w:ind w:right="174"/>
              <w:spacing w:after="0"/>
              <w:rPr>
                <w:sz w:val="20"/>
                <w:szCs w:val="20"/>
                <w:color w:val="auto"/>
              </w:rPr>
            </w:pPr>
            <w:r>
              <w:rPr>
                <w:rFonts w:ascii="Times New Roman" w:cs="Times New Roman" w:eastAsia="Times New Roman" w:hAnsi="Times New Roman"/>
                <w:sz w:val="18"/>
                <w:szCs w:val="18"/>
                <w:b w:val="1"/>
                <w:bCs w:val="1"/>
                <w:color w:val="auto"/>
              </w:rPr>
              <w:t>As of September 30, 2023</w:t>
            </w:r>
          </w:p>
        </w:tc>
        <w:tc>
          <w:tcPr>
            <w:tcW w:w="2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36"/>
        </w:trPr>
        <w:tc>
          <w:tcPr>
            <w:tcW w:w="66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40" w:type="dxa"/>
            <w:vAlign w:val="bottom"/>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6"/>
        </w:trPr>
        <w:tc>
          <w:tcPr>
            <w:tcW w:w="6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840" w:type="dxa"/>
            <w:vAlign w:val="bottom"/>
          </w:tcPr>
          <w:p>
            <w:pPr>
              <w:jc w:val="right"/>
              <w:ind w:right="673"/>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8"/>
              </w:rPr>
              <w:t>6,220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6,220</w:t>
            </w:r>
          </w:p>
        </w:tc>
        <w:tc>
          <w:tcPr>
            <w:tcW w:w="1040" w:type="dxa"/>
            <w:vAlign w:val="bottom"/>
          </w:tcPr>
          <w:p>
            <w:pPr>
              <w:jc w:val="right"/>
              <w:ind w:right="87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r>
      <w:tr>
        <w:trPr>
          <w:trHeight w:val="250"/>
        </w:trPr>
        <w:tc>
          <w:tcPr>
            <w:tcW w:w="660" w:type="dxa"/>
            <w:vAlign w:val="bottom"/>
          </w:tcPr>
          <w:p>
            <w:pPr>
              <w:spacing w:after="0"/>
              <w:rPr>
                <w:sz w:val="21"/>
                <w:szCs w:val="21"/>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84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598</w:t>
            </w:r>
          </w:p>
        </w:tc>
        <w:tc>
          <w:tcPr>
            <w:tcW w:w="2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598</w:t>
            </w:r>
          </w:p>
        </w:tc>
        <w:tc>
          <w:tcPr>
            <w:tcW w:w="104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r>
      <w:tr>
        <w:trPr>
          <w:trHeight w:val="217"/>
        </w:trPr>
        <w:tc>
          <w:tcPr>
            <w:tcW w:w="660" w:type="dxa"/>
            <w:vAlign w:val="bottom"/>
          </w:tcPr>
          <w:p>
            <w:pPr>
              <w:spacing w:after="0"/>
              <w:rPr>
                <w:sz w:val="18"/>
                <w:szCs w:val="18"/>
                <w:color w:val="auto"/>
              </w:rPr>
            </w:pPr>
          </w:p>
        </w:tc>
        <w:tc>
          <w:tcPr>
            <w:tcW w:w="4400" w:type="dxa"/>
            <w:vAlign w:val="bottom"/>
            <w:tcBorders>
              <w:top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67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6,818</w:t>
            </w:r>
          </w:p>
        </w:tc>
        <w:tc>
          <w:tcPr>
            <w:tcW w:w="3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6,818</w:t>
            </w:r>
          </w:p>
        </w:tc>
        <w:tc>
          <w:tcPr>
            <w:tcW w:w="300" w:type="dxa"/>
            <w:vAlign w:val="bottom"/>
            <w:tcBorders>
              <w:top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874"/>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9"/>
        </w:trPr>
        <w:tc>
          <w:tcPr>
            <w:tcW w:w="66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F-30</w:t>
            </w:r>
          </w:p>
        </w:tc>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07" w:name="page108"/>
    <w:bookmarkEnd w:id="107"/>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45"/>
        </w:trPr>
        <w:tc>
          <w:tcPr>
            <w:tcW w:w="440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gridSpan w:val="3"/>
          </w:tcPr>
          <w:p>
            <w:pPr>
              <w:jc w:val="right"/>
              <w:ind w:right="194"/>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2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4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40" w:type="dxa"/>
            <w:vAlign w:val="bottom"/>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0"/>
                <w:szCs w:val="20"/>
                <w:color w:val="auto"/>
              </w:rPr>
            </w:pPr>
          </w:p>
        </w:tc>
      </w:tr>
      <w:tr>
        <w:trPr>
          <w:trHeight w:val="216"/>
        </w:trPr>
        <w:tc>
          <w:tcPr>
            <w:tcW w:w="44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840" w:type="dxa"/>
            <w:vAlign w:val="bottom"/>
          </w:tcPr>
          <w:p>
            <w:pPr>
              <w:jc w:val="right"/>
              <w:ind w:right="674"/>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8"/>
              </w:rPr>
              <w:t>1,247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1,247</w:t>
            </w:r>
          </w:p>
        </w:tc>
        <w:tc>
          <w:tcPr>
            <w:tcW w:w="1040" w:type="dxa"/>
            <w:vAlign w:val="bottom"/>
          </w:tcPr>
          <w:p>
            <w:pPr>
              <w:jc w:val="right"/>
              <w:ind w:right="87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7"/>
        </w:trPr>
        <w:tc>
          <w:tcPr>
            <w:tcW w:w="44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84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8"/>
              </w:rPr>
              <w:t>3,761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3,761</w:t>
            </w:r>
          </w:p>
        </w:tc>
        <w:tc>
          <w:tcPr>
            <w:tcW w:w="104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840" w:type="dxa"/>
            <w:vAlign w:val="bottom"/>
          </w:tcPr>
          <w:p>
            <w:pPr>
              <w:spacing w:after="0"/>
              <w:rPr>
                <w:sz w:val="20"/>
                <w:szCs w:val="20"/>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8"/>
              </w:rPr>
              <w:t>1,999</w:t>
            </w:r>
          </w:p>
        </w:tc>
        <w:tc>
          <w:tcPr>
            <w:tcW w:w="240" w:type="dxa"/>
            <w:vAlign w:val="bottom"/>
          </w:tcPr>
          <w:p>
            <w:pPr>
              <w:spacing w:after="0"/>
              <w:rPr>
                <w:sz w:val="20"/>
                <w:szCs w:val="20"/>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1,999</w:t>
            </w:r>
          </w:p>
        </w:tc>
        <w:tc>
          <w:tcPr>
            <w:tcW w:w="1040" w:type="dxa"/>
            <w:vAlign w:val="bottom"/>
          </w:tcPr>
          <w:p>
            <w:pPr>
              <w:spacing w:after="0"/>
              <w:rPr>
                <w:sz w:val="20"/>
                <w:szCs w:val="20"/>
                <w:color w:val="auto"/>
              </w:rPr>
            </w:pP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0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7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5,760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5,760</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Company’s financial assets are measured at fair value on a recurring basis by level within the fair value hierarchy. The Company’s securities and money market funds are classified as Level 1. Other than that, the Company doesn’t have any other financial assets or financial liabilities marked to market at fair value as of September 30, 2023 and December 31, 2022.</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Management records and discloses legal contingencies in accordance with ASC Topic 450, Contingencies. Accordingly, management of the Company will recognize a liability for a legal contingency when it is both probable that a liability has been incurred and the amount of the loss can be reasonably estimated. The Company monitors the stage of progress of its litigation matters in each reporting period in order to determine if any adjustments are required.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LEASES</w:t>
      </w:r>
    </w:p>
    <w:p>
      <w:pPr>
        <w:spacing w:after="0" w:line="22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Company has lease agreements with lease and non-lease components, which it accounts for as a single lease component. The Company has elected not to recognize ROU assets and lease liabilities for short-term leases that have a term of 12 months or less. The effect of short-term leases on the Company’s ROU assets and lease liabilities was not material for the periods presented. The Company’s lease agreements do not contain any material residual value guarantees or material restrictive covenants. In addition, the Company does not have any related party leases.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was as follows:</w:t>
      </w:r>
    </w:p>
    <w:p>
      <w:pPr>
        <w:spacing w:after="0" w:line="221" w:lineRule="exact"/>
        <w:rPr>
          <w:sz w:val="20"/>
          <w:szCs w:val="20"/>
          <w:color w:val="auto"/>
        </w:rPr>
      </w:pPr>
    </w:p>
    <w:p>
      <w:pPr>
        <w:jc w:val="center"/>
        <w:ind w:left="682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p>
      <w:pPr>
        <w:spacing w:after="0" w:line="31"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5715</wp:posOffset>
            </wp:positionV>
            <wp:extent cx="263144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7" w:lineRule="exact"/>
        <w:rPr>
          <w:sz w:val="20"/>
          <w:szCs w:val="20"/>
          <w:color w:val="auto"/>
        </w:rPr>
      </w:pPr>
    </w:p>
    <w:p>
      <w:pPr>
        <w:ind w:left="7760"/>
        <w:spacing w:after="0"/>
        <w:tabs>
          <w:tab w:leader="none" w:pos="9980" w:val="left"/>
        </w:tabs>
        <w:rPr>
          <w:sz w:val="20"/>
          <w:szCs w:val="20"/>
          <w:color w:val="auto"/>
        </w:rPr>
      </w:pP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19685</wp:posOffset>
            </wp:positionV>
            <wp:extent cx="263144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payments and expenses</w:t>
            </w:r>
          </w:p>
        </w:tc>
        <w:tc>
          <w:tcPr>
            <w:tcW w:w="3360" w:type="dxa"/>
            <w:vAlign w:val="bottom"/>
            <w:gridSpan w:val="2"/>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216</w:t>
            </w:r>
          </w:p>
        </w:tc>
        <w:tc>
          <w:tcPr>
            <w:tcW w:w="2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w:t>
            </w:r>
          </w:p>
        </w:tc>
      </w:tr>
      <w:tr>
        <w:trPr>
          <w:trHeight w:val="432"/>
        </w:trPr>
        <w:tc>
          <w:tcPr>
            <w:tcW w:w="84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Undiscounted maturities of operating lease payments as of September 30, 2023 are summarized as follows:</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 (Remainder of the year)</w:t>
            </w:r>
          </w:p>
        </w:tc>
        <w:tc>
          <w:tcPr>
            <w:tcW w:w="17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7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182</w:t>
            </w:r>
          </w:p>
        </w:tc>
      </w:tr>
      <w:tr>
        <w:trPr>
          <w:trHeight w:val="249"/>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7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03"/>
        </w:trPr>
        <w:tc>
          <w:tcPr>
            <w:tcW w:w="51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future lease payments</w:t>
            </w:r>
          </w:p>
        </w:tc>
        <w:tc>
          <w:tcPr>
            <w:tcW w:w="1780" w:type="dxa"/>
            <w:vAlign w:val="bottom"/>
            <w:tcBorders>
              <w:top w:val="single" w:sz="8" w:color="CCEEFF"/>
            </w:tcBorders>
          </w:tcPr>
          <w:p>
            <w:pPr>
              <w:spacing w:after="0"/>
              <w:rPr>
                <w:sz w:val="17"/>
                <w:szCs w:val="17"/>
                <w:color w:val="auto"/>
              </w:rPr>
            </w:pPr>
          </w:p>
        </w:tc>
        <w:tc>
          <w:tcPr>
            <w:tcW w:w="15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top w:val="single" w:sz="8" w:color="CCEEFF"/>
            </w:tcBorders>
          </w:tcPr>
          <w:p>
            <w:pPr>
              <w:spacing w:after="0"/>
              <w:rPr>
                <w:sz w:val="17"/>
                <w:szCs w:val="17"/>
                <w:color w:val="auto"/>
              </w:rPr>
            </w:pPr>
          </w:p>
        </w:tc>
      </w:tr>
      <w:tr>
        <w:trPr>
          <w:trHeight w:val="249"/>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7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51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lease liability balance</w:t>
            </w:r>
          </w:p>
        </w:tc>
        <w:tc>
          <w:tcPr>
            <w:tcW w:w="17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Borders>
              <w:top w:val="single" w:sz="8" w:color="CCEEFF"/>
            </w:tcBorders>
          </w:tcPr>
          <w:p>
            <w:pPr>
              <w:spacing w:after="0"/>
              <w:rPr>
                <w:sz w:val="18"/>
                <w:szCs w:val="18"/>
                <w:color w:val="auto"/>
              </w:rPr>
            </w:pPr>
          </w:p>
        </w:tc>
      </w:tr>
      <w:tr>
        <w:trPr>
          <w:trHeight w:val="20"/>
        </w:trPr>
        <w:tc>
          <w:tcPr>
            <w:tcW w:w="5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4"/>
        </w:trPr>
        <w:tc>
          <w:tcPr>
            <w:tcW w:w="5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58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5120" w:type="dxa"/>
            <w:vAlign w:val="bottom"/>
          </w:tcPr>
          <w:p>
            <w:pPr>
              <w:spacing w:after="0"/>
              <w:rPr>
                <w:sz w:val="21"/>
                <w:szCs w:val="21"/>
                <w:color w:val="auto"/>
              </w:rPr>
            </w:pPr>
          </w:p>
        </w:tc>
        <w:tc>
          <w:tcPr>
            <w:tcW w:w="336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5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 weighted average remaining lease term (in years)</w:t>
            </w:r>
          </w:p>
        </w:tc>
        <w:tc>
          <w:tcPr>
            <w:tcW w:w="17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r>
      <w:tr>
        <w:trPr>
          <w:trHeight w:val="234"/>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 weighted average discount rate</w:t>
            </w:r>
          </w:p>
        </w:tc>
        <w:tc>
          <w:tcPr>
            <w:tcW w:w="17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3"/>
          </w:tcPr>
          <w:p>
            <w:pPr>
              <w:ind w:left="1520"/>
              <w:spacing w:after="0"/>
              <w:rPr>
                <w:sz w:val="20"/>
                <w:szCs w:val="20"/>
                <w:color w:val="auto"/>
              </w:rPr>
            </w:pPr>
            <w:r>
              <w:rPr>
                <w:rFonts w:ascii="Times New Roman" w:cs="Times New Roman" w:eastAsia="Times New Roman" w:hAnsi="Times New Roman"/>
                <w:sz w:val="18"/>
                <w:szCs w:val="18"/>
                <w:color w:val="auto"/>
                <w:w w:val="99"/>
              </w:rPr>
              <w:t>9%</w:t>
            </w:r>
          </w:p>
        </w:tc>
      </w:tr>
      <w:tr>
        <w:trPr>
          <w:trHeight w:val="421"/>
        </w:trPr>
        <w:tc>
          <w:tcPr>
            <w:tcW w:w="51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2"/>
          </w:tcPr>
          <w:p>
            <w:pPr>
              <w:jc w:val="right"/>
              <w:ind w:right="2590"/>
              <w:spacing w:after="0"/>
              <w:rPr>
                <w:sz w:val="20"/>
                <w:szCs w:val="20"/>
                <w:color w:val="auto"/>
              </w:rPr>
            </w:pPr>
            <w:r>
              <w:rPr>
                <w:rFonts w:ascii="Times New Roman" w:cs="Times New Roman" w:eastAsia="Times New Roman" w:hAnsi="Times New Roman"/>
                <w:sz w:val="18"/>
                <w:szCs w:val="18"/>
                <w:color w:val="auto"/>
              </w:rPr>
              <w:t>F-31</w:t>
            </w: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8"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color w:val="auto"/>
        </w:rPr>
        <w:t>NOTE 4 - COMMITMENTS AND CONTINGENCIES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Israeli Innovation Authority Grants</w:t>
      </w:r>
    </w:p>
    <w:p>
      <w:pPr>
        <w:spacing w:after="0" w:line="229" w:lineRule="exact"/>
        <w:rPr>
          <w:sz w:val="20"/>
          <w:szCs w:val="20"/>
          <w:color w:val="auto"/>
        </w:rPr>
      </w:pPr>
    </w:p>
    <w:p>
      <w:pPr>
        <w:jc w:val="both"/>
        <w:ind w:left="340"/>
        <w:spacing w:after="0" w:line="265" w:lineRule="auto"/>
        <w:rPr>
          <w:sz w:val="20"/>
          <w:szCs w:val="20"/>
          <w:color w:val="auto"/>
        </w:rPr>
      </w:pPr>
      <w:r>
        <w:rPr>
          <w:rFonts w:ascii="Times New Roman" w:cs="Times New Roman" w:eastAsia="Times New Roman" w:hAnsi="Times New Roman"/>
          <w:sz w:val="18"/>
          <w:szCs w:val="18"/>
          <w:color w:val="auto"/>
        </w:rPr>
        <w:t>Microbot Israel has received grants from the Israeli Innovation Authority (“IIA”) for participation in research and development since 2013 through September 30, 2023 totaling approximately $1,656. This amount includes advance payment in the third quarter of 2023 of approximately $156 which is a portion of additional grant previously approved from the IIA in the amount of approximately NIS 1.62 million, which based on an exchange rate on September 30, 2023 of NIS 1.00 = $0.2614, would be approximately $423, to further finance the development of the Company’s manufacturing process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robotic surgical system.</w:t>
      </w:r>
    </w:p>
    <w:p>
      <w:pPr>
        <w:spacing w:after="0" w:line="54"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In addition, as a result of the agreement with CardioSert Ltd. (“CardioSert”) on January 4, 2018, Microbot Israel took over the liability to repay CardioSert’s IIA grants in the aggregate amount of approximately $530, which liability will remain for so long as the Company continues to own the CardioSert assets.</w:t>
      </w:r>
    </w:p>
    <w:p>
      <w:pPr>
        <w:spacing w:after="0" w:line="176"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As a result of the agreement with Nitiloop Ltd., an Israeli limited liability company (“Nitiloop”), on October 6, 2022, Microbot Israel took over the liability to repay Nitiloop’s IIA grants in the aggregate amount of approximately $925.</w:t>
      </w:r>
    </w:p>
    <w:p>
      <w:pPr>
        <w:spacing w:after="0" w:line="162"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In relation to the IIA grants described above, the Company is obligated to pay royalties amounting to 3%-5% of its future sales of the products relating to such grants.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grants are linked to the exchange rate of the dollar to the New Israeli Shekel and bears interest of Libor per annum.</w:t>
      </w:r>
    </w:p>
    <w:p>
      <w:pPr>
        <w:spacing w:after="0" w:line="225" w:lineRule="exact"/>
        <w:rPr>
          <w:sz w:val="20"/>
          <w:szCs w:val="20"/>
          <w:color w:val="auto"/>
        </w:rPr>
      </w:pPr>
    </w:p>
    <w:p>
      <w:pPr>
        <w:jc w:val="both"/>
        <w:ind w:left="340" w:right="20"/>
        <w:spacing w:after="0" w:line="266" w:lineRule="auto"/>
        <w:rPr>
          <w:sz w:val="20"/>
          <w:szCs w:val="20"/>
          <w:color w:val="auto"/>
        </w:rPr>
      </w:pPr>
      <w:r>
        <w:rPr>
          <w:rFonts w:ascii="Times New Roman" w:cs="Times New Roman" w:eastAsia="Times New Roman" w:hAnsi="Times New Roman"/>
          <w:sz w:val="18"/>
          <w:szCs w:val="18"/>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Approval for Grant from Ministry of Economy</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On March 2, 2023, the Company announced that it received approval for a grant from the Ministry of Economy of the State of Israel in the amount of approximately NIS 300 thousand, which based on an exchange rate on such date of NIS 1.00 = $0.27457, would be approximately $82, to further finance the marketing activities of the LIBERTY Robotic System in the US market.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November 1, 2023, the Company received NIS 109,474 (approximately US$27) of such amount.</w:t>
      </w:r>
    </w:p>
    <w:p>
      <w:pPr>
        <w:spacing w:after="0" w:line="225"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In relation to the Ministry of Economy grant, the Company is obligated to pay royalties amounting to between 3%-5% of future sales of the LIBERTY product up to the grant amount plus interest.</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TRDF Agreement</w:t>
      </w:r>
    </w:p>
    <w:p>
      <w:pPr>
        <w:spacing w:after="0" w:line="229" w:lineRule="exact"/>
        <w:rPr>
          <w:sz w:val="20"/>
          <w:szCs w:val="20"/>
          <w:color w:val="auto"/>
        </w:rPr>
      </w:pPr>
    </w:p>
    <w:p>
      <w:pPr>
        <w:jc w:val="both"/>
        <w:ind w:left="340"/>
        <w:spacing w:after="0" w:line="281" w:lineRule="auto"/>
        <w:rPr>
          <w:sz w:val="20"/>
          <w:szCs w:val="20"/>
          <w:color w:val="auto"/>
        </w:rPr>
      </w:pPr>
      <w:r>
        <w:rPr>
          <w:rFonts w:ascii="Times New Roman" w:cs="Times New Roman" w:eastAsia="Times New Roman" w:hAnsi="Times New Roman"/>
          <w:sz w:val="17"/>
          <w:szCs w:val="17"/>
          <w:color w:val="auto"/>
        </w:rPr>
        <w:t>Microbot Israel signed an agreement with the Technion Research and Development Foundation (“TRDF”) in June 2012 by which TRDF transferred to Microbot Israel a global, exclusive, royalty-bearing license (as amended, the “License Agreement”) with respect to the Company’s Self-Cleaning Shunt (SCS) project and its TipCat assets in addition to certain technology relating to the Company’s LIBERTY device. As partial consideration for the license, Microbot Israel shall pay TRDF royalties on net sales (between 1.5%-3.0%) and on sublicense income as detailed in the License Agreement.</w:t>
      </w:r>
    </w:p>
    <w:p>
      <w:pPr>
        <w:spacing w:after="0" w:line="164"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Company in October 2022 suspended the SCS project while it evaluated alternatives for the SCS assets (mainly related patents), including seeking buyers for the assets, joint ventures or licensing arrangements, spinning off the assets into a new operating company or discontinuing the project altogether, and as a result of the Company’s May 2023 implementation of its core-business focus program and cost reduction plan, the Company returned the licensed intellectual property for the TipCat back to TRDF in June 2023, and returned the licensed intellectual property for the SCS (ViRob) back to TRDF in July 2023.</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color w:val="auto"/>
        </w:rPr>
        <w:t>Agreement with CardioSert Ltd.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4, 2018, Microbot Israel entered into an agreement with CardioSert (the “CardioSert Agreement”) to acquire certain of its patent-protected technology (the “Technology”). Pursuant to the CardioSert Agreement, Microbot Israel made aggregate payments of $300 in cash and 6,738 shares of Common Stock estimated at $74 to complete the acquisition.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CardioSert Agreement may be terminated by Microbot Israel at any time for convenience upon 90-days’ notice. The CardioSert Agreement may be terminated by CardioSert in case the first commercial sale does not occur by the third anniversary of the date of signing of the CardioSert Agreement except if Microbot Israel has invested more than $2,000 in certain development stages, or the first commercial sale does not occur within 50 months. As of September 30, 2023, the 50 months period has expired and CardioSert can buy-back the Technology at any time.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each of the above termination events, or in case of breach by Microbot Israel, CardioSert shall have the right to buy back the Technology from Microbot Israel for $1.00 (dollar not in thousands), upon 60 days prior written notice, but only 1 year after such termination events. Additionally, the CardioSert Agreement may be terminated by either party upon breach of the other (subject to cure). Until May 2023, Microbot Israel paid CardioSert a monthly consultation fee of NIS40,000 (or approximately US$11, based on an exchange rate of NIS 3.7 to the dollar) covering up to 60 consulting hours per month, relating to the development of the Technology. As a result of its core-business focus program and its cost reduction plan enacted in May 2023, the Company has terminated the CardioSert Agreement effective as of August 17, 2023 and ceased its research and development and commercialization efforts for the Technology, which could result in the Technology being reacquired by CardioSert for nominal consideration.</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the filing date of this Quarterly Report on Form 10-Q, CardioSert has not purchased back the Technology; however, the Company is in discussions with CardioSert with respect to post-termination matters.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ATM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10, 2021, the Company entered into an At-the-Market Offering Agreement (the “ATM Agreement”) with H.C. Wainwright &amp; Co. LLC (“Wainwright”), as sales agent, in connection with an “at the market offering” under which the Company may offer and sell, from time to time in its sole discretion, shares of its Common Stock having an aggregate offering price of up to $10,000 at market prices or as otherwise agreed with Wainwright. Any shares sold under the ATM Agreement from time to time will be offered and sold pursuant to the Company’s Registration Statement on Form S-3, which was initially filed on November 25, 2020 and which was declared effective by the SEC on December 4, 2020, and the related prospectus as supplemented by a prospectus supplement that the Company filed on June 10, 2021 (the “June 2021 Prospectus”). To date, the Company has not sold any shares of Common Stock pursuant to the ATM Agreement, and as of October 13, 2022, the Company suspended the ATM Agreement, which otherwise remains in full force and effect, and terminated the June 2021 Prospectus.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Engagement Letter with H.C. Wainwright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16, 2023 and in connection with the registered direct and private placement offerings referred to in Note 5 below, the Company entered into an engagement letter (the “Engagement Letter”) with Wainwright, pursuant to which Wainwright agreed to serve as the exclusive placement agent for the issuance and sale of securities of the Company. As compensation for such placement agent services, the Company has agreed to pay Wainwright an aggregate cash fee equal to 7.0% of the gross proceeds received by the Company from offerings contemplated by the Engagement Letter, plus a management fee equal to 1.0% of the gross proceeds received by the Company from such offerings, as well as other reimbursable expenses. The Company has also agreed to issue to Wainwright or its designees preferred investment options upon the closing of such offerings.</w:t>
      </w:r>
    </w:p>
    <w:p>
      <w:pPr>
        <w:spacing w:after="0" w:line="18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684"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color w:val="auto"/>
        </w:rPr>
        <w:t>Acquisition of Nitiloop’s Assets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6, 2022, Microbot Israel purchased substantially all of the assets, including intellectual property, devices, components and product related materials (the “Assets”), of Nitiloop Ltd., an Israeli limited liability company (“Nitiloop”). The Assets include intellectual property and technology in the field of intraluminal revascularization devices with anchoring mechanism and integrated microcatheter (the “Nitiloop Technology”) and the products or potential products incorporating the Nitiloop Technology owned by Nitiloop and designated by Nitiloop as “NovaCross”, “NovaCross Xtreme” and “NovaCross BTK” and any enhancements, modifications and improvements thereof (“Devices”). Microbot Israel did not assume any material liabilities of Nitiloop other than obligations Nitiloop has to the IIA and relating to certain renewal/maintenance fees for a European patent application.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consideration for the acquisition of the Assets, Microbot Israel shall pay royalties to Nitiloop, which shall not, in the aggregate, exceed $8,000, as follows:</w:t>
      </w:r>
    </w:p>
    <w:p>
      <w:pPr>
        <w:spacing w:after="0" w:line="162" w:lineRule="exact"/>
        <w:rPr>
          <w:sz w:val="20"/>
          <w:szCs w:val="20"/>
          <w:color w:val="auto"/>
        </w:rPr>
      </w:pPr>
    </w:p>
    <w:p>
      <w:pPr>
        <w:ind w:left="960" w:hanging="320"/>
        <w:spacing w:after="0"/>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Royalties at a rate of 3% of net revenue generated as a result of sales, license or other exploitation of the Devices; and</w:t>
      </w:r>
    </w:p>
    <w:p>
      <w:pPr>
        <w:spacing w:after="0" w:line="27" w:lineRule="exact"/>
        <w:rPr>
          <w:rFonts w:ascii="Times New Roman" w:cs="Times New Roman" w:eastAsia="Times New Roman" w:hAnsi="Times New Roman"/>
          <w:sz w:val="18"/>
          <w:szCs w:val="18"/>
          <w:color w:val="auto"/>
        </w:rPr>
      </w:pPr>
    </w:p>
    <w:p>
      <w:pPr>
        <w:ind w:left="960" w:hanging="320"/>
        <w:spacing w:after="0" w:line="260" w:lineRule="auto"/>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Royalties at a rate of 1.5% of net revenue generated from the sale, license or other exploitation of commercialization of the technology as part of an integrated product.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Litigation Resulting from the 2017 Financing</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was named as the defendant in a lawsuit captioned Empery Asset Master Ltd., Empery Tax Efficient, LP, Empery Tax Efficient II, LP, Hudson Bay Master Fund Ltd., Plaintiffs, against Microbot Medical Inc., Defendant, in the Supreme Court of the State of New York, County of New York (Index No. 651182/2020). The complaint alleges, among other things, that the Company breached multiple representations and warranties contained in the Securities Purchase Agreement (the “SPA”) related to the Company’s June 8, 2017 equity financing (the “2017 Financing”), of which the Plaintiffs participated, and fraudulently induced Plaintiffs into signing the SPA. The complaint seeks rescission of the SPA and return of the Plaintiffs’ $6,750 purchase price with respect to the 2017 Financing. The lawsuit is currently in the discovery phase, and a court-ordered mediation was completed. Management is unable to assess the likelihood that the Company will succeed at trial, having previously lost another lawsuit with respect to the 2017 Financing.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Mona Litigation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28, 2019, the Company brought an action against Alliance Investment Management, Ltd. (“Alliance”), later amended to add Joseph Mona (“Mona”) as a defendant, in the Southern District of New York under Section 16(b) of the Securities Exchange Act of 1934 (the “Exchange Act”), to compel Alliance and/or Mona to disgorge short swing profits realized from purchases and sales of the Company’s securities within a period of less than six months. The amount of profits was estimated in the complaint to be approximately $468.</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28, 2019, Alliance filed a motion for summary judgment requesting that the Court dismiss the claims against Alliance, which was subsequently granted by the Court. On February 4, 2020, Mona answered the 16(b) claim and filed a counterclaim against the Company under Section 10(b) of the Exchange Act and Rule 10b-5 promulgated thereunder, claiming a net loss on trading the Company’s stock of approximately $151.</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31, 2021, the Court entered a judgment against Mona and in favor of the Company in the amount of approximately $485. Collection of the judgment was deferred pending resolution of Mona’s counterclaim.</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4, 2023, the Magistrate Judge issued a Report &amp; Recommendation, which recommended that the District Court dismiss Mona’s Section 10(b) counterclaim in the entirety. On August 22, 2023, the District Court adopted the Report and Recommendation in full and dismissed the Section 10(b) counterclaim in its entirety. The time for appeal has expired and the Company is proceeding with collection efforts for the $485 judgment against Mona.</w:t>
      </w:r>
    </w:p>
    <w:p>
      <w:pPr>
        <w:spacing w:after="0" w:line="18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684"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color w:val="auto"/>
        </w:rPr>
        <w:t>NOTE 5 - SHARE CAPITAL</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Share Capital Developments</w:t>
      </w:r>
    </w:p>
    <w:p>
      <w:pPr>
        <w:spacing w:after="0" w:line="229"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As of September 30, 2023 and December 31, 2022, the Company had, respectively, 11,707,317 and 7,890,628 shares of Common Stock issued and outstanding.</w:t>
      </w:r>
    </w:p>
    <w:p>
      <w:pPr>
        <w:spacing w:after="0" w:line="162"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On February 13, 2023, 240,000 of the Company’s outstanding pre-funded warrants were exercised into an equivalent number of shares of Common Stock, at an exercise price of $0.0001 per share.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Employee Stock Option Grants</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2023, the Company granted stock option awards to certain officers, directors and employees to purchase an aggregate of 241,000 shares of the Common Stock, at a weighted average exercise price per share of $2.664 and with a vesting period of three years.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Registered Direct and Private Placement Offerings</w:t>
      </w:r>
    </w:p>
    <w:p>
      <w:pPr>
        <w:spacing w:after="0" w:line="229"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On May 22, 2023, the Company entered into a securities purchase agreement with an institutional investor, pursuant to which it agreed to issue and sell in a registered direct offering an aggregate of 655,569 shares of Common Stock, at an offering price of $2.20 per share, for aggregate gross proceeds of $1,442 before deducting the placement agent fee and related offering expenses of approximately $222 (the “First May Offering”). The Company also issued to Wainwright or its designees preferred investment options to purchase 32,778 shares of Common Stock, which have a term of three and one-half years from the commencement of sales in the First May Offering, and have an exercise price of $2.75 per share. The First May Offering was consummated on May 23, 2023.</w:t>
      </w:r>
    </w:p>
    <w:p>
      <w:pPr>
        <w:spacing w:after="0" w:line="187"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On May 23, 2023, the Company entered into a securities purchase agreement with an institutional investor, pursuant to which it agreed to issue and sell in a registered direct offering (i) an aggregate of 975,000 shares of Common Stock, at an offering price of $2.20 per share and (ii) pre-funded warrants exercisable for up to 234,500 shares of the Common Stock, at an offering price of $2.1999 per pre-funded warrant, for aggregate gross proceeds of $2,661 before deducting the placement agent fee and related offering expenses of approximately $345 (the “Second May Offering”). The pre-funded warrants are exercisable immediately and may be exercised at any time until the pre-funded warrants are exercised in full. The Company also issued to Wainwright or its designees preferred investment options to purchase 60,476 shares of Common Stock, which have a term of three and one-half years from the closing of the Second May Offering, and have an exercise price of $2.75 per share. The Second May Offering was consummated on May 24, 2023. All of such pre-funded warrants were subsequently exercised in accordance with their terms at an exercise price per share of $0.0001 into an equivalent number of shares of Common Stock.</w:t>
      </w:r>
    </w:p>
    <w:p>
      <w:pPr>
        <w:spacing w:after="0" w:line="188"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On June 2, 2023, the Company entered into a securities purchase agreement with institutional investors, pursuant to which it agreed to issue and sell in a registered direct offering an aggregate of 701,756 shares of Common Stock, at an offering price of $2.1375 per share, for aggregate gross proceeds, with the concurrent private placement described below, of $1,500 before deducting the placement agent fee and related offering expenses of approximately $227 (the “First June Offering”). The Company also issued to Wainwright or its designees preferred investment options to purchase 35,088 shares of its Common Stock, which have a term of five years from the commencement of sales in the First June Offering, and have an exercise price of $2.6719 per share. The registered direct offering was consummated on June 6, 2023. In a concurrent private placement, the Company also issued to the purchasers of shares of Common Stock in the First June Offering, series C preferred investment options to purchase up to 350,878 shares of Common Stock. Each series C preferred investment option is exercisable for one share of Common Stock at an exercise price of $2.075 commencing on the date of issuance and expiring five and one-half years from the issuance date.</w:t>
      </w:r>
    </w:p>
    <w:p>
      <w:pPr>
        <w:spacing w:after="0" w:line="188"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On June 26, 2023, the Company entered into a securities purchase agreement with institutional investors, pursuant to which it agreed to issue and sell in a registered direct offering an aggregate of 624,618 shares of its Common Stock, at an offering price of $3.25 per share, for aggregate gross proceeds, with the concurrent private placement described below, of $2,030 before deducting the placement agent fee and related offering expenses of approximately $281 (the “Second June Offering”). The Company also issued to Wainwright or its designees preferred investment options to purchase 31,231 shares of its Common Stock, which have a term of five years from the commencement of sales in the Second June Offering, and have an exercise price of $4.0625 per share. The registered direct offering was consummated on June 28, 2023. In a concurrent private placement, the Company also issued to the purchasers of shares of Common Stock in the Second June Offering, series D preferred investment options to purchase up to 312,309 shares of the Company’s Common Stock. Each series D preferred investment option is exercisable for one share of Common Stock at an exercise price of $3.19 commencing on the date of issuance and expiring five and one-half years from the issuance date.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2" w:name="page113"/>
    <w:bookmarkEnd w:id="112"/>
    <w:p>
      <w:pPr>
        <w:ind w:left="340"/>
        <w:spacing w:after="0"/>
        <w:rPr>
          <w:sz w:val="20"/>
          <w:szCs w:val="20"/>
          <w:color w:val="auto"/>
        </w:rPr>
      </w:pPr>
      <w:r>
        <w:rPr>
          <w:rFonts w:ascii="Times New Roman" w:cs="Times New Roman" w:eastAsia="Times New Roman" w:hAnsi="Times New Roman"/>
          <w:sz w:val="18"/>
          <w:szCs w:val="18"/>
          <w:b w:val="1"/>
          <w:bCs w:val="1"/>
          <w:color w:val="auto"/>
        </w:rPr>
        <w:t>Preferred Investment Options Amendment</w:t>
      </w:r>
    </w:p>
    <w:p>
      <w:pPr>
        <w:spacing w:after="0" w:line="229"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8"/>
          <w:szCs w:val="18"/>
          <w:color w:val="auto"/>
        </w:rPr>
        <w:t>In connection with the Second May Offering, the Company amended the terms of (i) the Series A preferred investment options to purchase 1,022,495 shares of its Common Stock for an exercise price of $4.64 per share which are scheduled to expire on October 25, 2027 and (ii) the Series B preferred investment options to purchase 1,022,495 shares of its Common Stock for an exercise price of $4.64 per share which were initially scheduled to expire on October 25, 2024 (the “Series B Preferred Investment Options”), in each case previously issued to the investor in October 2022 under the securities purchase agreement dated October 21, 2022 (collectively, the “Existing Preferred Investment Options”), which investor also participated in the Second May Offering, such that effective upon the closing of the Second May Offering, the Existing Preferred Investment Options have a reduced exercise price of $2.20 per share and the Series B Preferred Investment Options expire on October 25, 2027. These modifications to the Existing Preferred Investment Options represent issuance costs associated with the Second May Offering. The amount of the effect of the modifications is approximately $1,230. On June 16, 2023, the holder of the Series B Preferred Investment Options exercised all of such Series B Preferred Investment Options pursuant to its cashless exercise provision into 385,246 shares of Common Stock.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SUBSEQUENT EVENTS</w:t>
      </w:r>
    </w:p>
    <w:p>
      <w:pPr>
        <w:spacing w:after="0" w:line="31"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On October 7, 2023, subsequent to the reporting period, the State of Israel, where the Company’s operations are primarily based, suffered a surprise attack by hostile forces from Gaza, which led to the declaration by Israel of the “Iron Swords” military operation. This military operation and related activities are on-going as of the issuance date of these financial statements. Consequently:</w:t>
      </w:r>
    </w:p>
    <w:p>
      <w:pPr>
        <w:spacing w:after="0" w:line="186" w:lineRule="exact"/>
        <w:rPr>
          <w:sz w:val="20"/>
          <w:szCs w:val="20"/>
          <w:color w:val="auto"/>
        </w:rPr>
      </w:pPr>
    </w:p>
    <w:p>
      <w:pPr>
        <w:ind w:left="660" w:right="2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the Company’s Israeli subcontractors, vendors, suppliers and other companies in which the Company relies, are currently only partially active, as instructed by the relevant authorities, which has caused delays in aspects of our development and regulatory activities;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international flights in and out of Israel may affect the Company’s ability to import materials that are required to construct the Company’s devices which are required to complete development and regulatory activities;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international flights in and out of Israel may affect the Company’s commercial and regulatory activities.</w:t>
      </w:r>
    </w:p>
    <w:p>
      <w:pPr>
        <w:spacing w:after="0" w:line="225"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Company is currently assessing whether there are any material adverse effects on its anticipated milestones and results of operations in the fourth quarter of 2023 and perhaps beyond due to the military operation and related matters, the extent of which cannot be estimated at this stage.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all costs and expenses paid or payable by us in connection with the sale of the common stock being registered. None of these costs or expenses will be borne by the selling stockholders. All amounts shown are estimates except for the Securities and Exchange Commission, or “SEC,” registration fee.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Amount Paid</w:t>
            </w:r>
          </w:p>
        </w:tc>
      </w:tr>
      <w:tr>
        <w:trPr>
          <w:trHeight w:val="245"/>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or to be Paid</w:t>
            </w:r>
          </w:p>
        </w:tc>
      </w:tr>
      <w:tr>
        <w:trPr>
          <w:trHeight w:val="216"/>
        </w:trPr>
        <w:tc>
          <w:tcPr>
            <w:tcW w:w="8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181.14</w:t>
            </w:r>
          </w:p>
        </w:tc>
        <w:tc>
          <w:tcPr>
            <w:tcW w:w="14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1,000.00*</w:t>
            </w:r>
          </w:p>
        </w:tc>
      </w:tr>
      <w:tr>
        <w:trPr>
          <w:trHeight w:val="216"/>
        </w:trPr>
        <w:tc>
          <w:tcPr>
            <w:tcW w:w="9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10,000.00*</w:t>
            </w:r>
          </w:p>
        </w:tc>
      </w:tr>
      <w:tr>
        <w:trPr>
          <w:trHeight w:val="216"/>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15,000.00*</w:t>
            </w:r>
          </w:p>
        </w:tc>
      </w:tr>
      <w:tr>
        <w:trPr>
          <w:trHeight w:val="236"/>
        </w:trPr>
        <w:tc>
          <w:tcPr>
            <w:tcW w:w="9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2,818.86*</w:t>
            </w:r>
          </w:p>
        </w:tc>
      </w:tr>
      <w:tr>
        <w:trPr>
          <w:trHeight w:val="203"/>
        </w:trPr>
        <w:tc>
          <w:tcPr>
            <w:tcW w:w="920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29,000.00</w:t>
            </w:r>
          </w:p>
        </w:tc>
        <w:tc>
          <w:tcPr>
            <w:tcW w:w="140" w:type="dxa"/>
            <w:vAlign w:val="bottom"/>
            <w:tcBorders>
              <w:top w:val="single" w:sz="8" w:color="CCEEFF"/>
            </w:tcBorders>
            <w:gridSpan w:val="2"/>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w w:val="88"/>
              </w:rPr>
              <w:t>*</w:t>
            </w:r>
          </w:p>
        </w:tc>
      </w:tr>
      <w:tr>
        <w:trPr>
          <w:trHeight w:val="20"/>
        </w:trPr>
        <w:tc>
          <w:tcPr>
            <w:tcW w:w="8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as permitted under Item 511 of Regulation S-K.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145 of the Delaware General Corporation Law (“DGCL”) permits, in general, a Delaware corporation, to indemnify any person who was or is a party to any proceeding (other than an action by, or in the right of, the corporation) by reason of the fact that or she is or was a director, or officer, of the corporation, or served another business enterprise in any capacity at the request of the corporation, against liability incurred in connection with such proceeding, including the expenses (including attorneys’ fees), judgments, fines and amounts paid in settlement actually and reasonably incurred by him in connection with such proceeding if such person acted in good faith and in a manner he or she reasonably believed to be in, or not opposed to, the best interests of the corporation and, in criminal actions or proceedings, additionally had no reasonable cause to believe that his or her conduct was unlawful. A Delaware corporation’s power to indemnify applies to actions brought by or in the right of the corporation, but only to the extent of expenses (including attorneys’ fees) actually and reasonably incurred by the person in connection with the defense or settlement of the action or suit, provided that no indemnification shall be provided in such actions in the event of any adjudication of negligence or misconduct in the performance of such person’s duties to the corporation, unless a court believes that in light of all the circumstances indemnification should apply. Section 145 of the DGCL also permits, in general, a Delaware corporation to purchase and maintain insurance on behalf of any person who is or was a director or officer of the corporation, or served another entity in any capacity at the request of the corporation, against liability incurred by such person in such capacity, whether or not the corporation would have the power to indemnify such person against such liability.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Section 102(b)(7) of the DGCL permits a corporation to include in its certificate of incorporation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that involve intentional misconduct or a knowing violation of law, (iii) under Section 174 of the DGCL or (iv) for any transaction from which the director derived an improper personal benefit.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restated certificate of incorporation provides that the Company’s directors shall not be liable to the Company or its stockholders for monetary damages for breach of fiduciary duty as a director except to the extent that exculpation from liabilities is not permitted under the DGCL as in effect at the time such liability is determined. The Company’s restated certificate of incorporation further provides that the Company shall indemnify its directors and officers to the fullest extent permitted by the DGCL.</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maintain a directors’ and officers’ insurance policy pursuant to which our directors and officers are insured against liability for actions taken in their capacities as directors and officers. We believe that these indemnification provisions and insurance are necessary to attract and retain qualified directors and officers.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each of its directors and executive officers. These indemnification agreements may require the Company, among other things, to indemnify its directors and officers for some expenses, including attorneys’ fees, judgments, fines and settlement amounts incurred by a director or officer in any action or proceeding arising out of his or her service as one of the Company’s directors or officers, or any of its subsidiaries or any other company or enterprise to which the person provides services at our request.</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any underwriting agreement we enter into in connection with the sale of common stock being registered hereby, the underwriter will agree to indemnify, under certain conditions, us, our directors, our officers and persons who control us within the meaning of the Securities Act of 1933, as amended, against certain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18, 2020, 14,685 outstanding warrants of the Company at an exercise price per share of $8.125, were exercised on a “net exercise” or “cashless” basis into 4,873 shares of common stock. The issuances of the 4,873 shares of common stock were exempt from registration under Section 4(a)(2) under the Securities Act of 1933, as amended and the rules promulgated thereunder (the “Securities Act”) as a transaction not involving a public offering to a single investor, and/or 3(a)(9) under the Securities Act.</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25, 2022, the Company sold in a private placement and issued to an investor (i) Series A preferred investment options to purchase up to 1,022,495 shares of Common Stock (the “Series A Warrants”) at an exercise price of $4.64 per share and (ii) Series B preferred investment options to purchase up to 1,022,495 shares of Common Stock (the “Series B Warrants” and, together with the Series A Warrants, the “Common Warrants”) at an exercise price of $4.64 per share. The Common Warrants and the shares of Common Stock issuable upon the exercise of the Common Warrants were offered pursuant to the exemption provided in Section 4(a)(2) under the Securities Act, and Rule 506(b) promulgated thereunder. In connection with such private placement, the Company issued to the placement agent or its designees warrants to purchase 51,125 shares of Common Stock at an exercise price of $6.1125 per share. Such placement agent warrants and the shares of Common Stock issuable upon the exercise of the placement agent warrants were offered pursuant to the exemption provided in Section 4(a)(2) under the Securities Act.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23, 2023, in connection with a public offering of its securities, the Company issued to the placement agent or its designees warrants to purchase 32,778 shares of Common Stock at an exercise price of $2.75 per share. Such placement agent warrants and the shares of Common Stock issuable upon the exercise of the Common Warrants were offered pursuant to the exemption provided in Section 4(a)(2) under the Securities Act.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24, 2023, in connection with a public offering of its securities, the Company issued to the placement agent or its designees warrants to purchase 60,476 shares of Common Stock at an exercise price of $2.75 per share. Such placement agent warrants and the shares of Common Stock issuable upon the exercise of the Common Warrants were offered pursuant to the exemption provided in Section 4(a)(2) under the Securities Act.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6, 2023, the Company sold in a private placement and issued to an investor Series C preferred investment options to purchase up to 350,878 shares of Common Stock at an exercise price of $2.075 per share. Such Series C preferred investment options and the shares of Common Stock issuable upon the exercise of the Series C preferred investment options were offered pursuant to the exemption provided in Section 4(a)(2) under the Securities Act, and Rule 506(b) promulgated thereunder. In connection with such private placement, the Company issued to the placement agent or its designees warrants to purchase 35,088 shares of Common Stock at an exercise price of $2.6719 per share. Such placement agent warrants and the shares of Common Stock issuable upon the exercise of the placement agent warrants were offered pursuant to the exemption provided in Section 4(a)(2) under the Securities Act.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16, 2023, the Company issued 385,246 to the holder of the Company’s Series B preferred investment options pursuant to the cashless exercise provision therein. Such shares of Common Stock issuable upon the exercise of the Series B preferred investment options were offered pursuant to the exemption provided in Section 4(a)(2) under the Securities Act.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5" w:name="page116"/>
    <w:bookmarkEnd w:id="115"/>
    <w:p>
      <w:pPr>
        <w:jc w:val="both"/>
        <w:spacing w:after="0" w:line="256" w:lineRule="auto"/>
        <w:rPr>
          <w:sz w:val="20"/>
          <w:szCs w:val="20"/>
          <w:color w:val="auto"/>
        </w:rPr>
      </w:pPr>
      <w:r>
        <w:rPr>
          <w:rFonts w:ascii="Times New Roman" w:cs="Times New Roman" w:eastAsia="Times New Roman" w:hAnsi="Times New Roman"/>
          <w:sz w:val="18"/>
          <w:szCs w:val="18"/>
          <w:color w:val="auto"/>
        </w:rPr>
        <w:t>On June 28, 2023, the Company sold in a private placement and issued to an investor Series D preferred investment options to purchase up to 312,309 shares of Common Stock at an exercise price of $3.19 per share. Such Series D preferred investment options and the shares of Common Stock issuable upon the exercise of the Series D preferred investment options were offered pursuant to the exemption provided in Section 4(a)(2) under the Securities Act, and Rule 506(b) promulgated thereunder. In connection with such private placement, the Company issued to the placement agent or its designees warrants to purchase 31,231 shares of Common Stock at an exercise price of $4.0625 per share. Such placement agent warrants and the shares of Common Stock issuable upon the exercise of the placement agent warrants were offered pursuant to the exemption provided in Section 4(a)(2) under the Securities Act.</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3, 2024, the Company issued, in a private placement, Series E preferred investment options to purchase up to 1,685,682 shares of Common Stock at an exercise price per share of $1.50, pursuant to a preferred investment option exercise inducement offer, to the holders of certain outstanding preferred investment options of the Company. Such Series D preferred investment options and the shares of Common Stock issuable upon the exercise of the Series D preferred investment options were offered pursuant to the exemption provided in Section 4(a)(2) under the Securities Act. In connection with the inducement offer, the Company issued to the placement agent or its designees warrants to purchase an aggregate of 84,284 shares of Common Stock at an exercise price of $2.025 per share. Such placement agent warrants and the shares of Common Stock issuable upon the exercise of the placement agent warrants were offered pursuant to the exemption provided in Section 4(a)(2) under the Securities Act.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January 26, 2024, the Company issued an aggregate of 1,005,965 shares of restricted Common Stock (the “Settlement Shares”), as partial settlement to the plaintiffs in the lawsuit entitled Empery Asset Master Ltd., Empery Tax Efficient, LP, Empery Tax Efficient II, LP, Hudson Bay Master Fund Ltd., Plaintiffs, against Microbot Medical Inc., Defendant, in the Supreme Court of the State of New York, County of New York (Index No. 651182/2020). The Settlement Shares were issued pursuant to the exemption from the registration requirements of the Securities Act available under Section 4(a)(2) as a transaction by an issuer not involving any public offering.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documents set forth below are filed herewith or incorporated by reference to the location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5"/>
        </w:trPr>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4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6480" w:type="dxa"/>
            <w:vAlign w:val="bottom"/>
            <w:tcBorders>
              <w:bottom w:val="single" w:sz="8" w:color="auto"/>
            </w:tcBorders>
            <w:gridSpan w:val="7"/>
          </w:tcPr>
          <w:p>
            <w:pPr>
              <w:ind w:left="46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175"/>
        </w:trPr>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2.1</w:t>
            </w:r>
          </w:p>
        </w:tc>
        <w:tc>
          <w:tcPr>
            <w:tcW w:w="140" w:type="dxa"/>
            <w:vAlign w:val="bottom"/>
          </w:tcPr>
          <w:p>
            <w:pPr>
              <w:spacing w:after="0"/>
              <w:rPr>
                <w:sz w:val="15"/>
                <w:szCs w:val="15"/>
                <w:color w:val="auto"/>
              </w:rPr>
            </w:pPr>
          </w:p>
        </w:tc>
        <w:tc>
          <w:tcPr>
            <w:tcW w:w="10120" w:type="dxa"/>
            <w:vAlign w:val="bottom"/>
            <w:tcBorders>
              <w:bottom w:val="single" w:sz="8" w:color="0000EE"/>
            </w:tcBorders>
            <w:gridSpan w:val="13"/>
          </w:tcPr>
          <w:p>
            <w:pPr>
              <w:spacing w:after="0" w:line="17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Agreement and Plan of Merger and Reorganization, dated as of August 15, 2016, by and among StemCells, Inc., C&amp;RD Israel Ltd. and</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9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Microbot Medical Ltd. (incorporated by reference to the Company’s Current Report on Form 8-K filed on August 15, 2016).</w:t>
              </w:r>
            </w:hyperlink>
          </w:p>
        </w:tc>
        <w:tc>
          <w:tcPr>
            <w:tcW w:w="1160" w:type="dxa"/>
            <w:vAlign w:val="bottom"/>
            <w:gridSpan w:val="5"/>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17"/>
                <w:szCs w:val="17"/>
                <w:color w:val="auto"/>
              </w:rPr>
            </w:pPr>
          </w:p>
        </w:tc>
        <w:tc>
          <w:tcPr>
            <w:tcW w:w="101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Restated Certificate of Incorporation of the Company (incorporated by reference to the Company’s Annual Report on Form 10-K for the</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42">
              <w:r>
                <w:rPr>
                  <w:rFonts w:ascii="Times New Roman" w:cs="Times New Roman" w:eastAsia="Times New Roman" w:hAnsi="Times New Roman"/>
                  <w:sz w:val="18"/>
                  <w:szCs w:val="18"/>
                  <w:color w:val="0000EE"/>
                  <w:w w:val="99"/>
                </w:rPr>
                <w:t>fiscal year ended December 31, 2006 and filed on March 15, 2007).</w:t>
              </w:r>
            </w:hyperlink>
          </w:p>
        </w:tc>
        <w:tc>
          <w:tcPr>
            <w:tcW w:w="5260" w:type="dxa"/>
            <w:vAlign w:val="bottom"/>
            <w:gridSpan w:val="6"/>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140" w:type="dxa"/>
            <w:vAlign w:val="bottom"/>
          </w:tcPr>
          <w:p>
            <w:pPr>
              <w:spacing w:after="0"/>
              <w:rPr>
                <w:sz w:val="17"/>
                <w:szCs w:val="17"/>
                <w:color w:val="auto"/>
              </w:rPr>
            </w:pPr>
          </w:p>
        </w:tc>
        <w:tc>
          <w:tcPr>
            <w:tcW w:w="101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Certificate of Amendment to the Restated Certificate of Incorporation of the Company (incorporated by reference to the Company’s Current</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143">
              <w:r>
                <w:rPr>
                  <w:rFonts w:ascii="Times New Roman" w:cs="Times New Roman" w:eastAsia="Times New Roman" w:hAnsi="Times New Roman"/>
                  <w:sz w:val="18"/>
                  <w:szCs w:val="18"/>
                  <w:color w:val="0000EE"/>
                  <w:w w:val="98"/>
                </w:rPr>
                <w:t>Report on Form 8-K filed on November 29, 2016).</w:t>
              </w:r>
            </w:hyperlink>
          </w:p>
        </w:tc>
        <w:tc>
          <w:tcPr>
            <w:tcW w:w="6480" w:type="dxa"/>
            <w:vAlign w:val="bottom"/>
            <w:gridSpan w:val="7"/>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3.3</w:t>
            </w:r>
          </w:p>
        </w:tc>
        <w:tc>
          <w:tcPr>
            <w:tcW w:w="140" w:type="dxa"/>
            <w:vAlign w:val="bottom"/>
          </w:tcPr>
          <w:p>
            <w:pPr>
              <w:spacing w:after="0"/>
              <w:rPr>
                <w:sz w:val="17"/>
                <w:szCs w:val="17"/>
                <w:color w:val="auto"/>
              </w:rPr>
            </w:pPr>
          </w:p>
        </w:tc>
        <w:tc>
          <w:tcPr>
            <w:tcW w:w="101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Certificate of Amendment to the Restated Certificate of Incorporation (incorporated by reference to the Company’s Current Report on Form</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20" w:type="dxa"/>
            <w:vAlign w:val="bottom"/>
            <w:gridSpan w:val="13"/>
          </w:tcPr>
          <w:p>
            <w:pPr>
              <w:spacing w:after="0" w:line="19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8-K filed on September 4, 2018).</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3.4</w:t>
            </w:r>
          </w:p>
        </w:tc>
        <w:tc>
          <w:tcPr>
            <w:tcW w:w="140" w:type="dxa"/>
            <w:vAlign w:val="bottom"/>
          </w:tcPr>
          <w:p>
            <w:pPr>
              <w:spacing w:after="0"/>
              <w:rPr>
                <w:sz w:val="17"/>
                <w:szCs w:val="17"/>
                <w:color w:val="auto"/>
              </w:rPr>
            </w:pPr>
          </w:p>
        </w:tc>
        <w:tc>
          <w:tcPr>
            <w:tcW w:w="10120" w:type="dxa"/>
            <w:vAlign w:val="bottom"/>
            <w:gridSpan w:val="13"/>
          </w:tcPr>
          <w:p>
            <w:pPr>
              <w:spacing w:after="0" w:line="196" w:lineRule="exact"/>
              <w:rPr>
                <w:rFonts w:ascii="Times New Roman" w:cs="Times New Roman" w:eastAsia="Times New Roman" w:hAnsi="Times New Roman"/>
                <w:sz w:val="18"/>
                <w:szCs w:val="18"/>
                <w:color w:val="0000EE"/>
                <w:w w:val="99"/>
              </w:rPr>
            </w:pPr>
            <w:hyperlink r:id="rId145">
              <w:r>
                <w:rPr>
                  <w:rFonts w:ascii="Times New Roman" w:cs="Times New Roman" w:eastAsia="Times New Roman" w:hAnsi="Times New Roman"/>
                  <w:sz w:val="18"/>
                  <w:szCs w:val="18"/>
                  <w:color w:val="0000EE"/>
                  <w:w w:val="99"/>
                </w:rPr>
                <w:t>Amended and Restated By-Laws of the Company (incorporated by reference to the Company’s Current Report on Form 8-K filed on May 3,</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0"/>
              </w:rPr>
            </w:pPr>
            <w:hyperlink r:id="rId145">
              <w:r>
                <w:rPr>
                  <w:rFonts w:ascii="Times New Roman" w:cs="Times New Roman" w:eastAsia="Times New Roman" w:hAnsi="Times New Roman"/>
                  <w:sz w:val="18"/>
                  <w:szCs w:val="18"/>
                  <w:color w:val="0000EE"/>
                  <w:w w:val="90"/>
                </w:rPr>
                <w:t>2016).</w:t>
              </w:r>
            </w:hyperlink>
          </w:p>
        </w:tc>
        <w:tc>
          <w:tcPr>
            <w:tcW w:w="15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41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3.5</w:t>
            </w:r>
          </w:p>
        </w:tc>
        <w:tc>
          <w:tcPr>
            <w:tcW w:w="140" w:type="dxa"/>
            <w:vAlign w:val="bottom"/>
          </w:tcPr>
          <w:p>
            <w:pPr>
              <w:spacing w:after="0"/>
              <w:rPr>
                <w:sz w:val="17"/>
                <w:szCs w:val="17"/>
                <w:color w:val="auto"/>
              </w:rPr>
            </w:pPr>
          </w:p>
        </w:tc>
        <w:tc>
          <w:tcPr>
            <w:tcW w:w="93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46">
              <w:r>
                <w:rPr>
                  <w:rFonts w:ascii="Times New Roman" w:cs="Times New Roman" w:eastAsia="Times New Roman" w:hAnsi="Times New Roman"/>
                  <w:sz w:val="18"/>
                  <w:szCs w:val="18"/>
                  <w:color w:val="0000EE"/>
                  <w:w w:val="99"/>
                </w:rPr>
                <w:t>Certificate of Elimination (incorporated by reference to the Company’s Current Report on Form 8-K filed on December 12, 2018).</w:t>
              </w:r>
            </w:hyperlink>
          </w:p>
        </w:tc>
        <w:tc>
          <w:tcPr>
            <w:tcW w:w="740" w:type="dxa"/>
            <w:vAlign w:val="bottom"/>
            <w:gridSpan w:val="3"/>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3.6</w:t>
            </w:r>
          </w:p>
        </w:tc>
        <w:tc>
          <w:tcPr>
            <w:tcW w:w="140" w:type="dxa"/>
            <w:vAlign w:val="bottom"/>
          </w:tcPr>
          <w:p>
            <w:pPr>
              <w:spacing w:after="0"/>
              <w:rPr>
                <w:sz w:val="17"/>
                <w:szCs w:val="17"/>
                <w:color w:val="auto"/>
              </w:rPr>
            </w:pPr>
          </w:p>
        </w:tc>
        <w:tc>
          <w:tcPr>
            <w:tcW w:w="101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Certificate of Amendment to the Restated Certificate of Incorporation (incorporated by reference to the Company’s Current Report on Form</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20" w:type="dxa"/>
            <w:vAlign w:val="bottom"/>
            <w:gridSpan w:val="13"/>
          </w:tcPr>
          <w:p>
            <w:pPr>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8-K filed on September 11, 2019).</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8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3.7</w:t>
            </w:r>
          </w:p>
        </w:tc>
        <w:tc>
          <w:tcPr>
            <w:tcW w:w="140" w:type="dxa"/>
            <w:vAlign w:val="bottom"/>
          </w:tcPr>
          <w:p>
            <w:pPr>
              <w:spacing w:after="0"/>
              <w:rPr>
                <w:sz w:val="17"/>
                <w:szCs w:val="17"/>
                <w:color w:val="auto"/>
              </w:rPr>
            </w:pPr>
          </w:p>
        </w:tc>
        <w:tc>
          <w:tcPr>
            <w:tcW w:w="101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Amendment to Section 5 of the Amended and Restated By-Laws of the Company (incorporated by reference to the Company’s Current</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148">
              <w:r>
                <w:rPr>
                  <w:rFonts w:ascii="Times New Roman" w:cs="Times New Roman" w:eastAsia="Times New Roman" w:hAnsi="Times New Roman"/>
                  <w:sz w:val="18"/>
                  <w:szCs w:val="18"/>
                  <w:color w:val="0000EE"/>
                  <w:w w:val="98"/>
                </w:rPr>
                <w:t>Report on Form 8-K filed on May 3, 2021).</w:t>
              </w:r>
            </w:hyperlink>
          </w:p>
        </w:tc>
        <w:tc>
          <w:tcPr>
            <w:tcW w:w="7000" w:type="dxa"/>
            <w:vAlign w:val="bottom"/>
            <w:gridSpan w:val="8"/>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140" w:type="dxa"/>
            <w:vAlign w:val="bottom"/>
          </w:tcPr>
          <w:p>
            <w:pPr>
              <w:spacing w:after="0"/>
              <w:rPr>
                <w:sz w:val="17"/>
                <w:szCs w:val="17"/>
                <w:color w:val="auto"/>
              </w:rPr>
            </w:pPr>
          </w:p>
        </w:tc>
        <w:tc>
          <w:tcPr>
            <w:tcW w:w="101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Description of the Company’s Securities (incorporated by reference to the Registrant’s Annual Report on Form 10-K for the fiscal year</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49">
              <w:r>
                <w:rPr>
                  <w:rFonts w:ascii="Times New Roman" w:cs="Times New Roman" w:eastAsia="Times New Roman" w:hAnsi="Times New Roman"/>
                  <w:sz w:val="18"/>
                  <w:szCs w:val="18"/>
                  <w:color w:val="0000EE"/>
                  <w:w w:val="98"/>
                </w:rPr>
                <w:t>ended December 31, 2019).</w:t>
              </w:r>
            </w:hyperlink>
          </w:p>
        </w:tc>
        <w:tc>
          <w:tcPr>
            <w:tcW w:w="8140" w:type="dxa"/>
            <w:vAlign w:val="bottom"/>
            <w:gridSpan w:val="11"/>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140" w:type="dxa"/>
            <w:vAlign w:val="bottom"/>
          </w:tcPr>
          <w:p>
            <w:pPr>
              <w:spacing w:after="0"/>
              <w:rPr>
                <w:sz w:val="17"/>
                <w:szCs w:val="17"/>
                <w:color w:val="auto"/>
              </w:rPr>
            </w:pPr>
          </w:p>
        </w:tc>
        <w:tc>
          <w:tcPr>
            <w:tcW w:w="10120" w:type="dxa"/>
            <w:vAlign w:val="bottom"/>
            <w:gridSpan w:val="13"/>
          </w:tcPr>
          <w:p>
            <w:pPr>
              <w:spacing w:after="0" w:line="19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Form of Series A Warrant (incorporated by reference to the Registrant’s Current Report on Form 8-K filed on October 25, 2022)</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0" w:type="dxa"/>
            <w:vAlign w:val="bottom"/>
            <w:gridSpan w:val="9"/>
            <w:shd w:val="clear" w:color="auto" w:fill="0000EE"/>
          </w:tcPr>
          <w:p>
            <w:pPr>
              <w:spacing w:after="0" w:line="20" w:lineRule="exact"/>
              <w:rPr>
                <w:sz w:val="1"/>
                <w:szCs w:val="1"/>
                <w:color w:val="auto"/>
              </w:rPr>
            </w:pPr>
          </w:p>
        </w:tc>
        <w:tc>
          <w:tcPr>
            <w:tcW w:w="260" w:type="dxa"/>
            <w:vAlign w:val="bottom"/>
            <w:tcBorders>
              <w:left w:val="single" w:sz="8" w:color="0000EE"/>
            </w:tcBorders>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4.3</w:t>
            </w:r>
          </w:p>
        </w:tc>
        <w:tc>
          <w:tcPr>
            <w:tcW w:w="140" w:type="dxa"/>
            <w:vAlign w:val="bottom"/>
          </w:tcPr>
          <w:p>
            <w:pPr>
              <w:spacing w:after="0"/>
              <w:rPr>
                <w:sz w:val="17"/>
                <w:szCs w:val="17"/>
                <w:color w:val="auto"/>
              </w:rPr>
            </w:pPr>
          </w:p>
        </w:tc>
        <w:tc>
          <w:tcPr>
            <w:tcW w:w="94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Form of Wainwright Warrant (incorporated by reference to the Registrant’s Current Report on Form 8-K filed on October 25, 2022)</w:t>
              </w:r>
            </w:hyperlink>
          </w:p>
        </w:tc>
        <w:tc>
          <w:tcPr>
            <w:tcW w:w="660" w:type="dxa"/>
            <w:vAlign w:val="bottom"/>
            <w:gridSpan w:val="2"/>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4.4</w:t>
            </w:r>
          </w:p>
        </w:tc>
        <w:tc>
          <w:tcPr>
            <w:tcW w:w="140" w:type="dxa"/>
            <w:vAlign w:val="bottom"/>
          </w:tcPr>
          <w:p>
            <w:pPr>
              <w:spacing w:after="0"/>
              <w:rPr>
                <w:sz w:val="17"/>
                <w:szCs w:val="17"/>
                <w:color w:val="auto"/>
              </w:rPr>
            </w:pPr>
          </w:p>
        </w:tc>
        <w:tc>
          <w:tcPr>
            <w:tcW w:w="10120" w:type="dxa"/>
            <w:vAlign w:val="bottom"/>
            <w:gridSpan w:val="13"/>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Form of Wainwright Warrant (incorporated by reference to the Registrant’s Current Report on Form 8-K filed on May 23, 2023)</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0" w:type="dxa"/>
            <w:vAlign w:val="bottom"/>
            <w:gridSpan w:val="9"/>
            <w:shd w:val="clear" w:color="auto" w:fill="0000EE"/>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4.5</w:t>
            </w:r>
          </w:p>
        </w:tc>
        <w:tc>
          <w:tcPr>
            <w:tcW w:w="140" w:type="dxa"/>
            <w:vAlign w:val="bottom"/>
          </w:tcPr>
          <w:p>
            <w:pPr>
              <w:spacing w:after="0"/>
              <w:rPr>
                <w:sz w:val="17"/>
                <w:szCs w:val="17"/>
                <w:color w:val="auto"/>
              </w:rPr>
            </w:pPr>
          </w:p>
        </w:tc>
        <w:tc>
          <w:tcPr>
            <w:tcW w:w="10120" w:type="dxa"/>
            <w:vAlign w:val="bottom"/>
            <w:gridSpan w:val="13"/>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Form of Wainwright Warrant (incorporated by reference to the Registrant’s Current Report on Form 8-K filed on May 24, 2023)</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6" w:name="page117"/>
    <w:bookmarkEnd w:id="116"/>
    <w:p>
      <w:pPr>
        <w:ind w:left="140"/>
        <w:spacing w:after="0"/>
        <w:tabs>
          <w:tab w:leader="none" w:pos="8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4.6</w:t>
      </w:r>
      <w:r>
        <w:rPr>
          <w:sz w:val="20"/>
          <w:szCs w:val="20"/>
          <w:color w:val="auto"/>
        </w:rPr>
        <w:tab/>
      </w:r>
      <w:hyperlink r:id="rId155">
        <w:r>
          <w:rPr>
            <w:rFonts w:ascii="Times New Roman" w:cs="Times New Roman" w:eastAsia="Times New Roman" w:hAnsi="Times New Roman"/>
            <w:sz w:val="17"/>
            <w:szCs w:val="17"/>
            <w:u w:val="single" w:color="auto"/>
            <w:color w:val="0000EE"/>
          </w:rPr>
          <w:t>Form of Warrant Amendment Agreement (incorporated by reference to the Registrant’s Current Report on Form 8-K filed on May 24, 2023)</w:t>
        </w:r>
      </w:hyperlink>
    </w:p>
    <w:p>
      <w:pPr>
        <w:spacing w:after="0" w:line="27" w:lineRule="exact"/>
        <w:rPr>
          <w:sz w:val="20"/>
          <w:szCs w:val="20"/>
          <w:color w:val="auto"/>
        </w:rPr>
      </w:pPr>
    </w:p>
    <w:p>
      <w:pPr>
        <w:ind w:left="140"/>
        <w:spacing w:after="0"/>
        <w:tabs>
          <w:tab w:leader="none" w:pos="8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4.7</w:t>
      </w:r>
      <w:r>
        <w:rPr>
          <w:sz w:val="20"/>
          <w:szCs w:val="20"/>
          <w:color w:val="auto"/>
        </w:rPr>
        <w:tab/>
      </w:r>
      <w:hyperlink r:id="rId156">
        <w:r>
          <w:rPr>
            <w:rFonts w:ascii="Times New Roman" w:cs="Times New Roman" w:eastAsia="Times New Roman" w:hAnsi="Times New Roman"/>
            <w:sz w:val="17"/>
            <w:szCs w:val="17"/>
            <w:u w:val="single" w:color="auto"/>
            <w:color w:val="0000EE"/>
          </w:rPr>
          <w:t>Form of Series C Warrant (incorporated by reference to the Registrant’s Current Report on Form 8-K filed on June 6, 2023)</w:t>
        </w:r>
      </w:hyperlink>
    </w:p>
    <w:p>
      <w:pPr>
        <w:spacing w:after="0" w:line="9" w:lineRule="exact"/>
        <w:rPr>
          <w:sz w:val="20"/>
          <w:szCs w:val="20"/>
          <w:color w:val="auto"/>
        </w:rPr>
      </w:pPr>
    </w:p>
    <w:p>
      <w:pPr>
        <w:ind w:left="140"/>
        <w:spacing w:after="0"/>
        <w:tabs>
          <w:tab w:leader="none" w:pos="8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4.8</w:t>
      </w:r>
      <w:r>
        <w:rPr>
          <w:sz w:val="20"/>
          <w:szCs w:val="20"/>
          <w:color w:val="auto"/>
        </w:rPr>
        <w:tab/>
      </w:r>
      <w:hyperlink r:id="rId157">
        <w:r>
          <w:rPr>
            <w:rFonts w:ascii="Times New Roman" w:cs="Times New Roman" w:eastAsia="Times New Roman" w:hAnsi="Times New Roman"/>
            <w:sz w:val="17"/>
            <w:szCs w:val="17"/>
            <w:u w:val="single" w:color="auto"/>
            <w:color w:val="0000EE"/>
          </w:rPr>
          <w:t>Form of Wainwright Warrant (incorporated by reference to the Registrant’s Current Report on Form 8-K filed on June 6, 2023)</w:t>
        </w:r>
      </w:hyperlink>
    </w:p>
    <w:p>
      <w:pPr>
        <w:spacing w:after="0" w:line="9" w:lineRule="exact"/>
        <w:rPr>
          <w:sz w:val="20"/>
          <w:szCs w:val="20"/>
          <w:color w:val="auto"/>
        </w:rPr>
      </w:pPr>
    </w:p>
    <w:p>
      <w:pPr>
        <w:ind w:left="140"/>
        <w:spacing w:after="0"/>
        <w:tabs>
          <w:tab w:leader="none" w:pos="8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4.9</w:t>
      </w:r>
      <w:r>
        <w:rPr>
          <w:sz w:val="20"/>
          <w:szCs w:val="20"/>
          <w:color w:val="auto"/>
        </w:rPr>
        <w:tab/>
      </w:r>
      <w:hyperlink r:id="rId158">
        <w:r>
          <w:rPr>
            <w:rFonts w:ascii="Times New Roman" w:cs="Times New Roman" w:eastAsia="Times New Roman" w:hAnsi="Times New Roman"/>
            <w:sz w:val="17"/>
            <w:szCs w:val="17"/>
            <w:u w:val="single" w:color="auto"/>
            <w:color w:val="0000EE"/>
          </w:rPr>
          <w:t>Form of Series D Warrant (incorporated by reference to the Registrant’s Current Report on Form 8-K filed on June 28, 2023)</w:t>
        </w:r>
      </w:hyperlink>
    </w:p>
    <w:p>
      <w:pPr>
        <w:spacing w:after="0" w:line="9" w:lineRule="exact"/>
        <w:rPr>
          <w:sz w:val="20"/>
          <w:szCs w:val="20"/>
          <w:color w:val="auto"/>
        </w:rPr>
      </w:pPr>
    </w:p>
    <w:p>
      <w:pPr>
        <w:ind w:left="100"/>
        <w:spacing w:after="0"/>
        <w:tabs>
          <w:tab w:leader="none" w:pos="8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4.10</w:t>
      </w:r>
      <w:r>
        <w:rPr>
          <w:sz w:val="20"/>
          <w:szCs w:val="20"/>
          <w:color w:val="auto"/>
        </w:rPr>
        <w:tab/>
      </w:r>
      <w:hyperlink r:id="rId159">
        <w:r>
          <w:rPr>
            <w:rFonts w:ascii="Times New Roman" w:cs="Times New Roman" w:eastAsia="Times New Roman" w:hAnsi="Times New Roman"/>
            <w:sz w:val="17"/>
            <w:szCs w:val="17"/>
            <w:u w:val="single" w:color="auto"/>
            <w:color w:val="0000EE"/>
          </w:rPr>
          <w:t>Form of Wainwright Warrant (incorporated by reference to the Registrant’s Current Report on Form 8-K filed on June 28, 2023)</w:t>
        </w:r>
      </w:hyperlink>
    </w:p>
    <w:p>
      <w:pPr>
        <w:spacing w:after="0" w:line="9" w:lineRule="exact"/>
        <w:rPr>
          <w:sz w:val="20"/>
          <w:szCs w:val="20"/>
          <w:color w:val="auto"/>
        </w:rPr>
      </w:pPr>
    </w:p>
    <w:p>
      <w:pPr>
        <w:ind w:left="100"/>
        <w:spacing w:after="0"/>
        <w:tabs>
          <w:tab w:leader="none" w:pos="8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4.11</w:t>
      </w:r>
      <w:r>
        <w:rPr>
          <w:sz w:val="20"/>
          <w:szCs w:val="20"/>
          <w:color w:val="auto"/>
        </w:rPr>
        <w:tab/>
      </w:r>
      <w:hyperlink r:id="rId160">
        <w:r>
          <w:rPr>
            <w:rFonts w:ascii="Times New Roman" w:cs="Times New Roman" w:eastAsia="Times New Roman" w:hAnsi="Times New Roman"/>
            <w:sz w:val="17"/>
            <w:szCs w:val="17"/>
            <w:u w:val="single" w:color="auto"/>
            <w:color w:val="0000EE"/>
          </w:rPr>
          <w:t>Form of Inducement Investment Option (incorporated by reference to the Registrant’s Current Report on Form 8-K filed on January 2, 2024)</w:t>
        </w:r>
      </w:hyperlink>
    </w:p>
    <w:p>
      <w:pPr>
        <w:spacing w:after="0" w:line="9" w:lineRule="exact"/>
        <w:rPr>
          <w:sz w:val="20"/>
          <w:szCs w:val="20"/>
          <w:color w:val="auto"/>
        </w:rPr>
      </w:pPr>
    </w:p>
    <w:p>
      <w:pPr>
        <w:ind w:left="100"/>
        <w:spacing w:after="0"/>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4.12</w:t>
      </w:r>
      <w:r>
        <w:rPr>
          <w:sz w:val="20"/>
          <w:szCs w:val="20"/>
          <w:color w:val="auto"/>
        </w:rPr>
        <w:tab/>
      </w:r>
      <w:hyperlink r:id="rId161">
        <w:r>
          <w:rPr>
            <w:rFonts w:ascii="Times New Roman" w:cs="Times New Roman" w:eastAsia="Times New Roman" w:hAnsi="Times New Roman"/>
            <w:sz w:val="18"/>
            <w:szCs w:val="18"/>
            <w:u w:val="single" w:color="auto"/>
            <w:color w:val="0000EE"/>
          </w:rPr>
          <w:t>Form of Placement Agent Investment Option (incorporated by reference to the Registrant’s Current Report on Form 8-K filed on January 2,</w:t>
        </w:r>
      </w:hyperlink>
    </w:p>
    <w:p>
      <w:pPr>
        <w:spacing w:after="0" w:line="9" w:lineRule="exact"/>
        <w:rPr>
          <w:sz w:val="20"/>
          <w:szCs w:val="20"/>
          <w:color w:val="auto"/>
        </w:rPr>
      </w:pPr>
    </w:p>
    <w:p>
      <w:pPr>
        <w:ind w:left="860"/>
        <w:spacing w:after="0"/>
        <w:rPr>
          <w:rFonts w:ascii="Times New Roman" w:cs="Times New Roman" w:eastAsia="Times New Roman" w:hAnsi="Times New Roman"/>
          <w:sz w:val="18"/>
          <w:szCs w:val="18"/>
          <w:u w:val="single" w:color="auto"/>
          <w:color w:val="0000EE"/>
        </w:rPr>
      </w:pPr>
      <w:hyperlink r:id="rId161">
        <w:r>
          <w:rPr>
            <w:rFonts w:ascii="Times New Roman" w:cs="Times New Roman" w:eastAsia="Times New Roman" w:hAnsi="Times New Roman"/>
            <w:sz w:val="18"/>
            <w:szCs w:val="18"/>
            <w:u w:val="single" w:color="auto"/>
            <w:color w:val="0000EE"/>
          </w:rPr>
          <w:t>2024)</w:t>
        </w:r>
      </w:hyperlink>
    </w:p>
    <w:p>
      <w:pPr>
        <w:spacing w:after="0" w:line="9" w:lineRule="exact"/>
        <w:rPr>
          <w:sz w:val="20"/>
          <w:szCs w:val="20"/>
          <w:color w:val="auto"/>
        </w:rPr>
      </w:pPr>
    </w:p>
    <w:p>
      <w:pPr>
        <w:ind w:left="140"/>
        <w:spacing w:after="0"/>
        <w:tabs>
          <w:tab w:leader="none" w:pos="8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u w:val="single" w:color="auto"/>
          <w:color w:val="0000EE"/>
        </w:rPr>
        <w:t>Opinion of Ruskin Moscou Faltischek, PC</w:t>
      </w:r>
    </w:p>
    <w:p>
      <w:pPr>
        <w:spacing w:after="0" w:line="9" w:lineRule="exact"/>
        <w:rPr>
          <w:sz w:val="20"/>
          <w:szCs w:val="20"/>
          <w:color w:val="auto"/>
        </w:rPr>
      </w:pPr>
    </w:p>
    <w:p>
      <w:pPr>
        <w:jc w:val="both"/>
        <w:ind w:left="860" w:right="20" w:hanging="764"/>
        <w:spacing w:after="0" w:line="250"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r:id="rId162">
        <w:r>
          <w:rPr>
            <w:rFonts w:ascii="Times New Roman" w:cs="Times New Roman" w:eastAsia="Times New Roman" w:hAnsi="Times New Roman"/>
            <w:sz w:val="18"/>
            <w:szCs w:val="18"/>
            <w:u w:val="single" w:color="auto"/>
            <w:color w:val="0000EE"/>
          </w:rPr>
          <w:t>Form of Indemnification Agreement, between the Company and each of its Directors and Officers (incorporated by reference to the</w:t>
        </w:r>
      </w:hyperlink>
      <w:r>
        <w:rPr>
          <w:rFonts w:ascii="Times New Roman" w:cs="Times New Roman" w:eastAsia="Times New Roman" w:hAnsi="Times New Roman"/>
          <w:sz w:val="18"/>
          <w:szCs w:val="18"/>
          <w:u w:val="single" w:color="auto"/>
          <w:color w:val="0000EE"/>
        </w:rPr>
        <w:t xml:space="preserve"> </w:t>
      </w:r>
      <w:hyperlink r:id="rId162">
        <w:r>
          <w:rPr>
            <w:rFonts w:ascii="Times New Roman" w:cs="Times New Roman" w:eastAsia="Times New Roman" w:hAnsi="Times New Roman"/>
            <w:sz w:val="18"/>
            <w:szCs w:val="18"/>
            <w:u w:val="single" w:color="auto"/>
            <w:color w:val="0000EE"/>
          </w:rPr>
          <w:t>Company’s Current Report on Form 8-K filed on November 29, 2016).</w:t>
        </w:r>
      </w:hyperlink>
    </w:p>
    <w:p>
      <w:pPr>
        <w:spacing w:after="0" w:line="1" w:lineRule="exact"/>
        <w:rPr>
          <w:sz w:val="20"/>
          <w:szCs w:val="20"/>
          <w:color w:val="auto"/>
        </w:rPr>
      </w:pPr>
    </w:p>
    <w:p>
      <w:pPr>
        <w:ind w:left="60"/>
        <w:spacing w:after="0"/>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w:t>
      </w:r>
      <w:r>
        <w:rPr>
          <w:sz w:val="20"/>
          <w:szCs w:val="20"/>
          <w:color w:val="auto"/>
        </w:rPr>
        <w:tab/>
      </w:r>
      <w:hyperlink r:id="rId163">
        <w:r>
          <w:rPr>
            <w:rFonts w:ascii="Times New Roman" w:cs="Times New Roman" w:eastAsia="Times New Roman" w:hAnsi="Times New Roman"/>
            <w:sz w:val="18"/>
            <w:szCs w:val="18"/>
            <w:u w:val="single" w:color="auto"/>
            <w:color w:val="0000EE"/>
          </w:rPr>
          <w:t>Employment Agreement with Harel Gadot (incorporated by reference to the Company’s Current Report on Form 8-K filed on November 29,</w:t>
        </w:r>
      </w:hyperlink>
    </w:p>
    <w:p>
      <w:pPr>
        <w:spacing w:after="0" w:line="9" w:lineRule="exact"/>
        <w:rPr>
          <w:sz w:val="20"/>
          <w:szCs w:val="20"/>
          <w:color w:val="auto"/>
        </w:rPr>
      </w:pPr>
    </w:p>
    <w:p>
      <w:pPr>
        <w:ind w:left="860"/>
        <w:spacing w:after="0"/>
        <w:rPr>
          <w:rFonts w:ascii="Times New Roman" w:cs="Times New Roman" w:eastAsia="Times New Roman" w:hAnsi="Times New Roman"/>
          <w:sz w:val="18"/>
          <w:szCs w:val="18"/>
          <w:u w:val="single" w:color="auto"/>
          <w:color w:val="0000EE"/>
        </w:rPr>
      </w:pPr>
      <w:hyperlink r:id="rId163">
        <w:r>
          <w:rPr>
            <w:rFonts w:ascii="Times New Roman" w:cs="Times New Roman" w:eastAsia="Times New Roman" w:hAnsi="Times New Roman"/>
            <w:sz w:val="18"/>
            <w:szCs w:val="18"/>
            <w:u w:val="single" w:color="auto"/>
            <w:color w:val="0000EE"/>
          </w:rPr>
          <w:t>2016).</w:t>
        </w:r>
      </w:hyperlink>
    </w:p>
    <w:p>
      <w:pPr>
        <w:spacing w:after="0" w:line="9" w:lineRule="exact"/>
        <w:rPr>
          <w:sz w:val="20"/>
          <w:szCs w:val="20"/>
          <w:color w:val="auto"/>
        </w:rPr>
      </w:pPr>
    </w:p>
    <w:p>
      <w:pPr>
        <w:jc w:val="both"/>
        <w:ind w:left="860" w:hanging="764"/>
        <w:spacing w:after="0" w:line="250"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w:t>
      </w:r>
      <w:r>
        <w:rPr>
          <w:sz w:val="20"/>
          <w:szCs w:val="20"/>
          <w:color w:val="auto"/>
        </w:rPr>
        <w:tab/>
      </w:r>
      <w:hyperlink r:id="rId164">
        <w:r>
          <w:rPr>
            <w:rFonts w:ascii="Times New Roman" w:cs="Times New Roman" w:eastAsia="Times New Roman" w:hAnsi="Times New Roman"/>
            <w:sz w:val="18"/>
            <w:szCs w:val="18"/>
            <w:u w:val="single" w:color="auto"/>
            <w:color w:val="0000EE"/>
          </w:rPr>
          <w:t>License Agreement, dated June 20, 2012, by and between Technion Research and Development Foundation, and Microbot Medical Ltd.</w:t>
        </w:r>
      </w:hyperlink>
      <w:r>
        <w:rPr>
          <w:rFonts w:ascii="Times New Roman" w:cs="Times New Roman" w:eastAsia="Times New Roman" w:hAnsi="Times New Roman"/>
          <w:sz w:val="18"/>
          <w:szCs w:val="18"/>
          <w:u w:val="single" w:color="auto"/>
          <w:color w:val="0000EE"/>
        </w:rPr>
        <w:t xml:space="preserve"> </w:t>
      </w:r>
      <w:hyperlink r:id="rId164">
        <w:r>
          <w:rPr>
            <w:rFonts w:ascii="Times New Roman" w:cs="Times New Roman" w:eastAsia="Times New Roman" w:hAnsi="Times New Roman"/>
            <w:sz w:val="18"/>
            <w:szCs w:val="18"/>
            <w:u w:val="single" w:color="auto"/>
            <w:color w:val="0000EE"/>
          </w:rPr>
          <w:t>(incorporated by reference to the Company’s Annual Report on Form 10-K for the fiscal year ended December 31, 2016 and filed on March</w:t>
        </w:r>
      </w:hyperlink>
      <w:r>
        <w:rPr>
          <w:rFonts w:ascii="Times New Roman" w:cs="Times New Roman" w:eastAsia="Times New Roman" w:hAnsi="Times New Roman"/>
          <w:sz w:val="18"/>
          <w:szCs w:val="18"/>
          <w:u w:val="single" w:color="auto"/>
          <w:color w:val="0000EE"/>
        </w:rPr>
        <w:t xml:space="preserve"> </w:t>
      </w:r>
      <w:hyperlink r:id="rId164">
        <w:r>
          <w:rPr>
            <w:rFonts w:ascii="Times New Roman" w:cs="Times New Roman" w:eastAsia="Times New Roman" w:hAnsi="Times New Roman"/>
            <w:sz w:val="18"/>
            <w:szCs w:val="18"/>
            <w:u w:val="single" w:color="auto"/>
            <w:color w:val="0000EE"/>
          </w:rPr>
          <w:t>21, 2017).</w:t>
        </w:r>
      </w:hyperlink>
    </w:p>
    <w:p>
      <w:pPr>
        <w:spacing w:after="0" w:line="1" w:lineRule="exact"/>
        <w:rPr>
          <w:rFonts w:ascii="Times New Roman" w:cs="Times New Roman" w:eastAsia="Times New Roman" w:hAnsi="Times New Roman"/>
          <w:sz w:val="18"/>
          <w:szCs w:val="18"/>
          <w:u w:val="single" w:color="auto"/>
          <w:color w:val="0000EE"/>
        </w:rPr>
      </w:pPr>
    </w:p>
    <w:p>
      <w:pPr>
        <w:ind w:left="860" w:hanging="809"/>
        <w:spacing w:after="0" w:line="250"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w:t>
      </w:r>
      <w:r>
        <w:rPr>
          <w:sz w:val="20"/>
          <w:szCs w:val="20"/>
          <w:color w:val="auto"/>
        </w:rPr>
        <w:tab/>
      </w:r>
      <w:hyperlink r:id="rId165">
        <w:r>
          <w:rPr>
            <w:rFonts w:ascii="Times New Roman" w:cs="Times New Roman" w:eastAsia="Times New Roman" w:hAnsi="Times New Roman"/>
            <w:sz w:val="18"/>
            <w:szCs w:val="18"/>
            <w:u w:val="single" w:color="auto"/>
            <w:color w:val="0000EE"/>
          </w:rPr>
          <w:t>Form of Stock Option Agreement under the Microbot Medical Inc. 2017 Equity Incentive Plan (incorporated by reference to the Company’s</w:t>
        </w:r>
      </w:hyperlink>
      <w:r>
        <w:rPr>
          <w:rFonts w:ascii="Times New Roman" w:cs="Times New Roman" w:eastAsia="Times New Roman" w:hAnsi="Times New Roman"/>
          <w:sz w:val="18"/>
          <w:szCs w:val="18"/>
          <w:u w:val="single" w:color="auto"/>
          <w:color w:val="0000EE"/>
        </w:rPr>
        <w:t xml:space="preserve"> </w:t>
      </w:r>
      <w:hyperlink r:id="rId165">
        <w:r>
          <w:rPr>
            <w:rFonts w:ascii="Times New Roman" w:cs="Times New Roman" w:eastAsia="Times New Roman" w:hAnsi="Times New Roman"/>
            <w:sz w:val="18"/>
            <w:szCs w:val="18"/>
            <w:u w:val="single" w:color="auto"/>
            <w:color w:val="0000EE"/>
          </w:rPr>
          <w:t>Quarterly Report on Form 10-Q for the Quarter ended September 30, 2017, filed on November 14, 2017).</w:t>
        </w:r>
      </w:hyperlink>
    </w:p>
    <w:p>
      <w:pPr>
        <w:spacing w:after="0" w:line="1" w:lineRule="exact"/>
        <w:rPr>
          <w:sz w:val="20"/>
          <w:szCs w:val="20"/>
          <w:color w:val="auto"/>
        </w:rPr>
      </w:pPr>
    </w:p>
    <w:p>
      <w:pPr>
        <w:ind w:left="860" w:right="20" w:hanging="764"/>
        <w:spacing w:after="0" w:line="250"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w:t>
      </w:r>
      <w:r>
        <w:rPr>
          <w:sz w:val="20"/>
          <w:szCs w:val="20"/>
          <w:color w:val="auto"/>
        </w:rPr>
        <w:tab/>
      </w:r>
      <w:hyperlink r:id="rId166">
        <w:r>
          <w:rPr>
            <w:rFonts w:ascii="Times New Roman" w:cs="Times New Roman" w:eastAsia="Times New Roman" w:hAnsi="Times New Roman"/>
            <w:sz w:val="18"/>
            <w:szCs w:val="18"/>
            <w:u w:val="single" w:color="auto"/>
            <w:color w:val="0000EE"/>
          </w:rPr>
          <w:t>Agreement, dated January 4, 2018, by and between CardioSert Ltd. and Microbot Medical Ltd. (incorporated by reference to the Company’s</w:t>
        </w:r>
      </w:hyperlink>
      <w:r>
        <w:rPr>
          <w:rFonts w:ascii="Times New Roman" w:cs="Times New Roman" w:eastAsia="Times New Roman" w:hAnsi="Times New Roman"/>
          <w:sz w:val="18"/>
          <w:szCs w:val="18"/>
          <w:u w:val="single" w:color="auto"/>
          <w:color w:val="0000EE"/>
        </w:rPr>
        <w:t xml:space="preserve"> </w:t>
      </w:r>
      <w:hyperlink r:id="rId166">
        <w:r>
          <w:rPr>
            <w:rFonts w:ascii="Times New Roman" w:cs="Times New Roman" w:eastAsia="Times New Roman" w:hAnsi="Times New Roman"/>
            <w:sz w:val="18"/>
            <w:szCs w:val="18"/>
            <w:u w:val="single" w:color="auto"/>
            <w:color w:val="0000EE"/>
          </w:rPr>
          <w:t>Current Report on Form 8-K filed on January 8, 2018).</w:t>
        </w:r>
      </w:hyperlink>
    </w:p>
    <w:p>
      <w:pPr>
        <w:spacing w:after="0" w:line="1" w:lineRule="exact"/>
        <w:rPr>
          <w:sz w:val="20"/>
          <w:szCs w:val="20"/>
          <w:color w:val="auto"/>
        </w:rPr>
      </w:pPr>
    </w:p>
    <w:p>
      <w:pPr>
        <w:ind w:left="860" w:hanging="809"/>
        <w:spacing w:after="0" w:line="250"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10.6*</w:t>
      </w:r>
      <w:r>
        <w:rPr>
          <w:sz w:val="20"/>
          <w:szCs w:val="20"/>
          <w:color w:val="auto"/>
        </w:rPr>
        <w:tab/>
      </w:r>
      <w:hyperlink r:id="rId167">
        <w:r>
          <w:rPr>
            <w:rFonts w:ascii="Times New Roman" w:cs="Times New Roman" w:eastAsia="Times New Roman" w:hAnsi="Times New Roman"/>
            <w:sz w:val="18"/>
            <w:szCs w:val="18"/>
            <w:u w:val="single" w:color="auto"/>
            <w:color w:val="0000EE"/>
          </w:rPr>
          <w:t>Employment Agreement with Dr. Eyal Morag (incorporated by reference to the Registrant’s Annual Report on Form 10-K for the fiscal year</w:t>
        </w:r>
      </w:hyperlink>
      <w:r>
        <w:rPr>
          <w:rFonts w:ascii="Times New Roman" w:cs="Times New Roman" w:eastAsia="Times New Roman" w:hAnsi="Times New Roman"/>
          <w:sz w:val="18"/>
          <w:szCs w:val="18"/>
          <w:u w:val="single" w:color="auto"/>
          <w:color w:val="0000EE"/>
        </w:rPr>
        <w:t xml:space="preserve"> </w:t>
      </w:r>
      <w:hyperlink r:id="rId167">
        <w:r>
          <w:rPr>
            <w:rFonts w:ascii="Times New Roman" w:cs="Times New Roman" w:eastAsia="Times New Roman" w:hAnsi="Times New Roman"/>
            <w:sz w:val="18"/>
            <w:szCs w:val="18"/>
            <w:u w:val="single" w:color="auto"/>
            <w:color w:val="0000EE"/>
          </w:rPr>
          <w:t>ended December 31, 2019 filed on April 14, 2020).</w:t>
        </w:r>
      </w:hyperlink>
    </w:p>
    <w:p>
      <w:pPr>
        <w:spacing w:after="0" w:line="1" w:lineRule="exact"/>
        <w:rPr>
          <w:sz w:val="20"/>
          <w:szCs w:val="20"/>
          <w:color w:val="auto"/>
        </w:rPr>
      </w:pPr>
    </w:p>
    <w:p>
      <w:pPr>
        <w:ind w:left="860" w:hanging="809"/>
        <w:spacing w:after="0" w:line="250"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168">
        <w:r>
          <w:rPr>
            <w:rFonts w:ascii="Times New Roman" w:cs="Times New Roman" w:eastAsia="Times New Roman" w:hAnsi="Times New Roman"/>
            <w:sz w:val="18"/>
            <w:szCs w:val="18"/>
            <w:u w:val="single" w:color="auto"/>
            <w:color w:val="0000EE"/>
          </w:rPr>
          <w:t>Microbot Medical Inc. 2017 Equity Incentive Plan (incorporated by reference to Exhibit A of the Company’s Definitive Proxy Statement on</w:t>
        </w:r>
      </w:hyperlink>
      <w:r>
        <w:rPr>
          <w:rFonts w:ascii="Times New Roman" w:cs="Times New Roman" w:eastAsia="Times New Roman" w:hAnsi="Times New Roman"/>
          <w:sz w:val="18"/>
          <w:szCs w:val="18"/>
          <w:u w:val="single" w:color="auto"/>
          <w:color w:val="0000EE"/>
        </w:rPr>
        <w:t xml:space="preserve"> </w:t>
      </w:r>
      <w:hyperlink r:id="rId168">
        <w:r>
          <w:rPr>
            <w:rFonts w:ascii="Times New Roman" w:cs="Times New Roman" w:eastAsia="Times New Roman" w:hAnsi="Times New Roman"/>
            <w:sz w:val="18"/>
            <w:szCs w:val="18"/>
            <w:u w:val="single" w:color="auto"/>
            <w:color w:val="0000EE"/>
          </w:rPr>
          <w:t>Schedule 14A filed on August 11, 2017).</w:t>
        </w:r>
      </w:hyperlink>
    </w:p>
    <w:p>
      <w:pPr>
        <w:spacing w:after="0" w:line="1" w:lineRule="exact"/>
        <w:rPr>
          <w:sz w:val="20"/>
          <w:szCs w:val="20"/>
          <w:color w:val="auto"/>
        </w:rPr>
      </w:pPr>
    </w:p>
    <w:p>
      <w:pPr>
        <w:ind w:left="860" w:hanging="809"/>
        <w:spacing w:after="0" w:line="250"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10.8*</w:t>
      </w:r>
      <w:r>
        <w:rPr>
          <w:sz w:val="20"/>
          <w:szCs w:val="20"/>
          <w:color w:val="auto"/>
        </w:rPr>
        <w:tab/>
      </w:r>
      <w:hyperlink r:id="rId169">
        <w:r>
          <w:rPr>
            <w:rFonts w:ascii="Times New Roman" w:cs="Times New Roman" w:eastAsia="Times New Roman" w:hAnsi="Times New Roman"/>
            <w:sz w:val="18"/>
            <w:szCs w:val="18"/>
            <w:u w:val="single" w:color="auto"/>
            <w:color w:val="0000EE"/>
          </w:rPr>
          <w:t>Microbot Medical Inc. 2020 Omnibus Performance Award Plan (incorporated by reference to Exhibit A of the Company’s definitive Proxy</w:t>
        </w:r>
      </w:hyperlink>
      <w:r>
        <w:rPr>
          <w:rFonts w:ascii="Times New Roman" w:cs="Times New Roman" w:eastAsia="Times New Roman" w:hAnsi="Times New Roman"/>
          <w:sz w:val="18"/>
          <w:szCs w:val="18"/>
          <w:u w:val="single" w:color="auto"/>
          <w:color w:val="0000EE"/>
        </w:rPr>
        <w:t xml:space="preserve"> </w:t>
      </w:r>
      <w:hyperlink r:id="rId169">
        <w:r>
          <w:rPr>
            <w:rFonts w:ascii="Times New Roman" w:cs="Times New Roman" w:eastAsia="Times New Roman" w:hAnsi="Times New Roman"/>
            <w:sz w:val="18"/>
            <w:szCs w:val="18"/>
            <w:u w:val="single" w:color="auto"/>
            <w:color w:val="0000EE"/>
          </w:rPr>
          <w:t>Statement on Schedule 14A filed on July 31, 2020)</w:t>
        </w:r>
      </w:hyperlink>
    </w:p>
    <w:p>
      <w:pPr>
        <w:spacing w:after="0" w:line="1" w:lineRule="exact"/>
        <w:rPr>
          <w:sz w:val="20"/>
          <w:szCs w:val="20"/>
          <w:color w:val="auto"/>
        </w:rPr>
      </w:pPr>
    </w:p>
    <w:p>
      <w:pPr>
        <w:ind w:left="860" w:right="20" w:hanging="809"/>
        <w:spacing w:after="0" w:line="250"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10.9*</w:t>
      </w:r>
      <w:r>
        <w:rPr>
          <w:sz w:val="20"/>
          <w:szCs w:val="20"/>
          <w:color w:val="auto"/>
        </w:rPr>
        <w:tab/>
      </w:r>
      <w:hyperlink r:id="rId170">
        <w:r>
          <w:rPr>
            <w:rFonts w:ascii="Times New Roman" w:cs="Times New Roman" w:eastAsia="Times New Roman" w:hAnsi="Times New Roman"/>
            <w:sz w:val="18"/>
            <w:szCs w:val="18"/>
            <w:u w:val="single" w:color="auto"/>
            <w:color w:val="0000EE"/>
          </w:rPr>
          <w:t>Form of Restricted Stock Unit Award Agreement under the Microbot Medical Inc. 2020 Omnibus Performance Award Plan (incorporated by</w:t>
        </w:r>
      </w:hyperlink>
      <w:r>
        <w:rPr>
          <w:rFonts w:ascii="Times New Roman" w:cs="Times New Roman" w:eastAsia="Times New Roman" w:hAnsi="Times New Roman"/>
          <w:sz w:val="18"/>
          <w:szCs w:val="18"/>
          <w:u w:val="single" w:color="auto"/>
          <w:color w:val="0000EE"/>
        </w:rPr>
        <w:t xml:space="preserve"> </w:t>
      </w:r>
      <w:hyperlink r:id="rId170">
        <w:r>
          <w:rPr>
            <w:rFonts w:ascii="Times New Roman" w:cs="Times New Roman" w:eastAsia="Times New Roman" w:hAnsi="Times New Roman"/>
            <w:sz w:val="18"/>
            <w:szCs w:val="18"/>
            <w:u w:val="single" w:color="auto"/>
            <w:color w:val="0000EE"/>
          </w:rPr>
          <w:t>reference to Exhibit 4.2 of the registration Statement on Form S-8 of the Company filed on November 25, 2020)</w:t>
        </w:r>
      </w:hyperlink>
    </w:p>
    <w:p>
      <w:pPr>
        <w:spacing w:after="0" w:line="1" w:lineRule="exact"/>
        <w:rPr>
          <w:sz w:val="20"/>
          <w:szCs w:val="20"/>
          <w:color w:val="auto"/>
        </w:rPr>
      </w:pPr>
    </w:p>
    <w:p>
      <w:pPr>
        <w:ind w:left="860" w:right="20" w:hanging="854"/>
        <w:spacing w:after="0" w:line="250"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w:t>
      </w:r>
      <w:r>
        <w:rPr>
          <w:sz w:val="20"/>
          <w:szCs w:val="20"/>
          <w:color w:val="auto"/>
        </w:rPr>
        <w:tab/>
      </w:r>
      <w:hyperlink r:id="rId171">
        <w:r>
          <w:rPr>
            <w:rFonts w:ascii="Times New Roman" w:cs="Times New Roman" w:eastAsia="Times New Roman" w:hAnsi="Times New Roman"/>
            <w:sz w:val="18"/>
            <w:szCs w:val="18"/>
            <w:u w:val="single" w:color="auto"/>
            <w:color w:val="0000EE"/>
          </w:rPr>
          <w:t>Form of NQO Award Agreement under the Microbot Medical Ltd. 2020 Omnibus Performance Award Plan (incorporated by reference to</w:t>
        </w:r>
      </w:hyperlink>
      <w:r>
        <w:rPr>
          <w:rFonts w:ascii="Times New Roman" w:cs="Times New Roman" w:eastAsia="Times New Roman" w:hAnsi="Times New Roman"/>
          <w:sz w:val="18"/>
          <w:szCs w:val="18"/>
          <w:u w:val="single" w:color="auto"/>
          <w:color w:val="0000EE"/>
        </w:rPr>
        <w:t xml:space="preserve"> </w:t>
      </w:r>
      <w:hyperlink r:id="rId171">
        <w:r>
          <w:rPr>
            <w:rFonts w:ascii="Times New Roman" w:cs="Times New Roman" w:eastAsia="Times New Roman" w:hAnsi="Times New Roman"/>
            <w:sz w:val="18"/>
            <w:szCs w:val="18"/>
            <w:u w:val="single" w:color="auto"/>
            <w:color w:val="0000EE"/>
          </w:rPr>
          <w:t>Exhibit 4.3 of the registration Statement on Form S-8 of the Company filed on November 25, 2020)</w:t>
        </w:r>
      </w:hyperlink>
    </w:p>
    <w:p>
      <w:pPr>
        <w:spacing w:after="0" w:line="1" w:lineRule="exact"/>
        <w:rPr>
          <w:sz w:val="20"/>
          <w:szCs w:val="20"/>
          <w:color w:val="auto"/>
        </w:rPr>
      </w:pPr>
    </w:p>
    <w:p>
      <w:pPr>
        <w:ind w:left="860" w:hanging="850"/>
        <w:spacing w:after="0" w:line="250"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w:t>
      </w:r>
      <w:r>
        <w:rPr>
          <w:sz w:val="20"/>
          <w:szCs w:val="20"/>
          <w:color w:val="auto"/>
        </w:rPr>
        <w:tab/>
      </w:r>
      <w:hyperlink r:id="rId172">
        <w:r>
          <w:rPr>
            <w:rFonts w:ascii="Times New Roman" w:cs="Times New Roman" w:eastAsia="Times New Roman" w:hAnsi="Times New Roman"/>
            <w:sz w:val="18"/>
            <w:szCs w:val="18"/>
            <w:u w:val="single" w:color="auto"/>
            <w:color w:val="0000EE"/>
          </w:rPr>
          <w:t>Form of Restricted Stock Award Agreement under the Microbot Medical Ltd. 2020 Omnibus Performance Award Plan (incorporated by</w:t>
        </w:r>
      </w:hyperlink>
      <w:r>
        <w:rPr>
          <w:rFonts w:ascii="Times New Roman" w:cs="Times New Roman" w:eastAsia="Times New Roman" w:hAnsi="Times New Roman"/>
          <w:sz w:val="18"/>
          <w:szCs w:val="18"/>
          <w:u w:val="single" w:color="auto"/>
          <w:color w:val="0000EE"/>
        </w:rPr>
        <w:t xml:space="preserve"> </w:t>
      </w:r>
      <w:hyperlink r:id="rId172">
        <w:r>
          <w:rPr>
            <w:rFonts w:ascii="Times New Roman" w:cs="Times New Roman" w:eastAsia="Times New Roman" w:hAnsi="Times New Roman"/>
            <w:sz w:val="18"/>
            <w:szCs w:val="18"/>
            <w:u w:val="single" w:color="auto"/>
            <w:color w:val="0000EE"/>
          </w:rPr>
          <w:t>reference to Exhibit 4.4 of the registration Statement on Form S-8 of the Company filed on November 25, 2020)</w:t>
        </w:r>
      </w:hyperlink>
    </w:p>
    <w:p>
      <w:pPr>
        <w:spacing w:after="0" w:line="1" w:lineRule="exact"/>
        <w:rPr>
          <w:sz w:val="20"/>
          <w:szCs w:val="20"/>
          <w:color w:val="auto"/>
        </w:rPr>
      </w:pPr>
    </w:p>
    <w:p>
      <w:pPr>
        <w:ind w:left="860" w:hanging="854"/>
        <w:spacing w:after="0" w:line="250"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10.12*</w:t>
      </w:r>
      <w:r>
        <w:rPr>
          <w:sz w:val="20"/>
          <w:szCs w:val="20"/>
          <w:color w:val="auto"/>
        </w:rPr>
        <w:tab/>
      </w:r>
      <w:hyperlink r:id="rId173">
        <w:r>
          <w:rPr>
            <w:rFonts w:ascii="Times New Roman" w:cs="Times New Roman" w:eastAsia="Times New Roman" w:hAnsi="Times New Roman"/>
            <w:sz w:val="18"/>
            <w:szCs w:val="18"/>
            <w:u w:val="single" w:color="auto"/>
            <w:color w:val="0000EE"/>
          </w:rPr>
          <w:t>Form of SAR Award Agreement under the Microbot Medical Ltd. 2020 Omnibus Performance Award Plan (incorporated by reference to</w:t>
        </w:r>
      </w:hyperlink>
      <w:r>
        <w:rPr>
          <w:rFonts w:ascii="Times New Roman" w:cs="Times New Roman" w:eastAsia="Times New Roman" w:hAnsi="Times New Roman"/>
          <w:sz w:val="18"/>
          <w:szCs w:val="18"/>
          <w:u w:val="single" w:color="auto"/>
          <w:color w:val="0000EE"/>
        </w:rPr>
        <w:t xml:space="preserve"> </w:t>
      </w:r>
      <w:hyperlink r:id="rId173">
        <w:r>
          <w:rPr>
            <w:rFonts w:ascii="Times New Roman" w:cs="Times New Roman" w:eastAsia="Times New Roman" w:hAnsi="Times New Roman"/>
            <w:sz w:val="18"/>
            <w:szCs w:val="18"/>
            <w:u w:val="single" w:color="auto"/>
            <w:color w:val="0000EE"/>
          </w:rPr>
          <w:t>Exhibit 4.5 of the registration Statement on Form S-8 of the Company filed on November 25, 2020)</w:t>
        </w:r>
      </w:hyperlink>
    </w:p>
    <w:p>
      <w:pPr>
        <w:spacing w:after="0" w:line="1" w:lineRule="exact"/>
        <w:rPr>
          <w:sz w:val="20"/>
          <w:szCs w:val="20"/>
          <w:color w:val="auto"/>
        </w:rPr>
      </w:pPr>
    </w:p>
    <w:p>
      <w:pPr>
        <w:ind w:left="860" w:hanging="854"/>
        <w:spacing w:after="0" w:line="250"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10.13*</w:t>
      </w:r>
      <w:r>
        <w:rPr>
          <w:sz w:val="20"/>
          <w:szCs w:val="20"/>
          <w:color w:val="auto"/>
        </w:rPr>
        <w:tab/>
      </w:r>
      <w:hyperlink r:id="rId174">
        <w:r>
          <w:rPr>
            <w:rFonts w:ascii="Times New Roman" w:cs="Times New Roman" w:eastAsia="Times New Roman" w:hAnsi="Times New Roman"/>
            <w:sz w:val="18"/>
            <w:szCs w:val="18"/>
            <w:u w:val="single" w:color="auto"/>
            <w:color w:val="0000EE"/>
          </w:rPr>
          <w:t>Form of ISO Award Agreement under the Microbot Medical Ltd. 2020 Omnibus Performance Award Plan (incorporated by reference to</w:t>
        </w:r>
      </w:hyperlink>
      <w:r>
        <w:rPr>
          <w:rFonts w:ascii="Times New Roman" w:cs="Times New Roman" w:eastAsia="Times New Roman" w:hAnsi="Times New Roman"/>
          <w:sz w:val="18"/>
          <w:szCs w:val="18"/>
          <w:u w:val="single" w:color="auto"/>
          <w:color w:val="0000EE"/>
        </w:rPr>
        <w:t xml:space="preserve"> </w:t>
      </w:r>
      <w:hyperlink r:id="rId174">
        <w:r>
          <w:rPr>
            <w:rFonts w:ascii="Times New Roman" w:cs="Times New Roman" w:eastAsia="Times New Roman" w:hAnsi="Times New Roman"/>
            <w:sz w:val="18"/>
            <w:szCs w:val="18"/>
            <w:u w:val="single" w:color="auto"/>
            <w:color w:val="0000EE"/>
          </w:rPr>
          <w:t>Exhibit 4.6 of the registration Statement on Form S-8 of the Company filed on November 25, 2020)</w:t>
        </w:r>
      </w:hyperlink>
    </w:p>
    <w:p>
      <w:pPr>
        <w:spacing w:after="0" w:line="1" w:lineRule="exact"/>
        <w:rPr>
          <w:sz w:val="20"/>
          <w:szCs w:val="20"/>
          <w:color w:val="auto"/>
        </w:rPr>
      </w:pPr>
    </w:p>
    <w:p>
      <w:pPr>
        <w:ind w:left="860" w:hanging="854"/>
        <w:spacing w:after="0" w:line="250"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10.14*</w:t>
      </w:r>
      <w:r>
        <w:rPr>
          <w:sz w:val="20"/>
          <w:szCs w:val="20"/>
          <w:color w:val="auto"/>
        </w:rPr>
        <w:tab/>
      </w:r>
      <w:hyperlink r:id="rId175">
        <w:r>
          <w:rPr>
            <w:rFonts w:ascii="Times New Roman" w:cs="Times New Roman" w:eastAsia="Times New Roman" w:hAnsi="Times New Roman"/>
            <w:sz w:val="18"/>
            <w:szCs w:val="18"/>
            <w:u w:val="single" w:color="auto"/>
            <w:color w:val="0000EE"/>
          </w:rPr>
          <w:t>Employment Agreement, as of March 31, 2018, with Simon Sharon (incorporated by reference to Exhibit 10.1 of the Company’s Form 8-K</w:t>
        </w:r>
      </w:hyperlink>
      <w:r>
        <w:rPr>
          <w:rFonts w:ascii="Times New Roman" w:cs="Times New Roman" w:eastAsia="Times New Roman" w:hAnsi="Times New Roman"/>
          <w:sz w:val="18"/>
          <w:szCs w:val="18"/>
          <w:u w:val="single" w:color="auto"/>
          <w:color w:val="0000EE"/>
        </w:rPr>
        <w:t xml:space="preserve"> </w:t>
      </w:r>
      <w:hyperlink r:id="rId175">
        <w:r>
          <w:rPr>
            <w:rFonts w:ascii="Times New Roman" w:cs="Times New Roman" w:eastAsia="Times New Roman" w:hAnsi="Times New Roman"/>
            <w:sz w:val="18"/>
            <w:szCs w:val="18"/>
            <w:u w:val="single" w:color="auto"/>
            <w:color w:val="0000EE"/>
          </w:rPr>
          <w:t>filed on April 7, 2021)</w:t>
        </w:r>
      </w:hyperlink>
    </w:p>
    <w:p>
      <w:pPr>
        <w:spacing w:after="0" w:line="1" w:lineRule="exact"/>
        <w:rPr>
          <w:sz w:val="20"/>
          <w:szCs w:val="20"/>
          <w:color w:val="auto"/>
        </w:rPr>
      </w:pPr>
    </w:p>
    <w:p>
      <w:pPr>
        <w:ind w:left="860" w:hanging="854"/>
        <w:spacing w:after="0" w:line="260"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10.15*</w:t>
      </w:r>
      <w:r>
        <w:rPr>
          <w:sz w:val="20"/>
          <w:szCs w:val="20"/>
          <w:color w:val="auto"/>
        </w:rPr>
        <w:tab/>
      </w:r>
      <w:hyperlink r:id="rId176">
        <w:r>
          <w:rPr>
            <w:rFonts w:ascii="Times New Roman" w:cs="Times New Roman" w:eastAsia="Times New Roman" w:hAnsi="Times New Roman"/>
            <w:sz w:val="18"/>
            <w:szCs w:val="18"/>
            <w:u w:val="single" w:color="auto"/>
            <w:color w:val="0000EE"/>
          </w:rPr>
          <w:t>First Amendment to Employment Agreement, dated as of April 19, 2021, with Simon Sharon (incorporated by reference to Exhibit 10.1 of</w:t>
        </w:r>
      </w:hyperlink>
      <w:r>
        <w:rPr>
          <w:rFonts w:ascii="Times New Roman" w:cs="Times New Roman" w:eastAsia="Times New Roman" w:hAnsi="Times New Roman"/>
          <w:sz w:val="18"/>
          <w:szCs w:val="18"/>
          <w:u w:val="single" w:color="auto"/>
          <w:color w:val="0000EE"/>
        </w:rPr>
        <w:t xml:space="preserve"> </w:t>
      </w:r>
      <w:hyperlink r:id="rId176">
        <w:r>
          <w:rPr>
            <w:rFonts w:ascii="Times New Roman" w:cs="Times New Roman" w:eastAsia="Times New Roman" w:hAnsi="Times New Roman"/>
            <w:sz w:val="18"/>
            <w:szCs w:val="18"/>
            <w:u w:val="single" w:color="auto"/>
            <w:color w:val="0000EE"/>
          </w:rPr>
          <w:t>the Company’s Form 8-K filed on April 22, 2021)</w:t>
        </w:r>
      </w:hyperlink>
    </w:p>
    <w:p>
      <w:pPr>
        <w:spacing w:after="0" w:line="18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560" w:top="688" w:right="339" w:bottom="1440" w:gutter="0" w:footer="0" w:header="0"/>
        </w:sectPr>
      </w:pPr>
    </w:p>
    <w:bookmarkStart w:id="117" w:name="page118"/>
    <w:bookmarkEnd w:id="117"/>
    <w:p>
      <w:pPr>
        <w:jc w:val="both"/>
        <w:ind w:left="1100" w:right="20" w:hanging="809"/>
        <w:spacing w:after="0" w:line="261"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10.16</w:t>
      </w:r>
      <w:r>
        <w:rPr>
          <w:sz w:val="20"/>
          <w:szCs w:val="20"/>
          <w:color w:val="auto"/>
        </w:rPr>
        <w:tab/>
      </w:r>
      <w:hyperlink r:id="rId178">
        <w:r>
          <w:rPr>
            <w:rFonts w:ascii="Times New Roman" w:cs="Times New Roman" w:eastAsia="Times New Roman" w:hAnsi="Times New Roman"/>
            <w:sz w:val="18"/>
            <w:szCs w:val="18"/>
            <w:u w:val="single" w:color="auto"/>
            <w:color w:val="0000EE"/>
          </w:rPr>
          <w:t>At the Market Offering Agreement, dated June 10, 2021, by and between Microbot Medical Inc. and H.C. Wainwright &amp; Co., LLC</w:t>
        </w:r>
      </w:hyperlink>
      <w:r>
        <w:rPr>
          <w:rFonts w:ascii="Times New Roman" w:cs="Times New Roman" w:eastAsia="Times New Roman" w:hAnsi="Times New Roman"/>
          <w:sz w:val="18"/>
          <w:szCs w:val="18"/>
          <w:u w:val="single" w:color="auto"/>
          <w:color w:val="0000EE"/>
        </w:rPr>
        <w:t xml:space="preserve"> </w:t>
      </w:r>
      <w:hyperlink r:id="rId178">
        <w:r>
          <w:rPr>
            <w:rFonts w:ascii="Times New Roman" w:cs="Times New Roman" w:eastAsia="Times New Roman" w:hAnsi="Times New Roman"/>
            <w:sz w:val="18"/>
            <w:szCs w:val="18"/>
            <w:u w:val="single" w:color="auto"/>
            <w:color w:val="0000EE"/>
          </w:rPr>
          <w:t>(incorporated by reference to Exhibit 10.1 of the Company’s Form 8-K filed on June 10, 2021)</w:t>
        </w:r>
      </w:hyperlink>
    </w:p>
    <w:p>
      <w:pPr>
        <w:ind w:left="1100" w:right="20" w:hanging="89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10.17**</w:t>
      </w:r>
      <w:r>
        <w:rPr>
          <w:sz w:val="20"/>
          <w:szCs w:val="20"/>
          <w:color w:val="auto"/>
        </w:rPr>
        <w:tab/>
      </w:r>
      <w:hyperlink r:id="rId179">
        <w:r>
          <w:rPr>
            <w:rFonts w:ascii="Times New Roman" w:cs="Times New Roman" w:eastAsia="Times New Roman" w:hAnsi="Times New Roman"/>
            <w:sz w:val="18"/>
            <w:szCs w:val="18"/>
            <w:u w:val="single" w:color="auto"/>
            <w:color w:val="0000EE"/>
          </w:rPr>
          <w:t>Strategic Collaboration Agreement for Technology Co-Development with Stryker Corporation, acting through its Neurovascular Division</w:t>
        </w:r>
      </w:hyperlink>
      <w:r>
        <w:rPr>
          <w:rFonts w:ascii="Times New Roman" w:cs="Times New Roman" w:eastAsia="Times New Roman" w:hAnsi="Times New Roman"/>
          <w:sz w:val="18"/>
          <w:szCs w:val="18"/>
          <w:u w:val="single" w:color="auto"/>
          <w:color w:val="0000EE"/>
        </w:rPr>
        <w:t xml:space="preserve"> </w:t>
      </w:r>
      <w:hyperlink r:id="rId179">
        <w:r>
          <w:rPr>
            <w:rFonts w:ascii="Times New Roman" w:cs="Times New Roman" w:eastAsia="Times New Roman" w:hAnsi="Times New Roman"/>
            <w:sz w:val="18"/>
            <w:szCs w:val="18"/>
            <w:u w:val="single" w:color="auto"/>
            <w:color w:val="0000EE"/>
          </w:rPr>
          <w:t>(incorporated by reference to Exhibit 10.1 of the Company’s Form 8-K filed on December 27, 2021)</w:t>
        </w:r>
      </w:hyperlink>
    </w:p>
    <w:p>
      <w:pPr>
        <w:spacing w:after="0" w:line="1" w:lineRule="exact"/>
        <w:rPr>
          <w:sz w:val="20"/>
          <w:szCs w:val="20"/>
          <w:color w:val="auto"/>
        </w:rPr>
      </w:pPr>
    </w:p>
    <w:p>
      <w:pPr>
        <w:ind w:left="300"/>
        <w:spacing w:after="0"/>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10.18</w:t>
      </w:r>
      <w:r>
        <w:rPr>
          <w:sz w:val="20"/>
          <w:szCs w:val="20"/>
          <w:color w:val="auto"/>
        </w:rPr>
        <w:tab/>
      </w:r>
      <w:hyperlink r:id="rId180">
        <w:r>
          <w:rPr>
            <w:rFonts w:ascii="Times New Roman" w:cs="Times New Roman" w:eastAsia="Times New Roman" w:hAnsi="Times New Roman"/>
            <w:sz w:val="18"/>
            <w:szCs w:val="18"/>
            <w:u w:val="single" w:color="auto"/>
            <w:color w:val="0000EE"/>
          </w:rPr>
          <w:t>Asset Purchase Agreement with Nitiloop, Ltd. dated October 6, 2022 (incorporated by reference to the Registrant’s Current Report on Form</w:t>
        </w:r>
      </w:hyperlink>
    </w:p>
    <w:p>
      <w:pPr>
        <w:spacing w:after="0" w:line="9" w:lineRule="exact"/>
        <w:rPr>
          <w:sz w:val="20"/>
          <w:szCs w:val="20"/>
          <w:color w:val="auto"/>
        </w:rPr>
      </w:pPr>
    </w:p>
    <w:p>
      <w:pPr>
        <w:ind w:left="1100"/>
        <w:spacing w:after="0"/>
        <w:rPr>
          <w:rFonts w:ascii="Times New Roman" w:cs="Times New Roman" w:eastAsia="Times New Roman" w:hAnsi="Times New Roman"/>
          <w:sz w:val="18"/>
          <w:szCs w:val="18"/>
          <w:u w:val="single" w:color="auto"/>
          <w:color w:val="0000EE"/>
        </w:rPr>
      </w:pPr>
      <w:hyperlink r:id="rId180">
        <w:r>
          <w:rPr>
            <w:rFonts w:ascii="Times New Roman" w:cs="Times New Roman" w:eastAsia="Times New Roman" w:hAnsi="Times New Roman"/>
            <w:sz w:val="18"/>
            <w:szCs w:val="18"/>
            <w:u w:val="single" w:color="auto"/>
            <w:color w:val="0000EE"/>
          </w:rPr>
          <w:t>8-K filed on October 7, 2022)</w:t>
        </w:r>
      </w:hyperlink>
    </w:p>
    <w:p>
      <w:pPr>
        <w:spacing w:after="0" w:line="9" w:lineRule="exact"/>
        <w:rPr>
          <w:sz w:val="20"/>
          <w:szCs w:val="20"/>
          <w:color w:val="auto"/>
        </w:rPr>
      </w:pPr>
    </w:p>
    <w:p>
      <w:pPr>
        <w:ind w:left="240"/>
        <w:spacing w:after="0"/>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10.19*</w:t>
      </w:r>
      <w:r>
        <w:rPr>
          <w:sz w:val="20"/>
          <w:szCs w:val="20"/>
          <w:color w:val="auto"/>
        </w:rPr>
        <w:tab/>
      </w:r>
      <w:hyperlink r:id="rId181">
        <w:r>
          <w:rPr>
            <w:rFonts w:ascii="Times New Roman" w:cs="Times New Roman" w:eastAsia="Times New Roman" w:hAnsi="Times New Roman"/>
            <w:sz w:val="18"/>
            <w:szCs w:val="18"/>
            <w:u w:val="single" w:color="auto"/>
            <w:color w:val="0000EE"/>
          </w:rPr>
          <w:t>Employment Agreement with Rachel Vaknin (incorporated by reference to the Company’s Current Report on Form 8-K filed on April 5,</w:t>
        </w:r>
      </w:hyperlink>
    </w:p>
    <w:p>
      <w:pPr>
        <w:spacing w:after="0" w:line="9" w:lineRule="exact"/>
        <w:rPr>
          <w:sz w:val="20"/>
          <w:szCs w:val="20"/>
          <w:color w:val="auto"/>
        </w:rPr>
      </w:pPr>
    </w:p>
    <w:p>
      <w:pPr>
        <w:ind w:left="1100"/>
        <w:spacing w:after="0"/>
        <w:rPr>
          <w:rFonts w:ascii="Times New Roman" w:cs="Times New Roman" w:eastAsia="Times New Roman" w:hAnsi="Times New Roman"/>
          <w:sz w:val="18"/>
          <w:szCs w:val="18"/>
          <w:u w:val="single" w:color="auto"/>
          <w:color w:val="0000EE"/>
        </w:rPr>
      </w:pPr>
      <w:hyperlink r:id="rId181">
        <w:r>
          <w:rPr>
            <w:rFonts w:ascii="Times New Roman" w:cs="Times New Roman" w:eastAsia="Times New Roman" w:hAnsi="Times New Roman"/>
            <w:sz w:val="18"/>
            <w:szCs w:val="18"/>
            <w:u w:val="single" w:color="auto"/>
            <w:color w:val="0000EE"/>
          </w:rPr>
          <w:t>2022)</w:t>
        </w:r>
      </w:hyperlink>
    </w:p>
    <w:p>
      <w:pPr>
        <w:spacing w:after="0" w:line="9" w:lineRule="exact"/>
        <w:rPr>
          <w:sz w:val="20"/>
          <w:szCs w:val="20"/>
          <w:color w:val="auto"/>
        </w:rPr>
      </w:pPr>
    </w:p>
    <w:p>
      <w:pPr>
        <w:ind w:left="1100" w:hanging="85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10.20*</w:t>
      </w:r>
      <w:r>
        <w:rPr>
          <w:sz w:val="20"/>
          <w:szCs w:val="20"/>
          <w:color w:val="auto"/>
        </w:rPr>
        <w:tab/>
      </w:r>
      <w:hyperlink r:id="rId182">
        <w:r>
          <w:rPr>
            <w:rFonts w:ascii="Times New Roman" w:cs="Times New Roman" w:eastAsia="Times New Roman" w:hAnsi="Times New Roman"/>
            <w:sz w:val="18"/>
            <w:szCs w:val="18"/>
            <w:u w:val="single" w:color="auto"/>
            <w:color w:val="0000EE"/>
          </w:rPr>
          <w:t>Second Amendment to Employment Agreement with Harel Gadot (incorporated by reference to the Company’s Current Report on Form 8-</w:t>
        </w:r>
      </w:hyperlink>
      <w:hyperlink r:id="rId182">
        <w:r>
          <w:rPr>
            <w:rFonts w:ascii="Times New Roman" w:cs="Times New Roman" w:eastAsia="Times New Roman" w:hAnsi="Times New Roman"/>
            <w:sz w:val="18"/>
            <w:szCs w:val="18"/>
            <w:u w:val="single" w:color="auto"/>
            <w:color w:val="0000EE"/>
          </w:rPr>
          <w:t>K filed on February 1, 2022)</w:t>
        </w:r>
      </w:hyperlink>
    </w:p>
    <w:p>
      <w:pPr>
        <w:spacing w:after="0" w:line="1" w:lineRule="exact"/>
        <w:rPr>
          <w:sz w:val="20"/>
          <w:szCs w:val="20"/>
          <w:color w:val="auto"/>
        </w:rPr>
      </w:pPr>
    </w:p>
    <w:p>
      <w:pPr>
        <w:jc w:val="both"/>
        <w:ind w:left="1100" w:right="2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10.21</w:t>
      </w:r>
      <w:r>
        <w:rPr>
          <w:sz w:val="20"/>
          <w:szCs w:val="20"/>
          <w:color w:val="auto"/>
        </w:rPr>
        <w:tab/>
      </w:r>
      <w:hyperlink r:id="rId183">
        <w:r>
          <w:rPr>
            <w:rFonts w:ascii="Times New Roman" w:cs="Times New Roman" w:eastAsia="Times New Roman" w:hAnsi="Times New Roman"/>
            <w:sz w:val="18"/>
            <w:szCs w:val="18"/>
            <w:u w:val="single" w:color="auto"/>
            <w:color w:val="0000EE"/>
          </w:rPr>
          <w:t>Letter Agreements dated March 18, 2021 between Microbot Medical Ltd. and Technion Research and Development Foundation Ltd.</w:t>
        </w:r>
      </w:hyperlink>
      <w:r>
        <w:rPr>
          <w:rFonts w:ascii="Times New Roman" w:cs="Times New Roman" w:eastAsia="Times New Roman" w:hAnsi="Times New Roman"/>
          <w:sz w:val="18"/>
          <w:szCs w:val="18"/>
          <w:u w:val="single" w:color="auto"/>
          <w:color w:val="0000EE"/>
        </w:rPr>
        <w:t xml:space="preserve"> </w:t>
      </w:r>
      <w:hyperlink r:id="rId183">
        <w:r>
          <w:rPr>
            <w:rFonts w:ascii="Times New Roman" w:cs="Times New Roman" w:eastAsia="Times New Roman" w:hAnsi="Times New Roman"/>
            <w:sz w:val="18"/>
            <w:szCs w:val="18"/>
            <w:u w:val="single" w:color="auto"/>
            <w:color w:val="0000EE"/>
          </w:rPr>
          <w:t>(incorporated by reference to the Company’s Annual Report on Form 10-K for the Fiscal Year ended December 31, 2022, filed on March</w:t>
        </w:r>
      </w:hyperlink>
      <w:r>
        <w:rPr>
          <w:rFonts w:ascii="Times New Roman" w:cs="Times New Roman" w:eastAsia="Times New Roman" w:hAnsi="Times New Roman"/>
          <w:sz w:val="18"/>
          <w:szCs w:val="18"/>
          <w:u w:val="single" w:color="auto"/>
          <w:color w:val="0000EE"/>
        </w:rPr>
        <w:t xml:space="preserve"> </w:t>
      </w:r>
      <w:hyperlink r:id="rId183">
        <w:r>
          <w:rPr>
            <w:rFonts w:ascii="Times New Roman" w:cs="Times New Roman" w:eastAsia="Times New Roman" w:hAnsi="Times New Roman"/>
            <w:sz w:val="18"/>
            <w:szCs w:val="18"/>
            <w:u w:val="single" w:color="auto"/>
            <w:color w:val="0000EE"/>
          </w:rPr>
          <w:t>31, 2023)</w:t>
        </w:r>
      </w:hyperlink>
    </w:p>
    <w:p>
      <w:pPr>
        <w:spacing w:after="0" w:line="1" w:lineRule="exact"/>
        <w:rPr>
          <w:rFonts w:ascii="Times New Roman" w:cs="Times New Roman" w:eastAsia="Times New Roman" w:hAnsi="Times New Roman"/>
          <w:sz w:val="18"/>
          <w:szCs w:val="18"/>
          <w:u w:val="single" w:color="auto"/>
          <w:color w:val="0000EE"/>
        </w:rPr>
      </w:pPr>
    </w:p>
    <w:p>
      <w:pPr>
        <w:jc w:val="both"/>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10.22</w:t>
      </w:r>
      <w:r>
        <w:rPr>
          <w:sz w:val="20"/>
          <w:szCs w:val="20"/>
          <w:color w:val="auto"/>
        </w:rPr>
        <w:tab/>
      </w:r>
      <w:hyperlink r:id="rId184">
        <w:r>
          <w:rPr>
            <w:rFonts w:ascii="Times New Roman" w:cs="Times New Roman" w:eastAsia="Times New Roman" w:hAnsi="Times New Roman"/>
            <w:sz w:val="18"/>
            <w:szCs w:val="18"/>
            <w:u w:val="single" w:color="auto"/>
            <w:color w:val="0000EE"/>
          </w:rPr>
          <w:t>Form of Securities Purchase Agreement, dated as of October 21, 2022, by and among Microbot Medical Inc. and the purchaser party thereto</w:t>
        </w:r>
      </w:hyperlink>
      <w:r>
        <w:rPr>
          <w:rFonts w:ascii="Times New Roman" w:cs="Times New Roman" w:eastAsia="Times New Roman" w:hAnsi="Times New Roman"/>
          <w:sz w:val="18"/>
          <w:szCs w:val="18"/>
          <w:u w:val="single" w:color="auto"/>
          <w:color w:val="0000EE"/>
        </w:rPr>
        <w:t xml:space="preserve"> </w:t>
      </w:r>
      <w:hyperlink r:id="rId184">
        <w:r>
          <w:rPr>
            <w:rFonts w:ascii="Times New Roman" w:cs="Times New Roman" w:eastAsia="Times New Roman" w:hAnsi="Times New Roman"/>
            <w:sz w:val="18"/>
            <w:szCs w:val="18"/>
            <w:u w:val="single" w:color="auto"/>
            <w:color w:val="0000EE"/>
          </w:rPr>
          <w:t>(incorporated by reference to the Registrant’s Current Report on Form 8-K filed on October 25, 2022)</w:t>
        </w:r>
      </w:hyperlink>
    </w:p>
    <w:p>
      <w:pPr>
        <w:spacing w:after="0" w:line="1" w:lineRule="exact"/>
        <w:rPr>
          <w:sz w:val="20"/>
          <w:szCs w:val="20"/>
          <w:color w:val="auto"/>
        </w:rPr>
      </w:pPr>
    </w:p>
    <w:p>
      <w:pPr>
        <w:ind w:left="1100" w:hanging="85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10.23*</w:t>
      </w:r>
      <w:r>
        <w:rPr>
          <w:sz w:val="20"/>
          <w:szCs w:val="20"/>
          <w:color w:val="auto"/>
        </w:rPr>
        <w:tab/>
      </w:r>
      <w:hyperlink r:id="rId185">
        <w:r>
          <w:rPr>
            <w:rFonts w:ascii="Times New Roman" w:cs="Times New Roman" w:eastAsia="Times New Roman" w:hAnsi="Times New Roman"/>
            <w:sz w:val="18"/>
            <w:szCs w:val="18"/>
            <w:u w:val="single" w:color="auto"/>
            <w:color w:val="0000EE"/>
          </w:rPr>
          <w:t>Addendum to Employment Agreement with Rachel Vaknin (incorporated by reference to the Company’s Current Report on Form 8-K filed</w:t>
        </w:r>
      </w:hyperlink>
      <w:r>
        <w:rPr>
          <w:rFonts w:ascii="Times New Roman" w:cs="Times New Roman" w:eastAsia="Times New Roman" w:hAnsi="Times New Roman"/>
          <w:sz w:val="18"/>
          <w:szCs w:val="18"/>
          <w:u w:val="single" w:color="auto"/>
          <w:color w:val="0000EE"/>
        </w:rPr>
        <w:t xml:space="preserve"> </w:t>
      </w:r>
      <w:hyperlink r:id="rId185">
        <w:r>
          <w:rPr>
            <w:rFonts w:ascii="Times New Roman" w:cs="Times New Roman" w:eastAsia="Times New Roman" w:hAnsi="Times New Roman"/>
            <w:sz w:val="18"/>
            <w:szCs w:val="18"/>
            <w:u w:val="single" w:color="auto"/>
            <w:color w:val="0000EE"/>
          </w:rPr>
          <w:t>on May 22, 2023)</w:t>
        </w:r>
      </w:hyperlink>
    </w:p>
    <w:p>
      <w:pPr>
        <w:spacing w:after="0" w:line="1" w:lineRule="exact"/>
        <w:rPr>
          <w:sz w:val="20"/>
          <w:szCs w:val="20"/>
          <w:color w:val="auto"/>
        </w:rPr>
      </w:pPr>
    </w:p>
    <w:p>
      <w:pPr>
        <w:ind w:left="1100" w:hanging="85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10.24*</w:t>
      </w:r>
      <w:r>
        <w:rPr>
          <w:sz w:val="20"/>
          <w:szCs w:val="20"/>
          <w:color w:val="auto"/>
        </w:rPr>
        <w:tab/>
      </w:r>
      <w:hyperlink r:id="rId186">
        <w:r>
          <w:rPr>
            <w:rFonts w:ascii="Times New Roman" w:cs="Times New Roman" w:eastAsia="Times New Roman" w:hAnsi="Times New Roman"/>
            <w:sz w:val="18"/>
            <w:szCs w:val="18"/>
            <w:u w:val="single" w:color="auto"/>
            <w:color w:val="0000EE"/>
          </w:rPr>
          <w:t>Addendum to Employment Agreement with Simon Sharon (incorporated by reference to the Company’s Current Report on Form 8-K filed</w:t>
        </w:r>
      </w:hyperlink>
      <w:r>
        <w:rPr>
          <w:rFonts w:ascii="Times New Roman" w:cs="Times New Roman" w:eastAsia="Times New Roman" w:hAnsi="Times New Roman"/>
          <w:sz w:val="18"/>
          <w:szCs w:val="18"/>
          <w:u w:val="single" w:color="auto"/>
          <w:color w:val="0000EE"/>
        </w:rPr>
        <w:t xml:space="preserve"> </w:t>
      </w:r>
      <w:hyperlink r:id="rId186">
        <w:r>
          <w:rPr>
            <w:rFonts w:ascii="Times New Roman" w:cs="Times New Roman" w:eastAsia="Times New Roman" w:hAnsi="Times New Roman"/>
            <w:sz w:val="18"/>
            <w:szCs w:val="18"/>
            <w:u w:val="single" w:color="auto"/>
            <w:color w:val="0000EE"/>
          </w:rPr>
          <w:t>on May 22, 2023)</w:t>
        </w:r>
      </w:hyperlink>
    </w:p>
    <w:p>
      <w:pPr>
        <w:spacing w:after="0" w:line="1" w:lineRule="exact"/>
        <w:rPr>
          <w:sz w:val="20"/>
          <w:szCs w:val="20"/>
          <w:color w:val="auto"/>
        </w:rPr>
      </w:pPr>
    </w:p>
    <w:p>
      <w:pPr>
        <w:ind w:left="1100" w:hanging="85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10.25*</w:t>
      </w:r>
      <w:r>
        <w:rPr>
          <w:sz w:val="20"/>
          <w:szCs w:val="20"/>
          <w:color w:val="auto"/>
        </w:rPr>
        <w:tab/>
      </w:r>
      <w:hyperlink r:id="rId187">
        <w:r>
          <w:rPr>
            <w:rFonts w:ascii="Times New Roman" w:cs="Times New Roman" w:eastAsia="Times New Roman" w:hAnsi="Times New Roman"/>
            <w:sz w:val="18"/>
            <w:szCs w:val="18"/>
            <w:u w:val="single" w:color="auto"/>
            <w:color w:val="0000EE"/>
          </w:rPr>
          <w:t>Addendum to Employment Agreement with Eyal Morag (incorporated by reference to the Company’s Current Report on Form 8-K filed on</w:t>
        </w:r>
      </w:hyperlink>
      <w:r>
        <w:rPr>
          <w:rFonts w:ascii="Times New Roman" w:cs="Times New Roman" w:eastAsia="Times New Roman" w:hAnsi="Times New Roman"/>
          <w:sz w:val="18"/>
          <w:szCs w:val="18"/>
          <w:u w:val="single" w:color="auto"/>
          <w:color w:val="0000EE"/>
        </w:rPr>
        <w:t xml:space="preserve"> </w:t>
      </w:r>
      <w:hyperlink r:id="rId187">
        <w:r>
          <w:rPr>
            <w:rFonts w:ascii="Times New Roman" w:cs="Times New Roman" w:eastAsia="Times New Roman" w:hAnsi="Times New Roman"/>
            <w:sz w:val="18"/>
            <w:szCs w:val="18"/>
            <w:u w:val="single" w:color="auto"/>
            <w:color w:val="0000EE"/>
          </w:rPr>
          <w:t>May 22, 2023)</w:t>
        </w:r>
      </w:hyperlink>
    </w:p>
    <w:p>
      <w:pPr>
        <w:spacing w:after="0" w:line="1" w:lineRule="exact"/>
        <w:rPr>
          <w:sz w:val="20"/>
          <w:szCs w:val="20"/>
          <w:color w:val="auto"/>
        </w:rPr>
      </w:pPr>
    </w:p>
    <w:p>
      <w:pPr>
        <w:ind w:left="1100" w:hanging="85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10.26*</w:t>
      </w:r>
      <w:r>
        <w:rPr>
          <w:sz w:val="20"/>
          <w:szCs w:val="20"/>
          <w:color w:val="auto"/>
        </w:rPr>
        <w:tab/>
      </w:r>
      <w:hyperlink r:id="rId188">
        <w:r>
          <w:rPr>
            <w:rFonts w:ascii="Times New Roman" w:cs="Times New Roman" w:eastAsia="Times New Roman" w:hAnsi="Times New Roman"/>
            <w:sz w:val="18"/>
            <w:szCs w:val="18"/>
            <w:u w:val="single" w:color="auto"/>
            <w:color w:val="0000EE"/>
          </w:rPr>
          <w:t>Addendum to Employment Agreement with Eyal Morag. (incorporated by reference to the Company’s Current Report on Form 8-K filed on</w:t>
        </w:r>
      </w:hyperlink>
      <w:r>
        <w:rPr>
          <w:rFonts w:ascii="Times New Roman" w:cs="Times New Roman" w:eastAsia="Times New Roman" w:hAnsi="Times New Roman"/>
          <w:sz w:val="18"/>
          <w:szCs w:val="18"/>
          <w:u w:val="single" w:color="auto"/>
          <w:color w:val="0000EE"/>
        </w:rPr>
        <w:t xml:space="preserve"> </w:t>
      </w:r>
      <w:hyperlink r:id="rId188">
        <w:r>
          <w:rPr>
            <w:rFonts w:ascii="Times New Roman" w:cs="Times New Roman" w:eastAsia="Times New Roman" w:hAnsi="Times New Roman"/>
            <w:sz w:val="18"/>
            <w:szCs w:val="18"/>
            <w:u w:val="single" w:color="auto"/>
            <w:color w:val="0000EE"/>
          </w:rPr>
          <w:t>May 22, 2023)</w:t>
        </w:r>
      </w:hyperlink>
    </w:p>
    <w:p>
      <w:pPr>
        <w:spacing w:after="0" w:line="1" w:lineRule="exact"/>
        <w:rPr>
          <w:sz w:val="20"/>
          <w:szCs w:val="20"/>
          <w:color w:val="auto"/>
        </w:rPr>
      </w:pPr>
    </w:p>
    <w:p>
      <w:pPr>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10.27</w:t>
      </w:r>
      <w:r>
        <w:rPr>
          <w:sz w:val="20"/>
          <w:szCs w:val="20"/>
          <w:color w:val="auto"/>
        </w:rPr>
        <w:tab/>
      </w:r>
      <w:hyperlink r:id="rId189">
        <w:r>
          <w:rPr>
            <w:rFonts w:ascii="Times New Roman" w:cs="Times New Roman" w:eastAsia="Times New Roman" w:hAnsi="Times New Roman"/>
            <w:sz w:val="18"/>
            <w:szCs w:val="18"/>
            <w:u w:val="single" w:color="auto"/>
            <w:color w:val="0000EE"/>
          </w:rPr>
          <w:t>Form of Securities Purchase Agreement, dated as of May 22, 2023, by and among Microbot Medical Inc. and the purchasers party thereto</w:t>
        </w:r>
      </w:hyperlink>
      <w:r>
        <w:rPr>
          <w:rFonts w:ascii="Times New Roman" w:cs="Times New Roman" w:eastAsia="Times New Roman" w:hAnsi="Times New Roman"/>
          <w:sz w:val="18"/>
          <w:szCs w:val="18"/>
          <w:u w:val="single" w:color="auto"/>
          <w:color w:val="0000EE"/>
        </w:rPr>
        <w:t xml:space="preserve"> </w:t>
      </w:r>
      <w:hyperlink r:id="rId189">
        <w:r>
          <w:rPr>
            <w:rFonts w:ascii="Times New Roman" w:cs="Times New Roman" w:eastAsia="Times New Roman" w:hAnsi="Times New Roman"/>
            <w:sz w:val="18"/>
            <w:szCs w:val="18"/>
            <w:u w:val="single" w:color="auto"/>
            <w:color w:val="0000EE"/>
          </w:rPr>
          <w:t>(incorporated by reference to the Registrant’s Current Report on Form 8-K filed on May 23, 2023)</w:t>
        </w:r>
      </w:hyperlink>
    </w:p>
    <w:p>
      <w:pPr>
        <w:spacing w:after="0" w:line="1" w:lineRule="exact"/>
        <w:rPr>
          <w:sz w:val="20"/>
          <w:szCs w:val="20"/>
          <w:color w:val="auto"/>
        </w:rPr>
      </w:pPr>
    </w:p>
    <w:p>
      <w:pPr>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10.28</w:t>
      </w:r>
      <w:r>
        <w:rPr>
          <w:sz w:val="20"/>
          <w:szCs w:val="20"/>
          <w:color w:val="auto"/>
        </w:rPr>
        <w:tab/>
      </w:r>
      <w:hyperlink r:id="rId190">
        <w:r>
          <w:rPr>
            <w:rFonts w:ascii="Times New Roman" w:cs="Times New Roman" w:eastAsia="Times New Roman" w:hAnsi="Times New Roman"/>
            <w:sz w:val="18"/>
            <w:szCs w:val="18"/>
            <w:u w:val="single" w:color="auto"/>
            <w:color w:val="0000EE"/>
          </w:rPr>
          <w:t>Form of Securities Purchase Agreement, dated as of May 23, 2023, by and among Microbot Medical Inc. and the purchaser party thereto</w:t>
        </w:r>
      </w:hyperlink>
      <w:r>
        <w:rPr>
          <w:rFonts w:ascii="Times New Roman" w:cs="Times New Roman" w:eastAsia="Times New Roman" w:hAnsi="Times New Roman"/>
          <w:sz w:val="18"/>
          <w:szCs w:val="18"/>
          <w:u w:val="single" w:color="auto"/>
          <w:color w:val="0000EE"/>
        </w:rPr>
        <w:t xml:space="preserve"> </w:t>
      </w:r>
      <w:hyperlink r:id="rId190">
        <w:r>
          <w:rPr>
            <w:rFonts w:ascii="Times New Roman" w:cs="Times New Roman" w:eastAsia="Times New Roman" w:hAnsi="Times New Roman"/>
            <w:sz w:val="18"/>
            <w:szCs w:val="18"/>
            <w:u w:val="single" w:color="auto"/>
            <w:color w:val="0000EE"/>
          </w:rPr>
          <w:t>(incorporated by reference to the Registrant’s Current Report on Form 8-K filed on May 24, 2023)</w:t>
        </w:r>
      </w:hyperlink>
    </w:p>
    <w:p>
      <w:pPr>
        <w:spacing w:after="0" w:line="1" w:lineRule="exact"/>
        <w:rPr>
          <w:sz w:val="20"/>
          <w:szCs w:val="20"/>
          <w:color w:val="auto"/>
        </w:rPr>
      </w:pPr>
    </w:p>
    <w:p>
      <w:pPr>
        <w:ind w:left="1100" w:right="2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10.29</w:t>
      </w:r>
      <w:r>
        <w:rPr>
          <w:sz w:val="20"/>
          <w:szCs w:val="20"/>
          <w:color w:val="auto"/>
        </w:rPr>
        <w:tab/>
      </w:r>
      <w:hyperlink r:id="rId191">
        <w:r>
          <w:rPr>
            <w:rFonts w:ascii="Times New Roman" w:cs="Times New Roman" w:eastAsia="Times New Roman" w:hAnsi="Times New Roman"/>
            <w:sz w:val="18"/>
            <w:szCs w:val="18"/>
            <w:u w:val="single" w:color="auto"/>
            <w:color w:val="0000EE"/>
          </w:rPr>
          <w:t>Form of Securities Purchase Agreement, dated as of June 2, 2023, by and among Microbot Medical Inc. and the purchasers party thereto</w:t>
        </w:r>
      </w:hyperlink>
      <w:r>
        <w:rPr>
          <w:rFonts w:ascii="Times New Roman" w:cs="Times New Roman" w:eastAsia="Times New Roman" w:hAnsi="Times New Roman"/>
          <w:sz w:val="18"/>
          <w:szCs w:val="18"/>
          <w:u w:val="single" w:color="auto"/>
          <w:color w:val="0000EE"/>
        </w:rPr>
        <w:t xml:space="preserve"> </w:t>
      </w:r>
      <w:hyperlink r:id="rId191">
        <w:r>
          <w:rPr>
            <w:rFonts w:ascii="Times New Roman" w:cs="Times New Roman" w:eastAsia="Times New Roman" w:hAnsi="Times New Roman"/>
            <w:sz w:val="18"/>
            <w:szCs w:val="18"/>
            <w:u w:val="single" w:color="auto"/>
            <w:color w:val="0000EE"/>
          </w:rPr>
          <w:t>(incorporated by reference to the Registrant’s Current Report on Form 8-K filed on June 6, 2023)</w:t>
        </w:r>
      </w:hyperlink>
    </w:p>
    <w:p>
      <w:pPr>
        <w:spacing w:after="0" w:line="1" w:lineRule="exact"/>
        <w:rPr>
          <w:sz w:val="20"/>
          <w:szCs w:val="20"/>
          <w:color w:val="auto"/>
        </w:rPr>
      </w:pPr>
    </w:p>
    <w:p>
      <w:pPr>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10.30</w:t>
      </w:r>
      <w:r>
        <w:rPr>
          <w:sz w:val="20"/>
          <w:szCs w:val="20"/>
          <w:color w:val="auto"/>
        </w:rPr>
        <w:tab/>
      </w:r>
      <w:hyperlink r:id="rId192">
        <w:r>
          <w:rPr>
            <w:rFonts w:ascii="Times New Roman" w:cs="Times New Roman" w:eastAsia="Times New Roman" w:hAnsi="Times New Roman"/>
            <w:sz w:val="18"/>
            <w:szCs w:val="18"/>
            <w:u w:val="single" w:color="auto"/>
            <w:color w:val="0000EE"/>
          </w:rPr>
          <w:t>Form of Securities Purchase Agreement, dated as of June 26, 2023, by and among Microbot Medical Inc. and the purchasers party thereto</w:t>
        </w:r>
      </w:hyperlink>
      <w:r>
        <w:rPr>
          <w:rFonts w:ascii="Times New Roman" w:cs="Times New Roman" w:eastAsia="Times New Roman" w:hAnsi="Times New Roman"/>
          <w:sz w:val="18"/>
          <w:szCs w:val="18"/>
          <w:u w:val="single" w:color="auto"/>
          <w:color w:val="0000EE"/>
        </w:rPr>
        <w:t xml:space="preserve"> </w:t>
      </w:r>
      <w:hyperlink r:id="rId192">
        <w:r>
          <w:rPr>
            <w:rFonts w:ascii="Times New Roman" w:cs="Times New Roman" w:eastAsia="Times New Roman" w:hAnsi="Times New Roman"/>
            <w:sz w:val="18"/>
            <w:szCs w:val="18"/>
            <w:u w:val="single" w:color="auto"/>
            <w:color w:val="0000EE"/>
          </w:rPr>
          <w:t>(incorporated by reference to the Registrant’s Current Report on Form 8-K filed on June 28, 2023)</w:t>
        </w:r>
      </w:hyperlink>
    </w:p>
    <w:p>
      <w:pPr>
        <w:spacing w:after="0" w:line="1" w:lineRule="exact"/>
        <w:rPr>
          <w:sz w:val="20"/>
          <w:szCs w:val="20"/>
          <w:color w:val="auto"/>
        </w:rPr>
      </w:pPr>
    </w:p>
    <w:p>
      <w:pPr>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10.31</w:t>
      </w:r>
      <w:r>
        <w:rPr>
          <w:sz w:val="20"/>
          <w:szCs w:val="20"/>
          <w:color w:val="auto"/>
        </w:rPr>
        <w:tab/>
      </w:r>
      <w:hyperlink r:id="rId193">
        <w:r>
          <w:rPr>
            <w:rFonts w:ascii="Times New Roman" w:cs="Times New Roman" w:eastAsia="Times New Roman" w:hAnsi="Times New Roman"/>
            <w:sz w:val="18"/>
            <w:szCs w:val="18"/>
            <w:u w:val="single" w:color="auto"/>
            <w:color w:val="0000EE"/>
          </w:rPr>
          <w:t>Employment Agreement with Juan Diaz-Cartelle, MD (incorporated by reference to the Registrant’s Current Report on Form 8-K filed on</w:t>
        </w:r>
      </w:hyperlink>
      <w:r>
        <w:rPr>
          <w:rFonts w:ascii="Times New Roman" w:cs="Times New Roman" w:eastAsia="Times New Roman" w:hAnsi="Times New Roman"/>
          <w:sz w:val="18"/>
          <w:szCs w:val="18"/>
          <w:u w:val="single" w:color="auto"/>
          <w:color w:val="0000EE"/>
        </w:rPr>
        <w:t xml:space="preserve"> </w:t>
      </w:r>
      <w:hyperlink r:id="rId193">
        <w:r>
          <w:rPr>
            <w:rFonts w:ascii="Times New Roman" w:cs="Times New Roman" w:eastAsia="Times New Roman" w:hAnsi="Times New Roman"/>
            <w:sz w:val="18"/>
            <w:szCs w:val="18"/>
            <w:u w:val="single" w:color="auto"/>
            <w:color w:val="0000EE"/>
          </w:rPr>
          <w:t>November 21, 2023)</w:t>
        </w:r>
      </w:hyperlink>
    </w:p>
    <w:p>
      <w:pPr>
        <w:spacing w:after="0" w:line="1" w:lineRule="exact"/>
        <w:rPr>
          <w:sz w:val="20"/>
          <w:szCs w:val="20"/>
          <w:color w:val="auto"/>
        </w:rPr>
      </w:pPr>
    </w:p>
    <w:p>
      <w:pPr>
        <w:ind w:left="300"/>
        <w:spacing w:after="0"/>
        <w:tabs>
          <w:tab w:leader="none" w:pos="10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10.32</w:t>
      </w:r>
      <w:r>
        <w:rPr>
          <w:sz w:val="20"/>
          <w:szCs w:val="20"/>
          <w:color w:val="auto"/>
        </w:rPr>
        <w:tab/>
      </w:r>
      <w:hyperlink r:id="rId194">
        <w:r>
          <w:rPr>
            <w:rFonts w:ascii="Times New Roman" w:cs="Times New Roman" w:eastAsia="Times New Roman" w:hAnsi="Times New Roman"/>
            <w:sz w:val="17"/>
            <w:szCs w:val="17"/>
            <w:u w:val="single" w:color="auto"/>
            <w:color w:val="0000EE"/>
          </w:rPr>
          <w:t>Form of Inducement Letter (incorporated by reference to the Registrant’s Current Report on Form 8-K filed on January 2, 2024)</w:t>
        </w:r>
      </w:hyperlink>
    </w:p>
    <w:p>
      <w:pPr>
        <w:spacing w:after="0" w:line="9" w:lineRule="exact"/>
        <w:rPr>
          <w:sz w:val="20"/>
          <w:szCs w:val="20"/>
          <w:color w:val="auto"/>
        </w:rPr>
      </w:pPr>
    </w:p>
    <w:p>
      <w:pPr>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10.33</w:t>
      </w:r>
      <w:r>
        <w:rPr>
          <w:sz w:val="20"/>
          <w:szCs w:val="20"/>
          <w:color w:val="auto"/>
        </w:rPr>
        <w:tab/>
      </w:r>
      <w:hyperlink r:id="rId195">
        <w:r>
          <w:rPr>
            <w:rFonts w:ascii="Times New Roman" w:cs="Times New Roman" w:eastAsia="Times New Roman" w:hAnsi="Times New Roman"/>
            <w:sz w:val="18"/>
            <w:szCs w:val="18"/>
            <w:u w:val="single" w:color="auto"/>
            <w:color w:val="0000EE"/>
          </w:rPr>
          <w:t>Settlement Agreement and Release dated as of January 26, 2024 (incorporated by reference to the Registrant’s Current Report on Form 8-K</w:t>
        </w:r>
      </w:hyperlink>
      <w:r>
        <w:rPr>
          <w:rFonts w:ascii="Times New Roman" w:cs="Times New Roman" w:eastAsia="Times New Roman" w:hAnsi="Times New Roman"/>
          <w:sz w:val="18"/>
          <w:szCs w:val="18"/>
          <w:u w:val="single" w:color="auto"/>
          <w:color w:val="0000EE"/>
        </w:rPr>
        <w:t xml:space="preserve"> </w:t>
      </w:r>
      <w:hyperlink r:id="rId195">
        <w:r>
          <w:rPr>
            <w:rFonts w:ascii="Times New Roman" w:cs="Times New Roman" w:eastAsia="Times New Roman" w:hAnsi="Times New Roman"/>
            <w:sz w:val="18"/>
            <w:szCs w:val="18"/>
            <w:u w:val="single" w:color="auto"/>
            <w:color w:val="0000EE"/>
          </w:rPr>
          <w:t>filed on January 30, 2024)</w:t>
        </w:r>
      </w:hyperlink>
    </w:p>
    <w:p>
      <w:pPr>
        <w:spacing w:after="0" w:line="1" w:lineRule="exact"/>
        <w:rPr>
          <w:sz w:val="20"/>
          <w:szCs w:val="20"/>
          <w:color w:val="auto"/>
        </w:rPr>
      </w:pPr>
    </w:p>
    <w:p>
      <w:pPr>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10.34</w:t>
      </w:r>
      <w:r>
        <w:rPr>
          <w:sz w:val="20"/>
          <w:szCs w:val="20"/>
          <w:color w:val="auto"/>
        </w:rPr>
        <w:tab/>
      </w:r>
      <w:hyperlink r:id="rId196">
        <w:r>
          <w:rPr>
            <w:rFonts w:ascii="Times New Roman" w:cs="Times New Roman" w:eastAsia="Times New Roman" w:hAnsi="Times New Roman"/>
            <w:sz w:val="18"/>
            <w:szCs w:val="18"/>
            <w:u w:val="single" w:color="auto"/>
            <w:color w:val="0000EE"/>
          </w:rPr>
          <w:t>Registration Rights Agreement dated as of January 26, 2024 (incorporated by reference to the Registrant’s Current Report on Form 8-K filed</w:t>
        </w:r>
      </w:hyperlink>
      <w:r>
        <w:rPr>
          <w:rFonts w:ascii="Times New Roman" w:cs="Times New Roman" w:eastAsia="Times New Roman" w:hAnsi="Times New Roman"/>
          <w:sz w:val="18"/>
          <w:szCs w:val="18"/>
          <w:u w:val="single" w:color="auto"/>
          <w:color w:val="0000EE"/>
        </w:rPr>
        <w:t xml:space="preserve"> </w:t>
      </w:r>
      <w:hyperlink r:id="rId196">
        <w:r>
          <w:rPr>
            <w:rFonts w:ascii="Times New Roman" w:cs="Times New Roman" w:eastAsia="Times New Roman" w:hAnsi="Times New Roman"/>
            <w:sz w:val="18"/>
            <w:szCs w:val="18"/>
            <w:u w:val="single" w:color="auto"/>
            <w:color w:val="0000EE"/>
          </w:rPr>
          <w:t>on January 30, 2024)</w:t>
        </w:r>
      </w:hyperlink>
    </w:p>
    <w:p>
      <w:pPr>
        <w:spacing w:after="0" w:line="1" w:lineRule="exact"/>
        <w:rPr>
          <w:sz w:val="20"/>
          <w:szCs w:val="20"/>
          <w:color w:val="auto"/>
        </w:rPr>
      </w:pPr>
    </w:p>
    <w:p>
      <w:pPr>
        <w:ind w:left="340"/>
        <w:spacing w:after="0"/>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21.1</w:t>
      </w:r>
      <w:r>
        <w:rPr>
          <w:sz w:val="20"/>
          <w:szCs w:val="20"/>
          <w:color w:val="auto"/>
        </w:rPr>
        <w:tab/>
      </w:r>
      <w:hyperlink r:id="rId197">
        <w:r>
          <w:rPr>
            <w:rFonts w:ascii="Times New Roman" w:cs="Times New Roman" w:eastAsia="Times New Roman" w:hAnsi="Times New Roman"/>
            <w:sz w:val="18"/>
            <w:szCs w:val="18"/>
            <w:u w:val="single" w:color="auto"/>
            <w:color w:val="0000EE"/>
          </w:rPr>
          <w:t>Subsidiaries of the Company (incorporated by reference to the Company’s Annual Report on Form 10-K for the fiscal year ended December</w:t>
        </w:r>
      </w:hyperlink>
    </w:p>
    <w:p>
      <w:pPr>
        <w:spacing w:after="0" w:line="9" w:lineRule="exact"/>
        <w:rPr>
          <w:sz w:val="20"/>
          <w:szCs w:val="20"/>
          <w:color w:val="auto"/>
        </w:rPr>
      </w:pPr>
    </w:p>
    <w:p>
      <w:pPr>
        <w:ind w:left="1100"/>
        <w:spacing w:after="0"/>
        <w:rPr>
          <w:rFonts w:ascii="Times New Roman" w:cs="Times New Roman" w:eastAsia="Times New Roman" w:hAnsi="Times New Roman"/>
          <w:sz w:val="18"/>
          <w:szCs w:val="18"/>
          <w:u w:val="single" w:color="auto"/>
          <w:color w:val="0000EE"/>
        </w:rPr>
      </w:pPr>
      <w:hyperlink r:id="rId197">
        <w:r>
          <w:rPr>
            <w:rFonts w:ascii="Times New Roman" w:cs="Times New Roman" w:eastAsia="Times New Roman" w:hAnsi="Times New Roman"/>
            <w:sz w:val="18"/>
            <w:szCs w:val="18"/>
            <w:u w:val="single" w:color="auto"/>
            <w:color w:val="0000EE"/>
          </w:rPr>
          <w:t>31, 2016 and filed on March 21, 2017).</w:t>
        </w:r>
      </w:hyperlink>
    </w:p>
    <w:p>
      <w:pPr>
        <w:spacing w:after="0" w:line="9" w:lineRule="exact"/>
        <w:rPr>
          <w:sz w:val="20"/>
          <w:szCs w:val="20"/>
          <w:color w:val="auto"/>
        </w:rPr>
      </w:pPr>
    </w:p>
    <w:p>
      <w:pPr>
        <w:ind w:left="340"/>
        <w:spacing w:after="0"/>
        <w:tabs>
          <w:tab w:leader="none" w:pos="108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Independent Registered Public Accounting Firm</w:t>
      </w:r>
    </w:p>
    <w:p>
      <w:pPr>
        <w:spacing w:after="0" w:line="9" w:lineRule="exact"/>
        <w:rPr>
          <w:sz w:val="20"/>
          <w:szCs w:val="20"/>
          <w:color w:val="auto"/>
        </w:rPr>
      </w:pPr>
    </w:p>
    <w:p>
      <w:pPr>
        <w:ind w:left="340"/>
        <w:spacing w:after="0"/>
        <w:tabs>
          <w:tab w:leader="none" w:pos="108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u w:val="single" w:color="auto"/>
          <w:color w:val="0000EE"/>
        </w:rPr>
        <w:t>Consent of Ruskin Moscou Faltischek PC (included in Exhibit 5.1)</w:t>
      </w:r>
    </w:p>
    <w:p>
      <w:pPr>
        <w:spacing w:after="0" w:line="9" w:lineRule="exact"/>
        <w:rPr>
          <w:sz w:val="20"/>
          <w:szCs w:val="20"/>
          <w:color w:val="auto"/>
        </w:rPr>
      </w:pPr>
    </w:p>
    <w:p>
      <w:pPr>
        <w:ind w:left="340"/>
        <w:spacing w:after="0"/>
        <w:tabs>
          <w:tab w:leader="none" w:pos="108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8"/>
          <w:szCs w:val="18"/>
          <w:u w:val="single" w:color="auto"/>
          <w:color w:val="0000EE"/>
        </w:rPr>
        <w:t>Power of Attorney (included on signature page)</w:t>
      </w:r>
    </w:p>
    <w:p>
      <w:pPr>
        <w:spacing w:after="0" w:line="9" w:lineRule="exact"/>
        <w:rPr>
          <w:sz w:val="20"/>
          <w:szCs w:val="20"/>
          <w:color w:val="auto"/>
        </w:rPr>
      </w:pPr>
    </w:p>
    <w:p>
      <w:pPr>
        <w:ind w:left="1100" w:hanging="741"/>
        <w:spacing w:after="0"/>
        <w:tabs>
          <w:tab w:leader="none" w:pos="11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Filing Fee Table</w:t>
      </w:r>
    </w:p>
    <w:p>
      <w:pPr>
        <w:spacing w:after="0" w:line="24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Management contract or compensatory plan or arrangement</w:t>
      </w:r>
    </w:p>
    <w:p>
      <w:pPr>
        <w:spacing w:after="0" w:line="27" w:lineRule="exact"/>
        <w:rPr>
          <w:rFonts w:ascii="Times New Roman" w:cs="Times New Roman" w:eastAsia="Times New Roman" w:hAnsi="Times New Roman"/>
          <w:sz w:val="18"/>
          <w:szCs w:val="18"/>
          <w:color w:val="auto"/>
        </w:rPr>
      </w:pPr>
    </w:p>
    <w:p>
      <w:pPr>
        <w:ind w:left="340" w:right="20" w:hanging="332"/>
        <w:spacing w:after="0" w:line="260"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identified information has been excluded from this exhibit because it is both (i)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178308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color w:val="auto"/>
        </w:rPr>
        <w:t>(b) Financial statement schedule.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undersigned registrant hereby undertakes: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To file, during any period in which offers or sales are being made, a post-effective amendment to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0">
                      <a:extLst>
                        <a:ext uri="{28A0092B-C50C-407E-A947-70E740481C1C}"/>
                      </a:extLst>
                    </a:blip>
                    <a:srcRect/>
                    <a:stretch>
                      <a:fillRect/>
                    </a:stretch>
                  </pic:blipFill>
                  <pic:spPr bwMode="auto">
                    <a:xfrm>
                      <a:off x="0" y="0"/>
                      <a:ext cx="7132320" cy="1371600"/>
                    </a:xfrm>
                    <a:prstGeom prst="rect">
                      <a:avLst/>
                    </a:prstGeom>
                    <a:noFill/>
                  </pic:spPr>
                </pic:pic>
              </a:graphicData>
            </a:graphic>
          </wp:anchor>
        </w:drawing>
      </w:r>
    </w:p>
    <w:p>
      <w:pPr>
        <w:spacing w:after="0" w:line="205" w:lineRule="exact"/>
        <w:rPr>
          <w:sz w:val="20"/>
          <w:szCs w:val="20"/>
          <w:color w:val="auto"/>
        </w:rPr>
      </w:pPr>
    </w:p>
    <w:p>
      <w:pPr>
        <w:ind w:left="340" w:hanging="332"/>
        <w:spacing w:after="0"/>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 (the “Act”);</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Provided, however, that paragraphs (a)(1)(i), (a)(1)(ii), and (a)(1)(iii) above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a part of the registration statement.</w:t>
      </w:r>
    </w:p>
    <w:p>
      <w:pPr>
        <w:spacing w:after="0" w:line="180" w:lineRule="exact"/>
        <w:rPr>
          <w:sz w:val="20"/>
          <w:szCs w:val="20"/>
          <w:color w:val="auto"/>
        </w:rPr>
      </w:pPr>
    </w:p>
    <w:p>
      <w:pPr>
        <w:jc w:val="both"/>
        <w:ind w:left="340" w:hanging="332"/>
        <w:spacing w:after="0" w:line="266" w:lineRule="auto"/>
        <w:tabs>
          <w:tab w:leader="none" w:pos="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Act, each such post-effective amendment shall be deemed to be a new registration statement relating to the securities offered 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2" w:lineRule="exact"/>
        <w:rPr>
          <w:sz w:val="20"/>
          <w:szCs w:val="20"/>
          <w:color w:val="auto"/>
        </w:rPr>
      </w:pPr>
    </w:p>
    <w:p>
      <w:pPr>
        <w:jc w:val="both"/>
        <w:ind w:left="340" w:hanging="332"/>
        <w:spacing w:after="0" w:line="255" w:lineRule="auto"/>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a part of the registration statement will, as to a purchaser with a time of contract of sale prior to such first use, superseded or modify any statement that was made in the registration statement or prospectus that was part of the registration statement or made in any such document immediately prior to such date of first use.</w:t>
      </w:r>
    </w:p>
    <w:p>
      <w:pPr>
        <w:spacing w:after="0" w:line="189" w:lineRule="exact"/>
        <w:rPr>
          <w:sz w:val="20"/>
          <w:szCs w:val="20"/>
          <w:color w:val="auto"/>
        </w:rPr>
      </w:pPr>
    </w:p>
    <w:p>
      <w:pPr>
        <w:jc w:val="both"/>
        <w:ind w:left="340" w:hanging="332"/>
        <w:spacing w:after="0" w:line="258"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sz w:val="20"/>
          <w:szCs w:val="20"/>
          <w:color w:val="auto"/>
        </w:rPr>
      </w:pPr>
    </w:p>
    <w:p>
      <w:pPr>
        <w:jc w:val="both"/>
        <w:ind w:left="340" w:hanging="332"/>
        <w:spacing w:after="0" w:line="254" w:lineRule="auto"/>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Act may be permitted to directors, officers and controlling persons of the registrant pursuant to the foregoing provisions, or otherwise, the registrant has been advised that in the opinion of the Securities and Exchange Commission, or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on Form S-1 to be signed on its behalf by the undersigned, thereunto duly authorized in the City of Braintree, Commonwealth of Massachusetts, on February 20, 2024.</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Chief Executive Officer and Chairman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KNOW ALL BY THESE PRESENTS, that each person whose signature appears below constitutes and appoints Harel Gadot and Rachel Vaknin as his or her true and lawful attorneys-in-fact and agents, each with the full power of substitution, for him of her and in his or her name, place or stead, in any and all capacities, to sign any and all amendments to this registration statement (including post-effective amendments), and any subsequent registration statement filed by the registrant pursuant to Rule 462(b) of the Securities Act of 1933, as amended, which relates to this registration statement, and to file the same, with exhibits thereto and other documents in connection therewith, with the SEC,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or his or her substitute or substitutes, may lawfully do or cause to be done by virtue hereof.</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606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7"/>
        </w:trPr>
        <w:tc>
          <w:tcPr>
            <w:tcW w:w="2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80" w:type="dxa"/>
            <w:vAlign w:val="bottom"/>
            <w:shd w:val="clear" w:color="auto" w:fill="000000"/>
          </w:tcPr>
          <w:p>
            <w:pPr>
              <w:spacing w:after="0"/>
              <w:rPr>
                <w:sz w:val="2"/>
                <w:szCs w:val="2"/>
                <w:color w:val="auto"/>
              </w:rPr>
            </w:pPr>
          </w:p>
        </w:tc>
      </w:tr>
      <w:tr>
        <w:trPr>
          <w:trHeight w:val="439"/>
        </w:trPr>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Harel Gadot</w:t>
            </w:r>
          </w:p>
        </w:tc>
        <w:tc>
          <w:tcPr>
            <w:tcW w:w="60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2024</w:t>
            </w:r>
          </w:p>
        </w:tc>
      </w:tr>
      <w:tr>
        <w:trPr>
          <w:trHeight w:val="238"/>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Harel Gadot</w:t>
            </w:r>
          </w:p>
        </w:tc>
        <w:tc>
          <w:tcPr>
            <w:tcW w:w="60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480" w:type="dxa"/>
            <w:vAlign w:val="bottom"/>
          </w:tcPr>
          <w:p>
            <w:pPr>
              <w:spacing w:after="0"/>
              <w:rPr>
                <w:sz w:val="20"/>
                <w:szCs w:val="20"/>
                <w:color w:val="auto"/>
              </w:rPr>
            </w:pPr>
          </w:p>
        </w:tc>
      </w:tr>
      <w:tr>
        <w:trPr>
          <w:trHeight w:val="417"/>
        </w:trPr>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Rachel Vaknin</w:t>
            </w:r>
          </w:p>
        </w:tc>
        <w:tc>
          <w:tcPr>
            <w:tcW w:w="60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Chief Financial Officer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2024</w:t>
            </w:r>
          </w:p>
        </w:tc>
      </w:tr>
      <w:tr>
        <w:trPr>
          <w:trHeight w:val="238"/>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Rachel Vaknin</w:t>
            </w:r>
          </w:p>
        </w:tc>
        <w:tc>
          <w:tcPr>
            <w:tcW w:w="60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480" w:type="dxa"/>
            <w:vAlign w:val="bottom"/>
          </w:tcPr>
          <w:p>
            <w:pPr>
              <w:spacing w:after="0"/>
              <w:rPr>
                <w:sz w:val="20"/>
                <w:szCs w:val="20"/>
                <w:color w:val="auto"/>
              </w:rPr>
            </w:pPr>
          </w:p>
        </w:tc>
      </w:tr>
      <w:tr>
        <w:trPr>
          <w:trHeight w:val="417"/>
        </w:trPr>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Yoseph Bornstein</w:t>
            </w:r>
          </w:p>
        </w:tc>
        <w:tc>
          <w:tcPr>
            <w:tcW w:w="60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2024</w:t>
            </w:r>
          </w:p>
        </w:tc>
      </w:tr>
      <w:tr>
        <w:trPr>
          <w:trHeight w:val="238"/>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Yoseph Bornstein</w:t>
            </w:r>
          </w:p>
        </w:tc>
        <w:tc>
          <w:tcPr>
            <w:tcW w:w="24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417"/>
        </w:trPr>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Prattipati Laxminarain</w:t>
            </w:r>
          </w:p>
        </w:tc>
        <w:tc>
          <w:tcPr>
            <w:tcW w:w="60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2024</w:t>
            </w:r>
          </w:p>
        </w:tc>
      </w:tr>
      <w:tr>
        <w:trPr>
          <w:trHeight w:val="238"/>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Prattipati Laxminarain</w:t>
            </w:r>
          </w:p>
        </w:tc>
        <w:tc>
          <w:tcPr>
            <w:tcW w:w="24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417"/>
        </w:trPr>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Scott Burell</w:t>
            </w:r>
          </w:p>
        </w:tc>
        <w:tc>
          <w:tcPr>
            <w:tcW w:w="60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2024</w:t>
            </w:r>
          </w:p>
        </w:tc>
      </w:tr>
      <w:tr>
        <w:trPr>
          <w:trHeight w:val="238"/>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Scott Burell</w:t>
            </w:r>
          </w:p>
        </w:tc>
        <w:tc>
          <w:tcPr>
            <w:tcW w:w="24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417"/>
        </w:trPr>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Martin Madden</w:t>
            </w:r>
          </w:p>
        </w:tc>
        <w:tc>
          <w:tcPr>
            <w:tcW w:w="60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2024</w:t>
            </w:r>
          </w:p>
        </w:tc>
      </w:tr>
      <w:tr>
        <w:trPr>
          <w:trHeight w:val="238"/>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Martin Madden</w:t>
            </w:r>
          </w:p>
        </w:tc>
        <w:tc>
          <w:tcPr>
            <w:tcW w:w="24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417"/>
        </w:trPr>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Aileen Stockburger</w:t>
            </w:r>
          </w:p>
        </w:tc>
        <w:tc>
          <w:tcPr>
            <w:tcW w:w="60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2024</w:t>
            </w:r>
          </w:p>
        </w:tc>
      </w:tr>
      <w:tr>
        <w:trPr>
          <w:trHeight w:val="238"/>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Aileen Stockburger</w:t>
            </w:r>
          </w:p>
        </w:tc>
        <w:tc>
          <w:tcPr>
            <w:tcW w:w="24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417"/>
        </w:trPr>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Tal Wenderow</w:t>
            </w:r>
          </w:p>
        </w:tc>
        <w:tc>
          <w:tcPr>
            <w:tcW w:w="60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2024</w:t>
            </w:r>
          </w:p>
        </w:tc>
      </w:tr>
      <w:tr>
        <w:trPr>
          <w:trHeight w:val="238"/>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Tal Wenderow</w:t>
            </w:r>
          </w:p>
        </w:tc>
        <w:tc>
          <w:tcPr>
            <w:tcW w:w="24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417"/>
        </w:trPr>
        <w:tc>
          <w:tcPr>
            <w:tcW w:w="2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gridSpan w:val="2"/>
          </w:tcPr>
          <w:p>
            <w:pPr>
              <w:ind w:left="2540"/>
              <w:spacing w:after="0"/>
              <w:rPr>
                <w:sz w:val="20"/>
                <w:szCs w:val="20"/>
                <w:color w:val="auto"/>
              </w:rPr>
            </w:pPr>
            <w:r>
              <w:rPr>
                <w:rFonts w:ascii="Times New Roman" w:cs="Times New Roman" w:eastAsia="Times New Roman" w:hAnsi="Times New Roman"/>
                <w:sz w:val="18"/>
                <w:szCs w:val="18"/>
                <w:color w:val="auto"/>
              </w:rPr>
              <w:t>II-7</w:t>
            </w:r>
          </w:p>
        </w:tc>
        <w:tc>
          <w:tcPr>
            <w:tcW w:w="2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156845</wp:posOffset>
            </wp:positionV>
            <wp:extent cx="3429000" cy="8572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3">
                      <a:extLst>
                        <a:ext uri="{28A0092B-C50C-407E-A947-70E740481C1C}"/>
                      </a:extLst>
                    </a:blip>
                    <a:srcRect/>
                    <a:stretch>
                      <a:fillRect/>
                    </a:stretch>
                  </pic:blipFill>
                  <pic:spPr bwMode="auto">
                    <a:xfrm>
                      <a:off x="0" y="0"/>
                      <a:ext cx="3429000"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February 20,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Microbot Medical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288 Grove Street, Suite 388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Braintree, MA 02184</w:t>
      </w:r>
    </w:p>
    <w:p>
      <w:pPr>
        <w:spacing w:after="0" w:line="207"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Registration Statement on Form S-1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acted as counsel for Microbot Medical Inc. (the “Company”) in connection with the preparation and filing of that certain Registration Statement on Form S-1(the “Registration Statement”) filed with the Securities and Exchange Commission (the “SEC”) under the Securities Act of 1933, as amended, with respect to the registration of the resale of an aggregate of 1,005,965 shares (the “Shares”) of the Company’s common stock, $0.01 par value per share.</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Shares are being registered on behalf of certain entities identified in the Registration Statement. The offering of the Shares will be as set forth in the prospectus contained in the Registration Statement, and as supplemented by one or more supplements to the prospectus (the “Prospectus”).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counsel to the Company, we have examined the originals or copies of such documents, corporate records and other instruments and undertaken such further inquiry as we have deemed necessary or appropriate for purposes of this opinion, including, but not limited to, the Registration Statement, corporate resolutions authorizing the issuance of the Shares and the Certificate of Incorporation and Bylaws of the Company, including amendments thereto. In such examination, we have assumed the following: (a) the authenticity of original documents and the genuineness of all signatures; (b) the legal capacity of all natural persons, the accuracy and completeness of all documents submitted to us; (c) the conformity to the originals of all documents submitted to us as copies; (d) the genuineness of all signatures contained in the records, documents, instruments and certificates we have reviewed; and (e) the truth, accuracy and completeness of the information, representations and warranties contained in the records, documents, instruments and certificates we have reviewed. This opinion letter is given, and all statements herein are made, in the context of the foregoing.</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Based on and subject to the foregoing, we are of the opinion that the Shares are duly and validly authorized, validly issued, fully paid and non-assessable.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information set forth herein is as of the date hereof. We assume no obligation to advise you of changes that may hereafter be brought to our attention. We are members of the Bar of the State of New York. We do not express any opinion concerning the laws of any jurisdiction other than (i) the State of New York, (ii) the Federal laws of the United States and (iii) the Delaware General Corporation Law. Our opinion is based on statutory laws and judicial decisions that are in effect on the date hereof, and we do not opine with respect to any law, regulation, rule or governmental policy that may be enacted or adopted after the date hereof, nor do we assume any responsibility to advise you of future changes in our opinion. We do not express an opinion on any matters other than those expressly set forth in this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color w:val="auto"/>
        </w:rPr>
        <w:t>February 20, 2024</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34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opinion is expressed herein with respect to the qualification of the Shares under the securities or blue sky laws of any state or any foreign jurisdiction.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hereby consent to the use and filing of this opinion as an exhibit to the Registration Statement as filed with the Securities and Exchange Commission and to the reference to our firm under the heading “Legal Matters” in the Prospectus and the Registration Statement. In giving this consent, we do not admit that we are within the category of persons whose consent is required under Section 7 of the Act or the rules and regulations of the Securities and Exchange Commission promulgated thereunder.</w:t>
      </w:r>
    </w:p>
    <w:p>
      <w:pPr>
        <w:spacing w:after="0" w:line="18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Ruskin Moscou Faltischek, P.C.</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RUSKIN MOSCOU FALTISCHEK,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consent to the use in this Registration Statement on Form S-1 of our report dated March 31, 2023, relating to the financial statements of Microbot Medical Inc. We also consent to the reference to us under the heading “Experts” in such Registration Statement.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Brightman Almagor Zohar &amp; Co.</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Brightman Almagor Zohar &amp; Co.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Firm in the Deloitte Global Network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Aviv, Israel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3" w:name="page124"/>
    <w:bookmarkEnd w:id="123"/>
    <w:p>
      <w:pPr>
        <w:ind w:left="10360"/>
        <w:spacing w:after="0"/>
        <w:rPr>
          <w:sz w:val="20"/>
          <w:szCs w:val="20"/>
          <w:color w:val="auto"/>
        </w:rPr>
      </w:pPr>
      <w:r>
        <w:rPr>
          <w:rFonts w:ascii="Times New Roman" w:cs="Times New Roman" w:eastAsia="Times New Roman" w:hAnsi="Times New Roman"/>
          <w:sz w:val="17"/>
          <w:szCs w:val="17"/>
          <w:b w:val="1"/>
          <w:bCs w:val="1"/>
          <w:color w:val="auto"/>
        </w:rPr>
        <w:t>Exhibit 107</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1: Newly Registered and Carry Forward Securities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Fee</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3"/>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rPr>
              <w:t>Calculation</w:t>
            </w: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Rule or</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Carry</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19"/>
                <w:szCs w:val="19"/>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Amount of</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Security Class</w:t>
            </w:r>
          </w:p>
        </w:tc>
        <w:tc>
          <w:tcPr>
            <w:tcW w:w="6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Forward</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60" w:type="dxa"/>
            <w:vAlign w:val="bottom"/>
          </w:tcPr>
          <w:p>
            <w:pPr>
              <w:spacing w:after="0"/>
              <w:rPr>
                <w:sz w:val="18"/>
                <w:szCs w:val="18"/>
                <w:color w:val="auto"/>
              </w:rPr>
            </w:pPr>
          </w:p>
        </w:tc>
        <w:tc>
          <w:tcPr>
            <w:tcW w:w="11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Price Per</w:t>
            </w: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Registration</w:t>
            </w:r>
          </w:p>
        </w:tc>
        <w:tc>
          <w:tcPr>
            <w:tcW w:w="0" w:type="dxa"/>
            <w:vAlign w:val="bottom"/>
          </w:tcPr>
          <w:p>
            <w:pPr>
              <w:spacing w:after="0"/>
              <w:rPr>
                <w:sz w:val="1"/>
                <w:szCs w:val="1"/>
                <w:color w:val="auto"/>
              </w:rPr>
            </w:pPr>
          </w:p>
        </w:tc>
      </w:tr>
      <w:tr>
        <w:trPr>
          <w:trHeight w:val="263"/>
        </w:trPr>
        <w:tc>
          <w:tcPr>
            <w:tcW w:w="148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Security Type</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60" w:type="dxa"/>
            <w:vAlign w:val="bottom"/>
          </w:tcPr>
          <w:p>
            <w:pPr>
              <w:spacing w:after="0"/>
              <w:rPr>
                <w:sz w:val="22"/>
                <w:szCs w:val="22"/>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(1)</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center"/>
              <w:ind w:right="440"/>
              <w:spacing w:after="0" w:line="256" w:lineRule="exact"/>
              <w:rPr>
                <w:sz w:val="20"/>
                <w:szCs w:val="20"/>
                <w:color w:val="auto"/>
              </w:rPr>
            </w:pPr>
            <w:r>
              <w:rPr>
                <w:rFonts w:ascii="Times New Roman" w:cs="Times New Roman" w:eastAsia="Times New Roman" w:hAnsi="Times New Roman"/>
                <w:sz w:val="18"/>
                <w:szCs w:val="18"/>
                <w:b w:val="1"/>
                <w:bCs w:val="1"/>
                <w:color w:val="auto"/>
                <w:w w:val="91"/>
              </w:rPr>
              <w:t>Unit</w:t>
            </w:r>
            <w:r>
              <w:rPr>
                <w:rFonts w:ascii="Times New Roman" w:cs="Times New Roman" w:eastAsia="Times New Roman" w:hAnsi="Times New Roman"/>
                <w:sz w:val="29"/>
                <w:szCs w:val="29"/>
                <w:b w:val="1"/>
                <w:bCs w:val="1"/>
                <w:color w:val="auto"/>
                <w:w w:val="91"/>
                <w:vertAlign w:val="superscript"/>
              </w:rPr>
              <w:t>(2)</w:t>
            </w:r>
          </w:p>
        </w:tc>
        <w:tc>
          <w:tcPr>
            <w:tcW w:w="1160" w:type="dxa"/>
            <w:vAlign w:val="bottom"/>
            <w:gridSpan w:val="2"/>
          </w:tcPr>
          <w:p>
            <w:pPr>
              <w:jc w:val="center"/>
              <w:ind w:right="320"/>
              <w:spacing w:after="0" w:line="256" w:lineRule="exact"/>
              <w:rPr>
                <w:sz w:val="20"/>
                <w:szCs w:val="20"/>
                <w:color w:val="auto"/>
              </w:rPr>
            </w:pPr>
            <w:r>
              <w:rPr>
                <w:rFonts w:ascii="Times New Roman" w:cs="Times New Roman" w:eastAsia="Times New Roman" w:hAnsi="Times New Roman"/>
                <w:sz w:val="18"/>
                <w:szCs w:val="18"/>
                <w:b w:val="1"/>
                <w:bCs w:val="1"/>
                <w:color w:val="auto"/>
                <w:w w:val="89"/>
              </w:rPr>
              <w:t>Price</w:t>
            </w:r>
            <w:r>
              <w:rPr>
                <w:rFonts w:ascii="Times New Roman" w:cs="Times New Roman" w:eastAsia="Times New Roman" w:hAnsi="Times New Roman"/>
                <w:sz w:val="29"/>
                <w:szCs w:val="29"/>
                <w:b w:val="1"/>
                <w:bCs w:val="1"/>
                <w:color w:val="auto"/>
                <w:w w:val="89"/>
                <w:vertAlign w:val="superscript"/>
              </w:rPr>
              <w:t>(1)</w:t>
            </w: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180" w:type="dxa"/>
            <w:vAlign w:val="bottom"/>
          </w:tcPr>
          <w:p>
            <w:pPr>
              <w:spacing w:after="0"/>
              <w:rPr>
                <w:sz w:val="22"/>
                <w:szCs w:val="22"/>
                <w:color w:val="auto"/>
              </w:rPr>
            </w:pPr>
          </w:p>
        </w:tc>
        <w:tc>
          <w:tcPr>
            <w:tcW w:w="880" w:type="dxa"/>
            <w:vAlign w:val="bottom"/>
            <w:gridSpan w:val="2"/>
          </w:tcPr>
          <w:p>
            <w:pPr>
              <w:jc w:val="center"/>
              <w:ind w:right="280"/>
              <w:spacing w:after="0" w:line="256" w:lineRule="exact"/>
              <w:rPr>
                <w:sz w:val="20"/>
                <w:szCs w:val="20"/>
                <w:color w:val="auto"/>
              </w:rPr>
            </w:pPr>
            <w:r>
              <w:rPr>
                <w:rFonts w:ascii="Times New Roman" w:cs="Times New Roman" w:eastAsia="Times New Roman" w:hAnsi="Times New Roman"/>
                <w:sz w:val="18"/>
                <w:szCs w:val="18"/>
                <w:b w:val="1"/>
                <w:bCs w:val="1"/>
                <w:color w:val="auto"/>
                <w:w w:val="88"/>
              </w:rPr>
              <w:t>Fee</w:t>
            </w:r>
            <w:r>
              <w:rPr>
                <w:rFonts w:ascii="Times New Roman" w:cs="Times New Roman" w:eastAsia="Times New Roman" w:hAnsi="Times New Roman"/>
                <w:sz w:val="29"/>
                <w:szCs w:val="29"/>
                <w:b w:val="1"/>
                <w:bCs w:val="1"/>
                <w:color w:val="auto"/>
                <w:w w:val="88"/>
                <w:vertAlign w:val="superscript"/>
              </w:rPr>
              <w:t>(2)</w:t>
            </w:r>
          </w:p>
        </w:tc>
        <w:tc>
          <w:tcPr>
            <w:tcW w:w="0" w:type="dxa"/>
            <w:vAlign w:val="bottom"/>
          </w:tcPr>
          <w:p>
            <w:pPr>
              <w:spacing w:after="0"/>
              <w:rPr>
                <w:sz w:val="1"/>
                <w:szCs w:val="1"/>
                <w:color w:val="auto"/>
              </w:rPr>
            </w:pPr>
          </w:p>
        </w:tc>
      </w:tr>
      <w:tr>
        <w:trPr>
          <w:trHeight w:val="198"/>
        </w:trPr>
        <w:tc>
          <w:tcPr>
            <w:tcW w:w="148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$0.01 par value</w:t>
            </w: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per share</w:t>
            </w:r>
          </w:p>
        </w:tc>
        <w:tc>
          <w:tcPr>
            <w:tcW w:w="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7"/>
              </w:rPr>
              <w:t>457(c)</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1,005,965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1.2132</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5"/>
              </w:rPr>
              <w:t>$ 1,220,437</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.0001476</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180.14</w:t>
            </w:r>
          </w:p>
        </w:tc>
        <w:tc>
          <w:tcPr>
            <w:tcW w:w="0" w:type="dxa"/>
            <w:vAlign w:val="bottom"/>
          </w:tcPr>
          <w:p>
            <w:pPr>
              <w:spacing w:after="0"/>
              <w:rPr>
                <w:sz w:val="1"/>
                <w:szCs w:val="1"/>
                <w:color w:val="auto"/>
              </w:rPr>
            </w:pPr>
          </w:p>
        </w:tc>
      </w:tr>
      <w:tr>
        <w:trPr>
          <w:trHeight w:val="198"/>
        </w:trPr>
        <w:tc>
          <w:tcPr>
            <w:tcW w:w="1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Fees Previously</w:t>
            </w: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Paid</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Carry Forward</w:t>
            </w:r>
          </w:p>
        </w:tc>
        <w:tc>
          <w:tcPr>
            <w:tcW w:w="1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480" w:type="dxa"/>
            <w:vAlign w:val="bottom"/>
            <w:shd w:val="clear" w:color="auto" w:fill="CCEEFF"/>
          </w:tcPr>
          <w:p>
            <w:pPr>
              <w:spacing w:after="0"/>
              <w:rPr>
                <w:sz w:val="21"/>
                <w:szCs w:val="21"/>
                <w:color w:val="auto"/>
              </w:rPr>
            </w:pPr>
          </w:p>
        </w:tc>
        <w:tc>
          <w:tcPr>
            <w:tcW w:w="2900" w:type="dxa"/>
            <w:vAlign w:val="bottom"/>
            <w:gridSpan w:val="5"/>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8"/>
              </w:rPr>
              <w:t>Total Offering Amounts</w:t>
            </w:r>
          </w:p>
        </w:tc>
        <w:tc>
          <w:tcPr>
            <w:tcW w:w="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5"/>
              </w:rPr>
              <w:t>$ 1,220,437</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.0001476</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180.14</w:t>
            </w:r>
          </w:p>
        </w:tc>
        <w:tc>
          <w:tcPr>
            <w:tcW w:w="0" w:type="dxa"/>
            <w:vAlign w:val="bottom"/>
          </w:tcPr>
          <w:p>
            <w:pPr>
              <w:spacing w:after="0"/>
              <w:rPr>
                <w:sz w:val="1"/>
                <w:szCs w:val="1"/>
                <w:color w:val="auto"/>
              </w:rPr>
            </w:pPr>
          </w:p>
        </w:tc>
      </w:tr>
      <w:tr>
        <w:trPr>
          <w:trHeight w:val="210"/>
        </w:trPr>
        <w:tc>
          <w:tcPr>
            <w:tcW w:w="1480" w:type="dxa"/>
            <w:vAlign w:val="bottom"/>
            <w:tcBorders>
              <w:top w:val="single" w:sz="8" w:color="CCEEFF"/>
              <w:bottom w:val="single" w:sz="8" w:color="CCEEFF"/>
            </w:tcBorders>
          </w:tcPr>
          <w:p>
            <w:pPr>
              <w:spacing w:after="0"/>
              <w:rPr>
                <w:sz w:val="18"/>
                <w:szCs w:val="18"/>
                <w:color w:val="auto"/>
              </w:rPr>
            </w:pPr>
          </w:p>
        </w:tc>
        <w:tc>
          <w:tcPr>
            <w:tcW w:w="1220" w:type="dxa"/>
            <w:vAlign w:val="bottom"/>
            <w:tcBorders>
              <w:top w:val="single" w:sz="8" w:color="CCEEFF"/>
              <w:bottom w:val="single" w:sz="8" w:color="CCEEFF"/>
            </w:tcBorders>
          </w:tcPr>
          <w:p>
            <w:pPr>
              <w:spacing w:after="0"/>
              <w:rPr>
                <w:sz w:val="18"/>
                <w:szCs w:val="18"/>
                <w:color w:val="auto"/>
              </w:rPr>
            </w:pPr>
          </w:p>
        </w:tc>
        <w:tc>
          <w:tcPr>
            <w:tcW w:w="1680" w:type="dxa"/>
            <w:vAlign w:val="bottom"/>
            <w:tcBorders>
              <w:top w:val="single" w:sz="8" w:color="CCEEFF"/>
              <w:bottom w:val="single" w:sz="8" w:color="CCEEFF"/>
            </w:tcBorders>
            <w:gridSpan w:val="4"/>
          </w:tcPr>
          <w:p>
            <w:pPr>
              <w:jc w:val="center"/>
              <w:ind w:right="280"/>
              <w:spacing w:after="0" w:line="203" w:lineRule="exact"/>
              <w:rPr>
                <w:sz w:val="20"/>
                <w:szCs w:val="20"/>
                <w:color w:val="auto"/>
              </w:rPr>
            </w:pPr>
            <w:r>
              <w:rPr>
                <w:rFonts w:ascii="Times New Roman" w:cs="Times New Roman" w:eastAsia="Times New Roman" w:hAnsi="Times New Roman"/>
                <w:sz w:val="18"/>
                <w:szCs w:val="18"/>
                <w:b w:val="1"/>
                <w:bCs w:val="1"/>
                <w:color w:val="auto"/>
                <w:w w:val="97"/>
              </w:rPr>
              <w:t>Total Fee Offsets</w:t>
            </w:r>
          </w:p>
        </w:tc>
        <w:tc>
          <w:tcPr>
            <w:tcW w:w="60" w:type="dxa"/>
            <w:vAlign w:val="bottom"/>
            <w:tcBorders>
              <w:top w:val="single" w:sz="8" w:color="CCEEFF"/>
              <w:bottom w:val="single" w:sz="8" w:color="CCEEFF"/>
            </w:tcBorders>
          </w:tcPr>
          <w:p>
            <w:pPr>
              <w:spacing w:after="0"/>
              <w:rPr>
                <w:sz w:val="18"/>
                <w:szCs w:val="18"/>
                <w:color w:val="auto"/>
              </w:rPr>
            </w:pPr>
          </w:p>
        </w:tc>
        <w:tc>
          <w:tcPr>
            <w:tcW w:w="88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CCEEFF"/>
              <w:bottom w:val="single" w:sz="8" w:color="CCEEFF"/>
            </w:tcBorders>
          </w:tcPr>
          <w:p>
            <w:pPr>
              <w:spacing w:after="0"/>
              <w:rPr>
                <w:sz w:val="18"/>
                <w:szCs w:val="18"/>
                <w:color w:val="auto"/>
              </w:rPr>
            </w:pPr>
          </w:p>
        </w:tc>
        <w:tc>
          <w:tcPr>
            <w:tcW w:w="8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68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CCEEFF"/>
              <w:bottom w:val="single" w:sz="8" w:color="CCEEFF"/>
            </w:tcBorders>
          </w:tcPr>
          <w:p>
            <w:pPr>
              <w:spacing w:after="0"/>
              <w:rPr>
                <w:sz w:val="18"/>
                <w:szCs w:val="18"/>
                <w:color w:val="auto"/>
              </w:rPr>
            </w:pPr>
          </w:p>
        </w:tc>
        <w:tc>
          <w:tcPr>
            <w:tcW w:w="84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CCEEFF"/>
              <w:bottom w:val="single" w:sz="8" w:color="CCEEFF"/>
            </w:tcBorders>
          </w:tcPr>
          <w:p>
            <w:pPr>
              <w:spacing w:after="0"/>
              <w:rPr>
                <w:sz w:val="18"/>
                <w:szCs w:val="18"/>
                <w:color w:val="auto"/>
              </w:rPr>
            </w:pPr>
          </w:p>
        </w:tc>
        <w:tc>
          <w:tcPr>
            <w:tcW w:w="78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4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gridSpan w:val="3"/>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Net Fee Due</w:t>
            </w:r>
          </w:p>
        </w:tc>
        <w:tc>
          <w:tcPr>
            <w:tcW w:w="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261"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this registration statement shall also cover any additional shares of the registrant’s securities that become issuable by reason of any share splits, share dividends or similar transactions.</w:t>
      </w:r>
    </w:p>
    <w:p>
      <w:pPr>
        <w:ind w:left="340" w:hanging="332"/>
        <w:spacing w:after="0" w:line="260"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in accordance with Rules 457(c) solely for purposes of calculating the registration fee, based on the average of the high and low prices of the Registrant’s common stock as reported on the Nasdaq Capital Market on February 14, 2024 ($1.2199 per share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
      <w:numFmt w:val="bullet"/>
      <w:start w:val="1"/>
    </w:lvl>
  </w:abstractNum>
  <w:abstractNum w:abstractNumId="24">
    <w:nsid w:val="2CD89A32"/>
    <w:multiLevelType w:val="hybridMultilevel"/>
    <w:lvl w:ilvl="0">
      <w:lvlJc w:val="left"/>
      <w:lvlText w:val="●"/>
      <w:numFmt w:val="bullet"/>
      <w:start w:val="1"/>
    </w:lvl>
  </w:abstractNum>
  <w:abstractNum w:abstractNumId="25">
    <w:nsid w:val="57E4CCAF"/>
    <w:multiLevelType w:val="hybridMultilevel"/>
    <w:lvl w:ilvl="0">
      <w:lvlJc w:val="left"/>
      <w:lvlText w:val="●"/>
      <w:numFmt w:val="bullet"/>
      <w:start w:val="1"/>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
      <w:numFmt w:val="bullet"/>
      <w:start w:val="1"/>
    </w:lvl>
  </w:abstractNum>
  <w:abstractNum w:abstractNumId="28">
    <w:nsid w:val="542289EC"/>
    <w:multiLevelType w:val="hybridMultilevel"/>
    <w:lvl w:ilvl="0">
      <w:lvlJc w:val="left"/>
      <w:lvlText w:val="●"/>
      <w:numFmt w:val="bullet"/>
      <w:start w:val="1"/>
    </w:lvl>
  </w:abstractNum>
  <w:abstractNum w:abstractNumId="29">
    <w:nsid w:val="6DE91B18"/>
    <w:multiLevelType w:val="hybridMultilevel"/>
    <w:lvl w:ilvl="0">
      <w:lvlJc w:val="left"/>
      <w:lvlText w:val="%1."/>
      <w:numFmt w:val="decimal"/>
      <w:start w:val="1"/>
    </w:lvl>
  </w:abstractNum>
  <w:abstractNum w:abstractNumId="30">
    <w:nsid w:val="38437FDB"/>
    <w:multiLevelType w:val="hybridMultilevel"/>
    <w:lvl w:ilvl="0">
      <w:lvlJc w:val="left"/>
      <w:lvlText w:val="%1."/>
      <w:numFmt w:val="decimal"/>
      <w:start w:val="4"/>
    </w:lvl>
  </w:abstractNum>
  <w:abstractNum w:abstractNumId="31">
    <w:nsid w:val="7644A45C"/>
    <w:multiLevelType w:val="hybridMultilevel"/>
    <w:lvl w:ilvl="0">
      <w:lvlJc w:val="left"/>
      <w:lvlText w:val="●"/>
      <w:numFmt w:val="bullet"/>
      <w:start w:val="1"/>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1)"/>
      <w:numFmt w:val="decimal"/>
      <w:start w:val="1"/>
    </w:lvl>
  </w:abstractNum>
  <w:abstractNum w:abstractNumId="35">
    <w:nsid w:val="749ABB43"/>
    <w:multiLevelType w:val="hybridMultilevel"/>
    <w:lvl w:ilvl="0">
      <w:lvlJc w:val="left"/>
      <w:lvlText w:val="(%1)"/>
      <w:numFmt w:val="decimal"/>
      <w:start w:val="1"/>
    </w:lvl>
  </w:abstractNum>
  <w:abstractNum w:abstractNumId="36">
    <w:nsid w:val="3DC240FB"/>
    <w:multiLevelType w:val="hybridMultilevel"/>
    <w:lvl w:ilvl="0">
      <w:lvlJc w:val="left"/>
      <w:lvlText w:val="(%1)"/>
      <w:numFmt w:val="lowerRoman"/>
      <w:start w:val="2"/>
    </w:lvl>
  </w:abstractNum>
  <w:abstractNum w:abstractNumId="37">
    <w:nsid w:val="1BA026FA"/>
    <w:multiLevelType w:val="hybridMultilevel"/>
    <w:lvl w:ilvl="0">
      <w:lvlJc w:val="left"/>
      <w:lvlText w:val="(%1)"/>
      <w:numFmt w:val="decimal"/>
      <w:start w:val="1"/>
    </w:lvl>
  </w:abstractNum>
  <w:abstractNum w:abstractNumId="38">
    <w:nsid w:val="79A1DEAA"/>
    <w:multiLevelType w:val="hybridMultilevel"/>
    <w:lvl w:ilvl="0">
      <w:lvlJc w:val="left"/>
      <w:lvlText w:val="(%1)"/>
      <w:numFmt w:val="decimal"/>
      <w:start w:val="1"/>
    </w:lvl>
  </w:abstractNum>
  <w:abstractNum w:abstractNumId="39">
    <w:nsid w:val="75C6C33A"/>
    <w:multiLevelType w:val="hybridMultilevel"/>
    <w:lvl w:ilvl="0">
      <w:lvlJc w:val="left"/>
      <w:lvlText w:val="*"/>
      <w:numFmt w:val="bullet"/>
      <w:start w:val="1"/>
    </w:lvl>
  </w:abstractNum>
  <w:abstractNum w:abstractNumId="40">
    <w:nsid w:val="12E685FB"/>
    <w:multiLevelType w:val="hybridMultilevel"/>
    <w:lvl w:ilvl="0">
      <w:lvlJc w:val="left"/>
      <w:lvlText w:val="(%1)"/>
      <w:numFmt w:val="decimal"/>
      <w:start w:val="1"/>
    </w:lvl>
  </w:abstractNum>
  <w:abstractNum w:abstractNumId="41">
    <w:nsid w:val="70C6A529"/>
    <w:multiLevelType w:val="hybridMultilevel"/>
    <w:lvl w:ilvl="0">
      <w:lvlJc w:val="left"/>
      <w:lvlText w:val="*"/>
      <w:numFmt w:val="bullet"/>
      <w:start w:val="1"/>
    </w:lvl>
  </w:abstractNum>
  <w:abstractNum w:abstractNumId="42">
    <w:nsid w:val="520EEDD1"/>
    <w:multiLevelType w:val="hybridMultilevel"/>
    <w:lvl w:ilvl="0">
      <w:lvlJc w:val="left"/>
      <w:lvlText w:val="(%1)"/>
      <w:numFmt w:val="decimal"/>
      <w:start w:val="1"/>
    </w:lvl>
  </w:abstractNum>
  <w:abstractNum w:abstractNumId="43">
    <w:nsid w:val="374A3FE6"/>
    <w:multiLevelType w:val="hybridMultilevel"/>
    <w:lvl w:ilvl="0">
      <w:lvlJc w:val="left"/>
      <w:lvlText w:val="●"/>
      <w:numFmt w:val="bullet"/>
      <w:start w:val="1"/>
    </w:lvl>
  </w:abstractNum>
  <w:abstractNum w:abstractNumId="44">
    <w:nsid w:val="4F4EF005"/>
    <w:multiLevelType w:val="hybridMultilevel"/>
    <w:lvl w:ilvl="0">
      <w:lvlJc w:val="left"/>
      <w:lvlText w:val="●"/>
      <w:numFmt w:val="bullet"/>
      <w:start w:val="1"/>
    </w:lvl>
  </w:abstractNum>
  <w:abstractNum w:abstractNumId="45">
    <w:nsid w:val="23F9C13C"/>
    <w:multiLevelType w:val="hybridMultilevel"/>
    <w:lvl w:ilvl="0">
      <w:lvlJc w:val="left"/>
      <w:lvlText w:val="●"/>
      <w:numFmt w:val="bullet"/>
      <w:start w:val="1"/>
    </w:lvl>
  </w:abstractNum>
  <w:abstractNum w:abstractNumId="46">
    <w:nsid w:val="649BB77C"/>
    <w:multiLevelType w:val="hybridMultilevel"/>
    <w:lvl w:ilvl="0">
      <w:lvlJc w:val="left"/>
      <w:lvlText w:val="●"/>
      <w:numFmt w:val="bullet"/>
      <w:start w:val="1"/>
    </w:lvl>
  </w:abstractNum>
  <w:abstractNum w:abstractNumId="47">
    <w:nsid w:val="275AC794"/>
    <w:multiLevelType w:val="hybridMultilevel"/>
    <w:lvl w:ilvl="0">
      <w:lvlJc w:val="left"/>
      <w:lvlText w:val="●"/>
      <w:numFmt w:val="bullet"/>
      <w:start w:val="1"/>
    </w:lvl>
  </w:abstractNum>
  <w:abstractNum w:abstractNumId="48">
    <w:nsid w:val="39386575"/>
    <w:multiLevelType w:val="hybridMultilevel"/>
    <w:lvl w:ilvl="0">
      <w:lvlJc w:val="left"/>
      <w:lvlText w:val="%1."/>
      <w:numFmt w:val="upperLetter"/>
      <w:start w:val="6"/>
    </w:lvl>
  </w:abstractNum>
  <w:abstractNum w:abstractNumId="49">
    <w:nsid w:val="1CF10FD8"/>
    <w:multiLevelType w:val="hybridMultilevel"/>
    <w:lvl w:ilvl="0">
      <w:lvlJc w:val="left"/>
      <w:lvlText w:val="%1."/>
      <w:numFmt w:val="upperLetter"/>
      <w:start w:val="9"/>
    </w:lvl>
  </w:abstractNum>
  <w:abstractNum w:abstractNumId="50">
    <w:nsid w:val="180115BE"/>
    <w:multiLevelType w:val="hybridMultilevel"/>
    <w:lvl w:ilvl="0">
      <w:lvlJc w:val="left"/>
      <w:lvlText w:val="%1."/>
      <w:numFmt w:val="upperLetter"/>
      <w:start w:val="10"/>
    </w:lvl>
  </w:abstractNum>
  <w:abstractNum w:abstractNumId="51">
    <w:nsid w:val="235BA861"/>
    <w:multiLevelType w:val="hybridMultilevel"/>
    <w:lvl w:ilvl="0">
      <w:lvlJc w:val="left"/>
      <w:lvlText w:val="%1."/>
      <w:numFmt w:val="upperLetter"/>
      <w:start w:val="16"/>
    </w:lvl>
  </w:abstractNum>
  <w:abstractNum w:abstractNumId="52">
    <w:nsid w:val="47398C89"/>
    <w:multiLevelType w:val="hybridMultilevel"/>
    <w:lvl w:ilvl="0">
      <w:lvlJc w:val="left"/>
      <w:lvlText w:val="●"/>
      <w:numFmt w:val="bullet"/>
      <w:start w:val="1"/>
    </w:lvl>
  </w:abstractNum>
  <w:abstractNum w:abstractNumId="53">
    <w:nsid w:val="354FE9F9"/>
    <w:multiLevelType w:val="hybridMultilevel"/>
    <w:lvl w:ilvl="0">
      <w:lvlJc w:val="left"/>
      <w:lvlText w:val="●"/>
      <w:numFmt w:val="bullet"/>
      <w:start w:val="1"/>
    </w:lvl>
  </w:abstractNum>
  <w:abstractNum w:abstractNumId="54">
    <w:nsid w:val="15B5AF5C"/>
    <w:multiLevelType w:val="hybridMultilevel"/>
    <w:lvl w:ilvl="0">
      <w:lvlJc w:val="left"/>
      <w:lvlText w:val="●"/>
      <w:numFmt w:val="bullet"/>
      <w:start w:val="1"/>
    </w:lvl>
  </w:abstractNum>
  <w:abstractNum w:abstractNumId="55">
    <w:nsid w:val="741226BB"/>
    <w:multiLevelType w:val="hybridMultilevel"/>
    <w:lvl w:ilvl="0">
      <w:lvlJc w:val="left"/>
      <w:lvlText w:val="*"/>
      <w:numFmt w:val="bullet"/>
      <w:start w:val="1"/>
    </w:lvl>
  </w:abstractNum>
  <w:abstractNum w:abstractNumId="56">
    <w:nsid w:val="D34B6A8"/>
    <w:multiLevelType w:val="hybridMultilevel"/>
    <w:lvl w:ilvl="0">
      <w:lvlJc w:val="left"/>
      <w:lvlText w:val="*"/>
      <w:numFmt w:val="bullet"/>
      <w:start w:val="1"/>
    </w:lvl>
    <w:lvl w:ilvl="1">
      <w:lvlJc w:val="left"/>
      <w:lvlText w:val="%2"/>
      <w:numFmt w:val="decimal"/>
      <w:start w:val="107"/>
    </w:lvl>
  </w:abstractNum>
  <w:abstractNum w:abstractNumId="57">
    <w:nsid w:val="10233C99"/>
    <w:multiLevelType w:val="hybridMultilevel"/>
    <w:lvl w:ilvl="0">
      <w:lvlJc w:val="left"/>
      <w:lvlText w:val="**"/>
      <w:numFmt w:val="bullet"/>
      <w:start w:val="1"/>
    </w:lvl>
    <w:lvl w:ilvl="1">
      <w:lvlJc w:val="left"/>
      <w:lvlText w:val="%2"/>
      <w:numFmt w:val="decimal"/>
      <w:start w:val="1"/>
    </w:lvl>
  </w:abstractNum>
  <w:abstractNum w:abstractNumId="58">
    <w:nsid w:val="3F6AB60F"/>
    <w:multiLevelType w:val="hybridMultilevel"/>
    <w:lvl w:ilvl="0">
      <w:lvlJc w:val="left"/>
      <w:lvlText w:val="(%1)"/>
      <w:numFmt w:val="lowerRoman"/>
      <w:start w:val="1"/>
    </w:lvl>
  </w:abstractNum>
  <w:abstractNum w:abstractNumId="59">
    <w:nsid w:val="61574095"/>
    <w:multiLevelType w:val="hybridMultilevel"/>
    <w:lvl w:ilvl="0">
      <w:lvlJc w:val="left"/>
      <w:lvlText w:val="(%1)"/>
      <w:numFmt w:val="decimal"/>
      <w:start w:val="2"/>
    </w:lvl>
  </w:abstractNum>
  <w:abstractNum w:abstractNumId="60">
    <w:nsid w:val="7E0C57B1"/>
    <w:multiLevelType w:val="hybridMultilevel"/>
    <w:lvl w:ilvl="0">
      <w:lvlJc w:val="left"/>
      <w:lvlText w:val="(%1)"/>
      <w:numFmt w:val="decimal"/>
      <w:start w:val="5"/>
    </w:lvl>
  </w:abstractNum>
  <w:abstractNum w:abstractNumId="61">
    <w:nsid w:val="77AE35EB"/>
    <w:multiLevelType w:val="hybridMultilevel"/>
    <w:lvl w:ilvl="0">
      <w:lvlJc w:val="left"/>
      <w:lvlText w:val="(%1)"/>
      <w:numFmt w:val="lowerLetter"/>
      <w:start w:val="2"/>
    </w:lvl>
  </w:abstractNum>
  <w:abstractNum w:abstractNumId="62">
    <w:nsid w:val="579BE4F1"/>
    <w:multiLevelType w:val="hybridMultilevel"/>
    <w:lvl w:ilvl="0">
      <w:lvlJc w:val="left"/>
      <w:lvlText w:val="(%1)"/>
      <w:numFmt w:val="lowerLetter"/>
      <w:start w:val="8"/>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54" Type="http://schemas.openxmlformats.org/officeDocument/2006/relationships/image" Target="media/image134.png"/><Relationship Id="rId177" Type="http://schemas.openxmlformats.org/officeDocument/2006/relationships/image" Target="media/image135.png"/><Relationship Id="rId198" Type="http://schemas.openxmlformats.org/officeDocument/2006/relationships/image" Target="media/image136.png"/><Relationship Id="rId199" Type="http://schemas.openxmlformats.org/officeDocument/2006/relationships/image" Target="media/image137.png"/><Relationship Id="rId200" Type="http://schemas.openxmlformats.org/officeDocument/2006/relationships/image" Target="media/image138.png"/><Relationship Id="rId201" Type="http://schemas.openxmlformats.org/officeDocument/2006/relationships/image" Target="media/image139.png"/><Relationship Id="rId202" Type="http://schemas.openxmlformats.org/officeDocument/2006/relationships/image" Target="media/image140.png"/><Relationship Id="rId203" Type="http://schemas.openxmlformats.org/officeDocument/2006/relationships/image" Target="media/image141.jpeg"/><Relationship Id="rId204" Type="http://schemas.openxmlformats.org/officeDocument/2006/relationships/image" Target="media/image142.png"/><Relationship Id="rId205" Type="http://schemas.openxmlformats.org/officeDocument/2006/relationships/image" Target="media/image143.png"/><Relationship Id="rId206" Type="http://schemas.openxmlformats.org/officeDocument/2006/relationships/image" Target="media/image144.png"/><Relationship Id="rId207" Type="http://schemas.openxmlformats.org/officeDocument/2006/relationships/image" Target="media/image145.png"/><Relationship Id="rId141" Type="http://schemas.openxmlformats.org/officeDocument/2006/relationships/hyperlink" Target="https://www.sec.gov/Archives/edgar/data/883975/000119312516682077/d161430dex21.htm" TargetMode="External"/><Relationship Id="rId142" Type="http://schemas.openxmlformats.org/officeDocument/2006/relationships/hyperlink" Target="https://www.sec.gov/Archives/edgar/data/883975/000095013407005808/f27726exv3w1.htm" TargetMode="External"/><Relationship Id="rId143" Type="http://schemas.openxmlformats.org/officeDocument/2006/relationships/hyperlink" Target="https://www.sec.gov/Archives/edgar/data/883975/000119312516779597/d296933dex31.htm" TargetMode="External"/><Relationship Id="rId144" Type="http://schemas.openxmlformats.org/officeDocument/2006/relationships/hyperlink" Target="https://www.sec.gov/Archives/edgar/data/883975/000149315218012872/ex3-1.htm" TargetMode="External"/><Relationship Id="rId145" Type="http://schemas.openxmlformats.org/officeDocument/2006/relationships/hyperlink" Target="https://www.sec.gov/Archives/edgar/data/883975/000129993316002374/exhibit1.htm" TargetMode="External"/><Relationship Id="rId146" Type="http://schemas.openxmlformats.org/officeDocument/2006/relationships/hyperlink" Target="https://www.sec.gov/Archives/edgar/data/883975/000149315218017395/ex3-1.htm" TargetMode="External"/><Relationship Id="rId147" Type="http://schemas.openxmlformats.org/officeDocument/2006/relationships/hyperlink" Target="https://www.sec.gov/Archives/edgar/data/883975/000149315219013998/ex3-1.htm" TargetMode="External"/><Relationship Id="rId148" Type="http://schemas.openxmlformats.org/officeDocument/2006/relationships/hyperlink" Target="https://www.sec.gov/Archives/edgar/data/883975/000149315221010347/ex3-1.htm" TargetMode="External"/><Relationship Id="rId149" Type="http://schemas.openxmlformats.org/officeDocument/2006/relationships/hyperlink" Target="https://www.sec.gov/Archives/edgar/data/883975/000149315220006338/ex4-10.htm" TargetMode="External"/><Relationship Id="rId150" Type="http://schemas.openxmlformats.org/officeDocument/2006/relationships/hyperlink" Target="https://www.sec.gov/Archives/edgar/data/883975/000149315222029541/ex4-2.htm" TargetMode="External"/><Relationship Id="rId151" Type="http://schemas.openxmlformats.org/officeDocument/2006/relationships/hyperlink" Target="https://www.sec.gov/Archives/edgar/data/883975/000149315222029541/ex4-4.htm" TargetMode="External"/><Relationship Id="rId152" Type="http://schemas.openxmlformats.org/officeDocument/2006/relationships/hyperlink" Target="https://www.sec.gov/Archives/edgar/data/883975/000149315223018718/ex4-1.htm" TargetMode="External"/><Relationship Id="rId153" Type="http://schemas.openxmlformats.org/officeDocument/2006/relationships/hyperlink" Target="https://www.sec.gov/Archives/edgar/data/883975/000149315223018932/ex4-2.htm" TargetMode="External"/><Relationship Id="rId155" Type="http://schemas.openxmlformats.org/officeDocument/2006/relationships/hyperlink" Target="https://www.sec.gov/Archives/edgar/data/883975/000149315223018932/ex10-2.htm" TargetMode="External"/><Relationship Id="rId156" Type="http://schemas.openxmlformats.org/officeDocument/2006/relationships/hyperlink" Target="https://www.sec.gov/Archives/edgar/data/883975/000149315223020309/ex4-1.htm" TargetMode="External"/><Relationship Id="rId157" Type="http://schemas.openxmlformats.org/officeDocument/2006/relationships/hyperlink" Target="https://www.sec.gov/Archives/edgar/data/883975/000149315223020309/ex4-2.htm" TargetMode="External"/><Relationship Id="rId158" Type="http://schemas.openxmlformats.org/officeDocument/2006/relationships/hyperlink" Target="https://www.sec.gov/Archives/edgar/data/883975/000149315223022814/ex4-1.htm" TargetMode="External"/><Relationship Id="rId159" Type="http://schemas.openxmlformats.org/officeDocument/2006/relationships/hyperlink" Target="https://www.sec.gov/Archives/edgar/data/883975/000149315223022814/ex4-2.htm" TargetMode="External"/><Relationship Id="rId160" Type="http://schemas.openxmlformats.org/officeDocument/2006/relationships/hyperlink" Target="https://www.sec.gov/Archives/edgar/data/883975/000149315224000109/ex4-1.htm" TargetMode="External"/><Relationship Id="rId161" Type="http://schemas.openxmlformats.org/officeDocument/2006/relationships/hyperlink" Target="https://www.sec.gov/Archives/edgar/data/883975/000149315224000109/ex4-2.htm" TargetMode="External"/><Relationship Id="rId162" Type="http://schemas.openxmlformats.org/officeDocument/2006/relationships/hyperlink" Target="https://www.sec.gov/Archives/edgar/data/883975/000119312516779729/d296933dex104.htm" TargetMode="External"/><Relationship Id="rId163" Type="http://schemas.openxmlformats.org/officeDocument/2006/relationships/hyperlink" Target="https://www.sec.gov/Archives/edgar/data/883975/000119312516779729/d296933dex105.htm" TargetMode="External"/><Relationship Id="rId164" Type="http://schemas.openxmlformats.org/officeDocument/2006/relationships/hyperlink" Target="https://www.sec.gov/Archives/edgar/data/883975/000149315217002678/ex10-14.htm" TargetMode="External"/><Relationship Id="rId165" Type="http://schemas.openxmlformats.org/officeDocument/2006/relationships/hyperlink" Target="https://www.sec.gov/Archives/edgar/data/883975/000149315217013222/ex10-1.htm" TargetMode="External"/><Relationship Id="rId166" Type="http://schemas.openxmlformats.org/officeDocument/2006/relationships/hyperlink" Target="https://www.sec.gov/Archives/edgar/data/883975/000149315218000286/ex10-1.htm" TargetMode="External"/><Relationship Id="rId167" Type="http://schemas.openxmlformats.org/officeDocument/2006/relationships/hyperlink" Target="https://www.sec.gov/Archives/edgar/data/883975/000149315220006338/ex10-9.htm" TargetMode="External"/><Relationship Id="rId168" Type="http://schemas.openxmlformats.org/officeDocument/2006/relationships/hyperlink" Target="https://www.sec.gov/Archives/edgar/data/883975/000149315217008987/def14a.htm" TargetMode="External"/><Relationship Id="rId169" Type="http://schemas.openxmlformats.org/officeDocument/2006/relationships/hyperlink" Target="https://www.sec.gov/Archives/edgar/data/883975/000149315220014354/def14a.htm" TargetMode="External"/><Relationship Id="rId170" Type="http://schemas.openxmlformats.org/officeDocument/2006/relationships/hyperlink" Target="https://www.sec.gov/Archives/edgar/data/883975/000149315220022543/ex4-2.htm" TargetMode="External"/><Relationship Id="rId171" Type="http://schemas.openxmlformats.org/officeDocument/2006/relationships/hyperlink" Target="https://www.sec.gov/Archives/edgar/data/883975/000149315220022543/ex4-3.htm" TargetMode="External"/><Relationship Id="rId172" Type="http://schemas.openxmlformats.org/officeDocument/2006/relationships/hyperlink" Target="https://www.sec.gov/Archives/edgar/data/883975/000149315220022543/ex4-4.htm" TargetMode="External"/><Relationship Id="rId173" Type="http://schemas.openxmlformats.org/officeDocument/2006/relationships/hyperlink" Target="https://www.sec.gov/Archives/edgar/data/883975/000149315220022543/ex4-5.htm" TargetMode="External"/><Relationship Id="rId174" Type="http://schemas.openxmlformats.org/officeDocument/2006/relationships/hyperlink" Target="https://www.sec.gov/Archives/edgar/data/883975/000149315220022543/ex4-6.htm" TargetMode="External"/><Relationship Id="rId175" Type="http://schemas.openxmlformats.org/officeDocument/2006/relationships/hyperlink" Target="https://www.sec.gov/Archives/edgar/data/883975/000149315221008148/ex10-1.htm" TargetMode="External"/><Relationship Id="rId176" Type="http://schemas.openxmlformats.org/officeDocument/2006/relationships/hyperlink" Target="https://www.sec.gov/Archives/edgar/data/883975/000149315221009469/ex10-1.htm" TargetMode="External"/><Relationship Id="rId178" Type="http://schemas.openxmlformats.org/officeDocument/2006/relationships/hyperlink" Target="https://www.sec.gov/Archives/edgar/data/883975/000149315221014052/ex10-1.htm" TargetMode="External"/><Relationship Id="rId179" Type="http://schemas.openxmlformats.org/officeDocument/2006/relationships/hyperlink" Target="https://www.sec.gov/Archives/edgar/data/883975/000149315221032474/ex10-1.htm" TargetMode="External"/><Relationship Id="rId180" Type="http://schemas.openxmlformats.org/officeDocument/2006/relationships/hyperlink" Target="https://www.sec.gov/Archives/edgar/data/883975/000149315222027872/ex10-1.htm" TargetMode="External"/><Relationship Id="rId181" Type="http://schemas.openxmlformats.org/officeDocument/2006/relationships/hyperlink" Target="https://www.sec.gov/Archives/edgar/data/883975/000149315222009272/ex10-1.htm" TargetMode="External"/><Relationship Id="rId182" Type="http://schemas.openxmlformats.org/officeDocument/2006/relationships/hyperlink" Target="https://www.sec.gov/Archives/edgar/data/883975/000149315222002881/ex10-1.htm" TargetMode="External"/><Relationship Id="rId183" Type="http://schemas.openxmlformats.org/officeDocument/2006/relationships/hyperlink" Target="https://www.sec.gov/Archives/edgar/data/883975/000149315223010223/ex10-21.htm" TargetMode="External"/><Relationship Id="rId184" Type="http://schemas.openxmlformats.org/officeDocument/2006/relationships/hyperlink" Target="https://www.sec.gov/Archives/edgar/data/883975/000149315222029541/ex10-1.htm" TargetMode="External"/><Relationship Id="rId185" Type="http://schemas.openxmlformats.org/officeDocument/2006/relationships/hyperlink" Target="https://www.sec.gov/Archives/edgar/data/883975/000149315223018456/ex10-1.htm" TargetMode="External"/><Relationship Id="rId186" Type="http://schemas.openxmlformats.org/officeDocument/2006/relationships/hyperlink" Target="https://www.sec.gov/Archives/edgar/data/883975/000149315223018456/ex10-2.htm" TargetMode="External"/><Relationship Id="rId187" Type="http://schemas.openxmlformats.org/officeDocument/2006/relationships/hyperlink" Target="https://www.sec.gov/Archives/edgar/data/883975/000149315223018456/ex10-3.htm" TargetMode="External"/><Relationship Id="rId188" Type="http://schemas.openxmlformats.org/officeDocument/2006/relationships/hyperlink" Target="https://www.sec.gov/Archives/edgar/data/883975/000149315223018456/ex10-4.htm" TargetMode="External"/><Relationship Id="rId189" Type="http://schemas.openxmlformats.org/officeDocument/2006/relationships/hyperlink" Target="https://www.sec.gov/Archives/edgar/data/883975/000149315223018718/ex10-1.htm" TargetMode="External"/><Relationship Id="rId190" Type="http://schemas.openxmlformats.org/officeDocument/2006/relationships/hyperlink" Target="https://www.sec.gov/Archives/edgar/data/883975/000149315223018932/ex10-1.htm" TargetMode="External"/><Relationship Id="rId191" Type="http://schemas.openxmlformats.org/officeDocument/2006/relationships/hyperlink" Target="https://www.sec.gov/Archives/edgar/data/883975/000149315223020309/ex10-1.htm" TargetMode="External"/><Relationship Id="rId192" Type="http://schemas.openxmlformats.org/officeDocument/2006/relationships/hyperlink" Target="https://www.sec.gov/Archives/edgar/data/883975/000149315223022814/ex10-1.htm" TargetMode="External"/><Relationship Id="rId193" Type="http://schemas.openxmlformats.org/officeDocument/2006/relationships/hyperlink" Target="https://www.sec.gov/Archives/edgar/data/883975/000149315223042204/ex10-1.htm" TargetMode="External"/><Relationship Id="rId194" Type="http://schemas.openxmlformats.org/officeDocument/2006/relationships/hyperlink" Target="https://www.sec.gov/Archives/edgar/data/883975/000149315224000109/ex10-1.htm" TargetMode="External"/><Relationship Id="rId195" Type="http://schemas.openxmlformats.org/officeDocument/2006/relationships/hyperlink" Target="https://www.sec.gov/Archives/edgar/data/883975/000149315224004231/ex10-1.htm" TargetMode="External"/><Relationship Id="rId196" Type="http://schemas.openxmlformats.org/officeDocument/2006/relationships/hyperlink" Target="https://www.sec.gov/Archives/edgar/data/883975/000149315224004231/ex10-2.htm" TargetMode="External"/><Relationship Id="rId197" Type="http://schemas.openxmlformats.org/officeDocument/2006/relationships/hyperlink" Target="https://www.sec.gov/Archives/edgar/data/883975/000149315217002678/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2024-02-20T15:41:17Z</dcterms:created>
  <dcterms:modified xsi:type="dcterms:W3CDTF">2024-02-20T15:41:17Z</dcterms:modified>
</cp:coreProperties>
</file>