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
        <w:spacing w:after="0"/>
        <w:rPr>
          <w:sz w:val="20"/>
          <w:szCs w:val="20"/>
          <w:color w:val="auto"/>
        </w:rPr>
      </w:pPr>
      <w:r>
        <w:rPr>
          <w:rFonts w:ascii="Courier New" w:cs="Courier New" w:eastAsia="Courier New" w:hAnsi="Courier New"/>
          <w:sz w:val="15"/>
          <w:szCs w:val="15"/>
          <w:color w:val="auto"/>
        </w:rPr>
        <w:t>AS FILED WITH THE SECURITIES AND EXCHANGE COMMISSION ON DECEMBER 1, 2000</w:t>
      </w:r>
    </w:p>
    <w:p>
      <w:pPr>
        <w:spacing w:after="0" w:line="346" w:lineRule="exact"/>
        <w:rPr>
          <w:sz w:val="24"/>
          <w:szCs w:val="24"/>
          <w:color w:val="auto"/>
        </w:rPr>
      </w:pPr>
    </w:p>
    <w:p>
      <w:pPr>
        <w:ind w:left="4828"/>
        <w:spacing w:after="0"/>
        <w:rPr>
          <w:sz w:val="20"/>
          <w:szCs w:val="20"/>
          <w:color w:val="auto"/>
        </w:rPr>
      </w:pPr>
      <w:r>
        <w:rPr>
          <w:rFonts w:ascii="Courier New" w:cs="Courier New" w:eastAsia="Courier New" w:hAnsi="Courier New"/>
          <w:sz w:val="15"/>
          <w:szCs w:val="15"/>
          <w:color w:val="auto"/>
        </w:rPr>
        <w:t>REGISTRATION NO. 333-45496</w:t>
      </w:r>
    </w:p>
    <w:p>
      <w:pPr>
        <w:spacing w:after="0" w:line="30"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6"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0"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318"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AMENDMENT NO. 4</w:t>
      </w:r>
    </w:p>
    <w:p>
      <w:pPr>
        <w:spacing w:after="0" w:line="30" w:lineRule="exact"/>
        <w:rPr>
          <w:sz w:val="24"/>
          <w:szCs w:val="24"/>
          <w:color w:val="auto"/>
        </w:rPr>
      </w:pPr>
    </w:p>
    <w:tbl>
      <w:tblPr>
        <w:tblLayout w:type="fixed"/>
        <w:tblInd w:w="188" w:type="dxa"/>
        <w:tblCellMar>
          <w:top w:w="0" w:type="dxa"/>
          <w:left w:w="0" w:type="dxa"/>
          <w:bottom w:w="0" w:type="dxa"/>
          <w:right w:w="0" w:type="dxa"/>
        </w:tblCellMar>
      </w:tblPr>
      <w:tr>
        <w:trPr>
          <w:trHeight w:val="252"/>
        </w:trPr>
        <w:tc>
          <w:tcPr>
            <w:tcW w:w="2580" w:type="dxa"/>
            <w:vAlign w:val="bottom"/>
          </w:tcPr>
          <w:p>
            <w:pPr>
              <w:spacing w:after="0"/>
              <w:rPr>
                <w:sz w:val="21"/>
                <w:szCs w:val="21"/>
                <w:color w:val="auto"/>
              </w:rPr>
            </w:pPr>
          </w:p>
        </w:tc>
        <w:tc>
          <w:tcPr>
            <w:tcW w:w="3540" w:type="dxa"/>
            <w:vAlign w:val="bottom"/>
          </w:tcPr>
          <w:p>
            <w:pPr>
              <w:jc w:val="center"/>
              <w:ind w:right="1845"/>
              <w:spacing w:after="0"/>
              <w:rPr>
                <w:sz w:val="20"/>
                <w:szCs w:val="20"/>
                <w:color w:val="auto"/>
              </w:rPr>
            </w:pPr>
            <w:r>
              <w:rPr>
                <w:rFonts w:ascii="Courier New" w:cs="Courier New" w:eastAsia="Courier New" w:hAnsi="Courier New"/>
                <w:sz w:val="15"/>
                <w:szCs w:val="15"/>
                <w:color w:val="auto"/>
                <w:w w:val="99"/>
              </w:rPr>
              <w:t>TO</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8"/>
        </w:trPr>
        <w:tc>
          <w:tcPr>
            <w:tcW w:w="2580" w:type="dxa"/>
            <w:vAlign w:val="bottom"/>
          </w:tcPr>
          <w:p>
            <w:pPr>
              <w:spacing w:after="0"/>
              <w:rPr>
                <w:sz w:val="24"/>
                <w:szCs w:val="24"/>
                <w:color w:val="auto"/>
              </w:rPr>
            </w:pPr>
          </w:p>
        </w:tc>
        <w:tc>
          <w:tcPr>
            <w:tcW w:w="3540" w:type="dxa"/>
            <w:vAlign w:val="bottom"/>
          </w:tcPr>
          <w:p>
            <w:pPr>
              <w:jc w:val="center"/>
              <w:ind w:right="1845"/>
              <w:spacing w:after="0"/>
              <w:rPr>
                <w:sz w:val="20"/>
                <w:szCs w:val="20"/>
                <w:color w:val="auto"/>
              </w:rPr>
            </w:pPr>
            <w:r>
              <w:rPr>
                <w:rFonts w:ascii="Courier New" w:cs="Courier New" w:eastAsia="Courier New" w:hAnsi="Courier New"/>
                <w:sz w:val="15"/>
                <w:szCs w:val="15"/>
                <w:color w:val="auto"/>
                <w:w w:val="97"/>
              </w:rPr>
              <w:t>FORM S-1</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120" w:type="dxa"/>
            <w:vAlign w:val="bottom"/>
            <w:gridSpan w:val="2"/>
          </w:tcPr>
          <w:p>
            <w:pPr>
              <w:jc w:val="center"/>
              <w:ind w:left="585"/>
              <w:spacing w:after="0"/>
              <w:rPr>
                <w:sz w:val="20"/>
                <w:szCs w:val="20"/>
                <w:color w:val="auto"/>
              </w:rPr>
            </w:pPr>
            <w:r>
              <w:rPr>
                <w:rFonts w:ascii="Courier New" w:cs="Courier New" w:eastAsia="Courier New" w:hAnsi="Courier New"/>
                <w:sz w:val="15"/>
                <w:szCs w:val="15"/>
                <w:color w:val="auto"/>
                <w:w w:val="99"/>
              </w:rPr>
              <w:t>REGISTRATION STATEMENT</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14"/>
                <w:szCs w:val="14"/>
                <w:color w:val="auto"/>
              </w:rPr>
            </w:pPr>
          </w:p>
        </w:tc>
        <w:tc>
          <w:tcPr>
            <w:tcW w:w="3540" w:type="dxa"/>
            <w:vAlign w:val="bottom"/>
          </w:tcPr>
          <w:p>
            <w:pPr>
              <w:jc w:val="center"/>
              <w:ind w:right="1945"/>
              <w:spacing w:after="0"/>
              <w:rPr>
                <w:sz w:val="20"/>
                <w:szCs w:val="20"/>
                <w:color w:val="auto"/>
              </w:rPr>
            </w:pPr>
            <w:r>
              <w:rPr>
                <w:rFonts w:ascii="Courier New" w:cs="Courier New" w:eastAsia="Courier New" w:hAnsi="Courier New"/>
                <w:sz w:val="15"/>
                <w:szCs w:val="15"/>
                <w:color w:val="auto"/>
                <w:w w:val="97"/>
              </w:rPr>
              <w:t>UNDER</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20" w:type="dxa"/>
            <w:vAlign w:val="bottom"/>
            <w:gridSpan w:val="2"/>
          </w:tcPr>
          <w:p>
            <w:pPr>
              <w:jc w:val="center"/>
              <w:ind w:left="585"/>
              <w:spacing w:after="0"/>
              <w:rPr>
                <w:sz w:val="20"/>
                <w:szCs w:val="20"/>
                <w:color w:val="auto"/>
              </w:rPr>
            </w:pPr>
            <w:r>
              <w:rPr>
                <w:rFonts w:ascii="Courier New" w:cs="Courier New" w:eastAsia="Courier New" w:hAnsi="Courier New"/>
                <w:sz w:val="15"/>
                <w:szCs w:val="15"/>
                <w:color w:val="auto"/>
                <w:w w:val="99"/>
              </w:rPr>
              <w:t>THE SECURITIES ACT OF 1933</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120" w:type="dxa"/>
            <w:vAlign w:val="bottom"/>
            <w:gridSpan w:val="2"/>
          </w:tcPr>
          <w:p>
            <w:pPr>
              <w:jc w:val="right"/>
              <w:ind w:right="1585"/>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3540" w:type="dxa"/>
            <w:vAlign w:val="bottom"/>
          </w:tcPr>
          <w:p>
            <w:pPr>
              <w:jc w:val="center"/>
              <w:ind w:right="1925"/>
              <w:spacing w:after="0"/>
              <w:rPr>
                <w:sz w:val="20"/>
                <w:szCs w:val="20"/>
                <w:color w:val="auto"/>
              </w:rPr>
            </w:pPr>
            <w:r>
              <w:rPr>
                <w:rFonts w:ascii="Courier New" w:cs="Courier New" w:eastAsia="Courier New" w:hAnsi="Courier New"/>
                <w:sz w:val="15"/>
                <w:szCs w:val="15"/>
                <w:color w:val="auto"/>
                <w:w w:val="99"/>
              </w:rPr>
              <w:t>STEMCELLS, INC.</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120" w:type="dxa"/>
            <w:vAlign w:val="bottom"/>
            <w:gridSpan w:val="2"/>
          </w:tcPr>
          <w:p>
            <w:pPr>
              <w:jc w:val="center"/>
              <w:ind w:left="585"/>
              <w:spacing w:after="0"/>
              <w:rPr>
                <w:sz w:val="20"/>
                <w:szCs w:val="20"/>
                <w:color w:val="auto"/>
              </w:rPr>
            </w:pPr>
            <w:r>
              <w:rPr>
                <w:rFonts w:ascii="Courier New" w:cs="Courier New" w:eastAsia="Courier New" w:hAnsi="Courier New"/>
                <w:sz w:val="15"/>
                <w:szCs w:val="15"/>
                <w:color w:val="auto"/>
                <w:w w:val="99"/>
              </w:rPr>
              <w:t>(Exact name of registrant as specified in its charter)</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25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DELAWARE</w:t>
            </w:r>
          </w:p>
        </w:tc>
        <w:tc>
          <w:tcPr>
            <w:tcW w:w="3540" w:type="dxa"/>
            <w:vAlign w:val="bottom"/>
            <w:vMerge w:val="restart"/>
          </w:tcPr>
          <w:p>
            <w:pPr>
              <w:jc w:val="right"/>
              <w:ind w:right="1585"/>
              <w:spacing w:after="0"/>
              <w:rPr>
                <w:sz w:val="20"/>
                <w:szCs w:val="20"/>
                <w:color w:val="auto"/>
              </w:rPr>
            </w:pPr>
            <w:r>
              <w:rPr>
                <w:rFonts w:ascii="Courier New" w:cs="Courier New" w:eastAsia="Courier New" w:hAnsi="Courier New"/>
                <w:sz w:val="15"/>
                <w:szCs w:val="15"/>
                <w:color w:val="auto"/>
              </w:rPr>
              <w:t>2836</w:t>
            </w:r>
          </w:p>
        </w:tc>
        <w:tc>
          <w:tcPr>
            <w:tcW w:w="20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94-3078125</w:t>
            </w:r>
          </w:p>
        </w:tc>
        <w:tc>
          <w:tcPr>
            <w:tcW w:w="0" w:type="dxa"/>
            <w:vAlign w:val="bottom"/>
          </w:tcPr>
          <w:p>
            <w:pPr>
              <w:spacing w:after="0"/>
              <w:rPr>
                <w:sz w:val="1"/>
                <w:szCs w:val="1"/>
                <w:color w:val="auto"/>
              </w:rPr>
            </w:pPr>
          </w:p>
        </w:tc>
      </w:tr>
      <w:tr>
        <w:trPr>
          <w:trHeight w:val="172"/>
        </w:trPr>
        <w:tc>
          <w:tcPr>
            <w:tcW w:w="25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(State or other Jurisdiction</w:t>
            </w:r>
          </w:p>
        </w:tc>
        <w:tc>
          <w:tcPr>
            <w:tcW w:w="3540" w:type="dxa"/>
            <w:vAlign w:val="bottom"/>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8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of Incorporation or</w:t>
            </w:r>
          </w:p>
        </w:tc>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(Primary Standard Industrial</w:t>
            </w:r>
          </w:p>
        </w:tc>
        <w:tc>
          <w:tcPr>
            <w:tcW w:w="20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(I.R.S. Employer</w:t>
            </w:r>
          </w:p>
        </w:tc>
        <w:tc>
          <w:tcPr>
            <w:tcW w:w="0" w:type="dxa"/>
            <w:vAlign w:val="bottom"/>
          </w:tcPr>
          <w:p>
            <w:pPr>
              <w:spacing w:after="0"/>
              <w:rPr>
                <w:sz w:val="1"/>
                <w:szCs w:val="1"/>
                <w:color w:val="auto"/>
              </w:rPr>
            </w:pPr>
          </w:p>
        </w:tc>
      </w:tr>
      <w:tr>
        <w:trPr>
          <w:trHeight w:val="252"/>
        </w:trPr>
        <w:tc>
          <w:tcPr>
            <w:tcW w:w="25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Organization)</w:t>
            </w:r>
          </w:p>
        </w:tc>
        <w:tc>
          <w:tcPr>
            <w:tcW w:w="3540" w:type="dxa"/>
            <w:vAlign w:val="bottom"/>
          </w:tcPr>
          <w:p>
            <w:pPr>
              <w:ind w:left="460"/>
              <w:spacing w:after="0"/>
              <w:rPr>
                <w:sz w:val="20"/>
                <w:szCs w:val="20"/>
                <w:color w:val="auto"/>
              </w:rPr>
            </w:pPr>
            <w:r>
              <w:rPr>
                <w:rFonts w:ascii="Courier New" w:cs="Courier New" w:eastAsia="Courier New" w:hAnsi="Courier New"/>
                <w:sz w:val="15"/>
                <w:szCs w:val="15"/>
                <w:color w:val="auto"/>
              </w:rPr>
              <w:t>Classification Code Number)</w:t>
            </w:r>
          </w:p>
        </w:tc>
        <w:tc>
          <w:tcPr>
            <w:tcW w:w="2020" w:type="dxa"/>
            <w:vAlign w:val="bottom"/>
          </w:tcPr>
          <w:p>
            <w:pPr>
              <w:ind w:left="320"/>
              <w:spacing w:after="0"/>
              <w:rPr>
                <w:sz w:val="20"/>
                <w:szCs w:val="20"/>
                <w:color w:val="auto"/>
              </w:rPr>
            </w:pPr>
            <w:r>
              <w:rPr>
                <w:rFonts w:ascii="Courier New" w:cs="Courier New" w:eastAsia="Courier New" w:hAnsi="Courier New"/>
                <w:sz w:val="15"/>
                <w:szCs w:val="15"/>
                <w:color w:val="auto"/>
                <w:w w:val="98"/>
              </w:rPr>
              <w:t>Identification No.)</w:t>
            </w:r>
          </w:p>
        </w:tc>
        <w:tc>
          <w:tcPr>
            <w:tcW w:w="0" w:type="dxa"/>
            <w:vAlign w:val="bottom"/>
          </w:tcPr>
          <w:p>
            <w:pPr>
              <w:spacing w:after="0"/>
              <w:rPr>
                <w:sz w:val="1"/>
                <w:szCs w:val="1"/>
                <w:color w:val="auto"/>
              </w:rPr>
            </w:pPr>
          </w:p>
        </w:tc>
      </w:tr>
    </w:tbl>
    <w:p>
      <w:pPr>
        <w:spacing w:after="0" w:line="264"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525 DEL REY AVENUE, SUITE C</w:t>
      </w:r>
    </w:p>
    <w:p>
      <w:pPr>
        <w:spacing w:after="0" w:line="30"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SUNNYVALE, CA 94085</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(408)731-8670</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IRIS BREST, ESQ.</w:t>
      </w:r>
    </w:p>
    <w:p>
      <w:pPr>
        <w:spacing w:after="0" w:line="30"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525 DEL REY AVENUE, SUITE C</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SUNNYVALE, CA 94085</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(408)731-8670</w:t>
      </w:r>
    </w:p>
    <w:p>
      <w:pPr>
        <w:spacing w:after="0" w:line="2"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of agent for service)</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COPIES TO:</w:t>
      </w:r>
    </w:p>
    <w:p>
      <w:pPr>
        <w:spacing w:after="0" w:line="30"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GEOFFREY B. DAVIS, ESQ.</w:t>
      </w:r>
    </w:p>
    <w:p>
      <w:pPr>
        <w:spacing w:after="0" w:line="2" w:lineRule="exact"/>
        <w:rPr>
          <w:sz w:val="24"/>
          <w:szCs w:val="24"/>
          <w:color w:val="auto"/>
        </w:rPr>
      </w:pPr>
    </w:p>
    <w:p>
      <w:pPr>
        <w:ind w:left="3048"/>
        <w:spacing w:after="0"/>
        <w:rPr>
          <w:sz w:val="20"/>
          <w:szCs w:val="20"/>
          <w:color w:val="auto"/>
        </w:rPr>
      </w:pPr>
      <w:r>
        <w:rPr>
          <w:rFonts w:ascii="Courier New" w:cs="Courier New" w:eastAsia="Courier New" w:hAnsi="Courier New"/>
          <w:sz w:val="15"/>
          <w:szCs w:val="15"/>
          <w:color w:val="auto"/>
        </w:rPr>
        <w:t>Ropes &amp; Gray</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One International Place</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Boston, Massachusetts 02110</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(617) 951-7000</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(617) 951-7050 (fax)</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4"/>
          <w:szCs w:val="24"/>
          <w:color w:val="auto"/>
        </w:rPr>
      </w:pPr>
    </w:p>
    <w:p>
      <w:pPr>
        <w:ind w:left="8" w:right="4660"/>
        <w:spacing w:after="0" w:line="359"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8" w:lineRule="exact"/>
        <w:rPr>
          <w:sz w:val="24"/>
          <w:szCs w:val="24"/>
          <w:color w:val="auto"/>
        </w:rPr>
      </w:pPr>
    </w:p>
    <w:p>
      <w:pPr>
        <w:jc w:val="both"/>
        <w:ind w:left="8" w:right="4300" w:firstLine="358"/>
        <w:spacing w:after="0" w:line="30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/X/</w:t>
      </w:r>
    </w:p>
    <w:p>
      <w:pPr>
        <w:spacing w:after="0" w:line="49" w:lineRule="exact"/>
        <w:rPr>
          <w:sz w:val="24"/>
          <w:szCs w:val="24"/>
          <w:color w:val="auto"/>
        </w:rPr>
      </w:pPr>
    </w:p>
    <w:p>
      <w:pPr>
        <w:ind w:left="8" w:right="4400" w:firstLine="358"/>
        <w:spacing w:after="0" w:line="281"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64" w:lineRule="exact"/>
        <w:rPr>
          <w:sz w:val="24"/>
          <w:szCs w:val="24"/>
          <w:color w:val="auto"/>
        </w:rPr>
      </w:pPr>
    </w:p>
    <w:p>
      <w:pPr>
        <w:jc w:val="both"/>
        <w:ind w:left="8" w:right="4480" w:firstLine="358"/>
        <w:spacing w:after="0" w:line="281"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64" w:lineRule="exact"/>
        <w:rPr>
          <w:sz w:val="24"/>
          <w:szCs w:val="24"/>
          <w:color w:val="auto"/>
        </w:rPr>
      </w:pPr>
    </w:p>
    <w:p>
      <w:pPr>
        <w:jc w:val="both"/>
        <w:ind w:left="8" w:right="4480" w:firstLine="358"/>
        <w:spacing w:after="0" w:line="281"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64" w:lineRule="exact"/>
        <w:rPr>
          <w:sz w:val="24"/>
          <w:szCs w:val="24"/>
          <w:color w:val="auto"/>
        </w:rPr>
      </w:pPr>
    </w:p>
    <w:p>
      <w:pPr>
        <w:ind w:left="8" w:right="4400" w:firstLine="358"/>
        <w:spacing w:after="0" w:line="262"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 w:lineRule="exact"/>
        <w:rPr>
          <w:sz w:val="24"/>
          <w:szCs w:val="24"/>
          <w:color w:val="auto"/>
        </w:rPr>
      </w:pPr>
    </w:p>
    <w:tbl>
      <w:tblPr>
        <w:tblLayout w:type="fixed"/>
        <w:tblInd w:w="528" w:type="dxa"/>
        <w:tblCellMar>
          <w:top w:w="0" w:type="dxa"/>
          <w:left w:w="0" w:type="dxa"/>
          <w:bottom w:w="0" w:type="dxa"/>
          <w:right w:w="0" w:type="dxa"/>
        </w:tblCellMar>
      </w:tblPr>
      <w:tr>
        <w:trPr>
          <w:trHeight w:val="252"/>
        </w:trPr>
        <w:tc>
          <w:tcPr>
            <w:tcW w:w="528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28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CALCULATION OF REGISTRATION FEE</w:t>
            </w:r>
          </w:p>
        </w:tc>
        <w:tc>
          <w:tcPr>
            <w:tcW w:w="2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460" w:type="dxa"/>
            <w:vAlign w:val="bottom"/>
            <w:vMerge w:val="restart"/>
          </w:tcPr>
          <w:p>
            <w:pPr>
              <w:spacing w:after="0"/>
              <w:rPr>
                <w:sz w:val="20"/>
                <w:szCs w:val="20"/>
                <w:color w:val="auto"/>
              </w:rPr>
            </w:pPr>
            <w:r>
              <w:rPr>
                <w:rFonts w:ascii="Courier New" w:cs="Courier New" w:eastAsia="Courier New" w:hAnsi="Courier New"/>
                <w:sz w:val="15"/>
                <w:szCs w:val="15"/>
                <w:color w:val="auto"/>
              </w:rPr>
              <w:t>TITLE OF EACH CLASS OF SECURITIES</w:t>
            </w:r>
          </w:p>
        </w:tc>
        <w:tc>
          <w:tcPr>
            <w:tcW w:w="18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AMOUNT TO BE</w:t>
            </w:r>
          </w:p>
        </w:tc>
        <w:tc>
          <w:tcPr>
            <w:tcW w:w="20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PROPOSED MAXIMUM</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PROPOSED</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MAXIMUM</w:t>
            </w:r>
          </w:p>
        </w:tc>
        <w:tc>
          <w:tcPr>
            <w:tcW w:w="16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AMOUNT OF</w:t>
            </w:r>
          </w:p>
        </w:tc>
        <w:tc>
          <w:tcPr>
            <w:tcW w:w="0" w:type="dxa"/>
            <w:vAlign w:val="bottom"/>
          </w:tcPr>
          <w:p>
            <w:pPr>
              <w:spacing w:after="0"/>
              <w:rPr>
                <w:sz w:val="1"/>
                <w:szCs w:val="1"/>
                <w:color w:val="auto"/>
              </w:rPr>
            </w:pPr>
          </w:p>
        </w:tc>
      </w:tr>
      <w:tr>
        <w:trPr>
          <w:trHeight w:val="172"/>
        </w:trPr>
        <w:tc>
          <w:tcPr>
            <w:tcW w:w="346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20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OFFERING PRICE PER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AGGREGATE</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OFFERING</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460" w:type="dxa"/>
            <w:vAlign w:val="bottom"/>
          </w:tcPr>
          <w:p>
            <w:pPr>
              <w:ind w:left="720"/>
              <w:spacing w:after="0"/>
              <w:rPr>
                <w:sz w:val="20"/>
                <w:szCs w:val="20"/>
                <w:color w:val="auto"/>
              </w:rPr>
            </w:pPr>
            <w:r>
              <w:rPr>
                <w:rFonts w:ascii="Courier New" w:cs="Courier New" w:eastAsia="Courier New" w:hAnsi="Courier New"/>
                <w:sz w:val="15"/>
                <w:szCs w:val="15"/>
                <w:color w:val="auto"/>
              </w:rPr>
              <w:t>TO BE REGISTERED</w:t>
            </w:r>
          </w:p>
        </w:tc>
        <w:tc>
          <w:tcPr>
            <w:tcW w:w="1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REGISTERED</w:t>
            </w:r>
          </w:p>
        </w:tc>
        <w:tc>
          <w:tcPr>
            <w:tcW w:w="20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SHARE(1)</w:t>
            </w:r>
          </w:p>
        </w:tc>
        <w:tc>
          <w:tcPr>
            <w:tcW w:w="19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PRICE(1)</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w w:val="98"/>
              </w:rPr>
              <w:t>REGISTRATION FEE</w:t>
            </w:r>
          </w:p>
        </w:tc>
        <w:tc>
          <w:tcPr>
            <w:tcW w:w="0" w:type="dxa"/>
            <w:vAlign w:val="bottom"/>
          </w:tcPr>
          <w:p>
            <w:pPr>
              <w:spacing w:after="0"/>
              <w:rPr>
                <w:sz w:val="1"/>
                <w:szCs w:val="1"/>
                <w:color w:val="auto"/>
              </w:rPr>
            </w:pPr>
          </w:p>
        </w:tc>
      </w:tr>
    </w:tbl>
    <w:p>
      <w:pPr>
        <w:sectPr>
          <w:pgSz w:w="11900" w:h="16838" w:orient="portrait"/>
          <w:cols w:equalWidth="0" w:num="1">
            <w:col w:w="11368"/>
          </w:cols>
          <w:pgMar w:left="232" w:top="549" w:right="299" w:bottom="0" w:gutter="0" w:footer="0" w:header="0"/>
        </w:sectPr>
      </w:pPr>
    </w:p>
    <w:bookmarkStart w:id="1" w:name="page2"/>
    <w:bookmarkEnd w:id="1"/>
    <w:p>
      <w:pPr>
        <w:ind w:left="8"/>
        <w:spacing w:after="0"/>
        <w:tabs>
          <w:tab w:leader="none" w:pos="4268" w:val="left"/>
          <w:tab w:leader="none" w:pos="6688" w:val="left"/>
          <w:tab w:leader="none" w:pos="8308" w:val="left"/>
          <w:tab w:leader="none" w:pos="10268" w:val="left"/>
        </w:tabs>
        <w:rPr>
          <w:sz w:val="20"/>
          <w:szCs w:val="20"/>
          <w:color w:val="auto"/>
        </w:rPr>
      </w:pPr>
      <w:r>
        <w:rPr>
          <w:rFonts w:ascii="Courier New" w:cs="Courier New" w:eastAsia="Courier New" w:hAnsi="Courier New"/>
          <w:sz w:val="15"/>
          <w:szCs w:val="15"/>
          <w:color w:val="auto"/>
        </w:rPr>
        <w:t>Common Stock, par value $.01 per share.......</w:t>
        <w:tab/>
        <w:t>3,205,486 Shares</w:t>
      </w:r>
      <w:r>
        <w:rPr>
          <w:sz w:val="20"/>
          <w:szCs w:val="20"/>
          <w:color w:val="auto"/>
        </w:rPr>
        <w:tab/>
      </w:r>
      <w:r>
        <w:rPr>
          <w:rFonts w:ascii="Courier New" w:cs="Courier New" w:eastAsia="Courier New" w:hAnsi="Courier New"/>
          <w:sz w:val="15"/>
          <w:szCs w:val="15"/>
          <w:color w:val="auto"/>
        </w:rPr>
        <w:t>$8.22</w:t>
      </w:r>
      <w:r>
        <w:rPr>
          <w:sz w:val="20"/>
          <w:szCs w:val="20"/>
          <w:color w:val="auto"/>
        </w:rPr>
        <w:tab/>
      </w:r>
      <w:r>
        <w:rPr>
          <w:rFonts w:ascii="Courier New" w:cs="Courier New" w:eastAsia="Courier New" w:hAnsi="Courier New"/>
          <w:sz w:val="15"/>
          <w:szCs w:val="15"/>
          <w:color w:val="auto"/>
        </w:rPr>
        <w:t>$26,349,094</w:t>
      </w:r>
      <w:r>
        <w:rPr>
          <w:sz w:val="20"/>
          <w:szCs w:val="20"/>
          <w:color w:val="auto"/>
        </w:rPr>
        <w:tab/>
      </w:r>
      <w:r>
        <w:rPr>
          <w:rFonts w:ascii="Courier New" w:cs="Courier New" w:eastAsia="Courier New" w:hAnsi="Courier New"/>
          <w:sz w:val="14"/>
          <w:szCs w:val="14"/>
          <w:color w:val="auto"/>
        </w:rPr>
        <w:t>$6,956.16</w:t>
      </w:r>
    </w:p>
    <w:p>
      <w:pPr>
        <w:spacing w:after="0" w:line="346" w:lineRule="exact"/>
        <w:rPr>
          <w:sz w:val="20"/>
          <w:szCs w:val="20"/>
          <w:color w:val="auto"/>
        </w:rPr>
      </w:pPr>
    </w:p>
    <w:p>
      <w:pPr>
        <w:ind w:left="348" w:right="4020" w:hanging="348"/>
        <w:spacing w:after="0" w:line="252" w:lineRule="auto"/>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under the Securities Act of 1933. The maximum price per share information is based on the average of the high and low sale prices on the Nasdaq National Market on September 7, 2000.</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left="8" w:right="3940" w:firstLine="358"/>
        <w:spacing w:after="0" w:line="26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78"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088"/>
          </w:cols>
          <w:pgMar w:left="232" w:top="285" w:right="57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PROSPECTUS</w:t>
      </w:r>
    </w:p>
    <w:p>
      <w:pPr>
        <w:spacing w:after="0" w:line="3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DECEMBER</w:t>
      </w:r>
      <w:r>
        <w:rPr>
          <w:sz w:val="20"/>
          <w:szCs w:val="20"/>
          <w:color w:val="auto"/>
        </w:rPr>
        <w:tab/>
      </w:r>
      <w:r>
        <w:rPr>
          <w:rFonts w:ascii="Courier New" w:cs="Courier New" w:eastAsia="Courier New" w:hAnsi="Courier New"/>
          <w:sz w:val="15"/>
          <w:szCs w:val="15"/>
          <w:color w:val="auto"/>
        </w:rPr>
        <w:t>, 2000</w:t>
      </w:r>
    </w:p>
    <w:p>
      <w:pPr>
        <w:spacing w:after="0" w:line="31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STEMCELLS, INC.</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SHARES OF COMMON STOCK</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right="3079" w:firstLine="358"/>
        <w:spacing w:after="0" w:line="301" w:lineRule="auto"/>
        <w:rPr>
          <w:sz w:val="20"/>
          <w:szCs w:val="20"/>
          <w:color w:val="auto"/>
        </w:rPr>
      </w:pPr>
      <w:r>
        <w:rPr>
          <w:rFonts w:ascii="Courier New" w:cs="Courier New" w:eastAsia="Courier New" w:hAnsi="Courier New"/>
          <w:sz w:val="15"/>
          <w:szCs w:val="15"/>
          <w:color w:val="auto"/>
        </w:rPr>
        <w:t>The selling stockholders listed on page 44 of this prospectus or in an accompanying supplement to this prospectus are offering to sell 3,205,486 shares of our common stock.</w:t>
      </w:r>
    </w:p>
    <w:p>
      <w:pPr>
        <w:spacing w:after="0" w:line="49" w:lineRule="exact"/>
        <w:rPr>
          <w:sz w:val="20"/>
          <w:szCs w:val="20"/>
          <w:color w:val="auto"/>
        </w:rPr>
      </w:pPr>
    </w:p>
    <w:p>
      <w:pPr>
        <w:ind w:right="3339" w:firstLine="358"/>
        <w:spacing w:after="0" w:line="262" w:lineRule="auto"/>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THIS INVESTMENT INVOLVES RISKS. SEE "RISK FACTORS" BEGINNING ON PAGE 4.</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079" w:firstLine="358"/>
        <w:spacing w:after="0" w:line="281"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0219"/>
          </w:cols>
          <w:pgMar w:left="240" w:top="607" w:right="1440" w:bottom="1440" w:gutter="0" w:footer="0" w:header="0"/>
        </w:sectPr>
      </w:pPr>
    </w:p>
    <w:bookmarkStart w:id="3" w:name="page4"/>
    <w:bookmarkEnd w:id="3"/>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PAGE</w:t>
      </w:r>
    </w:p>
    <w:p>
      <w:pPr>
        <w:spacing w:after="0" w:line="30"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2</w:t>
      </w:r>
    </w:p>
    <w:p>
      <w:pPr>
        <w:spacing w:after="0" w:line="30"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Industry and Market Data</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13</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Beneficial Owners and Management</w:t>
      </w:r>
      <w:r>
        <w:rPr>
          <w:sz w:val="20"/>
          <w:szCs w:val="20"/>
          <w:color w:val="auto"/>
        </w:rPr>
        <w:tab/>
      </w: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PAGE</w:t>
      </w:r>
    </w:p>
    <w:p>
      <w:pPr>
        <w:spacing w:after="0" w:line="30"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and Transactions with</w:t>
      </w:r>
    </w:p>
    <w:p>
      <w:pPr>
        <w:spacing w:after="0" w:line="30"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Related Parties</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390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Balance</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Sheets</w:t>
      </w:r>
      <w:r>
        <w:rPr>
          <w:sz w:val="20"/>
          <w:szCs w:val="20"/>
          <w:color w:val="auto"/>
        </w:rPr>
        <w:tab/>
      </w:r>
      <w:r>
        <w:rPr>
          <w:rFonts w:ascii="Courier New" w:cs="Courier New" w:eastAsia="Courier New" w:hAnsi="Courier New"/>
          <w:sz w:val="14"/>
          <w:szCs w:val="14"/>
          <w:color w:val="auto"/>
        </w:rPr>
        <w:t>F-25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F-26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Cash Flows</w:t>
      </w:r>
      <w:r>
        <w:rPr>
          <w:sz w:val="20"/>
          <w:szCs w:val="20"/>
          <w:color w:val="auto"/>
        </w:rPr>
        <w:tab/>
      </w:r>
      <w:r>
        <w:rPr>
          <w:rFonts w:ascii="Courier New" w:cs="Courier New" w:eastAsia="Courier New" w:hAnsi="Courier New"/>
          <w:sz w:val="14"/>
          <w:szCs w:val="14"/>
          <w:color w:val="auto"/>
        </w:rPr>
        <w:t>F-27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4"/>
          <w:szCs w:val="14"/>
          <w:color w:val="auto"/>
        </w:rPr>
        <w:t>F-28</w:t>
      </w: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35" w:right="1440" w:bottom="1440" w:gutter="0" w:footer="0" w:header="0"/>
        </w:sectPr>
      </w:pPr>
    </w:p>
    <w:bookmarkStart w:id="4" w:name="page5"/>
    <w:bookmarkEnd w:id="4"/>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4" w:lineRule="exact"/>
        <w:rPr>
          <w:sz w:val="20"/>
          <w:szCs w:val="20"/>
          <w:color w:val="auto"/>
        </w:rPr>
      </w:pPr>
    </w:p>
    <w:p>
      <w:pPr>
        <w:ind w:right="3159" w:firstLine="358"/>
        <w:spacing w:after="0" w:line="272" w:lineRule="auto"/>
        <w:rPr>
          <w:sz w:val="20"/>
          <w:szCs w:val="20"/>
          <w:color w:val="auto"/>
        </w:rPr>
      </w:pPr>
      <w:r>
        <w:rPr>
          <w:rFonts w:ascii="Courier New" w:cs="Courier New" w:eastAsia="Courier New" w:hAnsi="Courier New"/>
          <w:sz w:val="15"/>
          <w:szCs w:val="15"/>
          <w:color w:val="auto"/>
        </w:rPr>
        <w:t>THIS SUMMARY HIGHLIGHTS IMPORTANT INFORMATION REGARDING OUR BUSINESS AND THIS OFFERING. BECAUSE THIS IS ONLY A SUMMARY, IT DOES NOT CONTAIN ALL THE INFORMATION THAT MAY BE IMPORTANT TO YOU. YOU SHOULD READ THE ENTIRE PROSPECTUS CAREFULLY, INCLUDING "RISK FACTORS" AND OUR FINANCIAL STATEMENTS AND RELATED NOTES, BEFORE DECIDING TO INVEST IN OUR COMMON STOCK.</w:t>
      </w:r>
    </w:p>
    <w:p>
      <w:pPr>
        <w:spacing w:after="0" w:line="69"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079" w:firstLine="358"/>
        <w:spacing w:after="0" w:line="280" w:lineRule="auto"/>
        <w:rPr>
          <w:sz w:val="20"/>
          <w:szCs w:val="20"/>
          <w:color w:val="auto"/>
        </w:rPr>
      </w:pPr>
      <w:r>
        <w:rPr>
          <w:rFonts w:ascii="Courier New" w:cs="Courier New" w:eastAsia="Courier New" w:hAnsi="Courier New"/>
          <w:sz w:val="14"/>
          <w:szCs w:val="14"/>
          <w:color w:val="auto"/>
        </w:rPr>
        <w:t>We are engaged in research and development efforts focused on the identification, isolation and expansion of stem cells as the underlying technology for developing potential cell transplant therapies. Stem cells are key cells in the body that produce all of the functional mature cell types found in normal, healthy individuals. Our goal is to develop therapies that will use stem cells to repopulate or repair tissues, such as those of the brain, pancreas or liver, that have been damaged or lost as a result of disease or injury. All of our programs are currently at the discovery or pre-clinical stage.</w:t>
      </w:r>
    </w:p>
    <w:p>
      <w:pPr>
        <w:spacing w:after="0" w:line="68" w:lineRule="exact"/>
        <w:rPr>
          <w:sz w:val="20"/>
          <w:szCs w:val="20"/>
          <w:color w:val="auto"/>
        </w:rPr>
      </w:pPr>
    </w:p>
    <w:p>
      <w:pPr>
        <w:ind w:right="3079" w:firstLine="358"/>
        <w:spacing w:after="0" w:line="255"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87" w:lineRule="exact"/>
        <w:rPr>
          <w:sz w:val="20"/>
          <w:szCs w:val="20"/>
          <w:color w:val="auto"/>
        </w:rPr>
      </w:pPr>
    </w:p>
    <w:p>
      <w:pPr>
        <w:ind w:right="3159" w:firstLine="358"/>
        <w:spacing w:after="0" w:line="255" w:lineRule="auto"/>
        <w:rPr>
          <w:sz w:val="20"/>
          <w:szCs w:val="20"/>
          <w:color w:val="auto"/>
        </w:rPr>
      </w:pPr>
      <w:r>
        <w:rPr>
          <w:rFonts w:ascii="Courier New" w:cs="Courier New" w:eastAsia="Courier New" w:hAnsi="Courier New"/>
          <w:sz w:val="15"/>
          <w:szCs w:val="15"/>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by identifying and characterizing the human central nervous system stem cell. We have also made significant advances in our search for the stem cells of the pancreas and the liver by identifying novel markers on the surface of cells so they can be isolated and tested to determine whether they are stem cells.</w:t>
      </w:r>
    </w:p>
    <w:p>
      <w:pPr>
        <w:spacing w:after="0" w:line="87" w:lineRule="exact"/>
        <w:rPr>
          <w:sz w:val="20"/>
          <w:szCs w:val="20"/>
          <w:color w:val="auto"/>
        </w:rPr>
      </w:pPr>
    </w:p>
    <w:p>
      <w:pPr>
        <w:ind w:right="3079" w:firstLine="358"/>
        <w:spacing w:after="0" w:line="251" w:lineRule="auto"/>
        <w:rPr>
          <w:sz w:val="20"/>
          <w:szCs w:val="20"/>
          <w:color w:val="auto"/>
        </w:rPr>
      </w:pPr>
      <w:r>
        <w:rPr>
          <w:rFonts w:ascii="Courier New" w:cs="Courier New" w:eastAsia="Courier New" w:hAnsi="Courier New"/>
          <w:sz w:val="15"/>
          <w:szCs w:val="15"/>
          <w:color w:val="auto"/>
        </w:rPr>
        <w:t>We have established our intellectual property position with respect to stem cell therapies for each of these three areas--the central nervous system, the pancreas and the liver--by patenting or seeking patent protection for our discoveries and by entering into exclusive licensing arrangements. Our portfolio of issued patents includes a method of culturing normal human neural stem cells in our proprietary medium, and our published studies show that our cultured and expanded cells give rise to all three major cell types of the central nervous system. In addition, the Company recently announced the results of a new study that showed that human brain stem cells can be successfully isolated with the use of markers present on the surface of freshly obtained brain cells. We believe this is the first reproducible process for isolating highly purified populations of well-characterized normal human neural stem cells, and we have applied for a composition of matter patent. We also have filed an improved process patent for the growth and expansion of these purified normal human neural cells.</w:t>
      </w:r>
    </w:p>
    <w:p>
      <w:pPr>
        <w:spacing w:after="0" w:line="87" w:lineRule="exact"/>
        <w:rPr>
          <w:sz w:val="20"/>
          <w:szCs w:val="20"/>
          <w:color w:val="auto"/>
        </w:rPr>
      </w:pPr>
    </w:p>
    <w:p>
      <w:pPr>
        <w:ind w:right="3159" w:firstLine="358"/>
        <w:spacing w:after="0" w:line="280" w:lineRule="auto"/>
        <w:rPr>
          <w:sz w:val="20"/>
          <w:szCs w:val="20"/>
          <w:color w:val="auto"/>
        </w:rPr>
      </w:pPr>
      <w:r>
        <w:rPr>
          <w:rFonts w:ascii="Courier New" w:cs="Courier New" w:eastAsia="Courier New" w:hAnsi="Courier New"/>
          <w:sz w:val="14"/>
          <w:szCs w:val="14"/>
          <w:color w:val="auto"/>
        </w:rPr>
        <w:t>Historical Note: We were formerly known as CytoTherapeutics and were incorporated in Delaware in 1988. We currently have one subsidiary, StemCells California, Inc., a California corporation we acquired in September 1997. Until mid-1999, we had programs in a different technology, encapsulated cell therapy, as well as stem cell programs. In 1999, we embarked on a major restructuring of our research and development operations and sold the encapsulated cell therapy technology. We now focus exclusively on the discovery, development and commercialization of our proprietary platform of stem cell technologies.</w:t>
      </w:r>
    </w:p>
    <w:p>
      <w:pPr>
        <w:spacing w:after="0" w:line="6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35" w:right="1440" w:bottom="1440" w:gutter="0" w:footer="0" w:header="0"/>
        </w:sectPr>
      </w:pPr>
    </w:p>
    <w:bookmarkStart w:id="5" w:name="page6"/>
    <w:bookmarkEnd w:id="5"/>
    <w:p>
      <w:pPr>
        <w:jc w:val="center"/>
        <w:ind w:right="4460"/>
        <w:spacing w:after="0"/>
        <w:rPr>
          <w:sz w:val="20"/>
          <w:szCs w:val="20"/>
          <w:color w:val="auto"/>
        </w:rPr>
      </w:pPr>
      <w:r>
        <w:rPr>
          <w:rFonts w:ascii="Courier New" w:cs="Courier New" w:eastAsia="Courier New" w:hAnsi="Courier New"/>
          <w:sz w:val="15"/>
          <w:szCs w:val="15"/>
          <w:color w:val="auto"/>
        </w:rPr>
        <w:t>SUMMARY CONSOLIDATED FINANCIAL AND OTHER DATA</w:t>
      </w:r>
    </w:p>
    <w:p>
      <w:pPr>
        <w:spacing w:after="0" w:line="30"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46" w:lineRule="exact"/>
        <w:rPr>
          <w:sz w:val="20"/>
          <w:szCs w:val="20"/>
          <w:color w:val="auto"/>
        </w:rPr>
      </w:pPr>
    </w:p>
    <w:p>
      <w:pPr>
        <w:ind w:right="4460" w:firstLine="358"/>
        <w:spacing w:after="0" w:line="307" w:lineRule="auto"/>
        <w:rPr>
          <w:sz w:val="20"/>
          <w:szCs w:val="20"/>
          <w:color w:val="auto"/>
        </w:rPr>
      </w:pPr>
      <w:r>
        <w:rPr>
          <w:rFonts w:ascii="Courier New" w:cs="Courier New" w:eastAsia="Courier New" w:hAnsi="Courier New"/>
          <w:sz w:val="14"/>
          <w:szCs w:val="14"/>
          <w:color w:val="auto"/>
        </w:rPr>
        <w:t>The following table summarizes the consolidated financial data for our business. You should read this table together with "Management's Discussion and Analysis of Financial Condition and Results of Operations" and our consolidated financial statements and notes included elsewhere in this prospectus.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vMerge w:val="restart"/>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8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NINE MONTHS</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w w:val="19"/>
              </w:rPr>
              <w:t>----------------------------------------------------</w:t>
            </w:r>
          </w:p>
        </w:tc>
        <w:tc>
          <w:tcPr>
            <w:tcW w:w="7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0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7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52"/>
        </w:trPr>
        <w:tc>
          <w:tcPr>
            <w:tcW w:w="4820" w:type="dxa"/>
            <w:vAlign w:val="bottom"/>
          </w:tcPr>
          <w:p>
            <w:pPr>
              <w:spacing w:after="0"/>
              <w:rPr>
                <w:sz w:val="21"/>
                <w:szCs w:val="21"/>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6"/>
              </w:rPr>
              <w:t>11,761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7,104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10,617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8,803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14,730</w:t>
            </w:r>
          </w:p>
        </w:tc>
        <w:tc>
          <w:tcPr>
            <w:tcW w:w="22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17,130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8,432</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3,350</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8,344</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4,078</w:t>
            </w:r>
          </w:p>
        </w:tc>
        <w:tc>
          <w:tcPr>
            <w:tcW w:w="180" w:type="dxa"/>
            <w:vAlign w:val="bottom"/>
          </w:tcPr>
          <w:p>
            <w:pPr>
              <w:spacing w:after="0"/>
              <w:rPr>
                <w:sz w:val="14"/>
                <w:szCs w:val="14"/>
                <w:color w:val="auto"/>
              </w:rPr>
            </w:pP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769</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ECT wind-down expenses...............................</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5"/>
              </w:rPr>
              <w:t>(8,891)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7"/>
              </w:rPr>
              <w:t>(13,759)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7"/>
              </w:rPr>
              <w:t>(18,114)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4"/>
              </w:rPr>
              <w:t>(12,628)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continue"/>
          </w:tcPr>
          <w:p>
            <w:pPr>
              <w:spacing w:after="0"/>
              <w:rPr>
                <w:sz w:val="14"/>
                <w:szCs w:val="14"/>
                <w:color w:val="auto"/>
              </w:rPr>
            </w:pP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continue"/>
          </w:tcPr>
          <w:p>
            <w:pPr>
              <w:spacing w:after="0"/>
              <w:rPr>
                <w:sz w:val="14"/>
                <w:szCs w:val="14"/>
                <w:color w:val="auto"/>
              </w:rPr>
            </w:pP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(15,709)</w:t>
            </w:r>
          </w:p>
        </w:tc>
        <w:tc>
          <w:tcPr>
            <w:tcW w:w="180" w:type="dxa"/>
            <w:vAlign w:val="bottom"/>
            <w:vMerge w:val="continue"/>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(10,484)</w:t>
            </w:r>
          </w:p>
        </w:tc>
        <w:tc>
          <w:tcPr>
            <w:tcW w:w="180" w:type="dxa"/>
            <w:vAlign w:val="bottom"/>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(4,865)</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6"/>
              </w:rPr>
              <w:t>12,799</w:t>
            </w:r>
          </w:p>
        </w:tc>
        <w:tc>
          <w:tcPr>
            <w:tcW w:w="220" w:type="dxa"/>
            <w:vAlign w:val="bottom"/>
          </w:tcPr>
          <w:p>
            <w:pPr>
              <w:spacing w:after="0"/>
              <w:rPr>
                <w:sz w:val="14"/>
                <w:szCs w:val="14"/>
                <w:color w:val="auto"/>
              </w:rPr>
            </w:pPr>
          </w:p>
        </w:tc>
        <w:tc>
          <w:tcPr>
            <w:tcW w:w="80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15,430</w:t>
            </w:r>
          </w:p>
        </w:tc>
        <w:tc>
          <w:tcPr>
            <w:tcW w:w="180" w:type="dxa"/>
            <w:vAlign w:val="bottom"/>
          </w:tcPr>
          <w:p>
            <w:pPr>
              <w:spacing w:after="0"/>
              <w:rPr>
                <w:sz w:val="14"/>
                <w:szCs w:val="14"/>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16,704</w:t>
            </w:r>
          </w:p>
        </w:tc>
        <w:tc>
          <w:tcPr>
            <w:tcW w:w="18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18,561</w:t>
            </w:r>
          </w:p>
        </w:tc>
        <w:tc>
          <w:tcPr>
            <w:tcW w:w="180" w:type="dxa"/>
            <w:vAlign w:val="bottom"/>
          </w:tcPr>
          <w:p>
            <w:pPr>
              <w:spacing w:after="0"/>
              <w:rPr>
                <w:sz w:val="14"/>
                <w:szCs w:val="14"/>
                <w:color w:val="auto"/>
              </w:rPr>
            </w:pPr>
          </w:p>
        </w:tc>
        <w:tc>
          <w:tcPr>
            <w:tcW w:w="6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6"/>
              </w:rPr>
              <w:t>19,683</w:t>
            </w:r>
          </w:p>
        </w:tc>
        <w:tc>
          <w:tcPr>
            <w:tcW w:w="0" w:type="dxa"/>
            <w:vAlign w:val="bottom"/>
          </w:tcPr>
          <w:p>
            <w:pPr>
              <w:spacing w:after="0"/>
              <w:rPr>
                <w:sz w:val="1"/>
                <w:szCs w:val="1"/>
                <w:color w:val="auto"/>
              </w:rPr>
            </w:pPr>
          </w:p>
        </w:tc>
      </w:tr>
      <w:tr>
        <w:trPr>
          <w:trHeight w:val="25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provides a summary of our 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0" w:type="dxa"/>
            <w:vAlign w:val="bottom"/>
            <w:gridSpan w:val="3"/>
            <w:vMerge w:val="restart"/>
          </w:tcPr>
          <w:p>
            <w:pPr>
              <w:jc w:val="right"/>
              <w:ind w:right="685"/>
              <w:spacing w:after="0"/>
              <w:rPr>
                <w:sz w:val="20"/>
                <w:szCs w:val="20"/>
                <w:color w:val="auto"/>
              </w:rPr>
            </w:pPr>
            <w:r>
              <w:rPr>
                <w:rFonts w:ascii="Courier New" w:cs="Courier New" w:eastAsia="Courier New" w:hAnsi="Courier New"/>
                <w:sz w:val="15"/>
                <w:szCs w:val="15"/>
                <w:color w:val="auto"/>
              </w:rPr>
              <w:t>AS OF DECEMBER 31</w:t>
            </w:r>
          </w:p>
        </w:tc>
        <w:tc>
          <w:tcPr>
            <w:tcW w:w="100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AS OF</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1080" w:type="dxa"/>
            <w:vAlign w:val="bottom"/>
            <w:vMerge w:val="restart"/>
          </w:tcPr>
          <w:p>
            <w:pPr>
              <w:ind w:left="80"/>
              <w:spacing w:after="0"/>
              <w:rPr>
                <w:sz w:val="20"/>
                <w:szCs w:val="20"/>
                <w:color w:val="auto"/>
              </w:rPr>
            </w:pPr>
            <w:r>
              <w:rPr>
                <w:rFonts w:ascii="Courier New" w:cs="Courier New" w:eastAsia="Courier New" w:hAnsi="Courier New"/>
                <w:sz w:val="4"/>
                <w:szCs w:val="4"/>
                <w:color w:val="auto"/>
                <w:w w:val="72"/>
              </w:rPr>
              <w:t>----------------------------------------------------</w:t>
            </w:r>
            <w:r>
              <w:rPr>
                <w:rFonts w:ascii="Courier New" w:cs="Courier New" w:eastAsia="Courier New" w:hAnsi="Courier New"/>
                <w:sz w:val="7"/>
                <w:szCs w:val="7"/>
                <w:color w:val="auto"/>
                <w:w w:val="72"/>
                <w:vertAlign w:val="subscript"/>
              </w:rPr>
              <w:t>1995</w:t>
            </w:r>
          </w:p>
        </w:tc>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10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vMerge w:val="restart"/>
          </w:tcPr>
          <w:p>
            <w:pPr>
              <w:jc w:val="right"/>
              <w:ind w:right="295"/>
              <w:spacing w:after="0"/>
              <w:rPr>
                <w:sz w:val="20"/>
                <w:szCs w:val="20"/>
                <w:color w:val="auto"/>
              </w:rPr>
            </w:pPr>
            <w:r>
              <w:rPr>
                <w:rFonts w:ascii="Courier New" w:cs="Courier New" w:eastAsia="Courier New" w:hAnsi="Courier New"/>
                <w:sz w:val="15"/>
                <w:szCs w:val="15"/>
                <w:color w:val="auto"/>
              </w:rPr>
              <w:t>$44,192</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5"/>
              </w:rPr>
              <w:t>$42,607</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$29,050</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$17,386</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$ 4,760</w:t>
            </w:r>
          </w:p>
        </w:tc>
        <w:tc>
          <w:tcPr>
            <w:tcW w:w="12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$ 7,247</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 securities...........</w:t>
            </w: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Restricted investments.....................................</w:t>
            </w:r>
          </w:p>
        </w:tc>
        <w:tc>
          <w:tcPr>
            <w:tcW w:w="1080" w:type="dxa"/>
            <w:vAlign w:val="bottom"/>
            <w:vMerge w:val="restart"/>
          </w:tcPr>
          <w:p>
            <w:pPr>
              <w:jc w:val="right"/>
              <w:ind w:right="295"/>
              <w:spacing w:after="0"/>
              <w:rPr>
                <w:sz w:val="20"/>
                <w:szCs w:val="20"/>
                <w:color w:val="auto"/>
              </w:rPr>
            </w:pPr>
            <w:r>
              <w:rPr>
                <w:rFonts w:ascii="Courier New" w:cs="Courier New" w:eastAsia="Courier New" w:hAnsi="Courier New"/>
                <w:sz w:val="15"/>
                <w:szCs w:val="15"/>
                <w:color w:val="auto"/>
              </w:rPr>
              <w:t>56,808</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58,397</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44,301</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32,866</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15,781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27,204</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41,632</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Long-term debt, including capitalized leases...............</w:t>
            </w:r>
          </w:p>
        </w:tc>
        <w:tc>
          <w:tcPr>
            <w:tcW w:w="1080" w:type="dxa"/>
            <w:vAlign w:val="bottom"/>
          </w:tcPr>
          <w:p>
            <w:pPr>
              <w:jc w:val="right"/>
              <w:ind w:right="295"/>
              <w:spacing w:after="0"/>
              <w:rPr>
                <w:sz w:val="20"/>
                <w:szCs w:val="20"/>
                <w:color w:val="auto"/>
              </w:rPr>
            </w:pPr>
            <w:r>
              <w:rPr>
                <w:rFonts w:ascii="Courier New" w:cs="Courier New" w:eastAsia="Courier New" w:hAnsi="Courier New"/>
                <w:sz w:val="15"/>
                <w:szCs w:val="15"/>
                <w:color w:val="auto"/>
              </w:rPr>
              <w:t>5,441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2,937</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2,692</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Redeemable common stock....................................</w:t>
            </w:r>
          </w:p>
        </w:tc>
        <w:tc>
          <w:tcPr>
            <w:tcW w:w="1080" w:type="dxa"/>
            <w:vAlign w:val="bottom"/>
            <w:vMerge w:val="restart"/>
          </w:tcPr>
          <w:p>
            <w:pPr>
              <w:jc w:val="right"/>
              <w:ind w:right="295"/>
              <w:spacing w:after="0"/>
              <w:rPr>
                <w:sz w:val="20"/>
                <w:szCs w:val="20"/>
                <w:color w:val="auto"/>
              </w:rPr>
            </w:pPr>
            <w:r>
              <w:rPr>
                <w:rFonts w:ascii="Courier New" w:cs="Courier New" w:eastAsia="Courier New" w:hAnsi="Courier New"/>
                <w:sz w:val="15"/>
                <w:szCs w:val="15"/>
                <w:color w:val="auto"/>
              </w:rPr>
              <w:t>45,391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5,249</w:t>
            </w:r>
          </w:p>
        </w:tc>
        <w:tc>
          <w:tcPr>
            <w:tcW w:w="12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37,126</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80" w:type="dxa"/>
            <w:vAlign w:val="bottom"/>
            <w:vMerge w:val="continue"/>
          </w:tcPr>
          <w:p>
            <w:pPr>
              <w:spacing w:after="0"/>
              <w:rPr>
                <w:sz w:val="21"/>
                <w:szCs w:val="21"/>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3,506</w:t>
            </w: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4380" w:firstLine="358"/>
        <w:spacing w:after="0" w:line="257" w:lineRule="auto"/>
        <w:rPr>
          <w:sz w:val="20"/>
          <w:szCs w:val="20"/>
          <w:color w:val="auto"/>
        </w:rPr>
      </w:pPr>
      <w:r>
        <w:rPr>
          <w:rFonts w:ascii="Courier New" w:cs="Courier New" w:eastAsia="Courier New" w:hAnsi="Courier New"/>
          <w:sz w:val="15"/>
          <w:szCs w:val="15"/>
          <w:color w:val="auto"/>
        </w:rPr>
        <w:t>In July 1999 we began restructuring the company to focus solely on our stem cell technology. As part of this restructuring we terminated all activities related to our former encapsulated cell technology and we relocated our headquarters from Lincoln, Rhode Island to Sunnyvale, California. The results shown for the nine months ended September 30, 2000 includes $768,733 in expenses related to the restructuring. For more information on this restructuring see "Risk Factors," "Business" and "Management's Discussion and Analysis of Financial Condition and Results of Operations" and our consolidated financial statements and notes included elsewhere in this prospectus.</w:t>
      </w:r>
    </w:p>
    <w:p>
      <w:pPr>
        <w:spacing w:after="0" w:line="255" w:lineRule="exact"/>
        <w:rPr>
          <w:sz w:val="20"/>
          <w:szCs w:val="20"/>
          <w:color w:val="auto"/>
        </w:rPr>
      </w:pPr>
    </w:p>
    <w:p>
      <w:pPr>
        <w:ind w:right="4460" w:firstLine="358"/>
        <w:spacing w:after="0" w:line="262" w:lineRule="auto"/>
        <w:rPr>
          <w:sz w:val="20"/>
          <w:szCs w:val="20"/>
          <w:color w:val="auto"/>
        </w:rPr>
      </w:pPr>
      <w:r>
        <w:rPr>
          <w:rFonts w:ascii="Courier New" w:cs="Courier New" w:eastAsia="Courier New" w:hAnsi="Courier New"/>
          <w:sz w:val="15"/>
          <w:szCs w:val="15"/>
          <w:color w:val="auto"/>
        </w:rPr>
        <w:t>During 2000 we realized a $1,427,686 gain and recognized an increase in value related to our remaining holdings of $27,204,333 in connection with our investment in Modex Therapeutics Ltd., a Swiss biotechnology company that completed an initial public offering on June 23, 2000. For more information on Modex see "Risk Factors" and "Management's Discussion and Analysis of Financial Condition and Results of Operations" and our consolidated financial statements and notes included elsewhere in this prospectus.</w:t>
      </w:r>
    </w:p>
    <w:p>
      <w:pPr>
        <w:spacing w:after="0" w:line="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435" w:right="139" w:bottom="1440" w:gutter="0" w:footer="0" w:header="0"/>
        </w:sectPr>
      </w:pPr>
    </w:p>
    <w:bookmarkStart w:id="6" w:name="page7"/>
    <w:bookmarkEnd w:id="6"/>
    <w:p>
      <w:pPr>
        <w:jc w:val="center"/>
        <w:ind w:right="3071"/>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left="8" w:right="3339" w:firstLine="358"/>
        <w:spacing w:after="0" w:line="281" w:lineRule="auto"/>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64" w:lineRule="exact"/>
        <w:rPr>
          <w:sz w:val="20"/>
          <w:szCs w:val="20"/>
          <w:color w:val="auto"/>
        </w:rPr>
      </w:pPr>
    </w:p>
    <w:p>
      <w:pPr>
        <w:ind w:left="8" w:right="3079" w:firstLine="358"/>
        <w:spacing w:after="0" w:line="281" w:lineRule="auto"/>
        <w:rPr>
          <w:sz w:val="20"/>
          <w:szCs w:val="20"/>
          <w:color w:val="auto"/>
        </w:rPr>
      </w:pPr>
      <w:r>
        <w:rPr>
          <w:rFonts w:ascii="Courier New" w:cs="Courier New" w:eastAsia="Courier New" w:hAnsi="Courier New"/>
          <w:sz w:val="15"/>
          <w:szCs w:val="15"/>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64" w:lineRule="exact"/>
        <w:rPr>
          <w:sz w:val="20"/>
          <w:szCs w:val="20"/>
          <w:color w:val="auto"/>
        </w:rPr>
      </w:pPr>
    </w:p>
    <w:p>
      <w:pPr>
        <w:ind w:left="8" w:right="3159" w:firstLine="358"/>
        <w:spacing w:after="0" w:line="359" w:lineRule="auto"/>
        <w:rPr>
          <w:sz w:val="20"/>
          <w:szCs w:val="20"/>
          <w:color w:val="auto"/>
        </w:rPr>
      </w:pPr>
      <w:r>
        <w:rPr>
          <w:rFonts w:ascii="Courier New" w:cs="Courier New" w:eastAsia="Courier New" w:hAnsi="Courier New"/>
          <w:sz w:val="15"/>
          <w:szCs w:val="15"/>
          <w:color w:val="auto"/>
        </w:rPr>
        <w:t>OUR TECHNOLOGY IS AT AN EARLY STAGE OF DISCOVERY AND DEVELOPMENT AND WE MAY FAIL TO DEVELOP ANY PRODUCTS.</w:t>
      </w:r>
    </w:p>
    <w:p>
      <w:pPr>
        <w:spacing w:after="0" w:line="8" w:lineRule="exact"/>
        <w:rPr>
          <w:sz w:val="20"/>
          <w:szCs w:val="20"/>
          <w:color w:val="auto"/>
        </w:rPr>
      </w:pPr>
    </w:p>
    <w:p>
      <w:pPr>
        <w:ind w:left="8" w:right="3079" w:firstLine="358"/>
        <w:spacing w:after="0" w:line="266" w:lineRule="auto"/>
        <w:rPr>
          <w:sz w:val="20"/>
          <w:szCs w:val="20"/>
          <w:color w:val="auto"/>
        </w:rPr>
      </w:pPr>
      <w:r>
        <w:rPr>
          <w:rFonts w:ascii="Courier New" w:cs="Courier New" w:eastAsia="Courier New" w:hAnsi="Courier New"/>
          <w:sz w:val="14"/>
          <w:szCs w:val="14"/>
          <w:color w:val="auto"/>
        </w:rPr>
        <w:t>Our stem cell technology is at the early pre-clinical stage for the brain stem cell and at the discovery phase for the liver and pancreas stem cells and has not yet led to the development of any proposed product. We may fail to discover the stem cells we are seeking, to develop any products, to obtain regulatory approvals, to enter clinical trials, or to commercialize any products. Any product using stem cell technology may fail to (i) survive and persist in the desired location, (ii) provide the intended therapeutic benefits,</w:t>
      </w:r>
    </w:p>
    <w:p>
      <w:pPr>
        <w:spacing w:after="0" w:line="2" w:lineRule="exact"/>
        <w:rPr>
          <w:sz w:val="20"/>
          <w:szCs w:val="20"/>
          <w:color w:val="auto"/>
        </w:rPr>
      </w:pPr>
    </w:p>
    <w:p>
      <w:pPr>
        <w:ind w:left="528" w:hanging="528"/>
        <w:spacing w:after="0"/>
        <w:tabs>
          <w:tab w:leader="none" w:pos="5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properly integrate into existing tissue in the desired manner, or</w:t>
      </w:r>
    </w:p>
    <w:p>
      <w:pPr>
        <w:spacing w:after="0" w:line="2" w:lineRule="exact"/>
        <w:rPr>
          <w:rFonts w:ascii="Courier New" w:cs="Courier New" w:eastAsia="Courier New" w:hAnsi="Courier New"/>
          <w:sz w:val="15"/>
          <w:szCs w:val="15"/>
          <w:color w:val="auto"/>
        </w:rPr>
      </w:pPr>
    </w:p>
    <w:p>
      <w:pPr>
        <w:ind w:left="8" w:right="3259" w:hanging="8"/>
        <w:spacing w:after="0" w:line="272" w:lineRule="auto"/>
        <w:tabs>
          <w:tab w:leader="none" w:pos="45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 benefits therapeutically equal to or better than the standard of treatment at the time of testing. In addition, any such product may cause undesirable side effects. Results of early pre-clinical research may not be indicative of the results that will be obtained in later stages of preclinical or clinical research. If the appropriate regulatory authorities do not approve our products, or if we fail to maintain regulatory compliance, we would have limited ability to commercialize our products, and our business and results of operations would be harmed. Furthermore, since stem cells are a new form of therapy, the marketplace may not accept any products we may develop.</w:t>
      </w:r>
    </w:p>
    <w:p>
      <w:pPr>
        <w:spacing w:after="0" w:line="74" w:lineRule="exact"/>
        <w:rPr>
          <w:sz w:val="20"/>
          <w:szCs w:val="20"/>
          <w:color w:val="auto"/>
        </w:rPr>
      </w:pPr>
    </w:p>
    <w:p>
      <w:pPr>
        <w:ind w:left="8" w:right="3259" w:firstLine="358"/>
        <w:spacing w:after="0" w:line="281" w:lineRule="auto"/>
        <w:rPr>
          <w:sz w:val="20"/>
          <w:szCs w:val="20"/>
          <w:color w:val="auto"/>
        </w:rPr>
      </w:pPr>
      <w:r>
        <w:rPr>
          <w:rFonts w:ascii="Courier New" w:cs="Courier New" w:eastAsia="Courier New" w:hAnsi="Courier New"/>
          <w:sz w:val="15"/>
          <w:szCs w:val="15"/>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64" w:lineRule="exact"/>
        <w:rPr>
          <w:sz w:val="20"/>
          <w:szCs w:val="20"/>
          <w:color w:val="auto"/>
        </w:rPr>
      </w:pPr>
    </w:p>
    <w:p>
      <w:pPr>
        <w:ind w:left="8" w:right="3599" w:firstLine="358"/>
        <w:spacing w:after="0" w:line="301" w:lineRule="auto"/>
        <w:rPr>
          <w:sz w:val="20"/>
          <w:szCs w:val="20"/>
          <w:color w:val="auto"/>
        </w:rPr>
      </w:pPr>
      <w:r>
        <w:rPr>
          <w:rFonts w:ascii="Courier New" w:cs="Courier New" w:eastAsia="Courier New" w:hAnsi="Courier New"/>
          <w:sz w:val="15"/>
          <w:szCs w:val="15"/>
          <w:color w:val="auto"/>
        </w:rPr>
        <w:t>WE HAVE LIMITED LIQUIDITY AND CAPITAL RESOURCES AND MAY NOT OBTAIN THE SIGNIFICANT CAPITAL RESOURCES WE WILL NEED TO SUSTAIN OUR RESEARCH AND DEVELOPMENT EFFORTS.</w:t>
      </w:r>
    </w:p>
    <w:p>
      <w:pPr>
        <w:spacing w:after="0" w:line="49" w:lineRule="exact"/>
        <w:rPr>
          <w:sz w:val="20"/>
          <w:szCs w:val="20"/>
          <w:color w:val="auto"/>
        </w:rPr>
      </w:pPr>
    </w:p>
    <w:p>
      <w:pPr>
        <w:ind w:left="8" w:right="3079" w:firstLine="358"/>
        <w:spacing w:after="0" w:line="262" w:lineRule="auto"/>
        <w:rPr>
          <w:sz w:val="20"/>
          <w:szCs w:val="20"/>
          <w:color w:val="auto"/>
        </w:rPr>
      </w:pPr>
      <w:r>
        <w:rPr>
          <w:rFonts w:ascii="Courier New" w:cs="Courier New" w:eastAsia="Courier New" w:hAnsi="Courier New"/>
          <w:sz w:val="15"/>
          <w:szCs w:val="15"/>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w:t>
      </w:r>
    </w:p>
    <w:p>
      <w:pPr>
        <w:spacing w:after="0" w:line="78" w:lineRule="exact"/>
        <w:rPr>
          <w:sz w:val="20"/>
          <w:szCs w:val="20"/>
          <w:color w:val="auto"/>
        </w:rPr>
      </w:pPr>
    </w:p>
    <w:p>
      <w:pPr>
        <w:ind w:left="8" w:right="3079" w:firstLine="358"/>
        <w:spacing w:after="0" w:line="250" w:lineRule="auto"/>
        <w:rPr>
          <w:sz w:val="20"/>
          <w:szCs w:val="20"/>
          <w:color w:val="auto"/>
        </w:rPr>
      </w:pPr>
      <w:r>
        <w:rPr>
          <w:rFonts w:ascii="Courier New" w:cs="Courier New" w:eastAsia="Courier New" w:hAnsi="Courier New"/>
          <w:sz w:val="15"/>
          <w:szCs w:val="15"/>
          <w:color w:val="auto"/>
        </w:rPr>
        <w:t>Even though we own 126,193 shares of Modex Therapeutics Ltd., stock with an estimated fair market value on June 30, 2000 of $19,220,165 based on the per share price of approximately $152.00, which we converted from a market price of 247.50 Swiss francs on June 30, 2000, we are restricted from selling these shares until December 23, 2000. On October 31, 2000, the market price of Modex stock was 329.50 Swiss francs, which converts to $183.28 using the exchange rates on that date, and represents an estimated fair market value of $23,128,598 for our holdings. The performance of Modex stock since Modex's initial public offering does not predict its future value and the value of our holdings is subject to change and could decrease significantly. If we decide to sell our Modex shares, due to the relatively small trading volume in Modex shares and the relatively large size of our holding, or other factors, we may not be able to sell our Modex shares at their market value or at all, and we may have to sell these shares at a significant discount to the market price. In addition, fluctuations in currency exchange rates could decrease the proceeds we might realize on a potential sale of Modex shares.</w:t>
      </w:r>
    </w:p>
    <w:p>
      <w:pPr>
        <w:spacing w:after="0" w:line="9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435" w:right="1440" w:bottom="1440" w:gutter="0" w:footer="0" w:header="0"/>
        </w:sectPr>
      </w:pPr>
    </w:p>
    <w:bookmarkStart w:id="7" w:name="page8"/>
    <w:bookmarkEnd w:id="7"/>
    <w:p>
      <w:pPr>
        <w:ind w:right="3079" w:firstLine="358"/>
        <w:spacing w:after="0" w:line="255" w:lineRule="auto"/>
        <w:rPr>
          <w:sz w:val="20"/>
          <w:szCs w:val="20"/>
          <w:color w:val="auto"/>
        </w:rPr>
      </w:pPr>
      <w:r>
        <w:rPr>
          <w:rFonts w:ascii="Courier New" w:cs="Courier New" w:eastAsia="Courier New" w:hAnsi="Courier New"/>
          <w:sz w:val="15"/>
          <w:szCs w:val="15"/>
          <w:color w:val="auto"/>
        </w:rPr>
        <w:t>We intend to pursue our needed capital resources through equity and debt financings, corporate alliances, grants and collaborative research arrangements. Our ability to complete any such arrangements successfully will depend upon market conditions and, more specifically, on continued progress in our research and development efforts. We may fail to obtain the necessary capital resources from any such sources when needed or on terms acceptable to us.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87" w:lineRule="exact"/>
        <w:rPr>
          <w:sz w:val="20"/>
          <w:szCs w:val="20"/>
          <w:color w:val="auto"/>
        </w:rPr>
      </w:pPr>
    </w:p>
    <w:p>
      <w:pPr>
        <w:ind w:right="3159" w:firstLine="358"/>
        <w:spacing w:after="0" w:line="301" w:lineRule="auto"/>
        <w:rPr>
          <w:sz w:val="20"/>
          <w:szCs w:val="20"/>
          <w:color w:val="auto"/>
        </w:rPr>
      </w:pPr>
      <w:r>
        <w:rPr>
          <w:rFonts w:ascii="Courier New" w:cs="Courier New" w:eastAsia="Courier New" w:hAnsi="Courier New"/>
          <w:sz w:val="15"/>
          <w:szCs w:val="15"/>
          <w:color w:val="auto"/>
        </w:rPr>
        <w:t>WE HAVE PAYMENT OBLIGATIONS RESULTING FROM REAL PROPERTY OWNED OR LEASED BY US IN RHODE ISLAND, WHICH ADVERSELY AFFECT OUR ABILITY TO FUND OUR STEM CELL RESEARCH AND DEVELOPMENT.</w:t>
      </w:r>
    </w:p>
    <w:p>
      <w:pPr>
        <w:spacing w:after="0" w:line="49" w:lineRule="exact"/>
        <w:rPr>
          <w:sz w:val="20"/>
          <w:szCs w:val="20"/>
          <w:color w:val="auto"/>
        </w:rPr>
      </w:pPr>
    </w:p>
    <w:p>
      <w:pPr>
        <w:ind w:right="3079" w:firstLine="358"/>
        <w:spacing w:after="0" w:line="248" w:lineRule="auto"/>
        <w:rPr>
          <w:sz w:val="20"/>
          <w:szCs w:val="20"/>
          <w:color w:val="auto"/>
        </w:rPr>
      </w:pPr>
      <w:r>
        <w:rPr>
          <w:rFonts w:ascii="Courier New" w:cs="Courier New" w:eastAsia="Courier New" w:hAnsi="Courier New"/>
          <w:sz w:val="15"/>
          <w:szCs w:val="15"/>
          <w:color w:val="auto"/>
        </w:rPr>
        <w:t>Prior to our reorganization in 1999 and the resulting consolidation of all functions in California, we carried out our former encapsulated cell therapy programs at facilities in Lincoln, Rhode Island, where we also had our administrative offices. Although we have vacated these facilities, we have continuing obligations for lease payments and operating costs of approximately $950,000 per year for our former science and administrative facility, which we have leased through June 30, 2013, and debt service payments and operating costs of approximately $1,000,000 per year for our former encapsulated cell therapy pilot manufacturing facility. We are currently seeking to sublease the science and administrative facility and to sell the pilot manufacturing facility, but may not be able to do so. These continuing costs significantly reduce our cash resources and adversely affect our ability to fund further development of our stem cell technology. The lease for the science and administrative facility contains a provision requiring occupancy of the premises and we currently are in violation of this provision. The landlord has agreed not to take any action as a result of this violation until November 19, 2000. We intend to seek an additional period of forebearance from the landlord, but we cannot give any assurance that the landlord will grant this additional forebearance or that we will be able to sublease the premises during any additional period of time. If the landlord decides to pursue its rights after any period of forebearance, we may be required to pay the landlord the entire amount due for the rest of the lease period.</w:t>
      </w:r>
    </w:p>
    <w:p>
      <w:pPr>
        <w:spacing w:after="0" w:line="94" w:lineRule="exact"/>
        <w:rPr>
          <w:sz w:val="20"/>
          <w:szCs w:val="20"/>
          <w:color w:val="auto"/>
        </w:rPr>
      </w:pPr>
    </w:p>
    <w:p>
      <w:pPr>
        <w:ind w:right="3079" w:firstLine="358"/>
        <w:spacing w:after="0" w:line="359" w:lineRule="auto"/>
        <w:rPr>
          <w:sz w:val="20"/>
          <w:szCs w:val="20"/>
          <w:color w:val="auto"/>
        </w:rPr>
      </w:pPr>
      <w:r>
        <w:rPr>
          <w:rFonts w:ascii="Courier New" w:cs="Courier New" w:eastAsia="Courier New" w:hAnsi="Courier New"/>
          <w:sz w:val="15"/>
          <w:szCs w:val="15"/>
          <w:color w:val="auto"/>
        </w:rPr>
        <w:t>WE MAY NEED BUT FAIL TO OBTAIN PARTNERS TO SUPPORT OUR STEM CELL DEVELOPMENT EFFORTS AND TO COMMERCIALIZE OUR TECHNOLOGY.</w:t>
      </w:r>
    </w:p>
    <w:p>
      <w:pPr>
        <w:spacing w:after="0" w:line="8" w:lineRule="exact"/>
        <w:rPr>
          <w:sz w:val="20"/>
          <w:szCs w:val="20"/>
          <w:color w:val="auto"/>
        </w:rPr>
      </w:pPr>
    </w:p>
    <w:p>
      <w:pPr>
        <w:ind w:right="3079" w:firstLine="358"/>
        <w:spacing w:after="0" w:line="268" w:lineRule="auto"/>
        <w:rPr>
          <w:sz w:val="20"/>
          <w:szCs w:val="20"/>
          <w:color w:val="auto"/>
        </w:rPr>
      </w:pPr>
      <w:r>
        <w:rPr>
          <w:rFonts w:ascii="Courier New" w:cs="Courier New" w:eastAsia="Courier New" w:hAnsi="Courier New"/>
          <w:sz w:val="14"/>
          <w:szCs w:val="14"/>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regarding any such arrangement and we may fail to obtain any such agreement on terms acceptable to us, if at all. Even if we enter into these arrangements, we may not be able to satisfy our obligations under them or renew or replace them after their original terms. Furthermore, these arrangements may require us to grant certain rights to third parties, including exclusive marketing rights to one or more products, or may have other terms that are burdensome to us, and may involve the acquisition of our securities. If any of our collaborators terminates its relationship with us or fails to perform its obligations in a timely manner, the development or commercialization of our technology and potential products may be adversely affected.</w:t>
      </w:r>
    </w:p>
    <w:p>
      <w:pPr>
        <w:spacing w:after="0" w:line="80"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5"/>
          <w:szCs w:val="15"/>
          <w:color w:val="auto"/>
        </w:rPr>
        <w:t>We entered into a Sponsored Research Agreement with the Scripps Research Institute under which we funded certain research in return for licenses or options to license the inventions resulting from the research. This agreement expired on November 14, 2000 and we are negotiating with Scripps to extend the term of this agreement or to enter into a new agreement. As of the date of this prospectus, we have not yet completed our negotiations with Scripps and we cannot give any assurance</w:t>
      </w:r>
    </w:p>
    <w:p>
      <w:pPr>
        <w:spacing w:after="0" w:line="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35" w:right="1440" w:bottom="1440" w:gutter="0" w:footer="0" w:header="0"/>
        </w:sectPr>
      </w:pPr>
    </w:p>
    <w:bookmarkStart w:id="8" w:name="page9"/>
    <w:bookmarkEnd w:id="8"/>
    <w:p>
      <w:pPr>
        <w:ind w:right="3079"/>
        <w:spacing w:after="0" w:line="272" w:lineRule="auto"/>
        <w:rPr>
          <w:sz w:val="20"/>
          <w:szCs w:val="20"/>
          <w:color w:val="auto"/>
        </w:rPr>
      </w:pPr>
      <w:r>
        <w:rPr>
          <w:rFonts w:ascii="Courier New" w:cs="Courier New" w:eastAsia="Courier New" w:hAnsi="Courier New"/>
          <w:sz w:val="15"/>
          <w:szCs w:val="15"/>
          <w:color w:val="auto"/>
        </w:rPr>
        <w:t>that our negotiations will be successful. If we are unable to extend the term of this agreement or enter into a new agreement, we will have to find a replacement to perform this research or we will have to perform this research ourselves. In either case, we may experience delay and additional expense in connection with this research effort.</w:t>
      </w:r>
    </w:p>
    <w:p>
      <w:pPr>
        <w:spacing w:after="0" w:line="69" w:lineRule="exact"/>
        <w:rPr>
          <w:sz w:val="20"/>
          <w:szCs w:val="20"/>
          <w:color w:val="auto"/>
        </w:rPr>
      </w:pPr>
    </w:p>
    <w:p>
      <w:pPr>
        <w:ind w:right="3159" w:firstLine="358"/>
        <w:spacing w:after="0" w:line="359" w:lineRule="auto"/>
        <w:rPr>
          <w:sz w:val="20"/>
          <w:szCs w:val="20"/>
          <w:color w:val="auto"/>
        </w:rPr>
      </w:pPr>
      <w:r>
        <w:rPr>
          <w:rFonts w:ascii="Courier New" w:cs="Courier New" w:eastAsia="Courier New" w:hAnsi="Courier New"/>
          <w:sz w:val="15"/>
          <w:szCs w:val="15"/>
          <w:color w:val="auto"/>
        </w:rPr>
        <w:t>WE HAVE A HISTORY OF OPERATING LOSSES AND WE MAY FAIL TO OBTAIN REVENUES OR BECOME PROFITABLE.</w:t>
      </w:r>
    </w:p>
    <w:p>
      <w:pPr>
        <w:spacing w:after="0" w:line="8" w:lineRule="exact"/>
        <w:rPr>
          <w:sz w:val="20"/>
          <w:szCs w:val="20"/>
          <w:color w:val="auto"/>
        </w:rPr>
      </w:pPr>
    </w:p>
    <w:p>
      <w:pPr>
        <w:ind w:right="3079" w:firstLine="358"/>
        <w:spacing w:after="0" w:line="251" w:lineRule="auto"/>
        <w:rPr>
          <w:sz w:val="20"/>
          <w:szCs w:val="20"/>
          <w:color w:val="auto"/>
        </w:rPr>
      </w:pPr>
      <w:r>
        <w:rPr>
          <w:rFonts w:ascii="Courier New" w:cs="Courier New" w:eastAsia="Courier New" w:hAnsi="Courier New"/>
          <w:sz w:val="15"/>
          <w:szCs w:val="15"/>
          <w:color w:val="auto"/>
        </w:rPr>
        <w:t>We have incurred $124,237,900 in operating losses through September 30, 2000 and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have no cooperative agreements and we have received only two research grants for our stem cell technology, and we may not obtain any such agreements or additional grants in the future, or receive any revenues from them.</w:t>
      </w:r>
    </w:p>
    <w:p>
      <w:pPr>
        <w:spacing w:after="0" w:line="92" w:lineRule="exact"/>
        <w:rPr>
          <w:sz w:val="20"/>
          <w:szCs w:val="20"/>
          <w:color w:val="auto"/>
        </w:rPr>
      </w:pPr>
    </w:p>
    <w:p>
      <w:pPr>
        <w:ind w:right="3879" w:firstLine="358"/>
        <w:spacing w:after="0" w:line="359" w:lineRule="auto"/>
        <w:rPr>
          <w:sz w:val="20"/>
          <w:szCs w:val="20"/>
          <w:color w:val="auto"/>
        </w:rPr>
      </w:pPr>
      <w:r>
        <w:rPr>
          <w:rFonts w:ascii="Courier New" w:cs="Courier New" w:eastAsia="Courier New" w:hAnsi="Courier New"/>
          <w:sz w:val="15"/>
          <w:szCs w:val="15"/>
          <w:color w:val="auto"/>
        </w:rPr>
        <w:t>WE DO NOT ANTICIPATE RECEIVING FUTURE REVENUES FROM THE SALE OF OUR ENCAPSULATED CELL TECHNOLOGY.</w:t>
      </w:r>
    </w:p>
    <w:p>
      <w:pPr>
        <w:spacing w:after="0" w:line="8" w:lineRule="exact"/>
        <w:rPr>
          <w:sz w:val="20"/>
          <w:szCs w:val="20"/>
          <w:color w:val="auto"/>
        </w:rPr>
      </w:pPr>
    </w:p>
    <w:p>
      <w:pPr>
        <w:ind w:right="3159" w:firstLine="358"/>
        <w:spacing w:after="0" w:line="307" w:lineRule="auto"/>
        <w:rPr>
          <w:sz w:val="20"/>
          <w:szCs w:val="20"/>
          <w:color w:val="auto"/>
        </w:rPr>
      </w:pPr>
      <w:r>
        <w:rPr>
          <w:rFonts w:ascii="Courier New" w:cs="Courier New" w:eastAsia="Courier New" w:hAnsi="Courier New"/>
          <w:sz w:val="14"/>
          <w:szCs w:val="14"/>
          <w:color w:val="auto"/>
        </w:rPr>
        <w:t>In December 1999, we sold our encapsulated cell therapy technology to Neurotech S.A. While under the terms of the sale we may receive royalty and other payments from Neurotech under certain circumstances, we do not anticipate receiving any material payments from Neurotech in the near future, if at all.</w:t>
      </w:r>
    </w:p>
    <w:p>
      <w:pPr>
        <w:spacing w:after="0" w:line="49" w:lineRule="exact"/>
        <w:rPr>
          <w:sz w:val="20"/>
          <w:szCs w:val="20"/>
          <w:color w:val="auto"/>
        </w:rPr>
      </w:pPr>
    </w:p>
    <w:p>
      <w:pPr>
        <w:ind w:right="3079" w:firstLine="358"/>
        <w:spacing w:after="0" w:line="272" w:lineRule="auto"/>
        <w:rPr>
          <w:sz w:val="20"/>
          <w:szCs w:val="20"/>
          <w:color w:val="auto"/>
        </w:rPr>
      </w:pPr>
      <w:r>
        <w:rPr>
          <w:rFonts w:ascii="Courier New" w:cs="Courier New" w:eastAsia="Courier New" w:hAnsi="Courier New"/>
          <w:sz w:val="15"/>
          <w:szCs w:val="15"/>
          <w:color w:val="auto"/>
        </w:rPr>
        <w:t>WE DEPEND ON PATENTS AND PROPRIETARY RIGHTS TO PROTECT OUR INTELLECTUAL PROPERTY FROM INFRINGEMENT. NEVERTHELESS, SUCH PROTECTION IS UNCERTAIN AND, IF GAINED, MAY OFFER ONLY LIMITED PROTECTION. IF WE ARE UNABLE TO PROTECT OUR PATENTS AND PROPRIETARY RIGHTS, OUR BUSINESS, FINANCIAL CONDITION AND RESULTS OF OPERATION WILL BE HARMED.</w:t>
      </w:r>
    </w:p>
    <w:p>
      <w:pPr>
        <w:spacing w:after="0" w:line="69" w:lineRule="exact"/>
        <w:rPr>
          <w:sz w:val="20"/>
          <w:szCs w:val="20"/>
          <w:color w:val="auto"/>
        </w:rPr>
      </w:pPr>
    </w:p>
    <w:p>
      <w:pPr>
        <w:ind w:right="3079" w:firstLine="358"/>
        <w:spacing w:after="0" w:line="247" w:lineRule="auto"/>
        <w:rPr>
          <w:sz w:val="20"/>
          <w:szCs w:val="20"/>
          <w:color w:val="auto"/>
        </w:rPr>
      </w:pPr>
      <w:r>
        <w:rPr>
          <w:rFonts w:ascii="Courier New" w:cs="Courier New" w:eastAsia="Courier New" w:hAnsi="Courier New"/>
          <w:sz w:val="15"/>
          <w:szCs w:val="15"/>
          <w:color w:val="auto"/>
        </w:rPr>
        <w:t>We own or license a number of patents or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Since patent applications are secret until patents are issued in the United States or until the applications are published in foreign countries,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Our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9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35" w:right="1440" w:bottom="1440" w:gutter="0" w:footer="0" w:header="0"/>
        </w:sectPr>
      </w:pPr>
    </w:p>
    <w:bookmarkStart w:id="9" w:name="page10"/>
    <w:bookmarkEnd w:id="9"/>
    <w:p>
      <w:pPr>
        <w:ind w:right="3159" w:firstLine="358"/>
        <w:spacing w:after="0" w:line="301" w:lineRule="auto"/>
        <w:rPr>
          <w:sz w:val="20"/>
          <w:szCs w:val="20"/>
          <w:color w:val="auto"/>
        </w:rPr>
      </w:pPr>
      <w:r>
        <w:rPr>
          <w:rFonts w:ascii="Courier New" w:cs="Courier New" w:eastAsia="Courier New" w:hAnsi="Courier New"/>
          <w:sz w:val="15"/>
          <w:szCs w:val="15"/>
          <w:color w:val="auto"/>
        </w:rPr>
        <w:t>IF OTHERS ARE FIRST TO DISCOVER AND PATENT ANY STEM CELLS WE ARE SEEKING TO DISCOVER, WE COULD BE BLOCKED FROM FURTHER WORK ON THAT STEM CELL, AND OUR BUSINESS WOULD BE HARMED.</w:t>
      </w:r>
    </w:p>
    <w:p>
      <w:pPr>
        <w:spacing w:after="0" w:line="49" w:lineRule="exact"/>
        <w:rPr>
          <w:sz w:val="20"/>
          <w:szCs w:val="20"/>
          <w:color w:val="auto"/>
        </w:rPr>
      </w:pPr>
    </w:p>
    <w:p>
      <w:pPr>
        <w:ind w:right="3159" w:firstLine="358"/>
        <w:spacing w:after="0" w:line="288" w:lineRule="auto"/>
        <w:rPr>
          <w:sz w:val="20"/>
          <w:szCs w:val="20"/>
          <w:color w:val="auto"/>
        </w:rPr>
      </w:pPr>
      <w:r>
        <w:rPr>
          <w:rFonts w:ascii="Courier New" w:cs="Courier New" w:eastAsia="Courier New" w:hAnsi="Courier New"/>
          <w:sz w:val="14"/>
          <w:szCs w:val="14"/>
          <w:color w:val="auto"/>
        </w:rPr>
        <w:t>Because the first person or entity to discover and obtain a valid patent to a particular stem or progenitor cell may effectively block all others, it will be important to our development efforts for us or our collaborators to be the first to discover any stem cell that we are seeking. Failure to be the first could prevent us from commercializing all of our research and development related to such stem cell and have a material adverse effect on the Company.</w:t>
      </w:r>
    </w:p>
    <w:p>
      <w:pPr>
        <w:spacing w:after="0" w:line="62" w:lineRule="exact"/>
        <w:rPr>
          <w:sz w:val="20"/>
          <w:szCs w:val="20"/>
          <w:color w:val="auto"/>
        </w:rPr>
      </w:pPr>
    </w:p>
    <w:p>
      <w:pPr>
        <w:ind w:right="3259" w:firstLine="358"/>
        <w:spacing w:after="0" w:line="359" w:lineRule="auto"/>
        <w:rPr>
          <w:sz w:val="20"/>
          <w:szCs w:val="20"/>
          <w:color w:val="auto"/>
        </w:rPr>
      </w:pPr>
      <w:r>
        <w:rPr>
          <w:rFonts w:ascii="Courier New" w:cs="Courier New" w:eastAsia="Courier New" w:hAnsi="Courier New"/>
          <w:sz w:val="15"/>
          <w:szCs w:val="15"/>
          <w:color w:val="auto"/>
        </w:rPr>
        <w:t>WE MAY NEED TO OBTAIN LICENSES TO THIRD PARTY PATENTS, AND MAY NOT BE ABLE TO GET THEM.</w:t>
      </w:r>
    </w:p>
    <w:p>
      <w:pPr>
        <w:spacing w:after="0" w:line="8" w:lineRule="exact"/>
        <w:rPr>
          <w:sz w:val="20"/>
          <w:szCs w:val="20"/>
          <w:color w:val="auto"/>
        </w:rPr>
      </w:pPr>
    </w:p>
    <w:p>
      <w:pPr>
        <w:ind w:right="3079" w:firstLine="358"/>
        <w:spacing w:after="0" w:line="251" w:lineRule="auto"/>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We are also aware of a number of patent applications and patents claiming use of genetically modified cells to treat disease, disorder or injury. We are aware of three patents issued to two competitors claiming certain methods for enriching central nervous system stem cells through gene modification of in vitro cultured cells. These patents were issued or licensed to NeuralStem and Layton Bioscience. It is possible that NeuralStem or Layton Bioscience will be able to produce commercially available stem cell products before we can. These genetically modified cells may be effective in treating defective, diseased or damaged central nervous system tissue.</w:t>
      </w:r>
    </w:p>
    <w:p>
      <w:pPr>
        <w:spacing w:after="0" w:line="92" w:lineRule="exact"/>
        <w:rPr>
          <w:sz w:val="20"/>
          <w:szCs w:val="20"/>
          <w:color w:val="auto"/>
        </w:rPr>
      </w:pPr>
    </w:p>
    <w:p>
      <w:pPr>
        <w:ind w:right="3159" w:firstLine="358"/>
        <w:spacing w:after="0" w:line="254" w:lineRule="auto"/>
        <w:rPr>
          <w:sz w:val="20"/>
          <w:szCs w:val="20"/>
          <w:color w:val="auto"/>
        </w:rPr>
      </w:pPr>
      <w:r>
        <w:rPr>
          <w:rFonts w:ascii="Courier New" w:cs="Courier New" w:eastAsia="Courier New" w:hAnsi="Courier New"/>
          <w:sz w:val="15"/>
          <w:szCs w:val="15"/>
          <w:color w:val="auto"/>
        </w:rPr>
        <w:t>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may have to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86"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w:t>
      </w:r>
    </w:p>
    <w:p>
      <w:pPr>
        <w:spacing w:after="0" w:line="74"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74" w:lineRule="exact"/>
        <w:rPr>
          <w:sz w:val="20"/>
          <w:szCs w:val="20"/>
          <w:color w:val="auto"/>
        </w:rPr>
      </w:pPr>
    </w:p>
    <w:p>
      <w:pPr>
        <w:ind w:right="3079" w:firstLine="358"/>
        <w:spacing w:after="0" w:line="283" w:lineRule="auto"/>
        <w:rPr>
          <w:sz w:val="20"/>
          <w:szCs w:val="20"/>
          <w:color w:val="auto"/>
        </w:rPr>
      </w:pPr>
      <w:r>
        <w:rPr>
          <w:rFonts w:ascii="Courier New" w:cs="Courier New" w:eastAsia="Courier New" w:hAnsi="Courier New"/>
          <w:sz w:val="14"/>
          <w:szCs w:val="14"/>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such licenses could expose us to the risks of third party patents and/or technology. We can give no assurance that any of these licenses will provide effective protection against our competitors.</w:t>
      </w:r>
    </w:p>
    <w:p>
      <w:pPr>
        <w:spacing w:after="0" w:line="6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COMPETE WITH COMPANIES THAT HAVE SIGNIFICANT ADVANTAGES OVER US.</w:t>
      </w:r>
    </w:p>
    <w:p>
      <w:pPr>
        <w:spacing w:after="0" w:line="174" w:lineRule="exact"/>
        <w:rPr>
          <w:sz w:val="20"/>
          <w:szCs w:val="20"/>
          <w:color w:val="auto"/>
        </w:rPr>
      </w:pPr>
    </w:p>
    <w:p>
      <w:pPr>
        <w:ind w:right="3159" w:firstLine="358"/>
        <w:spacing w:after="0" w:line="301"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We expect competition to increase. We believe that our most significant competitors will be</w:t>
      </w: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35" w:right="1440" w:bottom="1440" w:gutter="0" w:footer="0" w:header="0"/>
        </w:sectPr>
      </w:pPr>
    </w:p>
    <w:bookmarkStart w:id="10" w:name="page11"/>
    <w:bookmarkEnd w:id="10"/>
    <w:p>
      <w:pPr>
        <w:ind w:right="3079"/>
        <w:spacing w:after="0" w:line="253" w:lineRule="auto"/>
        <w:rPr>
          <w:sz w:val="20"/>
          <w:szCs w:val="20"/>
          <w:color w:val="auto"/>
        </w:rPr>
      </w:pPr>
      <w:r>
        <w:rPr>
          <w:rFonts w:ascii="Courier New" w:cs="Courier New" w:eastAsia="Courier New" w:hAnsi="Courier New"/>
          <w:sz w:val="15"/>
          <w:szCs w:val="15"/>
          <w:color w:val="auto"/>
        </w:rPr>
        <w:t>fully integrated pharmaceutical companies and more established biotechnology companies, such as Biogen, Inc. and Genzyme, an Elan Corporation. These companies already produce or are developing treatments for degenerative diseases that are not stem-cell 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stem-cell based.</w:t>
      </w:r>
    </w:p>
    <w:p>
      <w:pPr>
        <w:spacing w:after="0" w:line="87" w:lineRule="exact"/>
        <w:rPr>
          <w:sz w:val="20"/>
          <w:szCs w:val="20"/>
          <w:color w:val="auto"/>
        </w:rPr>
      </w:pPr>
    </w:p>
    <w:p>
      <w:pPr>
        <w:ind w:right="3079" w:firstLine="358"/>
        <w:spacing w:after="0" w:line="301" w:lineRule="auto"/>
        <w:rPr>
          <w:sz w:val="20"/>
          <w:szCs w:val="20"/>
          <w:color w:val="auto"/>
        </w:rPr>
      </w:pPr>
      <w:r>
        <w:rPr>
          <w:rFonts w:ascii="Courier New" w:cs="Courier New" w:eastAsia="Courier New" w:hAnsi="Courier New"/>
          <w:sz w:val="15"/>
          <w:szCs w:val="15"/>
          <w:color w:val="auto"/>
        </w:rPr>
        <w:t>Our competitors may succeed in developing technologies and products that are more effective than those being developed by us, or that would render our technology obsolete or non-competitive.</w:t>
      </w:r>
    </w:p>
    <w:p>
      <w:pPr>
        <w:spacing w:after="0" w:line="49" w:lineRule="exact"/>
        <w:rPr>
          <w:sz w:val="20"/>
          <w:szCs w:val="20"/>
          <w:color w:val="auto"/>
        </w:rPr>
      </w:pPr>
    </w:p>
    <w:p>
      <w:pPr>
        <w:ind w:right="3259" w:firstLine="358"/>
        <w:spacing w:after="0" w:line="266" w:lineRule="auto"/>
        <w:rPr>
          <w:sz w:val="20"/>
          <w:szCs w:val="20"/>
          <w:color w:val="auto"/>
        </w:rPr>
      </w:pPr>
      <w:r>
        <w:rPr>
          <w:rFonts w:ascii="Courier New" w:cs="Courier New" w:eastAsia="Courier New" w:hAnsi="Courier New"/>
          <w:sz w:val="15"/>
          <w:szCs w:val="15"/>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74" w:lineRule="exact"/>
        <w:rPr>
          <w:sz w:val="20"/>
          <w:szCs w:val="20"/>
          <w:color w:val="auto"/>
        </w:rPr>
      </w:pPr>
    </w:p>
    <w:p>
      <w:pPr>
        <w:ind w:right="3699" w:firstLine="358"/>
        <w:spacing w:after="0" w:line="359" w:lineRule="auto"/>
        <w:rPr>
          <w:sz w:val="20"/>
          <w:szCs w:val="20"/>
          <w:color w:val="auto"/>
        </w:rPr>
      </w:pPr>
      <w:r>
        <w:rPr>
          <w:rFonts w:ascii="Courier New" w:cs="Courier New" w:eastAsia="Courier New" w:hAnsi="Courier New"/>
          <w:sz w:val="15"/>
          <w:szCs w:val="15"/>
          <w:color w:val="auto"/>
        </w:rPr>
        <w:t>DEVELOPMENT OF OUR TECHNOLOGY WILL BE SUBJECT TO EXTENSIVE GOVERNMENT REGULATION.</w:t>
      </w:r>
    </w:p>
    <w:p>
      <w:pPr>
        <w:spacing w:after="0" w:line="8" w:lineRule="exact"/>
        <w:rPr>
          <w:sz w:val="20"/>
          <w:szCs w:val="20"/>
          <w:color w:val="auto"/>
        </w:rPr>
      </w:pPr>
    </w:p>
    <w:p>
      <w:pPr>
        <w:ind w:right="3079" w:firstLine="358"/>
        <w:spacing w:after="0" w:line="253" w:lineRule="auto"/>
        <w:rPr>
          <w:sz w:val="20"/>
          <w:szCs w:val="20"/>
          <w:color w:val="auto"/>
        </w:rPr>
      </w:pPr>
      <w:r>
        <w:rPr>
          <w:rFonts w:ascii="Courier New" w:cs="Courier New" w:eastAsia="Courier New" w:hAnsi="Courier New"/>
          <w:sz w:val="15"/>
          <w:szCs w:val="15"/>
          <w:color w:val="auto"/>
        </w:rPr>
        <w:t>Our research and development efforts, as well as any future clinical trials, and the manufacturing and marketing of any products we may develop, will be subject to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United States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87" w:lineRule="exact"/>
        <w:rPr>
          <w:sz w:val="20"/>
          <w:szCs w:val="20"/>
          <w:color w:val="auto"/>
        </w:rPr>
      </w:pPr>
    </w:p>
    <w:p>
      <w:pPr>
        <w:ind w:right="3079" w:firstLine="358"/>
        <w:spacing w:after="0" w:line="255" w:lineRule="auto"/>
        <w:rPr>
          <w:sz w:val="20"/>
          <w:szCs w:val="20"/>
          <w:color w:val="auto"/>
        </w:rPr>
      </w:pPr>
      <w:r>
        <w:rPr>
          <w:rFonts w:ascii="Courier New" w:cs="Courier New" w:eastAsia="Courier New" w:hAnsi="Courier New"/>
          <w:sz w:val="15"/>
          <w:szCs w:val="15"/>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87"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We may apply for status under the Orphan Drug Act for certain of our therapies, in order to gain a seven year period of marketing exclusivity for those therapies. The U.S. Congress in the past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8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DEPEND ON A LIMITED NUMBER OF KEY PERSONNEL.</w:t>
      </w:r>
    </w:p>
    <w:p>
      <w:pPr>
        <w:spacing w:after="0" w:line="174"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We are highly dependent on the principal members of our management and scientific staff and certain of our outside consultants, including the members of our scientific advisory board, our chief 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w:t>
      </w:r>
    </w:p>
    <w:p>
      <w:pPr>
        <w:spacing w:after="0" w:line="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35" w:right="1440" w:bottom="1440" w:gutter="0" w:footer="0" w:header="0"/>
        </w:sectPr>
      </w:pPr>
    </w:p>
    <w:bookmarkStart w:id="11" w:name="page12"/>
    <w:bookmarkEnd w:id="11"/>
    <w:p>
      <w:pPr>
        <w:ind w:right="3079"/>
        <w:spacing w:after="0" w:line="252" w:lineRule="auto"/>
        <w:rPr>
          <w:sz w:val="20"/>
          <w:szCs w:val="20"/>
          <w:color w:val="auto"/>
        </w:rPr>
      </w:pPr>
      <w:r>
        <w:rPr>
          <w:rFonts w:ascii="Courier New" w:cs="Courier New" w:eastAsia="Courier New" w:hAnsi="Courier New"/>
          <w:sz w:val="15"/>
          <w:szCs w:val="15"/>
          <w:color w:val="auto"/>
        </w:rPr>
        <w:t>personnel in key management and scientific positions who are not permanent employees. Loss of services of any of these individuals could have a material adverse effect on our operations, because these individuals possess management experience or specialized scientific skills which we do not otherwise have and which we may not be able to replace. In addition, our operations are dependent upon our ability to attract and retain additional qualified scientific and management personnel. More generally, we may not 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89" w:lineRule="exact"/>
        <w:rPr>
          <w:sz w:val="20"/>
          <w:szCs w:val="20"/>
          <w:color w:val="auto"/>
        </w:rPr>
      </w:pPr>
    </w:p>
    <w:p>
      <w:pPr>
        <w:ind w:right="3159" w:firstLine="358"/>
        <w:spacing w:after="0" w:line="283" w:lineRule="auto"/>
        <w:rPr>
          <w:sz w:val="20"/>
          <w:szCs w:val="20"/>
          <w:color w:val="auto"/>
        </w:rPr>
      </w:pPr>
      <w:r>
        <w:rPr>
          <w:rFonts w:ascii="Courier New" w:cs="Courier New" w:eastAsia="Courier New" w:hAnsi="Courier New"/>
          <w:sz w:val="14"/>
          <w:szCs w:val="14"/>
          <w:color w:val="auto"/>
        </w:rPr>
        <w:t>On September 22, 2000 we announced that George Dunbar, our acting President and Chief Executive Officer, would be phasing out his service. Mr. Dunbar will continue in his position on a reduced time basis during this transition period. We are actively seeking to hire a permanent chief executive officer, but we can give no assurance that we will be able to find a candidate possessing the necessary qualifications. If we are unable to hire and retain a qualified chief executive officer, our business and operations could suffer materially.</w:t>
      </w:r>
    </w:p>
    <w:p>
      <w:pPr>
        <w:spacing w:after="0" w:line="67" w:lineRule="exact"/>
        <w:rPr>
          <w:sz w:val="20"/>
          <w:szCs w:val="20"/>
          <w:color w:val="auto"/>
        </w:rPr>
      </w:pPr>
    </w:p>
    <w:p>
      <w:pPr>
        <w:ind w:right="3159" w:firstLine="358"/>
        <w:spacing w:after="0" w:line="359" w:lineRule="auto"/>
        <w:rPr>
          <w:sz w:val="20"/>
          <w:szCs w:val="20"/>
          <w:color w:val="auto"/>
        </w:rPr>
      </w:pPr>
      <w:r>
        <w:rPr>
          <w:rFonts w:ascii="Courier New" w:cs="Courier New" w:eastAsia="Courier New" w:hAnsi="Courier New"/>
          <w:sz w:val="15"/>
          <w:szCs w:val="15"/>
          <w:color w:val="auto"/>
        </w:rPr>
        <w:t>HEALTHCARE INSURERS AND OTHER ORGANIZATIONS MAY NOT PAY FOR OUR PRODUCTS OR MAY IMPOSE LIMITS ON REIMBURSEMENTS.</w:t>
      </w:r>
    </w:p>
    <w:p>
      <w:pPr>
        <w:spacing w:after="0" w:line="8" w:lineRule="exact"/>
        <w:rPr>
          <w:sz w:val="20"/>
          <w:szCs w:val="20"/>
          <w:color w:val="auto"/>
        </w:rPr>
      </w:pPr>
    </w:p>
    <w:p>
      <w:pPr>
        <w:ind w:right="3079" w:firstLine="358"/>
        <w:spacing w:after="0" w:line="249" w:lineRule="auto"/>
        <w:rPr>
          <w:sz w:val="20"/>
          <w:szCs w:val="20"/>
          <w:color w:val="auto"/>
        </w:rPr>
      </w:pPr>
      <w:r>
        <w:rPr>
          <w:rFonts w:ascii="Courier New" w:cs="Courier New" w:eastAsia="Courier New" w:hAnsi="Courier New"/>
          <w:sz w:val="15"/>
          <w:szCs w:val="15"/>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95"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In certain foreign markets, pricing or profitability of prescription pharmaceuticals is subject to government control. We expect that there will continue to be a number of Federal and state proposals to implement government control over health care costs. Efforts at healthcare reform are likely to continue in future legislative sessions. We do not know what legislative proposals Federal or state governments will adopt or what actions Federal, state or private payers for healthcare goods and services may take in response to healthcare reform proposals or legislation. We cannot predict the effect government control and other healthcare reforms may have on our business.</w:t>
      </w:r>
    </w:p>
    <w:p>
      <w:pPr>
        <w:spacing w:after="0" w:line="8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4"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Our operating results have varied, and may in the future continue to vary, significantly from quarter to quarter due to a variety of factors. These factors include the receipt of one-time license or milestone payments under collaborative agreements, costs associated with the winddown of our encapsulated cell therapy programs, variation in the level of expenses related to our research and development efforts, receipt of grants or other support for our research and development efforts, and other factors. Quarterly comparisons of our financial results are not necessarily meaningful and you should not rely upon them as an indication of future performance.</w:t>
      </w:r>
    </w:p>
    <w:p>
      <w:pPr>
        <w:spacing w:after="0" w:line="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35" w:right="1440" w:bottom="1440" w:gutter="0" w:footer="0" w:header="0"/>
        </w:sectPr>
      </w:pPr>
    </w:p>
    <w:bookmarkStart w:id="12" w:name="page13"/>
    <w:bookmarkEnd w:id="12"/>
    <w:p>
      <w:pPr>
        <w:ind w:left="440" w:right="3079" w:hanging="88"/>
        <w:spacing w:after="0" w:line="359" w:lineRule="auto"/>
        <w:rPr>
          <w:sz w:val="20"/>
          <w:szCs w:val="20"/>
          <w:color w:val="auto"/>
        </w:rPr>
      </w:pPr>
      <w:r>
        <w:rPr>
          <w:rFonts w:ascii="Courier New" w:cs="Courier New" w:eastAsia="Courier New" w:hAnsi="Courier New"/>
          <w:sz w:val="15"/>
          <w:szCs w:val="15"/>
          <w:color w:val="auto"/>
        </w:rPr>
        <w:t>OUR STOCK PRICE MAY BE VOLATILE AND THIS VOLATILITY COULD RESULT IN LAWSUITS OR MAKE IT DIFFICULT TO RAISE CAPITAL.</w:t>
      </w:r>
    </w:p>
    <w:p>
      <w:pPr>
        <w:spacing w:after="0" w:line="8" w:lineRule="exact"/>
        <w:rPr>
          <w:sz w:val="20"/>
          <w:szCs w:val="20"/>
          <w:color w:val="auto"/>
        </w:rPr>
      </w:pPr>
    </w:p>
    <w:p>
      <w:pPr>
        <w:jc w:val="both"/>
        <w:ind w:right="3339" w:firstLine="358"/>
        <w:spacing w:after="0" w:line="281" w:lineRule="auto"/>
        <w:rPr>
          <w:sz w:val="20"/>
          <w:szCs w:val="20"/>
          <w:color w:val="auto"/>
        </w:rPr>
      </w:pPr>
      <w:r>
        <w:rPr>
          <w:rFonts w:ascii="Courier New" w:cs="Courier New" w:eastAsia="Courier New" w:hAnsi="Courier New"/>
          <w:sz w:val="15"/>
          <w:szCs w:val="15"/>
          <w:color w:val="auto"/>
        </w:rPr>
        <w:t>The market price for our common stock has been volatile and could decline below the offering price for the shares. We believe that the market price for our common stock could fluctuate substantially due to some or all of the risk factors enumerated above.</w:t>
      </w:r>
    </w:p>
    <w:p>
      <w:pPr>
        <w:spacing w:after="0" w:line="64" w:lineRule="exact"/>
        <w:rPr>
          <w:sz w:val="20"/>
          <w:szCs w:val="20"/>
          <w:color w:val="auto"/>
        </w:rPr>
      </w:pPr>
    </w:p>
    <w:p>
      <w:pPr>
        <w:ind w:right="3079" w:firstLine="358"/>
        <w:spacing w:after="0" w:line="253" w:lineRule="auto"/>
        <w:rPr>
          <w:sz w:val="20"/>
          <w:szCs w:val="20"/>
          <w:color w:val="auto"/>
        </w:rPr>
      </w:pPr>
      <w:r>
        <w:rPr>
          <w:rFonts w:ascii="Courier New" w:cs="Courier New" w:eastAsia="Courier New" w:hAnsi="Courier New"/>
          <w:sz w:val="15"/>
          <w:szCs w:val="15"/>
          <w:color w:val="auto"/>
        </w:rPr>
        <w:t>The stock market has recently experienced extreme price and volume fluctuations. These fluctuations have especially affected the market price of the stock of many high technology and health care-related companies. Such fluctuations have often been unrelated to the operating performance of these companies. Nonetheless, these broad market fluctuations may negatively affect the market price of our common stock. In the past, companies that have experienced volatility in the market price of their stock have been the objects of securities class action litigation. If we were the object of securities class action litigation, we could incur material costs and suffer a diversion of our management's attention and resources. In addition, volatility in our stock price may make it difficult for us to obtain additional capital resources through financings on terms acceptable to us.</w:t>
      </w:r>
    </w:p>
    <w:p>
      <w:pPr>
        <w:spacing w:after="0" w:line="87" w:lineRule="exact"/>
        <w:rPr>
          <w:sz w:val="20"/>
          <w:szCs w:val="20"/>
          <w:color w:val="auto"/>
        </w:rPr>
      </w:pPr>
    </w:p>
    <w:p>
      <w:pPr>
        <w:ind w:right="3079" w:firstLine="358"/>
        <w:spacing w:after="0" w:line="359" w:lineRule="auto"/>
        <w:rPr>
          <w:sz w:val="20"/>
          <w:szCs w:val="20"/>
          <w:color w:val="auto"/>
        </w:rPr>
      </w:pPr>
      <w:r>
        <w:rPr>
          <w:rFonts w:ascii="Courier New" w:cs="Courier New" w:eastAsia="Courier New" w:hAnsi="Courier New"/>
          <w:sz w:val="15"/>
          <w:szCs w:val="15"/>
          <w:color w:val="auto"/>
        </w:rPr>
        <w:t>EVENTS WITH RESPECT TO OUR SHARE CAPITAL COULD CAUSE THE PRICE OF OUR COMMON STOCK TO DECLINE.</w:t>
      </w:r>
    </w:p>
    <w:p>
      <w:pPr>
        <w:spacing w:after="0" w:line="8" w:lineRule="exact"/>
        <w:rPr>
          <w:sz w:val="20"/>
          <w:szCs w:val="20"/>
          <w:color w:val="auto"/>
        </w:rPr>
      </w:pPr>
    </w:p>
    <w:p>
      <w:pPr>
        <w:ind w:right="3159" w:firstLine="358"/>
        <w:spacing w:after="0" w:line="259" w:lineRule="auto"/>
        <w:rPr>
          <w:sz w:val="20"/>
          <w:szCs w:val="20"/>
          <w:color w:val="auto"/>
        </w:rPr>
      </w:pPr>
      <w:r>
        <w:rPr>
          <w:rFonts w:ascii="Courier New" w:cs="Courier New" w:eastAsia="Courier New" w:hAnsi="Courier New"/>
          <w:sz w:val="15"/>
          <w:szCs w:val="15"/>
          <w:color w:val="auto"/>
        </w:rPr>
        <w:t>Sales of substantial amounts of our common stock on the open market, or the availability of such shares for sale, could adversely affect the price of our common stock. In particular, as of October 31, 2000, we had outstanding stock options to purchase approximately 2,566,530 shares of common stock, at an average exercise price of approximately $4.402 per share, subject to adjustment in certain circumstances. Of this total, options covering approximately 941,309 shares are currently exercisable at an average exercise price of approximately $4.742 per share.</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35" w:right="1440" w:bottom="1440" w:gutter="0" w:footer="0" w:header="0"/>
        </w:sectPr>
      </w:pPr>
    </w:p>
    <w:bookmarkStart w:id="13" w:name="page14"/>
    <w:bookmarkEnd w:id="13"/>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079" w:firstLine="358"/>
        <w:spacing w:after="0" w:line="248" w:lineRule="auto"/>
        <w:rPr>
          <w:sz w:val="20"/>
          <w:szCs w:val="20"/>
          <w:color w:val="auto"/>
        </w:rPr>
      </w:pPr>
      <w:r>
        <w:rPr>
          <w:rFonts w:ascii="Courier New" w:cs="Courier New" w:eastAsia="Courier New" w:hAnsi="Courier New"/>
          <w:sz w:val="15"/>
          <w:szCs w:val="15"/>
          <w:color w:val="auto"/>
        </w:rPr>
        <w:t>This prospectus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 looking statements attributable to us or persons acting on our behalf are expressly qualified in their entirety by the cautionary statements and risk factors contained throughout this prospectus.</w:t>
      </w:r>
    </w:p>
    <w:p>
      <w:pPr>
        <w:spacing w:after="0" w:line="9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INDUSTRY AND MARKET DATA</w:t>
      </w:r>
    </w:p>
    <w:p>
      <w:pPr>
        <w:spacing w:after="0" w:line="174" w:lineRule="exact"/>
        <w:rPr>
          <w:sz w:val="20"/>
          <w:szCs w:val="20"/>
          <w:color w:val="auto"/>
        </w:rPr>
      </w:pPr>
    </w:p>
    <w:p>
      <w:pPr>
        <w:ind w:right="3079" w:firstLine="358"/>
        <w:spacing w:after="0" w:line="288" w:lineRule="auto"/>
        <w:rPr>
          <w:sz w:val="20"/>
          <w:szCs w:val="20"/>
          <w:color w:val="auto"/>
        </w:rPr>
      </w:pPr>
      <w:r>
        <w:rPr>
          <w:rFonts w:ascii="Courier New" w:cs="Courier New" w:eastAsia="Courier New" w:hAnsi="Courier New"/>
          <w:sz w:val="14"/>
          <w:szCs w:val="14"/>
          <w:color w:val="auto"/>
        </w:rPr>
        <w:t>In this prospectus, we rely on and refer to information and statistics regarding disease occurrences, costs of treatment, biotechnology, and the market sectors in which we may compete in the future. We obtained this information and statistics from various third party sources, discussions with our consultants and/or our own internal estimates. We believe that these sources and estimates are reliable, but we have not independently verified them.</w:t>
      </w:r>
    </w:p>
    <w:p>
      <w:pPr>
        <w:spacing w:after="0" w:line="6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779" w:firstLine="358"/>
        <w:spacing w:after="0" w:line="359" w:lineRule="auto"/>
        <w:rPr>
          <w:sz w:val="20"/>
          <w:szCs w:val="20"/>
          <w:color w:val="auto"/>
        </w:rPr>
      </w:pPr>
      <w:r>
        <w:rPr>
          <w:rFonts w:ascii="Courier New" w:cs="Courier New" w:eastAsia="Courier New" w:hAnsi="Courier New"/>
          <w:sz w:val="15"/>
          <w:szCs w:val="15"/>
          <w:color w:val="auto"/>
        </w:rPr>
        <w:t>We will not receive any proceeds from the sale of the shares offered pursuant to this prospectus.</w:t>
      </w:r>
    </w:p>
    <w:p>
      <w:pPr>
        <w:spacing w:after="0" w:line="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259" w:firstLine="358"/>
        <w:spacing w:after="0" w:line="259" w:lineRule="auto"/>
        <w:rPr>
          <w:sz w:val="20"/>
          <w:szCs w:val="20"/>
          <w:color w:val="auto"/>
        </w:rPr>
      </w:pPr>
      <w:r>
        <w:rPr>
          <w:rFonts w:ascii="Courier New" w:cs="Courier New" w:eastAsia="Courier New" w:hAnsi="Courier New"/>
          <w:sz w:val="15"/>
          <w:szCs w:val="15"/>
          <w:color w:val="auto"/>
        </w:rPr>
        <w:t>We have never declared or paid any cash dividends on our common stock. We currently intend to retain any future earnings to fund the development and growth of our business. We do not, therefore, anticipate paying any cash dividends in the foreseeable future. Any future determination to pay dividends will be at the discretion of our board of directors and will be dependent on then existing conditions, including our financial stability, results of operations, contractual restrictions, capital requirements, business prospects and other factors our board of directors deems relevant.</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35" w:right="1440" w:bottom="1440" w:gutter="0" w:footer="0" w:header="0"/>
        </w:sectPr>
      </w:pPr>
    </w:p>
    <w:bookmarkStart w:id="14" w:name="page15"/>
    <w:bookmarkEnd w:id="14"/>
    <w:p>
      <w:pPr>
        <w:ind w:left="2940"/>
        <w:spacing w:after="0"/>
        <w:rPr>
          <w:sz w:val="20"/>
          <w:szCs w:val="20"/>
          <w:color w:val="auto"/>
        </w:rPr>
      </w:pPr>
      <w:r>
        <w:rPr>
          <w:rFonts w:ascii="Courier New" w:cs="Courier New" w:eastAsia="Courier New" w:hAnsi="Courier New"/>
          <w:sz w:val="15"/>
          <w:szCs w:val="15"/>
          <w:color w:val="auto"/>
        </w:rPr>
        <w:t>CAPITALIZATION</w:t>
      </w:r>
    </w:p>
    <w:p>
      <w:pPr>
        <w:spacing w:after="0" w:line="174" w:lineRule="exact"/>
        <w:rPr>
          <w:sz w:val="20"/>
          <w:szCs w:val="20"/>
          <w:color w:val="auto"/>
        </w:rPr>
      </w:pPr>
    </w:p>
    <w:p>
      <w:pPr>
        <w:ind w:right="3959" w:firstLine="358"/>
        <w:spacing w:after="0" w:line="359" w:lineRule="auto"/>
        <w:rPr>
          <w:sz w:val="20"/>
          <w:szCs w:val="20"/>
          <w:color w:val="auto"/>
        </w:rPr>
      </w:pPr>
      <w:r>
        <w:rPr>
          <w:rFonts w:ascii="Courier New" w:cs="Courier New" w:eastAsia="Courier New" w:hAnsi="Courier New"/>
          <w:sz w:val="15"/>
          <w:szCs w:val="15"/>
          <w:color w:val="auto"/>
        </w:rPr>
        <w:t>The following table presents our consolidated capitalization as of September 30, 2000. This table excludes</w:t>
      </w:r>
    </w:p>
    <w:p>
      <w:pPr>
        <w:spacing w:after="0" w:line="8" w:lineRule="exact"/>
        <w:rPr>
          <w:sz w:val="20"/>
          <w:szCs w:val="20"/>
          <w:color w:val="auto"/>
        </w:rPr>
      </w:pPr>
    </w:p>
    <w:p>
      <w:pPr>
        <w:ind w:left="520" w:right="3079" w:hanging="170"/>
        <w:spacing w:after="0" w:line="359"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2,797,518 shares of common stock issuable upon the exercise of outstanding stock options and warrants as follows:</w:t>
      </w:r>
    </w:p>
    <w:p>
      <w:pPr>
        <w:spacing w:after="0" w:line="7" w:lineRule="exact"/>
        <w:rPr>
          <w:rFonts w:ascii="Courier New" w:cs="Courier New" w:eastAsia="Courier New" w:hAnsi="Courier New"/>
          <w:sz w:val="15"/>
          <w:szCs w:val="15"/>
          <w:color w:val="auto"/>
        </w:rPr>
      </w:pPr>
    </w:p>
    <w:p>
      <w:pPr>
        <w:ind w:left="700" w:right="3519" w:hanging="261"/>
        <w:spacing w:after="0" w:line="30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30, 2000, 2,501,031 shares of common stock upon the exercise of stock options pursuant to our stock option plans at a weighted average price of $4.209 per share.</w:t>
      </w:r>
    </w:p>
    <w:p>
      <w:pPr>
        <w:spacing w:after="0" w:line="48" w:lineRule="exact"/>
        <w:rPr>
          <w:rFonts w:ascii="Courier New" w:cs="Courier New" w:eastAsia="Courier New" w:hAnsi="Courier New"/>
          <w:sz w:val="15"/>
          <w:szCs w:val="15"/>
          <w:color w:val="auto"/>
        </w:rPr>
      </w:pPr>
    </w:p>
    <w:p>
      <w:pPr>
        <w:ind w:left="700" w:right="3339" w:hanging="261"/>
        <w:spacing w:after="0" w:line="30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101,587 shares of common stock upon the exercise of a warrant held by Millennium Partners, L.P in conjunction with the aforementioned August 3, 2000 financing at an exercise price of $4.725 per share.</w:t>
      </w:r>
    </w:p>
    <w:p>
      <w:pPr>
        <w:spacing w:after="0" w:line="48" w:lineRule="exact"/>
        <w:rPr>
          <w:rFonts w:ascii="Courier New" w:cs="Courier New" w:eastAsia="Courier New" w:hAnsi="Courier New"/>
          <w:sz w:val="15"/>
          <w:szCs w:val="15"/>
          <w:color w:val="auto"/>
        </w:rPr>
      </w:pPr>
    </w:p>
    <w:p>
      <w:pPr>
        <w:ind w:left="700" w:right="3439" w:hanging="261"/>
        <w:spacing w:after="0" w:line="30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19,900 shares of common stock upon the exercise of a warrant held by Millennium Partners, L.P. in conjunction with the aforementioned August 30, 2000 financing at an exercise price of $6.03 per share.</w:t>
      </w:r>
    </w:p>
    <w:p>
      <w:pPr>
        <w:spacing w:after="0" w:line="48" w:lineRule="exact"/>
        <w:rPr>
          <w:rFonts w:ascii="Courier New" w:cs="Courier New" w:eastAsia="Courier New" w:hAnsi="Courier New"/>
          <w:sz w:val="15"/>
          <w:szCs w:val="15"/>
          <w:color w:val="auto"/>
        </w:rPr>
      </w:pPr>
    </w:p>
    <w:p>
      <w:pPr>
        <w:jc w:val="both"/>
        <w:ind w:left="700" w:right="3159" w:hanging="261"/>
        <w:spacing w:after="0" w:line="331" w:lineRule="auto"/>
        <w:tabs>
          <w:tab w:leader="none" w:pos="7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 shares of common stock upon the exercise of warrants granted to May Davis Group, Inc. and four of its affiliates in connection with the aforementioned financing at an exercise price of $5.0375 per share.</w:t>
      </w:r>
    </w:p>
    <w:p>
      <w:pPr>
        <w:spacing w:after="0" w:line="31" w:lineRule="exact"/>
        <w:rPr>
          <w:rFonts w:ascii="Courier New" w:cs="Courier New" w:eastAsia="Courier New" w:hAnsi="Courier New"/>
          <w:sz w:val="14"/>
          <w:szCs w:val="14"/>
          <w:color w:val="auto"/>
        </w:rPr>
      </w:pPr>
    </w:p>
    <w:p>
      <w:pPr>
        <w:ind w:left="700" w:right="3159" w:hanging="261"/>
        <w:spacing w:after="0" w:line="30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75,000 shares of common stock upon the exercise of warrants at $6.58125 per share held by holders of our 6% cumulative convertible preferred stock purchased on April 13, 2000 for $1,500,000.</w:t>
      </w:r>
    </w:p>
    <w:p>
      <w:pPr>
        <w:spacing w:after="0" w:line="48" w:lineRule="exact"/>
        <w:rPr>
          <w:rFonts w:ascii="Courier New" w:cs="Courier New" w:eastAsia="Courier New" w:hAnsi="Courier New"/>
          <w:sz w:val="15"/>
          <w:szCs w:val="15"/>
          <w:color w:val="auto"/>
        </w:rPr>
      </w:pPr>
    </w:p>
    <w:p>
      <w:pPr>
        <w:ind w:left="520" w:right="3259" w:hanging="170"/>
        <w:spacing w:after="0" w:line="272"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under certain circumstances for holders of our 6% cumulative convertible preferred stock to acquire up to a total of 1,126 additional shares of our 6% cumulative convertible preferred stock, which is convertible at the option of the holders into common stock at $6.33 per share subject to customary antidilution protection.</w:t>
      </w:r>
    </w:p>
    <w:p>
      <w:pPr>
        <w:spacing w:after="0" w:line="69" w:lineRule="exact"/>
        <w:rPr>
          <w:rFonts w:ascii="Courier New" w:cs="Courier New" w:eastAsia="Courier New" w:hAnsi="Courier New"/>
          <w:sz w:val="15"/>
          <w:szCs w:val="15"/>
          <w:color w:val="auto"/>
        </w:rPr>
      </w:pPr>
    </w:p>
    <w:p>
      <w:pPr>
        <w:ind w:left="520" w:right="3779" w:hanging="170"/>
        <w:spacing w:after="0" w:line="359"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L.P.'s option to purchase up to an additional $2,000,000 of common stock through August 3, 2001.</w:t>
      </w:r>
    </w:p>
    <w:p>
      <w:pPr>
        <w:spacing w:after="0" w:line="7" w:lineRule="exact"/>
        <w:rPr>
          <w:rFonts w:ascii="Courier New" w:cs="Courier New" w:eastAsia="Courier New" w:hAnsi="Courier New"/>
          <w:sz w:val="15"/>
          <w:szCs w:val="15"/>
          <w:color w:val="auto"/>
        </w:rPr>
      </w:pPr>
    </w:p>
    <w:p>
      <w:pPr>
        <w:ind w:left="520" w:right="3159" w:hanging="170"/>
        <w:spacing w:after="0" w:line="301"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the holders of our 6% cumulative convertible preferred stock to convert their preferred shares into 397,878 shares of common stock at $3.77 per share.</w:t>
      </w:r>
    </w:p>
    <w:p>
      <w:pPr>
        <w:spacing w:after="0" w:line="49" w:lineRule="exact"/>
        <w:rPr>
          <w:sz w:val="20"/>
          <w:szCs w:val="20"/>
          <w:color w:val="auto"/>
        </w:rPr>
      </w:pPr>
    </w:p>
    <w:p>
      <w:pPr>
        <w:jc w:val="both"/>
        <w:ind w:right="3159" w:firstLine="358"/>
        <w:spacing w:after="0" w:line="331" w:lineRule="auto"/>
        <w:rPr>
          <w:sz w:val="20"/>
          <w:szCs w:val="20"/>
          <w:color w:val="auto"/>
        </w:rPr>
      </w:pPr>
      <w:r>
        <w:rPr>
          <w:rFonts w:ascii="Courier New" w:cs="Courier New" w:eastAsia="Courier New" w:hAnsi="Courier New"/>
          <w:sz w:val="14"/>
          <w:szCs w:val="14"/>
          <w:color w:val="auto"/>
        </w:rPr>
        <w:t>This table should be read in conjunction with "Management's Discussion and Analysis of Financial Condition and Results of Operations" and our consolidated financial statements and notes thereto included elsewhere in this prospectus.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AS OF</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4"/>
        </w:trPr>
        <w:tc>
          <w:tcPr>
            <w:tcW w:w="5440" w:type="dxa"/>
            <w:vAlign w:val="bottom"/>
          </w:tcPr>
          <w:p>
            <w:pPr>
              <w:jc w:val="right"/>
              <w:ind w:right="3485"/>
              <w:spacing w:after="0"/>
              <w:rPr>
                <w:sz w:val="20"/>
                <w:szCs w:val="20"/>
                <w:color w:val="auto"/>
              </w:rPr>
            </w:pPr>
            <w:r>
              <w:rPr>
                <w:rFonts w:ascii="Courier New" w:cs="Courier New" w:eastAsia="Courier New" w:hAnsi="Courier New"/>
                <w:sz w:val="15"/>
                <w:szCs w:val="15"/>
                <w:color w:val="auto"/>
                <w:w w:val="98"/>
              </w:rPr>
              <w:t>Stockholders' equity:</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Convertible Preferred Stock, par value $0.01 per share,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1,000,000 shares authorized, 2,626 designated as 6%</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Cumulative Convertible Preferred Stock, 1,500 shares</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1,500,000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w:t>
            </w:r>
          </w:p>
        </w:tc>
        <w:tc>
          <w:tcPr>
            <w:tcW w:w="1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par value $0.01 per share, 45,000,000 shares</w:t>
            </w:r>
          </w:p>
        </w:tc>
        <w:tc>
          <w:tcPr>
            <w:tcW w:w="180" w:type="dxa"/>
            <w:vAlign w:val="bottom"/>
          </w:tcPr>
          <w:p>
            <w:pPr>
              <w:spacing w:after="0"/>
              <w:rPr>
                <w:sz w:val="14"/>
                <w:szCs w:val="14"/>
                <w:color w:val="auto"/>
              </w:rPr>
            </w:pP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208,818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20,881,812 shares issued....................</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paid-in-capital................................</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134,698,668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(1,250,004)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(124,237,900)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27,204,333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(997,664)</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37,126,251</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544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35" w:right="1440" w:bottom="1440" w:gutter="0" w:footer="0" w:header="0"/>
        </w:sectPr>
      </w:pPr>
    </w:p>
    <w:bookmarkStart w:id="15" w:name="page16"/>
    <w:bookmarkEnd w:id="15"/>
    <w:p>
      <w:pPr>
        <w:jc w:val="center"/>
        <w:ind w:right="3079"/>
        <w:spacing w:after="0"/>
        <w:rPr>
          <w:sz w:val="20"/>
          <w:szCs w:val="20"/>
          <w:color w:val="auto"/>
        </w:rPr>
      </w:pPr>
      <w:r>
        <w:rPr>
          <w:rFonts w:ascii="Courier New" w:cs="Courier New" w:eastAsia="Courier New" w:hAnsi="Courier New"/>
          <w:sz w:val="15"/>
          <w:szCs w:val="15"/>
          <w:color w:val="auto"/>
        </w:rPr>
        <w:t>DILUTION</w:t>
      </w:r>
    </w:p>
    <w:p>
      <w:pPr>
        <w:spacing w:after="0" w:line="174"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This offering is for sales of stock by our existing stockholders on a continuous or delayed basis in the future. Sales of common stock by stockholders will not result in any substantial change to the net tangible book value per share before and after the distribution of shares by the selling stockholders. There will be no change in net tangible book value per share attributable to cash payments made by purchasers of the shares being offered. Prospective investors should be aware, however, that the price of our shares may not bear any rational relationship to net tangible book value per share.</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35" w:right="1440" w:bottom="1440" w:gutter="0" w:footer="0" w:header="0"/>
        </w:sectPr>
      </w:pPr>
    </w:p>
    <w:bookmarkStart w:id="16" w:name="page17"/>
    <w:bookmarkEnd w:id="16"/>
    <w:p>
      <w:pPr>
        <w:ind w:left="196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4" w:lineRule="exact"/>
        <w:rPr>
          <w:sz w:val="20"/>
          <w:szCs w:val="20"/>
          <w:color w:val="auto"/>
        </w:rPr>
      </w:pPr>
    </w:p>
    <w:p>
      <w:pPr>
        <w:ind w:right="3259" w:firstLine="358"/>
        <w:spacing w:after="0" w:line="272" w:lineRule="auto"/>
        <w:rPr>
          <w:sz w:val="20"/>
          <w:szCs w:val="20"/>
          <w:color w:val="auto"/>
        </w:rPr>
      </w:pPr>
      <w:r>
        <w:rPr>
          <w:rFonts w:ascii="Courier New" w:cs="Courier New" w:eastAsia="Courier New" w:hAnsi="Courier New"/>
          <w:sz w:val="15"/>
          <w:szCs w:val="15"/>
          <w:color w:val="auto"/>
        </w:rPr>
        <w:t>The following selected consolidated financial data should be read in conjunction with "Management's Discussion and Analysis of Financial Condition and Results of Operations" and our consolidated financial statements and notes to those statements and other financial information included elsewhere in this prospectus.</w:t>
      </w:r>
    </w:p>
    <w:p>
      <w:pPr>
        <w:spacing w:after="0" w:line="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consolidated historical financial data presented below as of</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1995, 1996, 1997, 1998, and 1999 and for the years then ended are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derived from</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our consolidated financial statements, which have been audited by</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40" w:type="dxa"/>
            <w:vAlign w:val="bottom"/>
            <w:gridSpan w:val="8"/>
          </w:tcPr>
          <w:p>
            <w:pPr>
              <w:spacing w:after="0"/>
              <w:rPr>
                <w:sz w:val="20"/>
                <w:szCs w:val="20"/>
                <w:color w:val="auto"/>
              </w:rPr>
            </w:pPr>
            <w:r>
              <w:rPr>
                <w:rFonts w:ascii="Courier New" w:cs="Courier New" w:eastAsia="Courier New" w:hAnsi="Courier New"/>
                <w:sz w:val="15"/>
                <w:szCs w:val="15"/>
                <w:color w:val="auto"/>
                <w:w w:val="98"/>
              </w:rPr>
              <w:t>Ernst &amp; Young LLP, our independent auditors. The selected consolidated financial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40" w:type="dxa"/>
            <w:vAlign w:val="bottom"/>
            <w:gridSpan w:val="8"/>
          </w:tcPr>
          <w:p>
            <w:pPr>
              <w:spacing w:after="0"/>
              <w:rPr>
                <w:sz w:val="20"/>
                <w:szCs w:val="20"/>
                <w:color w:val="auto"/>
              </w:rPr>
            </w:pPr>
            <w:r>
              <w:rPr>
                <w:rFonts w:ascii="Courier New" w:cs="Courier New" w:eastAsia="Courier New" w:hAnsi="Courier New"/>
                <w:sz w:val="15"/>
                <w:szCs w:val="15"/>
                <w:color w:val="auto"/>
              </w:rPr>
              <w:t>data as of September 30, 1999 and 2000, and for the nine months then ended are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derived from</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our unaudited financial statement. In the opinion of management,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40" w:type="dxa"/>
            <w:vAlign w:val="bottom"/>
            <w:gridSpan w:val="8"/>
          </w:tcPr>
          <w:p>
            <w:pPr>
              <w:spacing w:after="0"/>
              <w:rPr>
                <w:sz w:val="20"/>
                <w:szCs w:val="20"/>
                <w:color w:val="auto"/>
              </w:rPr>
            </w:pPr>
            <w:r>
              <w:rPr>
                <w:rFonts w:ascii="Courier New" w:cs="Courier New" w:eastAsia="Courier New" w:hAnsi="Courier New"/>
                <w:sz w:val="15"/>
                <w:szCs w:val="15"/>
                <w:color w:val="auto"/>
              </w:rPr>
              <w:t>the unaudited financial statements have been prepared on the same basis as the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gridSpan w:val="6"/>
          </w:tcPr>
          <w:p>
            <w:pPr>
              <w:spacing w:after="0"/>
              <w:rPr>
                <w:sz w:val="20"/>
                <w:szCs w:val="20"/>
                <w:color w:val="auto"/>
              </w:rPr>
            </w:pPr>
            <w:r>
              <w:rPr>
                <w:rFonts w:ascii="Courier New" w:cs="Courier New" w:eastAsia="Courier New" w:hAnsi="Courier New"/>
                <w:sz w:val="15"/>
                <w:szCs w:val="15"/>
                <w:color w:val="auto"/>
                <w:w w:val="98"/>
              </w:rPr>
              <w:t>audited consolidated financial statements and include all adjustments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00" w:type="dxa"/>
            <w:vAlign w:val="bottom"/>
            <w:gridSpan w:val="7"/>
          </w:tcPr>
          <w:p>
            <w:pPr>
              <w:spacing w:after="0"/>
              <w:rPr>
                <w:sz w:val="20"/>
                <w:szCs w:val="20"/>
                <w:color w:val="auto"/>
              </w:rPr>
            </w:pPr>
            <w:r>
              <w:rPr>
                <w:rFonts w:ascii="Courier New" w:cs="Courier New" w:eastAsia="Courier New" w:hAnsi="Courier New"/>
                <w:sz w:val="15"/>
                <w:szCs w:val="15"/>
                <w:color w:val="auto"/>
                <w:w w:val="99"/>
              </w:rPr>
              <w:t>(consisting only of normal recurring adjustments) necessary for a fair</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presentation</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of the financial position and results of operations for such</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periods. The</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selected consolidated financial data for the nine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40" w:type="dxa"/>
            <w:vAlign w:val="bottom"/>
            <w:gridSpan w:val="8"/>
          </w:tcPr>
          <w:p>
            <w:pPr>
              <w:spacing w:after="0"/>
              <w:rPr>
                <w:sz w:val="20"/>
                <w:szCs w:val="20"/>
                <w:color w:val="auto"/>
              </w:rPr>
            </w:pPr>
            <w:r>
              <w:rPr>
                <w:rFonts w:ascii="Courier New" w:cs="Courier New" w:eastAsia="Courier New" w:hAnsi="Courier New"/>
                <w:sz w:val="15"/>
                <w:szCs w:val="15"/>
                <w:color w:val="auto"/>
              </w:rPr>
              <w:t>September 30, 2000 are not necessarily indicative of the results that may be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0"/>
                <w:szCs w:val="20"/>
                <w:color w:val="auto"/>
              </w:rPr>
            </w:pPr>
            <w:r>
              <w:rPr>
                <w:rFonts w:ascii="Courier New" w:cs="Courier New" w:eastAsia="Courier New" w:hAnsi="Courier New"/>
                <w:sz w:val="15"/>
                <w:szCs w:val="15"/>
                <w:color w:val="auto"/>
              </w:rPr>
              <w:t>expected for</w:t>
            </w:r>
          </w:p>
        </w:tc>
        <w:tc>
          <w:tcPr>
            <w:tcW w:w="5980" w:type="dxa"/>
            <w:vAlign w:val="bottom"/>
            <w:gridSpan w:val="7"/>
          </w:tcPr>
          <w:p>
            <w:pPr>
              <w:spacing w:after="0"/>
              <w:rPr>
                <w:sz w:val="20"/>
                <w:szCs w:val="20"/>
                <w:color w:val="auto"/>
              </w:rPr>
            </w:pPr>
            <w:r>
              <w:rPr>
                <w:rFonts w:ascii="Courier New" w:cs="Courier New" w:eastAsia="Courier New" w:hAnsi="Courier New"/>
                <w:sz w:val="15"/>
                <w:szCs w:val="15"/>
                <w:color w:val="auto"/>
              </w:rPr>
              <w:t>the year ended December 31, 2000 or any other future period.</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4"/>
            <w:vMerge w:val="restart"/>
          </w:tcPr>
          <w:p>
            <w:pPr>
              <w:jc w:val="right"/>
              <w:ind w:right="545"/>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8"/>
              </w:rPr>
              <w:t>NINE MONTHS ENDED</w:t>
            </w: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Courier New" w:cs="Courier New" w:eastAsia="Courier New" w:hAnsi="Courier New"/>
                <w:sz w:val="4"/>
                <w:szCs w:val="4"/>
                <w:color w:val="auto"/>
                <w:w w:val="79"/>
              </w:rPr>
              <w:t>----------------------------------------------------</w:t>
            </w:r>
            <w:r>
              <w:rPr>
                <w:rFonts w:ascii="Courier New" w:cs="Courier New" w:eastAsia="Courier New" w:hAnsi="Courier New"/>
                <w:sz w:val="7"/>
                <w:szCs w:val="7"/>
                <w:color w:val="auto"/>
                <w:w w:val="79"/>
                <w:vertAlign w:val="subscript"/>
              </w:rPr>
              <w:t>1995</w:t>
            </w:r>
          </w:p>
        </w:tc>
        <w:tc>
          <w:tcPr>
            <w:tcW w:w="7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106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8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7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0"/>
                <w:szCs w:val="20"/>
                <w:color w:val="auto"/>
              </w:rPr>
            </w:pPr>
            <w:r>
              <w:rPr>
                <w:rFonts w:ascii="Courier New" w:cs="Courier New" w:eastAsia="Courier New" w:hAnsi="Courier New"/>
                <w:sz w:val="15"/>
                <w:szCs w:val="15"/>
                <w:color w:val="auto"/>
              </w:rPr>
              <w:t>STATEMENT OF</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Revenue from</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collaborative</w:t>
            </w:r>
          </w:p>
        </w:tc>
        <w:tc>
          <w:tcPr>
            <w:tcW w:w="10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$11,761</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7,104</w:t>
            </w: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$ 10,617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8,803</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7"/>
                <w:szCs w:val="7"/>
                <w:color w:val="auto"/>
                <w:w w:val="71"/>
              </w:rPr>
              <w:t>agreements......................</w:t>
            </w:r>
          </w:p>
        </w:tc>
        <w:tc>
          <w:tcPr>
            <w:tcW w:w="1960" w:type="dxa"/>
            <w:vAlign w:val="bottom"/>
            <w:vMerge w:val="restart"/>
          </w:tcPr>
          <w:p>
            <w:pPr>
              <w:spacing w:after="0"/>
              <w:rPr>
                <w:sz w:val="20"/>
                <w:szCs w:val="20"/>
                <w:color w:val="auto"/>
              </w:rPr>
            </w:pPr>
            <w:r>
              <w:rPr>
                <w:rFonts w:ascii="Courier New" w:cs="Courier New" w:eastAsia="Courier New" w:hAnsi="Courier New"/>
                <w:sz w:val="15"/>
                <w:szCs w:val="15"/>
                <w:color w:val="auto"/>
              </w:rPr>
              <w:t>development</w:t>
            </w:r>
          </w:p>
        </w:tc>
        <w:tc>
          <w:tcPr>
            <w:tcW w:w="10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Research and</w:t>
            </w:r>
          </w:p>
        </w:tc>
        <w:tc>
          <w:tcPr>
            <w:tcW w:w="1960" w:type="dxa"/>
            <w:vAlign w:val="bottom"/>
            <w:vMerge w:val="continue"/>
          </w:tcPr>
          <w:p>
            <w:pPr>
              <w:spacing w:after="0"/>
              <w:rPr>
                <w:sz w:val="14"/>
                <w:szCs w:val="14"/>
                <w:color w:val="auto"/>
              </w:rPr>
            </w:pPr>
          </w:p>
        </w:tc>
        <w:tc>
          <w:tcPr>
            <w:tcW w:w="10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14,730</w:t>
            </w:r>
          </w:p>
        </w:tc>
        <w:tc>
          <w:tcPr>
            <w:tcW w:w="120" w:type="dxa"/>
            <w:vAlign w:val="bottom"/>
          </w:tcPr>
          <w:p>
            <w:pPr>
              <w:spacing w:after="0"/>
              <w:rPr>
                <w:sz w:val="14"/>
                <w:szCs w:val="14"/>
                <w:color w:val="auto"/>
              </w:rPr>
            </w:pPr>
          </w:p>
        </w:tc>
        <w:tc>
          <w:tcPr>
            <w:tcW w:w="7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17,130</w:t>
            </w: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18,604</w:t>
            </w:r>
          </w:p>
        </w:tc>
        <w:tc>
          <w:tcPr>
            <w:tcW w:w="140" w:type="dxa"/>
            <w:vAlign w:val="bottom"/>
          </w:tcPr>
          <w:p>
            <w:pPr>
              <w:spacing w:after="0"/>
              <w:rPr>
                <w:sz w:val="14"/>
                <w:szCs w:val="14"/>
                <w:color w:val="auto"/>
              </w:rPr>
            </w:pPr>
          </w:p>
        </w:tc>
        <w:tc>
          <w:tcPr>
            <w:tcW w:w="8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17,659</w:t>
            </w:r>
          </w:p>
        </w:tc>
        <w:tc>
          <w:tcPr>
            <w:tcW w:w="140" w:type="dxa"/>
            <w:vAlign w:val="bottom"/>
          </w:tcPr>
          <w:p>
            <w:pPr>
              <w:spacing w:after="0"/>
              <w:rPr>
                <w:sz w:val="14"/>
                <w:szCs w:val="14"/>
                <w:color w:val="auto"/>
              </w:rPr>
            </w:pPr>
          </w:p>
        </w:tc>
        <w:tc>
          <w:tcPr>
            <w:tcW w:w="7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9,991</w:t>
            </w:r>
          </w:p>
        </w:tc>
        <w:tc>
          <w:tcPr>
            <w:tcW w:w="18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8,432</w:t>
            </w:r>
          </w:p>
        </w:tc>
        <w:tc>
          <w:tcPr>
            <w:tcW w:w="180" w:type="dxa"/>
            <w:vAlign w:val="bottom"/>
          </w:tcPr>
          <w:p>
            <w:pPr>
              <w:spacing w:after="0"/>
              <w:rPr>
                <w:sz w:val="14"/>
                <w:szCs w:val="14"/>
                <w:color w:val="auto"/>
              </w:rPr>
            </w:pP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3,350</w:t>
            </w:r>
          </w:p>
        </w:tc>
        <w:tc>
          <w:tcPr>
            <w:tcW w:w="0" w:type="dxa"/>
            <w:vAlign w:val="bottom"/>
          </w:tcPr>
          <w:p>
            <w:pPr>
              <w:spacing w:after="0"/>
              <w:rPr>
                <w:sz w:val="1"/>
                <w:szCs w:val="1"/>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expenses........................</w:t>
            </w: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Acquired research and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8,344</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w w:val="96"/>
              </w:rPr>
              <w:t>development</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ECT wind-down and corporate</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4,078</w:t>
            </w:r>
          </w:p>
        </w:tc>
        <w:tc>
          <w:tcPr>
            <w:tcW w:w="180" w:type="dxa"/>
            <w:vAlign w:val="bottom"/>
          </w:tcPr>
          <w:p>
            <w:pPr>
              <w:spacing w:after="0"/>
              <w:rPr>
                <w:sz w:val="14"/>
                <w:szCs w:val="14"/>
                <w:color w:val="auto"/>
              </w:rPr>
            </w:pP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769</w:t>
            </w:r>
          </w:p>
        </w:tc>
        <w:tc>
          <w:tcPr>
            <w:tcW w:w="0" w:type="dxa"/>
            <w:vAlign w:val="bottom"/>
          </w:tcPr>
          <w:p>
            <w:pPr>
              <w:spacing w:after="0"/>
              <w:rPr>
                <w:sz w:val="1"/>
                <w:szCs w:val="1"/>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relocation</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0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$(8,891)</w:t>
            </w:r>
          </w:p>
        </w:tc>
        <w:tc>
          <w:tcPr>
            <w:tcW w:w="90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w w:val="96"/>
              </w:rPr>
              <w:t>$(13,759)</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$(18,114)</w:t>
            </w:r>
          </w:p>
        </w:tc>
        <w:tc>
          <w:tcPr>
            <w:tcW w:w="98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w w:val="96"/>
              </w:rPr>
              <w:t>$(12,628)</w:t>
            </w: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$(15,709)</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$(10,484)</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$(4,865)</w:t>
            </w:r>
          </w:p>
        </w:tc>
        <w:tc>
          <w:tcPr>
            <w:tcW w:w="0" w:type="dxa"/>
            <w:vAlign w:val="bottom"/>
          </w:tcPr>
          <w:p>
            <w:pPr>
              <w:spacing w:after="0"/>
              <w:rPr>
                <w:sz w:val="1"/>
                <w:szCs w:val="1"/>
                <w:color w:val="auto"/>
              </w:rPr>
            </w:pPr>
          </w:p>
        </w:tc>
      </w:tr>
      <w:tr>
        <w:trPr>
          <w:trHeight w:val="252"/>
        </w:trPr>
        <w:tc>
          <w:tcPr>
            <w:tcW w:w="31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Basic and diluted net loss per</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120" w:type="dxa"/>
            <w:vAlign w:val="bottom"/>
            <w:gridSpan w:val="2"/>
            <w:vMerge w:val="continue"/>
          </w:tcPr>
          <w:p>
            <w:pPr>
              <w:spacing w:after="0"/>
              <w:rPr>
                <w:sz w:val="7"/>
                <w:szCs w:val="7"/>
                <w:color w:val="auto"/>
              </w:rPr>
            </w:pPr>
          </w:p>
        </w:tc>
        <w:tc>
          <w:tcPr>
            <w:tcW w:w="10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 (0.69)</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(0.89)</w:t>
            </w: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(1.08)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(0.69)</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(0.84)</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(0.56)</w:t>
            </w:r>
          </w:p>
        </w:tc>
        <w:tc>
          <w:tcPr>
            <w:tcW w:w="8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(0.26)</w:t>
            </w:r>
          </w:p>
        </w:tc>
        <w:tc>
          <w:tcPr>
            <w:tcW w:w="0" w:type="dxa"/>
            <w:vAlign w:val="bottom"/>
          </w:tcPr>
          <w:p>
            <w:pPr>
              <w:spacing w:after="0"/>
              <w:rPr>
                <w:sz w:val="1"/>
                <w:szCs w:val="1"/>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w:t>
            </w:r>
          </w:p>
        </w:tc>
        <w:tc>
          <w:tcPr>
            <w:tcW w:w="10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basic and</w:t>
            </w:r>
          </w:p>
        </w:tc>
        <w:tc>
          <w:tcPr>
            <w:tcW w:w="10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12,799</w:t>
            </w:r>
          </w:p>
        </w:tc>
        <w:tc>
          <w:tcPr>
            <w:tcW w:w="120" w:type="dxa"/>
            <w:vAlign w:val="bottom"/>
          </w:tcPr>
          <w:p>
            <w:pPr>
              <w:spacing w:after="0"/>
              <w:rPr>
                <w:sz w:val="14"/>
                <w:szCs w:val="14"/>
                <w:color w:val="auto"/>
              </w:rPr>
            </w:pPr>
          </w:p>
        </w:tc>
        <w:tc>
          <w:tcPr>
            <w:tcW w:w="7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15,430</w:t>
            </w: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16,704</w:t>
            </w:r>
          </w:p>
        </w:tc>
        <w:tc>
          <w:tcPr>
            <w:tcW w:w="140" w:type="dxa"/>
            <w:vAlign w:val="bottom"/>
          </w:tcPr>
          <w:p>
            <w:pPr>
              <w:spacing w:after="0"/>
              <w:rPr>
                <w:sz w:val="14"/>
                <w:szCs w:val="14"/>
                <w:color w:val="auto"/>
              </w:rPr>
            </w:pPr>
          </w:p>
        </w:tc>
        <w:tc>
          <w:tcPr>
            <w:tcW w:w="8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18,291</w:t>
            </w:r>
          </w:p>
        </w:tc>
        <w:tc>
          <w:tcPr>
            <w:tcW w:w="140" w:type="dxa"/>
            <w:vAlign w:val="bottom"/>
          </w:tcPr>
          <w:p>
            <w:pPr>
              <w:spacing w:after="0"/>
              <w:rPr>
                <w:sz w:val="14"/>
                <w:szCs w:val="14"/>
                <w:color w:val="auto"/>
              </w:rPr>
            </w:pPr>
          </w:p>
        </w:tc>
        <w:tc>
          <w:tcPr>
            <w:tcW w:w="7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18,561</w:t>
            </w:r>
          </w:p>
        </w:tc>
        <w:tc>
          <w:tcPr>
            <w:tcW w:w="180" w:type="dxa"/>
            <w:vAlign w:val="bottom"/>
          </w:tcPr>
          <w:p>
            <w:pPr>
              <w:spacing w:after="0"/>
              <w:rPr>
                <w:sz w:val="14"/>
                <w:szCs w:val="14"/>
                <w:color w:val="auto"/>
              </w:rPr>
            </w:pP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6"/>
              </w:rPr>
              <w:t>19,683</w:t>
            </w:r>
          </w:p>
        </w:tc>
        <w:tc>
          <w:tcPr>
            <w:tcW w:w="0" w:type="dxa"/>
            <w:vAlign w:val="bottom"/>
          </w:tcPr>
          <w:p>
            <w:pPr>
              <w:spacing w:after="0"/>
              <w:rPr>
                <w:sz w:val="1"/>
                <w:szCs w:val="1"/>
                <w:color w:val="auto"/>
              </w:rPr>
            </w:pPr>
          </w:p>
        </w:tc>
      </w:tr>
      <w:tr>
        <w:trPr>
          <w:trHeight w:val="25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net loss per share......</w:t>
            </w:r>
          </w:p>
        </w:tc>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provides a summary of our 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0" w:type="dxa"/>
            <w:vAlign w:val="bottom"/>
            <w:gridSpan w:val="3"/>
            <w:vMerge w:val="restart"/>
          </w:tcPr>
          <w:p>
            <w:pPr>
              <w:jc w:val="right"/>
              <w:ind w:right="585"/>
              <w:spacing w:after="0"/>
              <w:rPr>
                <w:sz w:val="20"/>
                <w:szCs w:val="20"/>
                <w:color w:val="auto"/>
              </w:rPr>
            </w:pPr>
            <w:r>
              <w:rPr>
                <w:rFonts w:ascii="Courier New" w:cs="Courier New" w:eastAsia="Courier New" w:hAnsi="Courier New"/>
                <w:sz w:val="15"/>
                <w:szCs w:val="15"/>
                <w:color w:val="auto"/>
              </w:rPr>
              <w:t>AS OF DECEMBER 31,</w:t>
            </w:r>
          </w:p>
        </w:tc>
        <w:tc>
          <w:tcPr>
            <w:tcW w:w="100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AS OF</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440" w:type="dxa"/>
            <w:vAlign w:val="bottom"/>
            <w:vMerge w:val="restart"/>
          </w:tcPr>
          <w:p>
            <w:pPr>
              <w:ind w:left="440"/>
              <w:spacing w:after="0"/>
              <w:rPr>
                <w:sz w:val="20"/>
                <w:szCs w:val="20"/>
                <w:color w:val="auto"/>
              </w:rPr>
            </w:pPr>
            <w:r>
              <w:rPr>
                <w:rFonts w:ascii="Courier New" w:cs="Courier New" w:eastAsia="Courier New" w:hAnsi="Courier New"/>
                <w:sz w:val="4"/>
                <w:szCs w:val="4"/>
                <w:color w:val="auto"/>
                <w:w w:val="72"/>
              </w:rPr>
              <w:t>----------------------------------------------------</w:t>
            </w:r>
            <w:r>
              <w:rPr>
                <w:rFonts w:ascii="Courier New" w:cs="Courier New" w:eastAsia="Courier New" w:hAnsi="Courier New"/>
                <w:sz w:val="7"/>
                <w:szCs w:val="7"/>
                <w:color w:val="auto"/>
                <w:w w:val="72"/>
                <w:vertAlign w:val="subscript"/>
              </w:rPr>
              <w:t>1995</w:t>
            </w:r>
          </w:p>
        </w:tc>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10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1"/>
                <w:szCs w:val="21"/>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line="172" w:lineRule="exact"/>
              <w:rPr>
                <w:sz w:val="20"/>
                <w:szCs w:val="20"/>
                <w:color w:val="auto"/>
              </w:rPr>
            </w:pPr>
            <w:r>
              <w:rPr>
                <w:rFonts w:ascii="Courier New" w:cs="Courier New" w:eastAsia="Courier New" w:hAnsi="Courier New"/>
                <w:sz w:val="12"/>
                <w:szCs w:val="12"/>
                <w:color w:val="auto"/>
                <w:w w:val="70"/>
              </w:rPr>
              <w:t>Cash, cash equivalents</w:t>
            </w:r>
            <w:r>
              <w:rPr>
                <w:rFonts w:ascii="Courier New" w:cs="Courier New" w:eastAsia="Courier New" w:hAnsi="Courier New"/>
                <w:sz w:val="20"/>
                <w:szCs w:val="20"/>
                <w:color w:val="auto"/>
                <w:w w:val="70"/>
                <w:vertAlign w:val="subscript"/>
              </w:rPr>
              <w:t>..............................</w:t>
            </w:r>
            <w:r>
              <w:rPr>
                <w:rFonts w:ascii="Courier New" w:cs="Courier New" w:eastAsia="Courier New" w:hAnsi="Courier New"/>
                <w:sz w:val="12"/>
                <w:szCs w:val="12"/>
                <w:color w:val="auto"/>
                <w:w w:val="70"/>
              </w:rPr>
              <w:t>andmarketable</w:t>
            </w:r>
          </w:p>
        </w:tc>
        <w:tc>
          <w:tcPr>
            <w:tcW w:w="1440" w:type="dxa"/>
            <w:vAlign w:val="bottom"/>
            <w:vMerge w:val="restart"/>
          </w:tcPr>
          <w:p>
            <w:pPr>
              <w:jc w:val="right"/>
              <w:ind w:right="294"/>
              <w:spacing w:after="0"/>
              <w:rPr>
                <w:sz w:val="20"/>
                <w:szCs w:val="20"/>
                <w:color w:val="auto"/>
              </w:rPr>
            </w:pPr>
            <w:r>
              <w:rPr>
                <w:rFonts w:ascii="Courier New" w:cs="Courier New" w:eastAsia="Courier New" w:hAnsi="Courier New"/>
                <w:sz w:val="15"/>
                <w:szCs w:val="15"/>
                <w:color w:val="auto"/>
              </w:rPr>
              <w:t>$44,192</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5"/>
              </w:rPr>
              <w:t>$42,607</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$29,050</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$17,386</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$ 4,760</w:t>
            </w:r>
          </w:p>
        </w:tc>
        <w:tc>
          <w:tcPr>
            <w:tcW w:w="12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$ 7,247</w:t>
            </w:r>
          </w:p>
        </w:tc>
        <w:tc>
          <w:tcPr>
            <w:tcW w:w="0" w:type="dxa"/>
            <w:vAlign w:val="bottom"/>
          </w:tcPr>
          <w:p>
            <w:pPr>
              <w:spacing w:after="0"/>
              <w:rPr>
                <w:sz w:val="1"/>
                <w:szCs w:val="1"/>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line="172" w:lineRule="exact"/>
              <w:rPr>
                <w:sz w:val="20"/>
                <w:szCs w:val="20"/>
                <w:color w:val="auto"/>
              </w:rPr>
            </w:pPr>
            <w:r>
              <w:rPr>
                <w:rFonts w:ascii="Courier New" w:cs="Courier New" w:eastAsia="Courier New" w:hAnsi="Courier New"/>
                <w:sz w:val="11"/>
                <w:szCs w:val="11"/>
                <w:color w:val="auto"/>
                <w:w w:val="70"/>
              </w:rPr>
              <w:t>Restricted investments</w:t>
            </w:r>
            <w:r>
              <w:rPr>
                <w:rFonts w:ascii="Courier New" w:cs="Courier New" w:eastAsia="Courier New" w:hAnsi="Courier New"/>
                <w:sz w:val="18"/>
                <w:szCs w:val="18"/>
                <w:color w:val="auto"/>
                <w:w w:val="70"/>
                <w:vertAlign w:val="subscript"/>
              </w:rPr>
              <w:t>..............................</w:t>
            </w:r>
            <w:r>
              <w:rPr>
                <w:rFonts w:ascii="Courier New" w:cs="Courier New" w:eastAsia="Courier New" w:hAnsi="Courier New"/>
                <w:sz w:val="11"/>
                <w:szCs w:val="11"/>
                <w:color w:val="auto"/>
                <w:w w:val="70"/>
              </w:rPr>
              <w:t>....................</w:t>
            </w:r>
          </w:p>
        </w:tc>
        <w:tc>
          <w:tcPr>
            <w:tcW w:w="1440" w:type="dxa"/>
            <w:vAlign w:val="bottom"/>
            <w:vMerge w:val="restart"/>
          </w:tcPr>
          <w:p>
            <w:pPr>
              <w:jc w:val="right"/>
              <w:ind w:right="294"/>
              <w:spacing w:after="0"/>
              <w:rPr>
                <w:sz w:val="20"/>
                <w:szCs w:val="20"/>
                <w:color w:val="auto"/>
              </w:rPr>
            </w:pPr>
            <w:r>
              <w:rPr>
                <w:rFonts w:ascii="Courier New" w:cs="Courier New" w:eastAsia="Courier New" w:hAnsi="Courier New"/>
                <w:sz w:val="15"/>
                <w:szCs w:val="15"/>
                <w:color w:val="auto"/>
              </w:rPr>
              <w:t>56,808</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58,397</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44,301</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32,866</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15,781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27,204</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41,632</w:t>
            </w:r>
          </w:p>
        </w:tc>
        <w:tc>
          <w:tcPr>
            <w:tcW w:w="0" w:type="dxa"/>
            <w:vAlign w:val="bottom"/>
          </w:tcPr>
          <w:p>
            <w:pPr>
              <w:spacing w:after="0"/>
              <w:rPr>
                <w:sz w:val="1"/>
                <w:szCs w:val="1"/>
                <w:color w:val="auto"/>
              </w:rPr>
            </w:pPr>
          </w:p>
        </w:tc>
      </w:tr>
      <w:tr>
        <w:trPr>
          <w:trHeight w:val="172"/>
        </w:trPr>
        <w:tc>
          <w:tcPr>
            <w:tcW w:w="3480" w:type="dxa"/>
            <w:vAlign w:val="bottom"/>
          </w:tcPr>
          <w:p>
            <w:pPr>
              <w:spacing w:after="0" w:line="172" w:lineRule="exact"/>
              <w:rPr>
                <w:sz w:val="20"/>
                <w:szCs w:val="20"/>
                <w:color w:val="auto"/>
              </w:rPr>
            </w:pPr>
            <w:r>
              <w:rPr>
                <w:rFonts w:ascii="Courier New" w:cs="Courier New" w:eastAsia="Courier New" w:hAnsi="Courier New"/>
                <w:sz w:val="19"/>
                <w:szCs w:val="19"/>
                <w:color w:val="auto"/>
                <w:w w:val="71"/>
                <w:vertAlign w:val="superscript"/>
              </w:rPr>
              <w:t>Long-term</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perscript"/>
              </w:rPr>
              <w:t>debt,includingcapitalized</w:t>
            </w:r>
          </w:p>
        </w:tc>
        <w:tc>
          <w:tcPr>
            <w:tcW w:w="1440" w:type="dxa"/>
            <w:vAlign w:val="bottom"/>
            <w:vMerge w:val="restart"/>
          </w:tcPr>
          <w:p>
            <w:pPr>
              <w:jc w:val="right"/>
              <w:ind w:right="294"/>
              <w:spacing w:after="0"/>
              <w:rPr>
                <w:sz w:val="20"/>
                <w:szCs w:val="20"/>
                <w:color w:val="auto"/>
              </w:rPr>
            </w:pPr>
            <w:r>
              <w:rPr>
                <w:rFonts w:ascii="Courier New" w:cs="Courier New" w:eastAsia="Courier New" w:hAnsi="Courier New"/>
                <w:sz w:val="15"/>
                <w:szCs w:val="15"/>
                <w:color w:val="auto"/>
              </w:rPr>
              <w:t>5,441</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8,223</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4,108</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3,762</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2,937</w:t>
            </w:r>
          </w:p>
        </w:tc>
        <w:tc>
          <w:tcPr>
            <w:tcW w:w="12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2,692</w:t>
            </w:r>
          </w:p>
        </w:tc>
        <w:tc>
          <w:tcPr>
            <w:tcW w:w="0" w:type="dxa"/>
            <w:vAlign w:val="bottom"/>
          </w:tcPr>
          <w:p>
            <w:pPr>
              <w:spacing w:after="0"/>
              <w:rPr>
                <w:sz w:val="1"/>
                <w:szCs w:val="1"/>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leases</w:t>
            </w:r>
          </w:p>
        </w:tc>
        <w:tc>
          <w:tcPr>
            <w:tcW w:w="1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line="172" w:lineRule="exact"/>
              <w:rPr>
                <w:sz w:val="20"/>
                <w:szCs w:val="20"/>
                <w:color w:val="auto"/>
              </w:rPr>
            </w:pPr>
            <w:r>
              <w:rPr>
                <w:rFonts w:ascii="Courier New" w:cs="Courier New" w:eastAsia="Courier New" w:hAnsi="Courier New"/>
                <w:sz w:val="12"/>
                <w:szCs w:val="12"/>
                <w:color w:val="auto"/>
                <w:w w:val="72"/>
              </w:rPr>
              <w:t>Redeemable common stock</w:t>
            </w:r>
            <w:r>
              <w:rPr>
                <w:rFonts w:ascii="Courier New" w:cs="Courier New" w:eastAsia="Courier New" w:hAnsi="Courier New"/>
                <w:sz w:val="20"/>
                <w:szCs w:val="20"/>
                <w:color w:val="auto"/>
                <w:w w:val="72"/>
                <w:vertAlign w:val="subscript"/>
              </w:rPr>
              <w:t>......................</w:t>
            </w:r>
            <w:r>
              <w:rPr>
                <w:rFonts w:ascii="Courier New" w:cs="Courier New" w:eastAsia="Courier New" w:hAnsi="Courier New"/>
                <w:sz w:val="12"/>
                <w:szCs w:val="12"/>
                <w:color w:val="auto"/>
                <w:w w:val="72"/>
              </w:rPr>
              <w:t>...................</w:t>
            </w:r>
          </w:p>
        </w:tc>
        <w:tc>
          <w:tcPr>
            <w:tcW w:w="1440" w:type="dxa"/>
            <w:vAlign w:val="bottom"/>
            <w:vMerge w:val="restart"/>
          </w:tcPr>
          <w:p>
            <w:pPr>
              <w:jc w:val="right"/>
              <w:ind w:right="294"/>
              <w:spacing w:after="0"/>
              <w:rPr>
                <w:sz w:val="20"/>
                <w:szCs w:val="20"/>
                <w:color w:val="auto"/>
              </w:rPr>
            </w:pPr>
            <w:r>
              <w:rPr>
                <w:rFonts w:ascii="Courier New" w:cs="Courier New" w:eastAsia="Courier New" w:hAnsi="Courier New"/>
                <w:sz w:val="15"/>
                <w:szCs w:val="15"/>
                <w:color w:val="auto"/>
              </w:rPr>
              <w:t>45,391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5,249</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40" w:type="dxa"/>
            <w:vAlign w:val="bottom"/>
            <w:vMerge w:val="continue"/>
          </w:tcPr>
          <w:p>
            <w:pPr>
              <w:spacing w:after="0"/>
              <w:rPr>
                <w:sz w:val="21"/>
                <w:szCs w:val="21"/>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3,506</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37,126</w:t>
            </w:r>
          </w:p>
        </w:tc>
        <w:tc>
          <w:tcPr>
            <w:tcW w:w="0" w:type="dxa"/>
            <w:vAlign w:val="bottom"/>
          </w:tcPr>
          <w:p>
            <w:pPr>
              <w:spacing w:after="0"/>
              <w:rPr>
                <w:sz w:val="1"/>
                <w:szCs w:val="1"/>
                <w:color w:val="auto"/>
              </w:rPr>
            </w:pPr>
          </w:p>
        </w:tc>
      </w:tr>
      <w:tr>
        <w:trPr>
          <w:trHeight w:val="516"/>
        </w:trPr>
        <w:tc>
          <w:tcPr>
            <w:tcW w:w="3480" w:type="dxa"/>
            <w:vAlign w:val="bottom"/>
          </w:tcPr>
          <w:p>
            <w:pPr>
              <w:spacing w:after="0"/>
              <w:rPr>
                <w:sz w:val="24"/>
                <w:szCs w:val="24"/>
                <w:color w:val="auto"/>
              </w:rPr>
            </w:pPr>
          </w:p>
        </w:tc>
        <w:tc>
          <w:tcPr>
            <w:tcW w:w="1440" w:type="dxa"/>
            <w:vAlign w:val="bottom"/>
          </w:tcPr>
          <w:p>
            <w:pPr>
              <w:jc w:val="right"/>
              <w:ind w:right="1194"/>
              <w:spacing w:after="0"/>
              <w:rPr>
                <w:sz w:val="20"/>
                <w:szCs w:val="20"/>
                <w:color w:val="auto"/>
              </w:rPr>
            </w:pPr>
            <w:r>
              <w:rPr>
                <w:rFonts w:ascii="Courier New" w:cs="Courier New" w:eastAsia="Courier New" w:hAnsi="Courier New"/>
                <w:sz w:val="15"/>
                <w:szCs w:val="15"/>
                <w:color w:val="auto"/>
                <w:w w:val="88"/>
              </w:rPr>
              <w:t>14</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35" w:right="1440" w:bottom="1440" w:gutter="0" w:footer="0" w:header="0"/>
        </w:sectPr>
      </w:pPr>
    </w:p>
    <w:bookmarkStart w:id="17" w:name="page18"/>
    <w:bookmarkEnd w:id="17"/>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3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46" w:lineRule="exact"/>
        <w:rPr>
          <w:sz w:val="20"/>
          <w:szCs w:val="20"/>
          <w:color w:val="auto"/>
        </w:rPr>
      </w:pPr>
    </w:p>
    <w:p>
      <w:pPr>
        <w:ind w:right="3259" w:firstLine="358"/>
        <w:spacing w:after="0" w:line="272"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for the nine months ended September 30, 2000 and 1999 and the years ended December 31, 1999, 1998, and 1997 should be read in conjunction with our consolidated financial statements and notes to those statements and other financial information included elsewhere in this prospectus.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079" w:firstLine="358"/>
        <w:spacing w:after="0" w:line="254" w:lineRule="auto"/>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86" w:lineRule="exact"/>
        <w:rPr>
          <w:sz w:val="20"/>
          <w:szCs w:val="20"/>
          <w:color w:val="auto"/>
        </w:rPr>
      </w:pPr>
    </w:p>
    <w:p>
      <w:pPr>
        <w:ind w:right="3079" w:firstLine="358"/>
        <w:spacing w:after="0" w:line="359" w:lineRule="auto"/>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8" w:lineRule="exact"/>
        <w:rPr>
          <w:sz w:val="20"/>
          <w:szCs w:val="20"/>
          <w:color w:val="auto"/>
        </w:rPr>
      </w:pPr>
    </w:p>
    <w:p>
      <w:pPr>
        <w:ind w:right="3079" w:firstLine="358"/>
        <w:spacing w:after="0" w:line="253" w:lineRule="auto"/>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87" w:lineRule="exact"/>
        <w:rPr>
          <w:sz w:val="20"/>
          <w:szCs w:val="20"/>
          <w:color w:val="auto"/>
        </w:rPr>
      </w:pPr>
    </w:p>
    <w:p>
      <w:pPr>
        <w:ind w:right="3339" w:firstLine="358"/>
        <w:spacing w:after="0" w:line="266" w:lineRule="auto"/>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NINE MONTHS ENDED SEPTEMBER 30, 2000 AND 1999</w:t>
      </w:r>
    </w:p>
    <w:p>
      <w:pPr>
        <w:spacing w:after="0" w:line="174" w:lineRule="exact"/>
        <w:rPr>
          <w:sz w:val="20"/>
          <w:szCs w:val="20"/>
          <w:color w:val="auto"/>
        </w:rPr>
      </w:pPr>
    </w:p>
    <w:p>
      <w:pPr>
        <w:ind w:right="3159" w:firstLine="358"/>
        <w:spacing w:after="0" w:line="266" w:lineRule="auto"/>
        <w:rPr>
          <w:sz w:val="20"/>
          <w:szCs w:val="20"/>
          <w:color w:val="auto"/>
        </w:rPr>
      </w:pPr>
      <w:r>
        <w:rPr>
          <w:rFonts w:ascii="Courier New" w:cs="Courier New" w:eastAsia="Courier New" w:hAnsi="Courier New"/>
          <w:sz w:val="15"/>
          <w:szCs w:val="15"/>
          <w:color w:val="auto"/>
        </w:rPr>
        <w:t>For the nine months ended September 30, 2000 and 1999, revenues from collaborative agreements totaled $0 and $5,021,707, respectively. The decrease in revenues resulted from the June 1999 termination of a Development, Marketing and License Agreement related to our former ECT. We have not entered into revenue-producing collaborations with respect to our platform of stem cell technologies.</w:t>
      </w:r>
    </w:p>
    <w:p>
      <w:pPr>
        <w:spacing w:after="0" w:line="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the second quarter 2000 we realized a $1,427,686 gain in connection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our investment in Modex Therapeutics Ltd ("Modex"), a Swiss biotechnology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that completed an initial public offering on June 23, 2000.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2000, we owned 126,193 shares with an estimated fair value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$27,204,333, based on the per share price of $215.58 which we converted from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of 372.00 Swiss francs on that date. On October 31, 2000 the market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was 329.50 Swiss Francs,</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35" w:right="1440" w:bottom="1440" w:gutter="0" w:footer="0" w:header="0"/>
        </w:sectPr>
      </w:pPr>
    </w:p>
    <w:bookmarkStart w:id="18" w:name="page19"/>
    <w:bookmarkEnd w:id="18"/>
    <w:p>
      <w:pPr>
        <w:ind w:right="3159"/>
        <w:spacing w:after="0" w:line="359" w:lineRule="auto"/>
        <w:rPr>
          <w:sz w:val="20"/>
          <w:szCs w:val="20"/>
          <w:color w:val="auto"/>
        </w:rPr>
      </w:pPr>
      <w:r>
        <w:rPr>
          <w:rFonts w:ascii="Courier New" w:cs="Courier New" w:eastAsia="Courier New" w:hAnsi="Courier New"/>
          <w:sz w:val="15"/>
          <w:szCs w:val="15"/>
          <w:color w:val="auto"/>
        </w:rPr>
        <w:t>which converts to $183.28 and results in an estimated fair value of $23,128,598 for the Company's holdings.</w:t>
      </w:r>
    </w:p>
    <w:p>
      <w:pPr>
        <w:spacing w:after="0" w:line="180" w:lineRule="exact"/>
        <w:rPr>
          <w:sz w:val="20"/>
          <w:szCs w:val="20"/>
          <w:color w:val="auto"/>
        </w:rPr>
      </w:pPr>
    </w:p>
    <w:p>
      <w:pPr>
        <w:ind w:right="3159" w:firstLine="358"/>
        <w:spacing w:after="0" w:line="281" w:lineRule="auto"/>
        <w:rPr>
          <w:sz w:val="20"/>
          <w:szCs w:val="20"/>
          <w:color w:val="auto"/>
        </w:rPr>
      </w:pPr>
      <w:r>
        <w:rPr>
          <w:rFonts w:ascii="Courier New" w:cs="Courier New" w:eastAsia="Courier New" w:hAnsi="Courier New"/>
          <w:sz w:val="15"/>
          <w:szCs w:val="15"/>
          <w:color w:val="auto"/>
        </w:rPr>
        <w:t>Research and development expenses totaled $3,350,101 for the nine months ended September 30, 2000, compared with $8,432,262 for the same period in 1999. The decrease of $5,082,161, or 60% from 1999 to 2000 is primarily attributable to the wind-down of research activities relating to the ECT.</w:t>
      </w:r>
    </w:p>
    <w:p>
      <w:pPr>
        <w:spacing w:after="0" w:line="236"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General and administrative expenses were $2,172,137 for the nine months ended September 30, 2000, compared with $3,195,672 for the same period in 1999. The decrease of $1,023,535, or 32%, from 1999 to 2000 was primarily attributable to lower payroll costs (approximately $882,000) resulting from the restructuring of administrative operations and to the establishment of a smaller corporate office in California (approximately $136,000).</w:t>
      </w:r>
    </w:p>
    <w:p>
      <w:pPr>
        <w:spacing w:after="0" w:line="2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expenses related to our ECT research, our Rhode Island operations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transfer of our headquarters to Sunnyvale, California for the nine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September 30, 2000 and 1999 was $768,733 and $4,078,034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In 1999 we had created a reserve of $1,634,522 for wind-down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related to the first half of 2000, of which approximately $463,000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the carrying costs through an expected June 30, 2000 disposition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Rhode Island facilities. During the first six months of 2000 we incurred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$288,646 of costs in excess of the amounts reserved as of December 31, 1999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carrying costs, including lease payments, property taxes and utilities,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Rhode Island facilities. During the third quarter we incurred an additional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$480,087 in carrying costs for the Rhode Island facilities, as we were unable to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dispose of them by June 30, 2000, as expected. These amounts were previously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general and administrative expense, and have been reclassified to be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separately disclosed as encapsulated cell therapy wind down and corporate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relocation expense because they were directly related to the wind down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relocation. We anticipate that we will incur a similar amount in the fourth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of 2000 and in every quarter thereafter until we dispose of these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We do not currently have a projected date for such disposal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can be no assurance that we will be able to dispose of these facilities in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reasonable time, if at all. Some additional items that were more properly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research and development were also reclassified out of general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expense, and facilities costs were more accurately spread between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general and administrative expense.</w:t>
      </w: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Interest income for the nine months ended September 30, 2000 and 1999 was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$218,480 and $504,114 respectively. The decrease in interest income in 2000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the lower average investment balances during such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was $209,287 for the nine months ended September 30,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with $236,836 for the same period in 1999. The decrease in 2000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lower outstanding debt and capital lease balances in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1999.</w:t>
      </w:r>
    </w:p>
    <w:p>
      <w:pPr>
        <w:spacing w:after="0" w:line="1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Net loss for the nine months ended September 30, 2000 was $4,865,190 or</w:t>
      </w:r>
    </w:p>
    <w:p>
      <w:pPr>
        <w:spacing w:after="0" w:line="30"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($0.25) per share, as compared to net loss of $10,483,760 or ($0.56) per share, for the comparable period in 1999. The decrease in net loss of $5,618,570 or 54% from the same period in 1999 was primarily attributable to the wind-down of research activities relating to the ECT and reflects a gain of $1,427,686 in connection with our investment in Modex. We (then known as CytoTherapeutics, Inc.) were one of the founders of Modex, a Swiss biotherapeutics company established in 1996 to pursue encapsulated cell technologies related to our former programs. After Modex' Initial Public offering on the Swiss Neue Market on June 23, 2000 and our sale of 23,807 shares, we own 126,193 shares of Modex common stock. The IPO price was 168.00 Swiss Francs, and the share price on September 30 was 372.00 Swiss Francs. On October 31, 2000 the market price was 329.50 Swiss Francs. The shares are subject to a lockup for 6 months from the date of the IPO.</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1999, 1998 AND 1997</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Revenues from collaborative agreements totaled $5,022,000, $8,803,000 and</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$10,617,000 for the years ending December 31, 1999, 1998 and 1997, respectively.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earned revenues primarily from a</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35" w:right="1440" w:bottom="1440" w:gutter="0" w:footer="0" w:header="0"/>
        </w:sectPr>
      </w:pPr>
    </w:p>
    <w:bookmarkStart w:id="19" w:name="page20"/>
    <w:bookmarkEnd w:id="19"/>
    <w:p>
      <w:pPr>
        <w:ind w:right="3079"/>
        <w:spacing w:after="0" w:line="272" w:lineRule="auto"/>
        <w:rPr>
          <w:sz w:val="20"/>
          <w:szCs w:val="20"/>
          <w:color w:val="auto"/>
        </w:rPr>
      </w:pPr>
      <w:r>
        <w:rPr>
          <w:rFonts w:ascii="Courier New" w:cs="Courier New" w:eastAsia="Courier New" w:hAnsi="Courier New"/>
          <w:sz w:val="15"/>
          <w:szCs w:val="15"/>
          <w:color w:val="auto"/>
        </w:rPr>
        <w:t>Development, Marketing and License Agreement with AstraZeneca Group plc, which we signed in March 1995. The decrease in revenues from 1998 to 1999 resulted primarily from the June 1999 termination of the AstraZeneca Agreement. 1997 revenues included a $3,000,000 milestone payment from AstraZeneca related to the Phase II clinical trials for an ECT product.</w:t>
      </w:r>
    </w:p>
    <w:p>
      <w:pPr>
        <w:spacing w:after="0" w:line="69"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Research and development expenses totaled $9,984,000 in 1999, as compared to $17,659,000 in 1998 and $18,604,000 in 1997. The decrease of $7,668,000, or 43%, from 1998 to 1999 was primarily attributable to the wind-down of research activities relating to the ECT, precipitated by termination of the AstraZeneca Agreement. The decrease of $945,000, or 5%, from 1997 to 1998 was primarily attributable to a reduction in spending on research agreements and a reduction in research and development personnel.</w:t>
      </w:r>
    </w:p>
    <w:p>
      <w:pPr>
        <w:spacing w:after="0" w:line="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Acquired research and development consists of a one-time charge of</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$8,344,000 related to the acquisition of StemCells California, Inc., in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Commercialization of this technology will require significant incremental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 over a number of years. With the recent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of the restructuring of our research operations, we are now focused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solely on the research and development of our platform of stem cell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technologies, which encompasses the technology acquired upon the acquisition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California, Inc. and related technology we have developed or licensed.</w:t>
      </w:r>
    </w:p>
    <w:p>
      <w:pPr>
        <w:spacing w:after="0" w:line="15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General and administrative expenses were $4,927,303 for the year ended</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compared with $4,603,000 in 1998 and $6,158,000 in 1997.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general administrative expenses were positively impacted by the reduction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facility costs that were included in wind-down ($239,000), reduction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patents and intangible assets of approximately $338,000, as well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reduced activities and related personnel costs estimated at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 that were not incurred. This was due to the wind-down of our 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programs and relocation of our headquarters in October 1999. The reduction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$1,555,000, or 25%, from 1997 to 1998 was primarily attributable to a reduction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legal fees, recruiting and relocation expenses, as well as a reduction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46" w:lineRule="exact"/>
        <w:rPr>
          <w:sz w:val="20"/>
          <w:szCs w:val="20"/>
          <w:color w:val="auto"/>
        </w:rPr>
      </w:pPr>
    </w:p>
    <w:p>
      <w:pPr>
        <w:ind w:right="3079" w:firstLine="358"/>
        <w:spacing w:after="0" w:line="272" w:lineRule="auto"/>
        <w:rPr>
          <w:sz w:val="20"/>
          <w:szCs w:val="20"/>
          <w:color w:val="auto"/>
        </w:rPr>
      </w:pPr>
      <w:r>
        <w:rPr>
          <w:rFonts w:ascii="Courier New" w:cs="Courier New" w:eastAsia="Courier New" w:hAnsi="Courier New"/>
          <w:sz w:val="15"/>
          <w:szCs w:val="15"/>
          <w:color w:val="auto"/>
        </w:rPr>
        <w:t>Wind-down and relocation expenses totaled $6,047,806 for the year ended December 31, 1999; no such expenses were incurred in 1998 and 1997. These expenses relate to the wind-down of our encapsulated cell technology research and our other Rhode Island operations the transfer of our corporate headquarters to Sunnyvale, California.</w:t>
      </w:r>
    </w:p>
    <w:p>
      <w:pPr>
        <w:spacing w:after="0" w:line="241"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They include accruals of approximately $1,554,000 for employee severance costs, $1,858,000 in losses and reserves for the write-down of related patents and fixed assets, $1,172,000 for our costs of settlement of a 1989 funding agreement with the Rhode Island Partnership for Science and Technology, $702,000 of estimated additional carrying costs through an expected June 30, 2000 disposition of the Rhode Island facilities, and other related expenses totaling $762,000.</w:t>
      </w:r>
    </w:p>
    <w:p>
      <w:pPr>
        <w:spacing w:after="0" w:line="250" w:lineRule="exact"/>
        <w:rPr>
          <w:sz w:val="20"/>
          <w:szCs w:val="20"/>
          <w:color w:val="auto"/>
        </w:rPr>
      </w:pPr>
    </w:p>
    <w:p>
      <w:pPr>
        <w:ind w:right="3079" w:firstLine="358"/>
        <w:spacing w:after="0" w:line="272" w:lineRule="auto"/>
        <w:rPr>
          <w:sz w:val="20"/>
          <w:szCs w:val="20"/>
          <w:color w:val="auto"/>
        </w:rPr>
      </w:pPr>
      <w:r>
        <w:rPr>
          <w:rFonts w:ascii="Courier New" w:cs="Courier New" w:eastAsia="Courier New" w:hAnsi="Courier New"/>
          <w:sz w:val="15"/>
          <w:szCs w:val="15"/>
          <w:color w:val="auto"/>
        </w:rPr>
        <w:t>Interest income for the years ended December 31, 1999, 1998 and 1997 totaled $564,000, $1,254,000 and $1,931,000, respectively. The average cash and investment balances were $10,663,000, $21,795,000 and $33,343,000 in 1999, 1998 and 1997, respectively. The decrease in interest income from 1997 to 1998 to 1999 was attributable to lower average balances.</w:t>
      </w:r>
    </w:p>
    <w:p>
      <w:pPr>
        <w:spacing w:after="0" w:line="69" w:lineRule="exact"/>
        <w:rPr>
          <w:sz w:val="20"/>
          <w:szCs w:val="20"/>
          <w:color w:val="auto"/>
        </w:rPr>
      </w:pPr>
    </w:p>
    <w:p>
      <w:pPr>
        <w:ind w:right="3159" w:firstLine="358"/>
        <w:spacing w:after="0" w:line="272" w:lineRule="auto"/>
        <w:rPr>
          <w:sz w:val="20"/>
          <w:szCs w:val="20"/>
          <w:color w:val="auto"/>
        </w:rPr>
      </w:pPr>
      <w:r>
        <w:rPr>
          <w:rFonts w:ascii="Courier New" w:cs="Courier New" w:eastAsia="Courier New" w:hAnsi="Courier New"/>
          <w:sz w:val="15"/>
          <w:szCs w:val="15"/>
          <w:color w:val="auto"/>
        </w:rPr>
        <w:t>In 1999, interest expense was $335,000, compared with $472,000 in 1998 and $438,000 in 1997. The decrease from 1998 to 1999 was attributable to lower outstanding debt and capital lease balances. The increase from 1997 to 1998 was primarily attributable to capitalization of $210,000 of interest on the new facility in 1997.</w:t>
      </w:r>
    </w:p>
    <w:p>
      <w:pPr>
        <w:spacing w:after="0" w:line="69" w:lineRule="exact"/>
        <w:rPr>
          <w:sz w:val="20"/>
          <w:szCs w:val="20"/>
          <w:color w:val="auto"/>
        </w:rPr>
      </w:pPr>
    </w:p>
    <w:p>
      <w:pPr>
        <w:ind w:right="3079" w:firstLine="358"/>
        <w:spacing w:after="0" w:line="359" w:lineRule="auto"/>
        <w:rPr>
          <w:sz w:val="20"/>
          <w:szCs w:val="20"/>
          <w:color w:val="auto"/>
        </w:rPr>
      </w:pPr>
      <w:r>
        <w:rPr>
          <w:rFonts w:ascii="Courier New" w:cs="Courier New" w:eastAsia="Courier New" w:hAnsi="Courier New"/>
          <w:sz w:val="15"/>
          <w:szCs w:val="15"/>
          <w:color w:val="auto"/>
        </w:rPr>
        <w:t>In October 1997, we recognized a gain in the amount of $3,387,000 related to the sale of 50 percent of our interest in Modex Therapeutics Ltd.</w:t>
      </w:r>
    </w:p>
    <w:p>
      <w:pPr>
        <w:spacing w:after="0" w:line="8" w:lineRule="exact"/>
        <w:rPr>
          <w:sz w:val="20"/>
          <w:szCs w:val="20"/>
          <w:color w:val="auto"/>
        </w:rPr>
      </w:pPr>
    </w:p>
    <w:p>
      <w:pPr>
        <w:ind w:right="3519" w:firstLine="358"/>
        <w:spacing w:after="0" w:line="301" w:lineRule="auto"/>
        <w:rPr>
          <w:sz w:val="20"/>
          <w:szCs w:val="20"/>
          <w:color w:val="auto"/>
        </w:rPr>
      </w:pPr>
      <w:r>
        <w:rPr>
          <w:rFonts w:ascii="Courier New" w:cs="Courier New" w:eastAsia="Courier New" w:hAnsi="Courier New"/>
          <w:sz w:val="15"/>
          <w:szCs w:val="15"/>
          <w:color w:val="auto"/>
        </w:rPr>
        <w:t>The net loss in 1999, 1998 and 1997 was $15,709,000, $12,628,000, and $18,114,000, respectively. The loss per share was $0.84, $0.69 and $1.08 in 1999, 1998 and 1997, respectively. The increase from</w:t>
      </w: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35" w:right="1440" w:bottom="1440" w:gutter="0" w:footer="0" w:header="0"/>
        </w:sectPr>
      </w:pPr>
    </w:p>
    <w:bookmarkStart w:id="20" w:name="page21"/>
    <w:bookmarkEnd w:id="20"/>
    <w:p>
      <w:pPr>
        <w:ind w:right="3159"/>
        <w:spacing w:after="0" w:line="278" w:lineRule="auto"/>
        <w:rPr>
          <w:sz w:val="20"/>
          <w:szCs w:val="20"/>
          <w:color w:val="auto"/>
        </w:rPr>
      </w:pPr>
      <w:r>
        <w:rPr>
          <w:rFonts w:ascii="Courier New" w:cs="Courier New" w:eastAsia="Courier New" w:hAnsi="Courier New"/>
          <w:sz w:val="14"/>
          <w:szCs w:val="14"/>
          <w:color w:val="auto"/>
        </w:rPr>
        <w:t>1998 to 1999 is primarily attributable to the elimination of revenue from the AstraZeneca Agreement, which was terminated in June 1999, as well as expenses related to the wind-down of our ECT research and our other Rhode Island operations, the transfer of our corporate headquarters to Sunnyvale, California and an accrual of approximately $1,172,000 for our estimate of the costs of settlement of the funding agreement with RIPSAT. The decrease from 1997 to 1998 was attributable to a one-time charge of $8,344,000 for acquired research and development related to the purchase of StemCells California, Inc. offset by the $3,387,000 gain on a partial sale of our interest in Modex in 1997.</w:t>
      </w:r>
    </w:p>
    <w:p>
      <w:pPr>
        <w:spacing w:after="0" w:line="67" w:lineRule="exact"/>
        <w:rPr>
          <w:sz w:val="20"/>
          <w:szCs w:val="20"/>
          <w:color w:val="auto"/>
        </w:rPr>
      </w:pPr>
    </w:p>
    <w:p>
      <w:pPr>
        <w:jc w:val="both"/>
        <w:ind w:right="3339" w:firstLine="358"/>
        <w:spacing w:after="0" w:line="307" w:lineRule="auto"/>
        <w:rPr>
          <w:sz w:val="20"/>
          <w:szCs w:val="20"/>
          <w:color w:val="auto"/>
        </w:rPr>
      </w:pPr>
      <w:r>
        <w:rPr>
          <w:rFonts w:ascii="Courier New" w:cs="Courier New" w:eastAsia="Courier New" w:hAnsi="Courier New"/>
          <w:sz w:val="14"/>
          <w:szCs w:val="14"/>
          <w:color w:val="auto"/>
        </w:rPr>
        <w:t>The 1999 decrease in patents of $3,229,932 from 1998 was primarily due to management's decision to wind down the ECT program and dispose of the related intellectual property. During the fourth quarter of 1999 we sold the patents related to our encapsulated cell technology to Neurotech for $3,000,000.</w:t>
      </w:r>
    </w:p>
    <w:p>
      <w:pPr>
        <w:spacing w:after="0" w:line="49" w:lineRule="exact"/>
        <w:rPr>
          <w:sz w:val="20"/>
          <w:szCs w:val="20"/>
          <w:color w:val="auto"/>
        </w:rPr>
      </w:pPr>
    </w:p>
    <w:p>
      <w:pPr>
        <w:ind w:right="3259" w:firstLine="358"/>
        <w:spacing w:after="0" w:line="295" w:lineRule="auto"/>
        <w:rPr>
          <w:sz w:val="20"/>
          <w:szCs w:val="20"/>
          <w:color w:val="auto"/>
        </w:rPr>
      </w:pPr>
      <w:r>
        <w:rPr>
          <w:rFonts w:ascii="Courier New" w:cs="Courier New" w:eastAsia="Courier New" w:hAnsi="Courier New"/>
          <w:sz w:val="14"/>
          <w:szCs w:val="14"/>
          <w:color w:val="auto"/>
        </w:rPr>
        <w:t>Accrued expenses increased by $1,584,949, primarily due to the accrual of approximately $1,172,000 for our estimate of the costs of settlement of a 1989 funding agreement with the Rhode Island Partnership for Science and Technology and $463,000 for the estimated lease payments and operating costs of the Rhode Island facilities through an expected disposal date of June 30, 2000.</w:t>
      </w:r>
    </w:p>
    <w:p>
      <w:pPr>
        <w:spacing w:after="0" w:line="5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079" w:firstLine="358"/>
        <w:spacing w:after="0" w:line="281"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64" w:lineRule="exact"/>
        <w:rPr>
          <w:sz w:val="20"/>
          <w:szCs w:val="20"/>
          <w:color w:val="auto"/>
        </w:rPr>
      </w:pPr>
    </w:p>
    <w:p>
      <w:pPr>
        <w:ind w:right="3779" w:firstLine="358"/>
        <w:spacing w:after="0" w:line="359" w:lineRule="auto"/>
        <w:rPr>
          <w:sz w:val="20"/>
          <w:szCs w:val="20"/>
          <w:color w:val="auto"/>
        </w:rPr>
      </w:pPr>
      <w:r>
        <w:rPr>
          <w:rFonts w:ascii="Courier New" w:cs="Courier New" w:eastAsia="Courier New" w:hAnsi="Courier New"/>
          <w:sz w:val="15"/>
          <w:szCs w:val="15"/>
          <w:color w:val="auto"/>
        </w:rPr>
        <w:t>We had unrestricted cash and cash equivalents totaling $5,535,264 at June 30, 2000. Cash equivalents are invested in money market funds.</w:t>
      </w:r>
    </w:p>
    <w:p>
      <w:pPr>
        <w:spacing w:after="0" w:line="8" w:lineRule="exact"/>
        <w:rPr>
          <w:sz w:val="20"/>
          <w:szCs w:val="20"/>
          <w:color w:val="auto"/>
        </w:rPr>
      </w:pPr>
    </w:p>
    <w:p>
      <w:pPr>
        <w:jc w:val="both"/>
        <w:ind w:right="3159" w:firstLine="358"/>
        <w:spacing w:after="0" w:line="274" w:lineRule="auto"/>
        <w:rPr>
          <w:sz w:val="20"/>
          <w:szCs w:val="20"/>
          <w:color w:val="auto"/>
        </w:rPr>
      </w:pPr>
      <w:r>
        <w:rPr>
          <w:rFonts w:ascii="Courier New" w:cs="Courier New" w:eastAsia="Courier New" w:hAnsi="Courier New"/>
          <w:sz w:val="14"/>
          <w:szCs w:val="14"/>
          <w:color w:val="auto"/>
        </w:rPr>
        <w:t>We also hold 126,193 shares of Modex stock, which is publicly traded on the Swiss Neue Market exchange. While our Modex stock had an estimated fair market value of $27,204,333 on September 30, 2000 (and $23,128,598 on October 31,</w:t>
      </w:r>
    </w:p>
    <w:p>
      <w:pPr>
        <w:spacing w:after="0" w:line="1"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5"/>
          <w:szCs w:val="15"/>
          <w:color w:val="auto"/>
        </w:rPr>
        <w:t>2000), the fair market value of our Modex stock has varied significantly since the Modex public offering and may continue to vary significantly based on increases and decreases in the reported per share price, in Swiss francs, of the Modex stock and on foreign currency exchange rates. We are prohibited under a lock-up agreement entered into at the time of Modex's public offering from selling any of our Modex shares until December 23, 2000. In addition, there is a limited trading market for Modex stock, and if we were to attempt to sell any significant portion of our Modex holdings, we would likely be able to do so only at a significant discount to the then market price, if at all.</w:t>
      </w:r>
    </w:p>
    <w:p>
      <w:pPr>
        <w:spacing w:after="0" w:line="86" w:lineRule="exact"/>
        <w:rPr>
          <w:sz w:val="20"/>
          <w:szCs w:val="20"/>
          <w:color w:val="auto"/>
        </w:rPr>
      </w:pPr>
    </w:p>
    <w:p>
      <w:pPr>
        <w:ind w:right="3079" w:firstLine="358"/>
        <w:spacing w:after="0" w:line="281"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w:t>
      </w:r>
    </w:p>
    <w:p>
      <w:pPr>
        <w:spacing w:after="0" w:line="64" w:lineRule="exact"/>
        <w:rPr>
          <w:sz w:val="20"/>
          <w:szCs w:val="20"/>
          <w:color w:val="auto"/>
        </w:rPr>
      </w:pPr>
    </w:p>
    <w:p>
      <w:pPr>
        <w:ind w:right="3159" w:firstLine="358"/>
        <w:spacing w:after="0" w:line="250" w:lineRule="auto"/>
        <w:rPr>
          <w:sz w:val="20"/>
          <w:szCs w:val="20"/>
          <w:color w:val="auto"/>
        </w:rPr>
      </w:pPr>
      <w:r>
        <w:rPr>
          <w:rFonts w:ascii="Courier New" w:cs="Courier New" w:eastAsia="Courier New" w:hAnsi="Courier New"/>
          <w:sz w:val="15"/>
          <w:szCs w:val="15"/>
          <w:color w:val="auto"/>
        </w:rPr>
        <w:t>In March 1995, we signed a collaborative research and development agreement with AstraZeneca plc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we were obligated to conduct certain research and development pursuant to a four-year research plan agreed upon by the parties. Over the term of the research plan, we originally expected to receive annual payments of $5 million to $7 million from AstraZeneca, which was to approximate the research and development costs incurred by us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w:t>
      </w:r>
    </w:p>
    <w:p>
      <w:pPr>
        <w:spacing w:after="0" w:line="9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35" w:right="1440" w:bottom="1440" w:gutter="0" w:footer="0" w:header="0"/>
        </w:sectPr>
      </w:pPr>
    </w:p>
    <w:bookmarkStart w:id="21" w:name="page22"/>
    <w:bookmarkEnd w:id="21"/>
    <w:p>
      <w:pPr>
        <w:ind w:right="3079"/>
        <w:spacing w:after="0" w:line="250" w:lineRule="auto"/>
        <w:rPr>
          <w:sz w:val="20"/>
          <w:szCs w:val="20"/>
          <w:color w:val="auto"/>
        </w:rPr>
      </w:pPr>
      <w:r>
        <w:rPr>
          <w:rFonts w:ascii="Courier New" w:cs="Courier New" w:eastAsia="Courier New" w:hAnsi="Courier New"/>
          <w:sz w:val="15"/>
          <w:szCs w:val="15"/>
          <w:color w:val="auto"/>
        </w:rPr>
        <w:t>later of either the expiration of all patents included in the licensed technology or a specified fixed term, we were entitled to a royalty on the worldwide net sales of such products in return for the marketing license granted to AstraZeneca and our obligation to manufacture and supply products. AstraZeneca had the right to terminate the original agreement beginning</w:t>
      </w:r>
    </w:p>
    <w:p>
      <w:pPr>
        <w:spacing w:after="0" w:line="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April 1, 1998. On June 24, 1999, AstraZeneca informed us of the results of AstraZeneca's analysis of the double-blind, placebo-controlled trial of a potential ECT product, an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exercised its right to terminate the agreement. See also</w:t>
      </w:r>
    </w:p>
    <w:p>
      <w:pPr>
        <w:spacing w:after="0" w:line="6" w:lineRule="exact"/>
        <w:rPr>
          <w:sz w:val="20"/>
          <w:szCs w:val="20"/>
          <w:color w:val="auto"/>
        </w:rPr>
      </w:pPr>
    </w:p>
    <w:p>
      <w:pPr>
        <w:ind w:right="3699"/>
        <w:spacing w:after="0" w:line="319" w:lineRule="auto"/>
        <w:rPr>
          <w:sz w:val="20"/>
          <w:szCs w:val="20"/>
          <w:color w:val="auto"/>
        </w:rPr>
      </w:pPr>
      <w:r>
        <w:rPr>
          <w:rFonts w:ascii="Courier New" w:cs="Courier New" w:eastAsia="Courier New" w:hAnsi="Courier New"/>
          <w:sz w:val="15"/>
          <w:szCs w:val="15"/>
          <w:color w:val="auto"/>
        </w:rPr>
        <w:t>Note 17--"Research Agreements" to the Accompanying Consolidated Financial Statements.</w:t>
      </w:r>
    </w:p>
    <w:p>
      <w:pPr>
        <w:spacing w:after="0" w:line="3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the third quarter of 1999, we announced restructuring plans for the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operations relating to our ECT and to focus our resources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of our platform of proprietary stem cell technologies.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terminated approximately 68 full time employees and, in October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relocated our corporate headquarters to Sunnyvale, California. We recorded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$6,047,806 of wind-down expenses including employee separation and relocation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during 1999.</w:t>
      </w:r>
    </w:p>
    <w:p>
      <w:pPr>
        <w:spacing w:after="0" w:line="146" w:lineRule="exact"/>
        <w:rPr>
          <w:sz w:val="20"/>
          <w:szCs w:val="20"/>
          <w:color w:val="auto"/>
        </w:rPr>
      </w:pPr>
    </w:p>
    <w:p>
      <w:pPr>
        <w:ind w:right="3159" w:firstLine="358"/>
        <w:spacing w:after="0" w:line="278" w:lineRule="auto"/>
        <w:rPr>
          <w:sz w:val="20"/>
          <w:szCs w:val="20"/>
          <w:color w:val="auto"/>
        </w:rPr>
      </w:pPr>
      <w:r>
        <w:rPr>
          <w:rFonts w:ascii="Courier New" w:cs="Courier New" w:eastAsia="Courier New" w:hAnsi="Courier New"/>
          <w:sz w:val="14"/>
          <w:szCs w:val="14"/>
          <w:color w:val="auto"/>
        </w:rPr>
        <w:t>On December 30, 1999 we sold our ECT and assigned our intellectual property assets in it to Neurotech S.A. for a payment of $3,000,000, royalties on future product sales, and a portion of certain Neurotech revenues from third parties. In addition, we retained certain non-exclusive rights to use ECT in combination with our proprietary stem cell technologies and in the field of vaccines for prevention and treatment of infectious diseases. We received $2,800,000 of the initial payment on January 3, 2000 with a remaining balance of $200,000 placed in escrow, to be released to us upon demonstration satisfactory to Neurotech that certain intellectual property is not subject to other claims.</w:t>
      </w:r>
    </w:p>
    <w:p>
      <w:pPr>
        <w:spacing w:after="0" w:line="67" w:lineRule="exact"/>
        <w:rPr>
          <w:sz w:val="20"/>
          <w:szCs w:val="20"/>
          <w:color w:val="auto"/>
        </w:rPr>
      </w:pPr>
    </w:p>
    <w:p>
      <w:pPr>
        <w:ind w:right="3079" w:firstLine="358"/>
        <w:spacing w:after="0" w:line="272"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are being used to fund our continuing operations.</w:t>
      </w:r>
    </w:p>
    <w:p>
      <w:pPr>
        <w:spacing w:after="0" w:line="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the Rhode Island Partnership for Science and Technology, or RIPSAT,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demanded payment of approximately $2.6 million. While we believe we were not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them under the Funding Agreement. At the same time, IRBA agreed to return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146" w:lineRule="exact"/>
        <w:rPr>
          <w:sz w:val="20"/>
          <w:szCs w:val="20"/>
          <w:color w:val="auto"/>
        </w:rPr>
      </w:pPr>
    </w:p>
    <w:p>
      <w:pPr>
        <w:ind w:right="3079" w:firstLine="358"/>
        <w:spacing w:after="0" w:line="254" w:lineRule="auto"/>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w:t>
      </w:r>
    </w:p>
    <w:p>
      <w:pPr>
        <w:spacing w:after="0" w:line="8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35" w:right="1440" w:bottom="1440" w:gutter="0" w:footer="0" w:header="0"/>
        </w:sectPr>
      </w:pPr>
    </w:p>
    <w:bookmarkStart w:id="22" w:name="page23"/>
    <w:bookmarkEnd w:id="22"/>
    <w:p>
      <w:pPr>
        <w:ind w:right="3079"/>
        <w:spacing w:after="0" w:line="257" w:lineRule="auto"/>
        <w:rPr>
          <w:sz w:val="20"/>
          <w:szCs w:val="20"/>
          <w:color w:val="auto"/>
        </w:rPr>
      </w:pPr>
      <w:r>
        <w:rPr>
          <w:rFonts w:ascii="Courier New" w:cs="Courier New" w:eastAsia="Courier New" w:hAnsi="Courier New"/>
          <w:sz w:val="15"/>
          <w:szCs w:val="15"/>
          <w:color w:val="auto"/>
        </w:rPr>
        <w:t>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83"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In May 1996, we secured an equipment loan facility with a bank in the amount of $2,000,000. On August 5, 1999 we made a payment of approximately $752,000 of principal and interest to the lender to retire this loan facility rather than seek a waiver by the lender of our violation of a loan covenant requiring us to maintain unrestricted liquidity in an amount equal to or in excess of $10 million.</w:t>
      </w:r>
    </w:p>
    <w:p>
      <w:pPr>
        <w:spacing w:after="0" w:line="74"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We continue to have outstanding obligations in regard to our former facilities in Lincoln, Rhode Island, including lease payments and operating costs of approximately $950,000 per year associated with our former research laboratory and corporate headquarters building, and debt service payments and 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83" w:lineRule="exact"/>
        <w:rPr>
          <w:sz w:val="20"/>
          <w:szCs w:val="20"/>
          <w:color w:val="auto"/>
        </w:rPr>
      </w:pPr>
    </w:p>
    <w:p>
      <w:pPr>
        <w:ind w:right="3079" w:firstLine="358"/>
        <w:spacing w:after="0" w:line="249"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91" w:lineRule="exact"/>
        <w:rPr>
          <w:sz w:val="20"/>
          <w:szCs w:val="20"/>
          <w:color w:val="auto"/>
        </w:rPr>
      </w:pPr>
    </w:p>
    <w:p>
      <w:pPr>
        <w:ind w:right="3079" w:firstLine="358"/>
        <w:spacing w:after="0" w:line="250" w:lineRule="auto"/>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will receive the remaining $1 million upon effectiveness of a registration statement covering the shares purchased by the Fund. The Fund purchased our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87" w:lineRule="exact"/>
        <w:rPr>
          <w:sz w:val="20"/>
          <w:szCs w:val="20"/>
          <w:color w:val="auto"/>
        </w:rPr>
      </w:pPr>
    </w:p>
    <w:p>
      <w:pPr>
        <w:jc w:val="both"/>
        <w:ind w:right="3439" w:firstLine="358"/>
        <w:spacing w:after="0" w:line="301" w:lineRule="auto"/>
        <w:rPr>
          <w:sz w:val="20"/>
          <w:szCs w:val="20"/>
          <w:color w:val="auto"/>
        </w:rPr>
      </w:pPr>
      <w:r>
        <w:rPr>
          <w:rFonts w:ascii="Courier New" w:cs="Courier New" w:eastAsia="Courier New" w:hAnsi="Courier New"/>
          <w:sz w:val="15"/>
          <w:szCs w:val="15"/>
          <w:color w:val="auto"/>
        </w:rPr>
        <w:t>In addition, the Fund has the option for twelve months to purchase up to $3 million of additional common stock. On August 23, 2000 the Fund exercised $1,000,000 of its option to purchase additional</w:t>
      </w: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35" w:right="1440" w:bottom="1440" w:gutter="0" w:footer="0" w:header="0"/>
        </w:sectPr>
      </w:pPr>
    </w:p>
    <w:bookmarkStart w:id="23" w:name="page24"/>
    <w:bookmarkEnd w:id="23"/>
    <w:p>
      <w:pPr>
        <w:ind w:right="3079"/>
        <w:spacing w:after="0" w:line="257" w:lineRule="auto"/>
        <w:rPr>
          <w:sz w:val="20"/>
          <w:szCs w:val="20"/>
          <w:color w:val="auto"/>
        </w:rPr>
      </w:pPr>
      <w:r>
        <w:rPr>
          <w:rFonts w:ascii="Courier New" w:cs="Courier New" w:eastAsia="Courier New" w:hAnsi="Courier New"/>
          <w:sz w:val="15"/>
          <w:szCs w:val="15"/>
          <w:color w:val="auto"/>
        </w:rPr>
        <w:t>common stock at $5.53 per share. The Fund paid $750,000 of the purchase price in connection with the closing on August 30, 2000, and will pay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a warrant to purchase up to 19,900 shares of common stock at $6.03 per share. This warrant is callable by us at $10.05 per underlying share.</w:t>
      </w:r>
    </w:p>
    <w:p>
      <w:pPr>
        <w:spacing w:after="0" w:line="83" w:lineRule="exact"/>
        <w:rPr>
          <w:sz w:val="20"/>
          <w:szCs w:val="20"/>
          <w:color w:val="auto"/>
        </w:rPr>
      </w:pPr>
    </w:p>
    <w:p>
      <w:pPr>
        <w:ind w:right="3159" w:firstLine="358"/>
        <w:spacing w:after="0" w:line="249" w:lineRule="auto"/>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95"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w:t>
      </w:r>
    </w:p>
    <w:p>
      <w:pPr>
        <w:spacing w:after="0" w:line="83"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into the first quarter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35" w:right="1440" w:bottom="1440" w:gutter="0" w:footer="0" w:header="0"/>
        </w:sectPr>
      </w:pPr>
    </w:p>
    <w:bookmarkStart w:id="24" w:name="page25"/>
    <w:bookmarkEnd w:id="24"/>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59" w:firstLine="358"/>
        <w:spacing w:after="0" w:line="259" w:lineRule="auto"/>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81" w:lineRule="exact"/>
        <w:rPr>
          <w:sz w:val="20"/>
          <w:szCs w:val="20"/>
          <w:color w:val="auto"/>
        </w:rPr>
      </w:pPr>
    </w:p>
    <w:p>
      <w:pPr>
        <w:ind w:right="3079" w:firstLine="358"/>
        <w:spacing w:after="0" w:line="255"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87" w:lineRule="exact"/>
        <w:rPr>
          <w:sz w:val="20"/>
          <w:szCs w:val="20"/>
          <w:color w:val="auto"/>
        </w:rPr>
      </w:pPr>
    </w:p>
    <w:p>
      <w:pPr>
        <w:ind w:right="3079" w:firstLine="358"/>
        <w:spacing w:after="0" w:line="251" w:lineRule="auto"/>
        <w:rPr>
          <w:sz w:val="20"/>
          <w:szCs w:val="20"/>
          <w:color w:val="auto"/>
        </w:rPr>
      </w:pPr>
      <w:r>
        <w:rPr>
          <w:rFonts w:ascii="Courier New" w:cs="Courier New" w:eastAsia="Courier New" w:hAnsi="Courier New"/>
          <w:sz w:val="15"/>
          <w:szCs w:val="15"/>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 THERAPY BACKGROUND</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4" w:lineRule="exact"/>
        <w:rPr>
          <w:sz w:val="20"/>
          <w:szCs w:val="20"/>
          <w:color w:val="auto"/>
        </w:rPr>
      </w:pPr>
    </w:p>
    <w:p>
      <w:pPr>
        <w:ind w:right="3159" w:firstLine="358"/>
        <w:spacing w:after="0" w:line="283"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Alzheimer's disease and amyotrophic lateral sclerosis.</w:t>
      </w:r>
    </w:p>
    <w:p>
      <w:pPr>
        <w:spacing w:after="0" w:line="67" w:lineRule="exact"/>
        <w:rPr>
          <w:sz w:val="20"/>
          <w:szCs w:val="20"/>
          <w:color w:val="auto"/>
        </w:rPr>
      </w:pPr>
    </w:p>
    <w:p>
      <w:pPr>
        <w:ind w:right="3079" w:firstLine="358"/>
        <w:spacing w:after="0" w:line="280" w:lineRule="auto"/>
        <w:rPr>
          <w:sz w:val="20"/>
          <w:szCs w:val="20"/>
          <w:color w:val="auto"/>
        </w:rPr>
      </w:pPr>
      <w:r>
        <w:rPr>
          <w:rFonts w:ascii="Courier New" w:cs="Courier New" w:eastAsia="Courier New" w:hAnsi="Courier New"/>
          <w:sz w:val="14"/>
          <w:szCs w:val="14"/>
          <w:color w:val="auto"/>
        </w:rPr>
        <w:t>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w:t>
      </w:r>
    </w:p>
    <w:p>
      <w:pPr>
        <w:spacing w:after="0" w:line="68" w:lineRule="exact"/>
        <w:rPr>
          <w:sz w:val="20"/>
          <w:szCs w:val="20"/>
          <w:color w:val="auto"/>
        </w:rPr>
      </w:pPr>
    </w:p>
    <w:p>
      <w:pPr>
        <w:ind w:right="3159" w:firstLine="358"/>
        <w:spacing w:after="0" w:line="272" w:lineRule="auto"/>
        <w:rPr>
          <w:sz w:val="20"/>
          <w:szCs w:val="20"/>
          <w:color w:val="auto"/>
        </w:rPr>
      </w:pPr>
      <w:r>
        <w:rPr>
          <w:rFonts w:ascii="Courier New" w:cs="Courier New" w:eastAsia="Courier New" w:hAnsi="Courier New"/>
          <w:sz w:val="15"/>
          <w:szCs w:val="15"/>
          <w:color w:val="auto"/>
        </w:rPr>
        <w:t>Cells, however, do this naturally. As a result, investigators have considered replacing failing cells that are no longer producing the needed substances or proteins by implanting stem or progenitor cells capable of regenerating the cell that the degenerative condition has damaged or destroyed. Where</w:t>
      </w:r>
    </w:p>
    <w:p>
      <w:pPr>
        <w:spacing w:after="0" w:line="6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35" w:right="1440" w:bottom="1440" w:gutter="0" w:footer="0" w:header="0"/>
        </w:sectPr>
      </w:pPr>
    </w:p>
    <w:bookmarkStart w:id="25" w:name="page26"/>
    <w:bookmarkEnd w:id="25"/>
    <w:p>
      <w:pPr>
        <w:ind w:right="3259"/>
        <w:spacing w:after="0" w:line="301" w:lineRule="auto"/>
        <w:rPr>
          <w:sz w:val="20"/>
          <w:szCs w:val="20"/>
          <w:color w:val="auto"/>
        </w:rPr>
      </w:pPr>
      <w:r>
        <w:rPr>
          <w:rFonts w:ascii="Courier New" w:cs="Courier New" w:eastAsia="Courier New" w:hAnsi="Courier New"/>
          <w:sz w:val="15"/>
          <w:szCs w:val="15"/>
          <w:color w:val="auto"/>
        </w:rPr>
        <w:t>there has been irreversible tissue damage or organ failure, transplantation of stem cells offers the possibility of generating new and healthy tissue, thus potentially restoring the organ function and the patient's health.</w:t>
      </w:r>
    </w:p>
    <w:p>
      <w:pPr>
        <w:spacing w:after="0" w:line="4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4" w:lineRule="exact"/>
        <w:rPr>
          <w:sz w:val="20"/>
          <w:szCs w:val="20"/>
          <w:color w:val="auto"/>
        </w:rPr>
      </w:pPr>
    </w:p>
    <w:p>
      <w:pPr>
        <w:ind w:right="3079" w:firstLine="358"/>
        <w:spacing w:after="0" w:line="281"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64" w:lineRule="exact"/>
        <w:rPr>
          <w:sz w:val="20"/>
          <w:szCs w:val="20"/>
          <w:color w:val="auto"/>
        </w:rPr>
      </w:pPr>
    </w:p>
    <w:p>
      <w:pPr>
        <w:ind w:right="3079" w:firstLine="358"/>
        <w:spacing w:after="0" w:line="295"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57" w:lineRule="exact"/>
        <w:rPr>
          <w:sz w:val="20"/>
          <w:szCs w:val="20"/>
          <w:color w:val="auto"/>
        </w:rPr>
      </w:pPr>
    </w:p>
    <w:p>
      <w:pPr>
        <w:ind w:left="700" w:hanging="350"/>
        <w:spacing w:after="0"/>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4" w:lineRule="exact"/>
        <w:rPr>
          <w:rFonts w:ascii="Courier New" w:cs="Courier New" w:eastAsia="Courier New" w:hAnsi="Courier New"/>
          <w:sz w:val="15"/>
          <w:szCs w:val="15"/>
          <w:color w:val="auto"/>
        </w:rPr>
      </w:pPr>
    </w:p>
    <w:p>
      <w:pPr>
        <w:ind w:left="620" w:right="3079" w:hanging="270"/>
        <w:spacing w:after="0" w:line="359" w:lineRule="auto"/>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can be used to expand these rare cells in sufficient quantities for effective transplants; and</w:t>
      </w:r>
    </w:p>
    <w:p>
      <w:pPr>
        <w:spacing w:after="0" w:line="7" w:lineRule="exact"/>
        <w:rPr>
          <w:rFonts w:ascii="Courier New" w:cs="Courier New" w:eastAsia="Courier New" w:hAnsi="Courier New"/>
          <w:sz w:val="15"/>
          <w:szCs w:val="15"/>
          <w:color w:val="auto"/>
        </w:rPr>
      </w:pPr>
    </w:p>
    <w:p>
      <w:pPr>
        <w:ind w:left="620" w:right="3079" w:hanging="270"/>
        <w:spacing w:after="0" w:line="301" w:lineRule="auto"/>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transplantation into individuals whose own cells are not suitable because of disease or other reasons.</w:t>
      </w:r>
    </w:p>
    <w:p>
      <w:pPr>
        <w:spacing w:after="0" w:line="49"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83" w:lineRule="exact"/>
        <w:rPr>
          <w:sz w:val="20"/>
          <w:szCs w:val="20"/>
          <w:color w:val="auto"/>
        </w:rPr>
      </w:pPr>
    </w:p>
    <w:p>
      <w:pPr>
        <w:ind w:right="3259" w:firstLine="358"/>
        <w:spacing w:after="0" w:line="295" w:lineRule="auto"/>
        <w:rPr>
          <w:sz w:val="20"/>
          <w:szCs w:val="20"/>
          <w:color w:val="auto"/>
        </w:rPr>
      </w:pPr>
      <w:r>
        <w:rPr>
          <w:rFonts w:ascii="Courier New" w:cs="Courier New" w:eastAsia="Courier New" w:hAnsi="Courier New"/>
          <w:sz w:val="14"/>
          <w:szCs w:val="14"/>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w:t>
      </w:r>
    </w:p>
    <w:p>
      <w:pPr>
        <w:spacing w:after="0" w:line="57"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74" w:lineRule="exact"/>
        <w:rPr>
          <w:sz w:val="20"/>
          <w:szCs w:val="20"/>
          <w:color w:val="auto"/>
        </w:rPr>
      </w:pPr>
    </w:p>
    <w:p>
      <w:pPr>
        <w:ind w:right="3159" w:firstLine="358"/>
        <w:spacing w:after="0" w:line="281" w:lineRule="auto"/>
        <w:rPr>
          <w:sz w:val="20"/>
          <w:szCs w:val="20"/>
          <w:color w:val="auto"/>
        </w:rPr>
      </w:pPr>
      <w:r>
        <w:rPr>
          <w:rFonts w:ascii="Courier New" w:cs="Courier New" w:eastAsia="Courier New" w:hAnsi="Courier New"/>
          <w:sz w:val="15"/>
          <w:szCs w:val="15"/>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64" w:lineRule="exact"/>
        <w:rPr>
          <w:sz w:val="20"/>
          <w:szCs w:val="20"/>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35" w:right="1440" w:bottom="1440" w:gutter="0" w:footer="0" w:header="0"/>
        </w:sectPr>
      </w:pPr>
    </w:p>
    <w:bookmarkStart w:id="26" w:name="page27"/>
    <w:bookmarkEnd w:id="26"/>
    <w:p>
      <w:pPr>
        <w:ind w:left="340"/>
        <w:spacing w:after="0"/>
        <w:rPr>
          <w:sz w:val="20"/>
          <w:szCs w:val="20"/>
          <w:color w:val="auto"/>
        </w:rPr>
      </w:pPr>
      <w:r>
        <w:rPr>
          <w:rFonts w:ascii="Courier New" w:cs="Courier New" w:eastAsia="Courier New" w:hAnsi="Courier New"/>
          <w:sz w:val="15"/>
          <w:szCs w:val="15"/>
          <w:color w:val="auto"/>
        </w:rPr>
        <w:t>We will be pursuing key alliances in these areas.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174" w:lineRule="exact"/>
        <w:rPr>
          <w:sz w:val="20"/>
          <w:szCs w:val="20"/>
          <w:color w:val="auto"/>
        </w:rPr>
      </w:pPr>
    </w:p>
    <w:p>
      <w:pPr>
        <w:ind w:left="520" w:right="3599" w:hanging="170"/>
        <w:spacing w:after="0" w:line="359"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7" w:lineRule="exact"/>
        <w:rPr>
          <w:rFonts w:ascii="Courier New" w:cs="Courier New" w:eastAsia="Courier New" w:hAnsi="Courier New"/>
          <w:sz w:val="15"/>
          <w:szCs w:val="15"/>
          <w:color w:val="auto"/>
        </w:rPr>
      </w:pPr>
    </w:p>
    <w:p>
      <w:pPr>
        <w:ind w:left="520" w:right="3259" w:hanging="170"/>
        <w:spacing w:after="0" w:line="301"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49"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Stem cells are known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83"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74" w:lineRule="exact"/>
        <w:rPr>
          <w:sz w:val="20"/>
          <w:szCs w:val="20"/>
          <w:color w:val="auto"/>
        </w:rPr>
      </w:pPr>
    </w:p>
    <w:p>
      <w:pPr>
        <w:ind w:right="3159" w:firstLine="358"/>
        <w:spacing w:after="0" w:line="257" w:lineRule="auto"/>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83" w:lineRule="exact"/>
        <w:rPr>
          <w:sz w:val="20"/>
          <w:szCs w:val="20"/>
          <w:color w:val="auto"/>
        </w:rPr>
      </w:pPr>
    </w:p>
    <w:p>
      <w:pPr>
        <w:ind w:right="3079" w:firstLine="358"/>
        <w:spacing w:after="0" w:line="252" w:lineRule="auto"/>
        <w:rPr>
          <w:sz w:val="20"/>
          <w:szCs w:val="20"/>
          <w:color w:val="auto"/>
        </w:rPr>
      </w:pPr>
      <w:r>
        <w:rPr>
          <w:rFonts w:ascii="Courier New" w:cs="Courier New" w:eastAsia="Courier New" w:hAnsi="Courier New"/>
          <w:sz w:val="15"/>
          <w:szCs w:val="15"/>
          <w:color w:val="auto"/>
        </w:rPr>
        <w:t>More recently, we announced the results of a new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89" w:lineRule="exact"/>
        <w:rPr>
          <w:sz w:val="20"/>
          <w:szCs w:val="20"/>
          <w:color w:val="auto"/>
        </w:rPr>
      </w:pPr>
    </w:p>
    <w:p>
      <w:pPr>
        <w:ind w:right="3159" w:firstLine="358"/>
        <w:spacing w:after="0" w:line="259" w:lineRule="auto"/>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these diseases.</w:t>
      </w:r>
    </w:p>
    <w:p>
      <w:pPr>
        <w:spacing w:after="0" w:line="81" w:lineRule="exact"/>
        <w:rPr>
          <w:sz w:val="20"/>
          <w:szCs w:val="20"/>
          <w:color w:val="auto"/>
        </w:rPr>
      </w:pPr>
    </w:p>
    <w:p>
      <w:pPr>
        <w:ind w:right="3079" w:firstLine="358"/>
        <w:spacing w:after="0" w:line="281" w:lineRule="auto"/>
        <w:rPr>
          <w:sz w:val="20"/>
          <w:szCs w:val="20"/>
          <w:color w:val="auto"/>
        </w:rPr>
      </w:pPr>
      <w:r>
        <w:rPr>
          <w:rFonts w:ascii="Courier New" w:cs="Courier New" w:eastAsia="Courier New" w:hAnsi="Courier New"/>
          <w:sz w:val="15"/>
          <w:szCs w:val="15"/>
          <w:color w:val="auto"/>
        </w:rPr>
        <w:t>We continue to advance our research programs to discover the islet stem cell in the human pancreas and the liver stem cell. Islet cells are the cells that produce insulin, so islet stem cells may be useful in the treatment of Type 1 diabetes and those cases of Type 2 diabetes where insulin secretion is</w:t>
      </w:r>
    </w:p>
    <w:p>
      <w:pPr>
        <w:spacing w:after="0" w:line="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35" w:right="1440" w:bottom="1440" w:gutter="0" w:footer="0" w:header="0"/>
        </w:sectPr>
      </w:pPr>
    </w:p>
    <w:bookmarkStart w:id="27" w:name="page28"/>
    <w:bookmarkEnd w:id="27"/>
    <w:p>
      <w:pPr>
        <w:ind w:right="3259"/>
        <w:spacing w:after="0" w:line="359" w:lineRule="auto"/>
        <w:rPr>
          <w:sz w:val="20"/>
          <w:szCs w:val="20"/>
          <w:color w:val="auto"/>
        </w:rPr>
      </w:pPr>
      <w:r>
        <w:rPr>
          <w:rFonts w:ascii="Courier New" w:cs="Courier New" w:eastAsia="Courier New" w:hAnsi="Courier New"/>
          <w:sz w:val="15"/>
          <w:szCs w:val="15"/>
          <w:color w:val="auto"/>
        </w:rPr>
        <w:t>defective. Liver stem cells may be useful in the treatment of diseases such as hepatitis, cirrhosis of the liver and liver cancer.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 OTHER TREATMENT</w:t>
      </w:r>
    </w:p>
    <w:p>
      <w:pPr>
        <w:spacing w:after="0" w:line="174"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8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4" w:lineRule="exact"/>
        <w:rPr>
          <w:sz w:val="20"/>
          <w:szCs w:val="20"/>
          <w:color w:val="auto"/>
        </w:rPr>
      </w:pPr>
    </w:p>
    <w:p>
      <w:pPr>
        <w:ind w:right="3259" w:firstLine="358"/>
        <w:spacing w:after="0" w:line="262" w:lineRule="auto"/>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4"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74" w:lineRule="exact"/>
        <w:rPr>
          <w:sz w:val="20"/>
          <w:szCs w:val="20"/>
          <w:color w:val="auto"/>
        </w:rPr>
      </w:pPr>
    </w:p>
    <w:p>
      <w:pPr>
        <w:ind w:right="3079" w:firstLine="358"/>
        <w:spacing w:after="0" w:line="255" w:lineRule="auto"/>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35" w:right="1440" w:bottom="1440" w:gutter="0" w:footer="0" w:header="0"/>
        </w:sectPr>
      </w:pPr>
    </w:p>
    <w:bookmarkStart w:id="28" w:name="page29"/>
    <w:bookmarkEnd w:id="28"/>
    <w:p>
      <w:pPr>
        <w:ind w:left="8" w:right="3879"/>
        <w:spacing w:after="0" w:line="359" w:lineRule="auto"/>
        <w:rPr>
          <w:sz w:val="20"/>
          <w:szCs w:val="20"/>
          <w:color w:val="auto"/>
        </w:rPr>
      </w:pPr>
      <w:r>
        <w:rPr>
          <w:rFonts w:ascii="Courier New" w:cs="Courier New" w:eastAsia="Courier New" w:hAnsi="Courier New"/>
          <w:sz w:val="15"/>
          <w:szCs w:val="15"/>
          <w:color w:val="auto"/>
        </w:rPr>
        <w:t>programs are at relatively early stages of development and will require substantial resources to commercialize.</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160" w:type="dxa"/>
            <w:vAlign w:val="bottom"/>
          </w:tcPr>
          <w:p>
            <w:pPr>
              <w:spacing w:after="0"/>
              <w:rPr>
                <w:sz w:val="14"/>
                <w:szCs w:val="14"/>
                <w:color w:val="auto"/>
              </w:rPr>
            </w:pPr>
          </w:p>
        </w:tc>
        <w:tc>
          <w:tcPr>
            <w:tcW w:w="56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RESEARCH AND PRODUCT DEVELOPMENT PROGRAMS</w:t>
            </w:r>
          </w:p>
        </w:tc>
        <w:tc>
          <w:tcPr>
            <w:tcW w:w="0" w:type="dxa"/>
            <w:vAlign w:val="bottom"/>
          </w:tcPr>
          <w:p>
            <w:pPr>
              <w:spacing w:after="0"/>
              <w:rPr>
                <w:sz w:val="1"/>
                <w:szCs w:val="1"/>
                <w:color w:val="auto"/>
              </w:rPr>
            </w:pPr>
          </w:p>
        </w:tc>
      </w:tr>
      <w:tr>
        <w:trPr>
          <w:trHeight w:val="172"/>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PROGRAM DESCRIPTION AND OBJECTIVE</w:t>
            </w:r>
          </w:p>
        </w:tc>
        <w:tc>
          <w:tcPr>
            <w:tcW w:w="56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3160" w:type="dxa"/>
            <w:vAlign w:val="bottom"/>
            <w:vMerge w:val="continue"/>
          </w:tcPr>
          <w:p>
            <w:pPr>
              <w:spacing w:after="0"/>
              <w:rPr>
                <w:sz w:val="14"/>
                <w:szCs w:val="14"/>
                <w:color w:val="auto"/>
              </w:rPr>
            </w:pPr>
          </w:p>
        </w:tc>
        <w:tc>
          <w:tcPr>
            <w:tcW w:w="56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STAGE/STATUS(1)</w:t>
            </w: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3160" w:type="dxa"/>
            <w:vAlign w:val="bottom"/>
          </w:tcPr>
          <w:p>
            <w:pPr>
              <w:spacing w:after="0"/>
              <w:rPr>
                <w:sz w:val="20"/>
                <w:szCs w:val="20"/>
                <w:color w:val="auto"/>
              </w:rPr>
            </w:pPr>
            <w:r>
              <w:rPr>
                <w:rFonts w:ascii="Courier New" w:cs="Courier New" w:eastAsia="Courier New" w:hAnsi="Courier New"/>
                <w:sz w:val="15"/>
                <w:szCs w:val="15"/>
                <w:color w:val="auto"/>
              </w:rPr>
              <w:t>HUMAN NEURAL STEM CELL</w:t>
            </w:r>
          </w:p>
        </w:tc>
        <w:tc>
          <w:tcPr>
            <w:tcW w:w="56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PRECLINICAL</w:t>
            </w:r>
          </w:p>
        </w:tc>
        <w:tc>
          <w:tcPr>
            <w:tcW w:w="0" w:type="dxa"/>
            <w:vAlign w:val="bottom"/>
          </w:tcPr>
          <w:p>
            <w:pPr>
              <w:spacing w:after="0"/>
              <w:rPr>
                <w:sz w:val="1"/>
                <w:szCs w:val="1"/>
                <w:color w:val="auto"/>
              </w:rPr>
            </w:pPr>
          </w:p>
        </w:tc>
      </w:tr>
    </w:tbl>
    <w:p>
      <w:pPr>
        <w:spacing w:after="0" w:line="92" w:lineRule="exact"/>
        <w:rPr>
          <w:sz w:val="20"/>
          <w:szCs w:val="20"/>
          <w:color w:val="auto"/>
        </w:rPr>
      </w:pPr>
    </w:p>
    <w:p>
      <w:pPr>
        <w:sectPr>
          <w:pgSz w:w="11900" w:h="16838" w:orient="portrait"/>
          <w:cols w:equalWidth="0" w:num="1">
            <w:col w:w="10227"/>
          </w:cols>
          <w:pgMar w:left="232" w:top="435" w:right="1440" w:bottom="1440" w:gutter="0" w:footer="0" w:header="0"/>
        </w:sectPr>
      </w:pPr>
    </w:p>
    <w:p>
      <w:pPr>
        <w:ind w:left="8" w:right="100"/>
        <w:spacing w:after="0" w:line="295" w:lineRule="auto"/>
        <w:rPr>
          <w:sz w:val="20"/>
          <w:szCs w:val="20"/>
          <w:color w:val="auto"/>
        </w:rPr>
      </w:pPr>
      <w:r>
        <w:rPr>
          <w:rFonts w:ascii="Courier New" w:cs="Courier New" w:eastAsia="Courier New" w:hAnsi="Courier New"/>
          <w:sz w:val="14"/>
          <w:szCs w:val="14"/>
          <w:color w:val="auto"/>
        </w:rPr>
        <w:t>Repair or replace damaged central nervous system tissue (including spinal cord, degenerated retinas and tissue affected by certain genetic disorders)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PANCREAS ISLET STEM CELL</w:t>
      </w:r>
    </w:p>
    <w:p>
      <w:pPr>
        <w:spacing w:after="0" w:line="174" w:lineRule="exact"/>
        <w:rPr>
          <w:sz w:val="20"/>
          <w:szCs w:val="20"/>
          <w:color w:val="auto"/>
        </w:rPr>
      </w:pPr>
    </w:p>
    <w:p>
      <w:pPr>
        <w:ind w:left="8"/>
        <w:spacing w:after="0" w:line="359" w:lineRule="auto"/>
        <w:rPr>
          <w:sz w:val="20"/>
          <w:szCs w:val="20"/>
          <w:color w:val="auto"/>
        </w:rPr>
      </w:pPr>
      <w:r>
        <w:rPr>
          <w:rFonts w:ascii="Courier New" w:cs="Courier New" w:eastAsia="Courier New" w:hAnsi="Courier New"/>
          <w:sz w:val="15"/>
          <w:szCs w:val="15"/>
          <w:color w:val="auto"/>
        </w:rPr>
        <w:t>Repair or replace damaged pancreas islet tissue</w:t>
      </w:r>
    </w:p>
    <w:p>
      <w:pPr>
        <w:spacing w:after="0" w:line="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LIVER STEM CELL</w:t>
      </w:r>
    </w:p>
    <w:p>
      <w:pPr>
        <w:spacing w:after="0" w:line="174" w:lineRule="exact"/>
        <w:rPr>
          <w:sz w:val="20"/>
          <w:szCs w:val="20"/>
          <w:color w:val="auto"/>
        </w:rPr>
      </w:pPr>
    </w:p>
    <w:p>
      <w:pPr>
        <w:ind w:left="8" w:right="100"/>
        <w:spacing w:after="0" w:line="281" w:lineRule="auto"/>
        <w:rPr>
          <w:sz w:val="20"/>
          <w:szCs w:val="20"/>
          <w:color w:val="auto"/>
        </w:rPr>
      </w:pPr>
      <w:r>
        <w:rPr>
          <w:rFonts w:ascii="Courier New" w:cs="Courier New" w:eastAsia="Courier New" w:hAnsi="Courier New"/>
          <w:sz w:val="15"/>
          <w:szCs w:val="15"/>
          <w:color w:val="auto"/>
        </w:rPr>
        <w:t>Repair or replace damaged liver tissue including tissue resulting from certain metabolic genetic diseases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268" w:right="1639" w:hanging="268"/>
        <w:spacing w:after="0" w:line="252" w:lineRule="auto"/>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VITRO the ability to initiate and expand stem cell-containing human neural cultures and specialization into three types of central nervous system cells</w:t>
      </w:r>
    </w:p>
    <w:p>
      <w:pPr>
        <w:spacing w:after="0" w:line="2" w:lineRule="exact"/>
        <w:rPr>
          <w:rFonts w:ascii="Courier New" w:cs="Courier New" w:eastAsia="Courier New" w:hAnsi="Courier New"/>
          <w:sz w:val="15"/>
          <w:szCs w:val="15"/>
          <w:color w:val="auto"/>
        </w:rPr>
      </w:pPr>
    </w:p>
    <w:p>
      <w:pPr>
        <w:ind w:left="268" w:right="1819" w:hanging="268"/>
        <w:spacing w:after="0" w:line="242" w:lineRule="auto"/>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ability of neurosphere-initiating stem cells from human brain</w:t>
      </w:r>
    </w:p>
    <w:p>
      <w:pPr>
        <w:spacing w:after="0" w:line="1" w:lineRule="exact"/>
        <w:rPr>
          <w:rFonts w:ascii="Courier New" w:cs="Courier New" w:eastAsia="Courier New" w:hAnsi="Courier New"/>
          <w:sz w:val="15"/>
          <w:szCs w:val="15"/>
          <w:color w:val="auto"/>
        </w:rPr>
      </w:pPr>
    </w:p>
    <w:p>
      <w:pPr>
        <w:ind w:left="268" w:right="1899" w:hanging="268"/>
        <w:spacing w:after="0" w:line="242" w:lineRule="auto"/>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rodent studies that transplanted human brain-derived stem cells are accepted and properly specialized into the three major cell types of the central nervous system.</w:t>
      </w:r>
    </w:p>
    <w:p>
      <w:pPr>
        <w:spacing w:after="0" w:line="3"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RESEARCH</w:t>
      </w:r>
    </w:p>
    <w:p>
      <w:pPr>
        <w:spacing w:after="0" w:line="146" w:lineRule="exact"/>
        <w:rPr>
          <w:sz w:val="20"/>
          <w:szCs w:val="20"/>
          <w:color w:val="auto"/>
        </w:rPr>
      </w:pPr>
    </w:p>
    <w:p>
      <w:pPr>
        <w:ind w:left="268" w:right="1819" w:hanging="268"/>
        <w:spacing w:after="0" w:line="281" w:lineRule="auto"/>
        <w:tabs>
          <w:tab w:leader="none" w:pos="26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Identified markers on the surface of cells to identify, isolate and culture islet stem cells of the pancreas</w:t>
      </w:r>
    </w:p>
    <w:p>
      <w:pPr>
        <w:ind w:left="268" w:hanging="268"/>
        <w:spacing w:after="0"/>
        <w:tabs>
          <w:tab w:leader="none" w:pos="2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RESEARCH</w:t>
      </w:r>
    </w:p>
    <w:p>
      <w:pPr>
        <w:spacing w:after="0" w:line="146" w:lineRule="exact"/>
        <w:rPr>
          <w:sz w:val="20"/>
          <w:szCs w:val="20"/>
          <w:color w:val="auto"/>
        </w:rPr>
      </w:pPr>
    </w:p>
    <w:p>
      <w:pPr>
        <w:ind w:left="268" w:right="1739" w:hanging="268"/>
        <w:spacing w:after="0" w:line="262" w:lineRule="auto"/>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production of hepatocytes from purified mouse hematopoietic stem cells</w:t>
      </w:r>
    </w:p>
    <w:p>
      <w:pPr>
        <w:spacing w:after="0" w:line="1" w:lineRule="exact"/>
        <w:rPr>
          <w:rFonts w:ascii="Courier New" w:cs="Courier New" w:eastAsia="Courier New" w:hAnsi="Courier New"/>
          <w:sz w:val="15"/>
          <w:szCs w:val="15"/>
          <w:color w:val="auto"/>
        </w:rPr>
      </w:pPr>
    </w:p>
    <w:p>
      <w:pPr>
        <w:jc w:val="both"/>
        <w:ind w:left="268" w:right="1999" w:hanging="268"/>
        <w:spacing w:after="0" w:line="242" w:lineRule="auto"/>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progenitor cells that can produce both bile duct and hepatocytes</w:t>
      </w:r>
    </w:p>
    <w:p>
      <w:pPr>
        <w:spacing w:after="0" w:line="2" w:lineRule="exact"/>
        <w:rPr>
          <w:rFonts w:ascii="Courier New" w:cs="Courier New" w:eastAsia="Courier New" w:hAnsi="Courier New"/>
          <w:sz w:val="15"/>
          <w:szCs w:val="15"/>
          <w:color w:val="auto"/>
        </w:rPr>
      </w:pPr>
    </w:p>
    <w:p>
      <w:pPr>
        <w:ind w:left="268" w:right="1739" w:hanging="268"/>
        <w:spacing w:after="0" w:line="319" w:lineRule="auto"/>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Showed that the in vitro culture of human bipotent liver cells can also grow human hepatitis virus</w:t>
      </w:r>
    </w:p>
    <w:p>
      <w:pPr>
        <w:spacing w:after="0" w:line="552" w:lineRule="exact"/>
        <w:rPr>
          <w:sz w:val="20"/>
          <w:szCs w:val="20"/>
          <w:color w:val="auto"/>
        </w:rPr>
      </w:pPr>
    </w:p>
    <w:p>
      <w:pPr>
        <w:sectPr>
          <w:pgSz w:w="11900" w:h="16838" w:orient="portrait"/>
          <w:cols w:equalWidth="0" w:num="2">
            <w:col w:w="3048" w:space="172"/>
            <w:col w:w="7007"/>
          </w:cols>
          <w:pgMar w:left="232" w:top="435" w:right="1440" w:bottom="1440" w:gutter="0" w:footer="0" w:header="0"/>
          <w:type w:val="continuous"/>
        </w:sectPr>
      </w:pPr>
    </w:p>
    <w:p>
      <w:pPr>
        <w:ind w:left="348" w:right="3079" w:hanging="348"/>
        <w:spacing w:after="0" w:line="307" w:lineRule="auto"/>
        <w:tabs>
          <w:tab w:leader="none" w:pos="34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4" w:lineRule="exact"/>
        <w:rPr>
          <w:sz w:val="20"/>
          <w:szCs w:val="20"/>
          <w:color w:val="auto"/>
        </w:rPr>
      </w:pPr>
    </w:p>
    <w:p>
      <w:pPr>
        <w:ind w:left="8" w:right="3079" w:firstLine="358"/>
        <w:spacing w:after="0" w:line="254" w:lineRule="auto"/>
        <w:rPr>
          <w:sz w:val="20"/>
          <w:szCs w:val="20"/>
          <w:color w:val="auto"/>
        </w:rPr>
      </w:pPr>
      <w:r>
        <w:rPr>
          <w:rFonts w:ascii="Courier New" w:cs="Courier New" w:eastAsia="Courier New" w:hAnsi="Courier New"/>
          <w:sz w:val="15"/>
          <w:szCs w:val="15"/>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8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174" w:lineRule="exact"/>
        <w:rPr>
          <w:sz w:val="20"/>
          <w:szCs w:val="20"/>
          <w:color w:val="auto"/>
        </w:rPr>
      </w:pPr>
    </w:p>
    <w:p>
      <w:pPr>
        <w:ind w:left="8" w:right="3259" w:firstLine="358"/>
        <w:spacing w:after="0" w:line="262" w:lineRule="auto"/>
        <w:rPr>
          <w:sz w:val="20"/>
          <w:szCs w:val="20"/>
          <w:color w:val="auto"/>
        </w:rPr>
      </w:pPr>
      <w:r>
        <w:rPr>
          <w:rFonts w:ascii="Courier New" w:cs="Courier New" w:eastAsia="Courier New" w:hAnsi="Courier New"/>
          <w:sz w:val="15"/>
          <w:szCs w:val="15"/>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435" w:right="1440" w:bottom="1440" w:gutter="0" w:footer="0" w:header="0"/>
          <w:type w:val="continuous"/>
        </w:sectPr>
      </w:pPr>
    </w:p>
    <w:bookmarkStart w:id="29" w:name="page30"/>
    <w:bookmarkEnd w:id="29"/>
    <w:p>
      <w:pPr>
        <w:ind w:right="3079" w:firstLine="358"/>
        <w:spacing w:after="0" w:line="252" w:lineRule="auto"/>
        <w:rPr>
          <w:sz w:val="20"/>
          <w:szCs w:val="20"/>
          <w:color w:val="auto"/>
        </w:rPr>
      </w:pPr>
      <w:r>
        <w:rPr>
          <w:rFonts w:ascii="Courier New" w:cs="Courier New" w:eastAsia="Courier New" w:hAnsi="Courier New"/>
          <w:sz w:val="15"/>
          <w:szCs w:val="15"/>
          <w:color w:val="auto"/>
        </w:rPr>
        <w:t>In 1997, our scientists invented a reproducible method for growing human CNS, stem and progenitor cells in cultures. In preclinical IN VITRO and early IN VIVO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89"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We are expanding our preclinical efforts toward the goal of selecting the proper indications to pursue.</w:t>
      </w:r>
    </w:p>
    <w:p>
      <w:pPr>
        <w:spacing w:after="0" w:line="81"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78" w:lineRule="exact"/>
        <w:rPr>
          <w:sz w:val="20"/>
          <w:szCs w:val="20"/>
          <w:color w:val="auto"/>
        </w:rPr>
      </w:pPr>
    </w:p>
    <w:p>
      <w:pPr>
        <w:ind w:right="3339" w:firstLine="358"/>
        <w:spacing w:after="0" w:line="307" w:lineRule="auto"/>
        <w:rPr>
          <w:sz w:val="20"/>
          <w:szCs w:val="20"/>
          <w:color w:val="auto"/>
        </w:rPr>
      </w:pPr>
      <w:r>
        <w:rPr>
          <w:rFonts w:ascii="Courier New" w:cs="Courier New" w:eastAsia="Courier New" w:hAnsi="Courier New"/>
          <w:sz w:val="14"/>
          <w:szCs w:val="14"/>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49" w:lineRule="exact"/>
        <w:rPr>
          <w:sz w:val="20"/>
          <w:szCs w:val="20"/>
          <w:color w:val="auto"/>
        </w:rPr>
      </w:pPr>
    </w:p>
    <w:p>
      <w:pPr>
        <w:ind w:right="3079" w:firstLine="358"/>
        <w:spacing w:after="0" w:line="255" w:lineRule="auto"/>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87"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w:t>
      </w:r>
    </w:p>
    <w:p>
      <w:pPr>
        <w:spacing w:after="0" w:line="78" w:lineRule="exact"/>
        <w:rPr>
          <w:sz w:val="20"/>
          <w:szCs w:val="20"/>
          <w:color w:val="auto"/>
        </w:rPr>
      </w:pPr>
    </w:p>
    <w:p>
      <w:pPr>
        <w:ind w:right="3439" w:firstLine="358"/>
        <w:spacing w:after="0" w:line="307" w:lineRule="auto"/>
        <w:rPr>
          <w:sz w:val="20"/>
          <w:szCs w:val="20"/>
          <w:color w:val="auto"/>
        </w:rPr>
      </w:pPr>
      <w:r>
        <w:rPr>
          <w:rFonts w:ascii="Courier New" w:cs="Courier New" w:eastAsia="Courier New" w:hAnsi="Courier New"/>
          <w:sz w:val="14"/>
          <w:szCs w:val="14"/>
          <w:color w:val="auto"/>
        </w:rPr>
        <w:t>In January 2000, we reported what we regard as an even more important result: In long term animal studies, our researchers were able to take these purified and expanded stem cells and transplant them into normal mouse brain hosts, where they take hold and grow into neurons and glial cells.</w:t>
      </w:r>
    </w:p>
    <w:p>
      <w:pPr>
        <w:spacing w:after="0" w:line="49"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During the course of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35" w:right="1440" w:bottom="1440" w:gutter="0" w:footer="0" w:header="0"/>
        </w:sectPr>
      </w:pPr>
    </w:p>
    <w:bookmarkStart w:id="30" w:name="page31"/>
    <w:bookmarkEnd w:id="30"/>
    <w:p>
      <w:pPr>
        <w:ind w:right="3159" w:firstLine="358"/>
        <w:spacing w:after="0" w:line="270" w:lineRule="auto"/>
        <w:rPr>
          <w:sz w:val="20"/>
          <w:szCs w:val="20"/>
          <w:color w:val="auto"/>
        </w:rPr>
      </w:pPr>
      <w:r>
        <w:rPr>
          <w:rFonts w:ascii="Courier New" w:cs="Courier New" w:eastAsia="Courier New" w:hAnsi="Courier New"/>
          <w:sz w:val="14"/>
          <w:szCs w:val="14"/>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2"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63" w:lineRule="exact"/>
        <w:rPr>
          <w:sz w:val="20"/>
          <w:szCs w:val="20"/>
          <w:color w:val="auto"/>
        </w:rPr>
      </w:pPr>
    </w:p>
    <w:p>
      <w:pPr>
        <w:ind w:left="520" w:right="3259" w:hanging="170"/>
        <w:spacing w:after="0" w:line="301"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48" w:lineRule="exact"/>
        <w:rPr>
          <w:rFonts w:ascii="Courier New" w:cs="Courier New" w:eastAsia="Courier New" w:hAnsi="Courier New"/>
          <w:sz w:val="15"/>
          <w:szCs w:val="15"/>
          <w:color w:val="auto"/>
        </w:rPr>
      </w:pPr>
    </w:p>
    <w:p>
      <w:pPr>
        <w:ind w:left="520" w:right="3079" w:hanging="170"/>
        <w:spacing w:after="0" w:line="262"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77" w:lineRule="exact"/>
        <w:rPr>
          <w:rFonts w:ascii="Courier New" w:cs="Courier New" w:eastAsia="Courier New" w:hAnsi="Courier New"/>
          <w:sz w:val="15"/>
          <w:szCs w:val="15"/>
          <w:color w:val="auto"/>
        </w:rPr>
      </w:pPr>
    </w:p>
    <w:p>
      <w:pPr>
        <w:ind w:left="520" w:right="3159" w:hanging="170"/>
        <w:spacing w:after="0" w:line="262"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174" w:lineRule="exact"/>
        <w:rPr>
          <w:sz w:val="20"/>
          <w:szCs w:val="20"/>
          <w:color w:val="auto"/>
        </w:rPr>
      </w:pPr>
    </w:p>
    <w:p>
      <w:pPr>
        <w:ind w:right="3079" w:firstLine="358"/>
        <w:spacing w:after="0" w:line="281" w:lineRule="auto"/>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pancreas stem and progenitor cells is currently being conducted by Nora Sarvetnick, Ph.D., of The Scripps Research Institute, in collaboration with some of our senior researchers.</w:t>
      </w:r>
    </w:p>
    <w:p>
      <w:pPr>
        <w:spacing w:after="0" w:line="64"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74" w:lineRule="exact"/>
        <w:rPr>
          <w:sz w:val="20"/>
          <w:szCs w:val="20"/>
          <w:color w:val="auto"/>
        </w:rPr>
      </w:pPr>
    </w:p>
    <w:p>
      <w:pPr>
        <w:ind w:right="3079" w:firstLine="358"/>
        <w:spacing w:after="0" w:line="301"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49" w:lineRule="exact"/>
        <w:rPr>
          <w:sz w:val="20"/>
          <w:szCs w:val="20"/>
          <w:color w:val="auto"/>
        </w:rPr>
      </w:pPr>
    </w:p>
    <w:p>
      <w:pPr>
        <w:ind w:right="3159" w:firstLine="358"/>
        <w:spacing w:after="0" w:line="257" w:lineRule="auto"/>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83" w:lineRule="exact"/>
        <w:rPr>
          <w:sz w:val="20"/>
          <w:szCs w:val="20"/>
          <w:color w:val="auto"/>
        </w:rPr>
      </w:pPr>
    </w:p>
    <w:p>
      <w:pPr>
        <w:ind w:right="3079" w:firstLine="358"/>
        <w:spacing w:after="0" w:line="283"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markers on the cell surface identified by Dr. Sarvetnick and her research team as being unique to the pancreas islet stem cell for which we have now filed a US patent application. In collaboration with Dr. Sarvetnick, we continue to advance the discovery program directed at the identification, isolation and culturing of pancreas stem and progenitor cells utilizing this technology.</w:t>
      </w:r>
    </w:p>
    <w:p>
      <w:pPr>
        <w:spacing w:after="0" w:line="6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35" w:right="1440" w:bottom="1440" w:gutter="0" w:footer="0" w:header="0"/>
        </w:sectPr>
      </w:pPr>
    </w:p>
    <w:bookmarkStart w:id="31" w:name="page32"/>
    <w:bookmarkEnd w:id="31"/>
    <w:p>
      <w:pPr>
        <w:ind w:left="340"/>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4" w:lineRule="exact"/>
        <w:rPr>
          <w:sz w:val="20"/>
          <w:szCs w:val="20"/>
          <w:color w:val="auto"/>
        </w:rPr>
      </w:pPr>
    </w:p>
    <w:p>
      <w:pPr>
        <w:ind w:right="3259" w:firstLine="358"/>
        <w:spacing w:after="0" w:line="262" w:lineRule="auto"/>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78" w:lineRule="exact"/>
        <w:rPr>
          <w:sz w:val="20"/>
          <w:szCs w:val="20"/>
          <w:color w:val="auto"/>
        </w:rPr>
      </w:pPr>
    </w:p>
    <w:p>
      <w:pPr>
        <w:ind w:right="3259" w:firstLine="358"/>
        <w:spacing w:after="0" w:line="359" w:lineRule="auto"/>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w:t>
      </w:r>
    </w:p>
    <w:p>
      <w:pPr>
        <w:spacing w:after="0" w:line="8" w:lineRule="exact"/>
        <w:rPr>
          <w:sz w:val="20"/>
          <w:szCs w:val="20"/>
          <w:color w:val="auto"/>
        </w:rPr>
      </w:pPr>
    </w:p>
    <w:p>
      <w:pPr>
        <w:ind w:right="3259" w:firstLine="358"/>
        <w:spacing w:after="0" w:line="272" w:lineRule="auto"/>
        <w:rPr>
          <w:sz w:val="20"/>
          <w:szCs w:val="20"/>
          <w:color w:val="auto"/>
        </w:rPr>
      </w:pPr>
      <w:r>
        <w:rPr>
          <w:rFonts w:ascii="Courier New" w:cs="Courier New" w:eastAsia="Courier New" w:hAnsi="Courier New"/>
          <w:sz w:val="15"/>
          <w:szCs w:val="15"/>
          <w:color w:val="auto"/>
        </w:rPr>
        <w:t>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69"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In 1999, our researchers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78"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7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174"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w:t>
      </w:r>
    </w:p>
    <w:p>
      <w:pPr>
        <w:spacing w:after="0" w:line="78" w:lineRule="exact"/>
        <w:rPr>
          <w:sz w:val="20"/>
          <w:szCs w:val="20"/>
          <w:color w:val="auto"/>
        </w:rPr>
      </w:pPr>
    </w:p>
    <w:p>
      <w:pPr>
        <w:ind w:right="3159" w:firstLine="358"/>
        <w:spacing w:after="0" w:line="254" w:lineRule="auto"/>
        <w:rPr>
          <w:sz w:val="20"/>
          <w:szCs w:val="20"/>
          <w:color w:val="auto"/>
        </w:rPr>
      </w:pPr>
      <w:r>
        <w:rPr>
          <w:rFonts w:ascii="Courier New" w:cs="Courier New" w:eastAsia="Courier New" w:hAnsi="Courier New"/>
          <w:sz w:val="15"/>
          <w:szCs w:val="15"/>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Sunnyvale, California. We are actively seeking to sublease, assign or sell our interest in our former corporate headquarters building and our pilot manufacturing and cell processing facility in Rhode Island.</w:t>
      </w:r>
    </w:p>
    <w:p>
      <w:pPr>
        <w:spacing w:after="0" w:line="8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retained certain non-exclusive rights to use the ECT in combination with our proprietary stem cell technology, and in the field of vaccines for prevention and treatment of infectious diseases.</w:t>
      </w:r>
    </w:p>
    <w:p>
      <w:pPr>
        <w:spacing w:after="0" w:line="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35" w:right="1440" w:bottom="1440" w:gutter="0" w:footer="0" w:header="0"/>
        </w:sectPr>
      </w:pPr>
    </w:p>
    <w:bookmarkStart w:id="32" w:name="page33"/>
    <w:bookmarkEnd w:id="32"/>
    <w:p>
      <w:pPr>
        <w:ind w:right="3259" w:firstLine="358"/>
        <w:spacing w:after="0" w:line="283" w:lineRule="auto"/>
        <w:rPr>
          <w:sz w:val="20"/>
          <w:szCs w:val="20"/>
          <w:color w:val="auto"/>
        </w:rPr>
      </w:pPr>
      <w:r>
        <w:rPr>
          <w:rFonts w:ascii="Courier New" w:cs="Courier New" w:eastAsia="Courier New" w:hAnsi="Courier New"/>
          <w:sz w:val="14"/>
          <w:szCs w:val="14"/>
          <w:color w:val="auto"/>
        </w:rPr>
        <w:t>In a related development, by mutual consent we and the Advanced Technology Program of the National Institute of Standards and Technology terminated two grants previously awarded to us for our encapsulated cell therapy and stem cell-related research. The encapsulated cell therapy grant was obviated by the sale of the technology to Neurotech. The funding agency has invited us to resubmit a proposal consistent with the new directions we are taking in our research and development of our platform of stem cell technologies.</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CALIFORNIA, INC.</w:t>
      </w:r>
    </w:p>
    <w:p>
      <w:pPr>
        <w:spacing w:after="0" w:line="174"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On September 26, 1997, we acquired by merger StemCells, Inc. (now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174" w:lineRule="exact"/>
        <w:rPr>
          <w:sz w:val="20"/>
          <w:szCs w:val="20"/>
          <w:color w:val="auto"/>
        </w:rPr>
      </w:pPr>
    </w:p>
    <w:p>
      <w:pPr>
        <w:ind w:right="3159" w:firstLine="358"/>
        <w:spacing w:after="0" w:line="271" w:lineRule="auto"/>
        <w:rPr>
          <w:sz w:val="20"/>
          <w:szCs w:val="20"/>
          <w:color w:val="auto"/>
        </w:rPr>
      </w:pPr>
      <w:r>
        <w:rPr>
          <w:rFonts w:ascii="Courier New" w:cs="Courier New" w:eastAsia="Courier New" w:hAnsi="Courier New"/>
          <w:sz w:val="14"/>
          <w:szCs w:val="14"/>
          <w:color w:val="auto"/>
        </w:rPr>
        <w:t>In July 1996, we, together with certain founding scientists, established Modex Therapeutics SA, a Swiss biotherapeutics company, to pursue extensions of our former technology of ECT for certain applications outside the central nervous system. Modex, headquartered in Lausanne, Switzerland, was formed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we held approximate 17% of its stock. Modex completed an initial public offering on June 23, 2000, in the course of which we realized a gain of approximately $1.4 million from the sale of certain shares. We now own 126,193 shares, or approximately 9%, of Modex's equity, subject to a lockup until December 23, 2000. The closing market price of Modex stock on the Swiss Neue Market exchange on October 31, 2000 was 329.50 Swiss francs, or approximately $183, per share.</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74"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8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NEUROSPHERES, LTD.</w:t>
      </w:r>
    </w:p>
    <w:p>
      <w:pPr>
        <w:spacing w:after="0" w:line="174" w:lineRule="exact"/>
        <w:rPr>
          <w:sz w:val="20"/>
          <w:szCs w:val="20"/>
          <w:color w:val="auto"/>
        </w:rPr>
      </w:pPr>
    </w:p>
    <w:p>
      <w:pPr>
        <w:ind w:right="3079" w:firstLine="358"/>
        <w:spacing w:after="0" w:line="253" w:lineRule="auto"/>
        <w:rPr>
          <w:sz w:val="20"/>
          <w:szCs w:val="20"/>
          <w:color w:val="auto"/>
        </w:rPr>
      </w:pPr>
      <w:r>
        <w:rPr>
          <w:rFonts w:ascii="Courier New" w:cs="Courier New" w:eastAsia="Courier New" w:hAnsi="Courier New"/>
          <w:sz w:val="15"/>
          <w:szCs w:val="15"/>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31, 2000, under which we obtained an exclusive license in the field of non-transplant uses, such as drug discovery and drug testing, so that together the licenses are exclusive for all uses of the technology. We will make up-front payments to NeuroSpheres of 65,000 shares of our</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35" w:right="1440" w:bottom="1440" w:gutter="0" w:footer="0" w:header="0"/>
        </w:sectPr>
      </w:pPr>
    </w:p>
    <w:bookmarkStart w:id="33" w:name="page34"/>
    <w:bookmarkEnd w:id="33"/>
    <w:p>
      <w:pPr>
        <w:ind w:right="3079"/>
        <w:spacing w:after="0" w:line="257" w:lineRule="auto"/>
        <w:rPr>
          <w:sz w:val="20"/>
          <w:szCs w:val="20"/>
          <w:color w:val="auto"/>
        </w:rPr>
      </w:pPr>
      <w:r>
        <w:rPr>
          <w:rFonts w:ascii="Courier New" w:cs="Courier New" w:eastAsia="Courier New" w:hAnsi="Courier New"/>
          <w:sz w:val="15"/>
          <w:szCs w:val="15"/>
          <w:color w:val="auto"/>
        </w:rPr>
        <w:t>common stock and $50,000, and additional cash payments when milestones are achieved in the non-transplant field, or in any products employing NeuroSpheres patents for generating cells of the blood and immune system from neural stem cells.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8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SIGNAL PHARMACEUTICALS, INC.</w:t>
      </w:r>
    </w:p>
    <w:p>
      <w:pPr>
        <w:spacing w:after="0" w:line="174" w:lineRule="exact"/>
        <w:rPr>
          <w:sz w:val="20"/>
          <w:szCs w:val="20"/>
          <w:color w:val="auto"/>
        </w:rPr>
      </w:pPr>
    </w:p>
    <w:p>
      <w:pPr>
        <w:ind w:right="3079" w:firstLine="358"/>
        <w:spacing w:after="0" w:line="252" w:lineRule="auto"/>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8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SPONSORED RESEARCH AGREEMENTS</w:t>
      </w:r>
    </w:p>
    <w:p>
      <w:pPr>
        <w:spacing w:after="0" w:line="174"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5"/>
          <w:szCs w:val="15"/>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78" w:lineRule="exact"/>
        <w:rPr>
          <w:sz w:val="20"/>
          <w:szCs w:val="20"/>
          <w:color w:val="auto"/>
        </w:rPr>
      </w:pPr>
    </w:p>
    <w:p>
      <w:pPr>
        <w:ind w:right="3079" w:firstLine="358"/>
        <w:spacing w:after="0" w:line="250" w:lineRule="auto"/>
        <w:rPr>
          <w:sz w:val="20"/>
          <w:szCs w:val="20"/>
          <w:color w:val="auto"/>
        </w:rPr>
      </w:pPr>
      <w:r>
        <w:rPr>
          <w:rFonts w:ascii="Courier New" w:cs="Courier New" w:eastAsia="Courier New" w:hAnsi="Courier New"/>
          <w:sz w:val="15"/>
          <w:szCs w:val="15"/>
          <w:color w:val="auto"/>
        </w:rPr>
        <w:t>Our research agreement with Scripps expired on November 14, 2000 and we are negotiating with Scripps to extend the term of this agreement or to enter into a new agreement. As of the date of this prospectus, we have not yet completed our negotiations with Scripps and we cannot give any assurance that our negotiations will be successful. If we are unable to extend the term of this agreement, we will have to find a replacement to perform this research or we will have to perform this research ourselves. In either case, we may experience delay and additional expense in connection with this research effort. Our license agreements with Scripps will terminate upon expiration, revocation or invalidation of the patents licensed to us, unless governmental regulations require a shorter term. These license agreements also will terminate earlier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w:t>
      </w:r>
    </w:p>
    <w:p>
      <w:pPr>
        <w:spacing w:after="0" w:line="87" w:lineRule="exact"/>
        <w:rPr>
          <w:sz w:val="20"/>
          <w:szCs w:val="20"/>
          <w:color w:val="auto"/>
        </w:rPr>
      </w:pPr>
    </w:p>
    <w:p>
      <w:pPr>
        <w:ind w:right="3079" w:firstLine="358"/>
        <w:spacing w:after="0" w:line="253" w:lineRule="auto"/>
        <w:rPr>
          <w:sz w:val="20"/>
          <w:szCs w:val="20"/>
          <w:color w:val="auto"/>
        </w:rPr>
      </w:pPr>
      <w:r>
        <w:rPr>
          <w:rFonts w:ascii="Courier New" w:cs="Courier New" w:eastAsia="Courier New" w:hAnsi="Courier New"/>
          <w:sz w:val="15"/>
          <w:szCs w:val="15"/>
          <w:color w:val="auto"/>
        </w:rPr>
        <w:t>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paid $10,000 to the California Institute of Technology upon execution of the license agreements, and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35" w:right="1440" w:bottom="1440" w:gutter="0" w:footer="0" w:header="0"/>
        </w:sectPr>
      </w:pPr>
    </w:p>
    <w:bookmarkStart w:id="34" w:name="page35"/>
    <w:bookmarkEnd w:id="34"/>
    <w:p>
      <w:pPr>
        <w:ind w:right="3439"/>
        <w:spacing w:after="0" w:line="301" w:lineRule="auto"/>
        <w:rPr>
          <w:sz w:val="20"/>
          <w:szCs w:val="20"/>
          <w:color w:val="auto"/>
        </w:rPr>
      </w:pPr>
      <w:r>
        <w:rPr>
          <w:rFonts w:ascii="Courier New" w:cs="Courier New" w:eastAsia="Courier New" w:hAnsi="Courier New"/>
          <w:sz w:val="15"/>
          <w:szCs w:val="15"/>
          <w:color w:val="auto"/>
        </w:rPr>
        <w:t>$2 million per year, with an overall maximum of $15 million. Once we pay the $15 million maximum royalty, the licenses will become fully paid and irrevocable.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right="3079" w:firstLine="358"/>
        <w:spacing w:after="0" w:line="255" w:lineRule="auto"/>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The carrier may also be used to improve the stability and acceptance of the stem cells or their progeny. Because of the early stage of our stem and progenitor cell programs, all of the issues that will affect manufacture of stem and progenitor cell products are not yet clear.</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4" w:lineRule="exact"/>
        <w:rPr>
          <w:sz w:val="20"/>
          <w:szCs w:val="20"/>
          <w:color w:val="auto"/>
        </w:rPr>
      </w:pPr>
    </w:p>
    <w:p>
      <w:pPr>
        <w:ind w:right="3159" w:firstLine="358"/>
        <w:spacing w:after="0" w:line="283"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4"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78" w:lineRule="exact"/>
        <w:rPr>
          <w:sz w:val="20"/>
          <w:szCs w:val="20"/>
          <w:color w:val="auto"/>
        </w:rPr>
      </w:pPr>
    </w:p>
    <w:p>
      <w:pPr>
        <w:ind w:right="3159" w:firstLine="358"/>
        <w:spacing w:after="0" w:line="259" w:lineRule="auto"/>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nineteen issued U.S. patents, six of which have issued within the last year. An additional thirteen patent applications are pending, one of which has been allowed.</w:t>
      </w:r>
    </w:p>
    <w:p>
      <w:pPr>
        <w:spacing w:after="0" w:line="81" w:lineRule="exact"/>
        <w:rPr>
          <w:sz w:val="20"/>
          <w:szCs w:val="20"/>
          <w:color w:val="auto"/>
        </w:rPr>
      </w:pPr>
    </w:p>
    <w:p>
      <w:pPr>
        <w:ind w:right="3079" w:firstLine="358"/>
        <w:spacing w:after="0" w:line="249" w:lineRule="auto"/>
        <w:rPr>
          <w:sz w:val="20"/>
          <w:szCs w:val="20"/>
          <w:color w:val="auto"/>
        </w:rPr>
      </w:pPr>
      <w:r>
        <w:rPr>
          <w:rFonts w:ascii="Courier New" w:cs="Courier New" w:eastAsia="Courier New" w:hAnsi="Courier New"/>
          <w:sz w:val="15"/>
          <w:szCs w:val="15"/>
          <w:color w:val="auto"/>
        </w:rPr>
        <w:t>We own or have filed patent applications which have been published for the following U.S. patents: Patent Number 5,968,829 (Human CNS neural stem cells); Patent Number 6,103,530 (Human CNS neural stem cells--culture media); Application Number WO 99/11758 (Cultures of human CNS neural stem cells); and Application Number WO 00/36091 (An animal model for identifying a common stem/progenitor to liver cells and pancreatic cells). We have licensed the following patents or pending patent applications from Neurospheres Holdings Ltd.: Patent Number 5,851,832 (In vitro proliferation); Patent Number 5,750,376 (In vitro genetic modification); Patent Number 5,981,165 (In vitro production of dopaminergic cells from mammalian central nervous system multipotent stem cell compositions); Patent Number 6,093,531 (Generation of hematopoietic cells from multipotent neural stem cells);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w:t>
      </w:r>
    </w:p>
    <w:p>
      <w:pPr>
        <w:spacing w:after="0" w:line="9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35" w:right="1440" w:bottom="1440" w:gutter="0" w:footer="0" w:header="0"/>
        </w:sectPr>
      </w:pPr>
    </w:p>
    <w:bookmarkStart w:id="35" w:name="page36"/>
    <w:bookmarkEnd w:id="35"/>
    <w:p>
      <w:pPr>
        <w:ind w:right="3259"/>
        <w:spacing w:after="0" w:line="249" w:lineRule="auto"/>
        <w:rPr>
          <w:sz w:val="20"/>
          <w:szCs w:val="20"/>
          <w:color w:val="auto"/>
        </w:rPr>
      </w:pPr>
      <w:r>
        <w:rPr>
          <w:rFonts w:ascii="Courier New" w:cs="Courier New" w:eastAsia="Courier New" w:hAnsi="Courier New"/>
          <w:sz w:val="15"/>
          <w:szCs w:val="15"/>
          <w:color w:val="auto"/>
        </w:rPr>
        <w:t>multipotent stem cell compositions); Application Number WO 96/15224 (Differentiation of mammalian central nervous system multipotent stem cell compositions); and Application Number WO 96/15226 (In vitro production of dopaminergic cells from mammalian central nervous system multipotent stem cell composition). We have licensed the following patents or pending patent applications from the University of California, San Diego: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5,776,948 (Method of production of neuroblasts); Patent Number 6,013,521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production of neuroblasts); Patent Number 6,020,197 (Method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of neuroblasts); and Application Number WO 94/16059 (Method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of neuroblasts). We have licensed the following patents or pending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applications from the California Institute of Technology: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5,629,159 (Immortalization and disimmortalization of cells); Application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WO 96/40877 (Immortalization and disimmortalization of cells);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5,935,811 (Neuron restrictive silencer factor proteins); Application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WO 96/27665 (Neuron restrictive silencer factor proteins);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5,589,376 (Mammalian neural crest stem cells); Patent Number 5,824,489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for isolating mammalian multipotent neural crest stem cells);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Application Number WO 94/02593 (Mammalian neural crest stem cells);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5,654,183 (Genetically engineered mammalian neural crest stem cells);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Number 5,928,947 (Mammalian multipotent neural crest stem cells);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5,693,482 (In vitro neural crest stem cell assay); Patent</w:t>
      </w:r>
    </w:p>
    <w:p>
      <w:pPr>
        <w:spacing w:after="0" w:line="2"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Number 6,001,654 (Methods for differentiating neural stem cells to neurons or smooth muscle cells (TGFb)); Application Number WO 98/48001 (Methods for differentiating neural stem cells to neurons or smooth muscle cells (TGFb)); Patent Number 5,672,499 (Methods for immortalizing multipotent neural crest stem cells); Patent Number 5,849,553 (Immortalizing and disimmortalizing multipotent neural crest stem cells); and Patent Number 6,033,906 (Differentiating mammalian neural stem cells to glial cells using neuregulins).</w:t>
      </w:r>
    </w:p>
    <w:p>
      <w:pPr>
        <w:spacing w:after="0" w:line="84" w:lineRule="exact"/>
        <w:rPr>
          <w:sz w:val="20"/>
          <w:szCs w:val="20"/>
          <w:color w:val="auto"/>
        </w:rPr>
      </w:pPr>
    </w:p>
    <w:p>
      <w:pPr>
        <w:ind w:right="3599" w:firstLine="358"/>
        <w:spacing w:after="0" w:line="301"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49" w:lineRule="exact"/>
        <w:rPr>
          <w:sz w:val="20"/>
          <w:szCs w:val="20"/>
          <w:color w:val="auto"/>
        </w:rPr>
      </w:pPr>
    </w:p>
    <w:p>
      <w:pPr>
        <w:ind w:right="3159" w:firstLine="358"/>
        <w:spacing w:after="0" w:line="255" w:lineRule="auto"/>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87"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and pancreas stem cells.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079" w:firstLine="358"/>
        <w:spacing w:after="0" w:line="254" w:lineRule="auto"/>
        <w:rPr>
          <w:sz w:val="20"/>
          <w:szCs w:val="20"/>
          <w:color w:val="auto"/>
        </w:rPr>
      </w:pPr>
      <w:r>
        <w:rPr>
          <w:rFonts w:ascii="Courier New" w:cs="Courier New" w:eastAsia="Courier New" w:hAnsi="Courier New"/>
          <w:sz w:val="15"/>
          <w:szCs w:val="15"/>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w:t>
      </w:r>
    </w:p>
    <w:p>
      <w:pPr>
        <w:spacing w:after="0" w:line="8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35" w:right="1440" w:bottom="1440" w:gutter="0" w:footer="0" w:header="0"/>
        </w:sectPr>
      </w:pPr>
    </w:p>
    <w:bookmarkStart w:id="36" w:name="page37"/>
    <w:bookmarkEnd w:id="36"/>
    <w:p>
      <w:pPr>
        <w:ind w:right="3339"/>
        <w:spacing w:after="0" w:line="301" w:lineRule="auto"/>
        <w:rPr>
          <w:sz w:val="20"/>
          <w:szCs w:val="20"/>
          <w:color w:val="auto"/>
        </w:rPr>
      </w:pPr>
      <w:r>
        <w:rPr>
          <w:rFonts w:ascii="Courier New" w:cs="Courier New" w:eastAsia="Courier New" w:hAnsi="Courier New"/>
          <w:sz w:val="15"/>
          <w:szCs w:val="15"/>
          <w:color w:val="auto"/>
        </w:rPr>
        <w:t>compete with these products principally on the basis of improved and extended efficacy and safety and their overall economic benefit to the health care system.</w:t>
      </w:r>
    </w:p>
    <w:p>
      <w:pPr>
        <w:spacing w:after="0" w:line="49"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81"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78" w:lineRule="exact"/>
        <w:rPr>
          <w:sz w:val="20"/>
          <w:szCs w:val="20"/>
          <w:color w:val="auto"/>
        </w:rPr>
      </w:pPr>
    </w:p>
    <w:p>
      <w:pPr>
        <w:ind w:right="3079" w:firstLine="358"/>
        <w:spacing w:after="0" w:line="281"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64"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83" w:lineRule="exact"/>
        <w:rPr>
          <w:sz w:val="20"/>
          <w:szCs w:val="20"/>
          <w:color w:val="auto"/>
        </w:rPr>
      </w:pPr>
    </w:p>
    <w:p>
      <w:pPr>
        <w:ind w:right="3079" w:firstLine="358"/>
        <w:spacing w:after="0" w:line="272" w:lineRule="auto"/>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right="3259" w:firstLine="358"/>
        <w:spacing w:after="0" w:line="281"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64" w:lineRule="exact"/>
        <w:rPr>
          <w:sz w:val="20"/>
          <w:szCs w:val="20"/>
          <w:color w:val="auto"/>
        </w:rPr>
      </w:pPr>
    </w:p>
    <w:p>
      <w:pPr>
        <w:ind w:right="3259" w:firstLine="358"/>
        <w:spacing w:after="0" w:line="283" w:lineRule="auto"/>
        <w:rPr>
          <w:sz w:val="20"/>
          <w:szCs w:val="20"/>
          <w:color w:val="auto"/>
        </w:rPr>
      </w:pPr>
      <w:r>
        <w:rPr>
          <w:rFonts w:ascii="Courier New" w:cs="Courier New" w:eastAsia="Courier New" w:hAnsi="Courier New"/>
          <w:sz w:val="14"/>
          <w:szCs w:val="14"/>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w:t>
      </w:r>
    </w:p>
    <w:p>
      <w:pPr>
        <w:spacing w:after="0" w:line="67" w:lineRule="exact"/>
        <w:rPr>
          <w:sz w:val="20"/>
          <w:szCs w:val="20"/>
          <w:color w:val="auto"/>
        </w:rPr>
      </w:pPr>
    </w:p>
    <w:p>
      <w:pPr>
        <w:ind w:right="3079" w:firstLine="358"/>
        <w:spacing w:after="0" w:line="281" w:lineRule="auto"/>
        <w:rPr>
          <w:sz w:val="20"/>
          <w:szCs w:val="20"/>
          <w:color w:val="auto"/>
        </w:rPr>
      </w:pPr>
      <w:r>
        <w:rPr>
          <w:rFonts w:ascii="Courier New" w:cs="Courier New" w:eastAsia="Courier New" w:hAnsi="Courier New"/>
          <w:sz w:val="15"/>
          <w:szCs w:val="15"/>
          <w:color w:val="auto"/>
        </w:rPr>
        <w:t>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35" w:right="1440" w:bottom="1440" w:gutter="0" w:footer="0" w:header="0"/>
        </w:sectPr>
      </w:pPr>
    </w:p>
    <w:bookmarkStart w:id="37" w:name="page38"/>
    <w:bookmarkEnd w:id="37"/>
    <w:p>
      <w:pPr>
        <w:ind w:left="348"/>
        <w:spacing w:after="0"/>
        <w:rPr>
          <w:sz w:val="20"/>
          <w:szCs w:val="20"/>
          <w:color w:val="auto"/>
        </w:rPr>
      </w:pPr>
      <w:r>
        <w:rPr>
          <w:rFonts w:ascii="Courier New" w:cs="Courier New" w:eastAsia="Courier New" w:hAnsi="Courier New"/>
          <w:sz w:val="15"/>
          <w:szCs w:val="15"/>
          <w:color w:val="auto"/>
        </w:rPr>
        <w:t>FDA APPROVAL</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United States include:</w:t>
      </w:r>
    </w:p>
    <w:p>
      <w:pPr>
        <w:spacing w:after="0" w:line="200" w:lineRule="exact"/>
        <w:rPr>
          <w:sz w:val="20"/>
          <w:szCs w:val="20"/>
          <w:color w:val="auto"/>
        </w:rPr>
      </w:pPr>
    </w:p>
    <w:p>
      <w:pPr>
        <w:spacing w:after="0" w:line="290" w:lineRule="exact"/>
        <w:rPr>
          <w:sz w:val="20"/>
          <w:szCs w:val="20"/>
          <w:color w:val="auto"/>
        </w:rPr>
      </w:pPr>
    </w:p>
    <w:p>
      <w:pPr>
        <w:ind w:left="1788"/>
        <w:spacing w:after="0"/>
        <w:tabs>
          <w:tab w:leader="none" w:pos="5528"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74" w:lineRule="exact"/>
        <w:rPr>
          <w:sz w:val="20"/>
          <w:szCs w:val="20"/>
          <w:color w:val="auto"/>
        </w:rPr>
      </w:pPr>
    </w:p>
    <w:p>
      <w:pPr>
        <w:ind w:left="8"/>
        <w:spacing w:after="0"/>
        <w:tabs>
          <w:tab w:leader="none" w:pos="4188" w:val="left"/>
        </w:tabs>
        <w:rPr>
          <w:sz w:val="20"/>
          <w:szCs w:val="20"/>
          <w:color w:val="auto"/>
        </w:rPr>
      </w:pPr>
      <w:r>
        <w:rPr>
          <w:rFonts w:ascii="Courier New" w:cs="Courier New" w:eastAsia="Courier New" w:hAnsi="Courier New"/>
          <w:sz w:val="15"/>
          <w:szCs w:val="15"/>
          <w:color w:val="auto"/>
        </w:rPr>
        <w:t>1. Preclinical laboratory and animal tests</w:t>
      </w:r>
      <w:r>
        <w:rPr>
          <w:sz w:val="20"/>
          <w:szCs w:val="20"/>
          <w:color w:val="auto"/>
        </w:rPr>
        <w:tab/>
      </w:r>
      <w:r>
        <w:rPr>
          <w:rFonts w:ascii="Courier New" w:cs="Courier New" w:eastAsia="Courier New" w:hAnsi="Courier New"/>
          <w:sz w:val="14"/>
          <w:szCs w:val="14"/>
          <w:color w:val="auto"/>
        </w:rPr>
        <w:t>Preclinical tests include laboratory</w:t>
      </w:r>
    </w:p>
    <w:p>
      <w:pPr>
        <w:spacing w:after="0" w:line="30"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evaluation of the product and animal studies</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in specific disease models to assess the</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potential safety and efficacy of the product</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and our formulation as well as the quality</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4"/>
          <w:szCs w:val="14"/>
          <w:color w:val="auto"/>
        </w:rPr>
        <w:t>and consistency of the manufacturing process.</w:t>
      </w:r>
    </w:p>
    <w:p>
      <w:pPr>
        <w:sectPr>
          <w:pgSz w:w="11900" w:h="16838" w:orient="portrait"/>
          <w:cols w:equalWidth="0" w:num="1">
            <w:col w:w="10227"/>
          </w:cols>
          <w:pgMar w:left="232" w:top="435" w:right="1440" w:bottom="1440" w:gutter="0" w:footer="0" w:header="0"/>
        </w:sectPr>
      </w:pPr>
    </w:p>
    <w:p>
      <w:pPr>
        <w:spacing w:after="0" w:line="157" w:lineRule="exact"/>
        <w:rPr>
          <w:sz w:val="20"/>
          <w:szCs w:val="20"/>
          <w:color w:val="auto"/>
        </w:rPr>
      </w:pPr>
    </w:p>
    <w:p>
      <w:pPr>
        <w:ind w:left="268" w:hanging="268"/>
        <w:spacing w:after="0"/>
        <w:tabs>
          <w:tab w:leader="none" w:pos="2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w:t>
      </w:r>
    </w:p>
    <w:p>
      <w:pPr>
        <w:spacing w:after="0" w:line="30" w:lineRule="exact"/>
        <w:rPr>
          <w:rFonts w:ascii="Courier New" w:cs="Courier New" w:eastAsia="Courier New" w:hAnsi="Courier New"/>
          <w:sz w:val="15"/>
          <w:szCs w:val="15"/>
          <w:color w:val="auto"/>
        </w:rPr>
      </w:pPr>
    </w:p>
    <w:p>
      <w:pPr>
        <w:ind w:left="8"/>
        <w:spacing w:after="0" w:line="28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an Investigational New Drug Exemption, or IND, which must become effective before U.S. human clinical trials may commence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2079"/>
        <w:spacing w:after="0" w:line="266" w:lineRule="auto"/>
        <w:rPr>
          <w:sz w:val="20"/>
          <w:szCs w:val="20"/>
          <w:color w:val="auto"/>
        </w:rPr>
      </w:pPr>
      <w:r>
        <w:rPr>
          <w:rFonts w:ascii="Courier New" w:cs="Courier New" w:eastAsia="Courier New" w:hAnsi="Courier New"/>
          <w:sz w:val="15"/>
          <w:szCs w:val="15"/>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74" w:lineRule="exact"/>
        <w:rPr>
          <w:sz w:val="20"/>
          <w:szCs w:val="20"/>
          <w:color w:val="auto"/>
        </w:rPr>
      </w:pPr>
    </w:p>
    <w:p>
      <w:pPr>
        <w:sectPr>
          <w:pgSz w:w="11900" w:h="16838" w:orient="portrait"/>
          <w:cols w:equalWidth="0" w:num="2">
            <w:col w:w="4028" w:space="180"/>
            <w:col w:w="6019"/>
          </w:cols>
          <w:pgMar w:left="232" w:top="435" w:right="1440" w:bottom="1440" w:gutter="0" w:footer="0" w:header="0"/>
          <w:type w:val="continuous"/>
        </w:sectPr>
      </w:pPr>
    </w:p>
    <w:p>
      <w:pPr>
        <w:ind w:left="8" w:hanging="8"/>
        <w:spacing w:after="0" w:line="301" w:lineRule="auto"/>
        <w:tabs>
          <w:tab w:leader="none" w:pos="27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ind w:left="4" w:right="1999"/>
        <w:spacing w:after="0" w:line="247" w:lineRule="auto"/>
        <w:rPr>
          <w:sz w:val="20"/>
          <w:szCs w:val="20"/>
          <w:color w:val="auto"/>
        </w:rPr>
      </w:pPr>
      <w:r>
        <w:rPr>
          <w:rFonts w:ascii="Courier New" w:cs="Courier New" w:eastAsia="Courier New" w:hAnsi="Courier New"/>
          <w:sz w:val="15"/>
          <w:szCs w:val="15"/>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00" w:lineRule="exact"/>
        <w:rPr>
          <w:sz w:val="20"/>
          <w:szCs w:val="20"/>
          <w:color w:val="auto"/>
        </w:rPr>
      </w:pPr>
    </w:p>
    <w:p>
      <w:pPr>
        <w:ind w:left="4" w:right="2179"/>
        <w:spacing w:after="0" w:line="301"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49" w:lineRule="exact"/>
        <w:rPr>
          <w:sz w:val="20"/>
          <w:szCs w:val="20"/>
          <w:color w:val="auto"/>
        </w:rPr>
      </w:pPr>
    </w:p>
    <w:p>
      <w:pPr>
        <w:ind w:left="4" w:right="2359" w:hanging="4"/>
        <w:spacing w:after="0" w:line="281" w:lineRule="auto"/>
        <w:tabs>
          <w:tab w:leader="none" w:pos="183"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healthy human subjects or</w:t>
      </w:r>
    </w:p>
    <w:p>
      <w:pPr>
        <w:ind w:left="184" w:right="217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into selected patient populations to test for adverse reactions, dosage tolerance, absorption and distribution, metabolism, excretion and clinical pharmacology.</w:t>
      </w:r>
    </w:p>
    <w:p>
      <w:pPr>
        <w:spacing w:after="0" w:line="200" w:lineRule="exact"/>
        <w:rPr>
          <w:sz w:val="20"/>
          <w:szCs w:val="20"/>
          <w:color w:val="auto"/>
        </w:rPr>
      </w:pPr>
    </w:p>
    <w:p>
      <w:pPr>
        <w:sectPr>
          <w:pgSz w:w="11900" w:h="16838" w:orient="portrait"/>
          <w:cols w:equalWidth="0" w:num="2">
            <w:col w:w="3848" w:space="356"/>
            <w:col w:w="6023"/>
          </w:cols>
          <w:pgMar w:left="232" w:top="435" w:right="1440" w:bottom="1440" w:gutter="0" w:footer="0" w:header="0"/>
          <w:type w:val="continuous"/>
        </w:sectPr>
      </w:pPr>
    </w:p>
    <w:p>
      <w:pPr>
        <w:spacing w:after="0" w:line="3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435" w:right="1440" w:bottom="144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 w:right="176" w:hanging="8"/>
        <w:spacing w:after="0" w:line="359" w:lineRule="auto"/>
        <w:tabs>
          <w:tab w:leader="none" w:pos="27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20" w:lineRule="exact"/>
        <w:rPr>
          <w:sz w:val="20"/>
          <w:szCs w:val="20"/>
          <w:color w:val="auto"/>
        </w:rPr>
      </w:pPr>
      <w:r>
        <w:rPr>
          <w:sz w:val="20"/>
          <w:szCs w:val="20"/>
          <w:color w:val="auto"/>
        </w:rPr>
        <w:br w:type="column"/>
      </w:r>
    </w:p>
    <w:p>
      <w:pPr>
        <w:ind w:left="4" w:right="2439" w:hanging="4"/>
        <w:spacing w:after="0" w:line="281" w:lineRule="auto"/>
        <w:tabs>
          <w:tab w:leader="none" w:pos="18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 (i) determine the</w:t>
      </w:r>
    </w:p>
    <w:p>
      <w:pPr>
        <w:ind w:left="184" w:right="2079"/>
        <w:spacing w:after="0" w:line="25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86" w:lineRule="exact"/>
        <w:rPr>
          <w:rFonts w:ascii="Courier New" w:cs="Courier New" w:eastAsia="Courier New" w:hAnsi="Courier New"/>
          <w:sz w:val="14"/>
          <w:szCs w:val="14"/>
          <w:color w:val="auto"/>
        </w:rPr>
      </w:pPr>
    </w:p>
    <w:p>
      <w:pPr>
        <w:ind w:left="4" w:right="2259" w:hanging="4"/>
        <w:spacing w:after="0" w:line="281" w:lineRule="auto"/>
        <w:tabs>
          <w:tab w:leader="none" w:pos="18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trials are undertaken to conclusively demonstrate clinical efficacy</w:t>
      </w:r>
    </w:p>
    <w:p>
      <w:pPr>
        <w:ind w:left="184" w:right="2179"/>
        <w:spacing w:after="0" w:line="28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to test further for safety within an expanded patient population, generally at multiple study sites.</w:t>
      </w:r>
    </w:p>
    <w:p>
      <w:pPr>
        <w:spacing w:after="0" w:line="63" w:lineRule="exact"/>
        <w:rPr>
          <w:sz w:val="20"/>
          <w:szCs w:val="20"/>
          <w:color w:val="auto"/>
        </w:rPr>
      </w:pPr>
    </w:p>
    <w:p>
      <w:pPr>
        <w:ind w:left="4" w:right="2079"/>
        <w:spacing w:after="0" w:line="272"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69" w:lineRule="exact"/>
        <w:rPr>
          <w:sz w:val="20"/>
          <w:szCs w:val="20"/>
          <w:color w:val="auto"/>
        </w:rPr>
      </w:pPr>
    </w:p>
    <w:p>
      <w:pPr>
        <w:ind w:left="4" w:right="2079"/>
        <w:spacing w:after="0" w:line="281"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marketing approval authorization applications.</w:t>
      </w:r>
    </w:p>
    <w:p>
      <w:pPr>
        <w:spacing w:after="0" w:line="64" w:lineRule="exact"/>
        <w:rPr>
          <w:sz w:val="20"/>
          <w:szCs w:val="20"/>
          <w:color w:val="auto"/>
        </w:rPr>
      </w:pPr>
    </w:p>
    <w:p>
      <w:pPr>
        <w:sectPr>
          <w:pgSz w:w="11900" w:h="16838" w:orient="portrait"/>
          <w:cols w:equalWidth="0" w:num="2">
            <w:col w:w="3484" w:space="720"/>
            <w:col w:w="6023"/>
          </w:cols>
          <w:pgMar w:left="232" w:top="779" w:right="1440" w:bottom="1440" w:gutter="0" w:footer="0" w:header="0"/>
        </w:sectPr>
      </w:pPr>
    </w:p>
    <w:p>
      <w:pPr>
        <w:ind w:left="8" w:hanging="8"/>
        <w:spacing w:after="0" w:line="266" w:lineRule="auto"/>
        <w:tabs>
          <w:tab w:leader="none" w:pos="27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ind w:right="1999"/>
        <w:spacing w:after="0" w:line="255" w:lineRule="auto"/>
        <w:rPr>
          <w:sz w:val="20"/>
          <w:szCs w:val="20"/>
          <w:color w:val="auto"/>
        </w:rPr>
      </w:pPr>
      <w:r>
        <w:rPr>
          <w:rFonts w:ascii="Courier New" w:cs="Courier New" w:eastAsia="Courier New" w:hAnsi="Courier New"/>
          <w:sz w:val="15"/>
          <w:szCs w:val="15"/>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4028" w:space="180"/>
            <w:col w:w="6019"/>
          </w:cols>
          <w:pgMar w:left="232" w:top="779" w:right="1440" w:bottom="1440" w:gutter="0" w:footer="0" w:header="0"/>
          <w:type w:val="continuous"/>
        </w:sectPr>
      </w:pPr>
    </w:p>
    <w:p>
      <w:pPr>
        <w:spacing w:after="0" w:line="59" w:lineRule="exact"/>
        <w:rPr>
          <w:sz w:val="20"/>
          <w:szCs w:val="20"/>
          <w:color w:val="auto"/>
        </w:rPr>
      </w:pPr>
    </w:p>
    <w:p>
      <w:pPr>
        <w:ind w:left="8" w:right="3079" w:firstLine="358"/>
        <w:spacing w:after="0" w:line="266" w:lineRule="auto"/>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FDA MANUFACTURING REQUIREMENTS</w:t>
      </w:r>
    </w:p>
    <w:p>
      <w:pPr>
        <w:spacing w:after="0" w:line="174" w:lineRule="exact"/>
        <w:rPr>
          <w:sz w:val="20"/>
          <w:szCs w:val="20"/>
          <w:color w:val="auto"/>
        </w:rPr>
      </w:pPr>
    </w:p>
    <w:p>
      <w:pPr>
        <w:ind w:left="8" w:right="3079" w:firstLine="358"/>
        <w:spacing w:after="0" w:line="254" w:lineRule="auto"/>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8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ORPHAN DRUG ACT</w:t>
      </w:r>
    </w:p>
    <w:p>
      <w:pPr>
        <w:spacing w:after="0" w:line="174" w:lineRule="exact"/>
        <w:rPr>
          <w:sz w:val="20"/>
          <w:szCs w:val="20"/>
          <w:color w:val="auto"/>
        </w:rPr>
      </w:pPr>
    </w:p>
    <w:p>
      <w:pPr>
        <w:ind w:left="8" w:right="3079" w:firstLine="358"/>
        <w:spacing w:after="0" w:line="281"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w:t>
      </w:r>
    </w:p>
    <w:p>
      <w:pPr>
        <w:spacing w:after="0" w:line="6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779" w:right="1440" w:bottom="1440" w:gutter="0" w:footer="0" w:header="0"/>
          <w:type w:val="continuous"/>
        </w:sectPr>
      </w:pPr>
    </w:p>
    <w:bookmarkStart w:id="39" w:name="page40"/>
    <w:bookmarkEnd w:id="39"/>
    <w:p>
      <w:pPr>
        <w:ind w:right="3079"/>
        <w:spacing w:after="0" w:line="331" w:lineRule="auto"/>
        <w:rPr>
          <w:sz w:val="20"/>
          <w:szCs w:val="20"/>
          <w:color w:val="auto"/>
        </w:rPr>
      </w:pPr>
      <w:r>
        <w:rPr>
          <w:rFonts w:ascii="Courier New" w:cs="Courier New" w:eastAsia="Courier New" w:hAnsi="Courier New"/>
          <w:sz w:val="14"/>
          <w:szCs w:val="14"/>
          <w:color w:val="auto"/>
        </w:rPr>
        <w:t>affect more than 200,000 individuals in the United States if the sponsor does not realistically anticipate its product becoming profitable from sales in the United States. We may apply for orphan drug status for certain of our therapies.</w:t>
      </w:r>
    </w:p>
    <w:p>
      <w:pPr>
        <w:spacing w:after="0" w:line="32"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8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PROPOSED FDA REGULATIONS</w:t>
      </w:r>
    </w:p>
    <w:p>
      <w:pPr>
        <w:spacing w:after="0" w:line="174"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our collaborators have stock options or other equity interests in us that could subject such collaborators and us to the proposed regulations.</w:t>
      </w:r>
    </w:p>
    <w:p>
      <w:pPr>
        <w:spacing w:after="0" w:line="81" w:lineRule="exact"/>
        <w:rPr>
          <w:sz w:val="20"/>
          <w:szCs w:val="20"/>
          <w:color w:val="auto"/>
        </w:rPr>
      </w:pPr>
    </w:p>
    <w:p>
      <w:pPr>
        <w:ind w:right="3159" w:firstLine="358"/>
        <w:spacing w:after="0" w:line="266" w:lineRule="auto"/>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might be taken from it. Restrictions exist on the testing or use of cells, whether human or non-human.</w:t>
      </w:r>
    </w:p>
    <w:p>
      <w:pPr>
        <w:spacing w:after="0" w:line="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OTHER REGULATIONS</w:t>
      </w:r>
    </w:p>
    <w:p>
      <w:pPr>
        <w:spacing w:after="0" w:line="174" w:lineRule="exact"/>
        <w:rPr>
          <w:sz w:val="20"/>
          <w:szCs w:val="20"/>
          <w:color w:val="auto"/>
        </w:rPr>
      </w:pPr>
    </w:p>
    <w:p>
      <w:pPr>
        <w:ind w:right="3079" w:firstLine="358"/>
        <w:spacing w:after="0" w:line="281"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64" w:lineRule="exact"/>
        <w:rPr>
          <w:sz w:val="20"/>
          <w:szCs w:val="20"/>
          <w:color w:val="auto"/>
        </w:rPr>
      </w:pPr>
    </w:p>
    <w:p>
      <w:pPr>
        <w:ind w:right="3079" w:firstLine="358"/>
        <w:spacing w:after="0" w:line="255" w:lineRule="auto"/>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35" w:right="1440" w:bottom="1440" w:gutter="0" w:footer="0" w:header="0"/>
        </w:sectPr>
      </w:pPr>
    </w:p>
    <w:bookmarkStart w:id="40" w:name="page41"/>
    <w:bookmarkEnd w:id="40"/>
    <w:p>
      <w:pPr>
        <w:ind w:left="988"/>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4" w:lineRule="exact"/>
        <w:rPr>
          <w:sz w:val="20"/>
          <w:szCs w:val="20"/>
          <w:color w:val="auto"/>
        </w:rPr>
      </w:pPr>
    </w:p>
    <w:p>
      <w:pPr>
        <w:ind w:left="8" w:right="3079" w:firstLine="358"/>
        <w:spacing w:after="0" w:line="266" w:lineRule="auto"/>
        <w:rPr>
          <w:sz w:val="20"/>
          <w:szCs w:val="20"/>
          <w:color w:val="auto"/>
        </w:rPr>
      </w:pPr>
      <w:r>
        <w:rPr>
          <w:rFonts w:ascii="Courier New" w:cs="Courier New" w:eastAsia="Courier New" w:hAnsi="Courier New"/>
          <w:sz w:val="14"/>
          <w:szCs w:val="14"/>
          <w:color w:val="auto"/>
        </w:rPr>
        <w:t>Our investment in 126,193 shares of Modex Therapeutics Ltd. Stock was valued at $27,204,333 based on the per share price of $215.58, which we converted from a market price of 372.00 Swiss francs on September 30, 2000. Our value in this investment is subject to both equity price risk and foreign currency exchange risk. Modex shares were offered in an IPO on the Swiss Neue Market on June 23, 2000 at a price of 168.00 Swiss francs. From the date of the IPO to the date of this prospectus, the Modex closing share price has fluctuated from a low of</w:t>
      </w:r>
    </w:p>
    <w:p>
      <w:pPr>
        <w:spacing w:after="0" w:line="2" w:lineRule="exact"/>
        <w:rPr>
          <w:sz w:val="20"/>
          <w:szCs w:val="20"/>
          <w:color w:val="auto"/>
        </w:rPr>
      </w:pPr>
    </w:p>
    <w:p>
      <w:pPr>
        <w:ind w:left="8" w:right="3079"/>
        <w:spacing w:after="0" w:line="272" w:lineRule="auto"/>
        <w:rPr>
          <w:sz w:val="20"/>
          <w:szCs w:val="20"/>
          <w:color w:val="auto"/>
        </w:rPr>
      </w:pPr>
      <w:r>
        <w:rPr>
          <w:rFonts w:ascii="Courier New" w:cs="Courier New" w:eastAsia="Courier New" w:hAnsi="Courier New"/>
          <w:sz w:val="14"/>
          <w:szCs w:val="14"/>
          <w:color w:val="auto"/>
        </w:rPr>
        <w:t>200.00 Swiss francs on June 23, 2000 to a high of 390.00 Swiss francs on October 6, 2000. The market price of the Modex stock on October 31, 2000 was 329.50 Swiss francs, which converts to $183.28 using exchange rates on that date, which represents an estimated fair market value of $23,128,598 for our holdings. If we were to seek to liquidate all or part of our investment in Modex, our proceeds would depend on the share price and foreign currency exchange rates at the time of conversion. Additionally, if we sell a sizable portion of our holdings, we may have to sell these shares at a discount to market price. We are restricted from any sale of our shares in Modex until December 23, 2000.</w:t>
      </w:r>
    </w:p>
    <w:p>
      <w:pPr>
        <w:spacing w:after="0" w:line="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company's sole market risk sensitive instrument is:</w:t>
      </w:r>
    </w:p>
    <w:p>
      <w:pPr>
        <w:spacing w:after="0" w:line="200" w:lineRule="exact"/>
        <w:rPr>
          <w:sz w:val="20"/>
          <w:szCs w:val="20"/>
          <w:color w:val="auto"/>
        </w:rPr>
      </w:pPr>
    </w:p>
    <w:p>
      <w:pPr>
        <w:spacing w:after="0" w:line="318" w:lineRule="exact"/>
        <w:rPr>
          <w:sz w:val="20"/>
          <w:szCs w:val="20"/>
          <w:color w:val="auto"/>
        </w:rPr>
      </w:pPr>
    </w:p>
    <w:tbl>
      <w:tblPr>
        <w:tblLayout w:type="fixed"/>
        <w:tblInd w:w="348" w:type="dxa"/>
        <w:tblCellMar>
          <w:top w:w="0" w:type="dxa"/>
          <w:left w:w="0" w:type="dxa"/>
          <w:bottom w:w="0" w:type="dxa"/>
          <w:right w:w="0" w:type="dxa"/>
        </w:tblCellMar>
      </w:tblPr>
      <w:tr>
        <w:trPr>
          <w:trHeight w:val="172"/>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ASSOCIATED</w:t>
            </w:r>
          </w:p>
        </w:tc>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MARKET VALUE</w:t>
            </w:r>
          </w:p>
        </w:tc>
        <w:tc>
          <w:tcPr>
            <w:tcW w:w="126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9"/>
              </w:rPr>
              <w:t>EXPECTED</w:t>
            </w:r>
          </w:p>
        </w:tc>
        <w:tc>
          <w:tcPr>
            <w:tcW w:w="0" w:type="dxa"/>
            <w:vAlign w:val="bottom"/>
          </w:tcPr>
          <w:p>
            <w:pPr>
              <w:spacing w:after="0"/>
              <w:rPr>
                <w:sz w:val="1"/>
                <w:szCs w:val="1"/>
                <w:color w:val="auto"/>
              </w:rPr>
            </w:pPr>
          </w:p>
        </w:tc>
      </w:tr>
      <w:tr>
        <w:trPr>
          <w:trHeight w:val="172"/>
        </w:trPr>
        <w:tc>
          <w:tcPr>
            <w:tcW w:w="14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9"/>
              </w:rPr>
              <w:t>NO. OF SHARES</w:t>
            </w:r>
          </w:p>
        </w:tc>
        <w:tc>
          <w:tcPr>
            <w:tcW w:w="15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DESCRIPTION</w:t>
            </w:r>
          </w:p>
        </w:tc>
        <w:tc>
          <w:tcPr>
            <w:tcW w:w="1740" w:type="dxa"/>
            <w:vAlign w:val="bottom"/>
            <w:vMerge w:val="continue"/>
          </w:tcPr>
          <w:p>
            <w:pPr>
              <w:spacing w:after="0"/>
              <w:rPr>
                <w:sz w:val="14"/>
                <w:szCs w:val="14"/>
                <w:color w:val="auto"/>
              </w:rPr>
            </w:pPr>
          </w:p>
        </w:tc>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AT SEPTEMBER 30,</w:t>
            </w:r>
          </w:p>
        </w:tc>
        <w:tc>
          <w:tcPr>
            <w:tcW w:w="12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FUTURE</w:t>
            </w:r>
          </w:p>
        </w:tc>
        <w:tc>
          <w:tcPr>
            <w:tcW w:w="0" w:type="dxa"/>
            <w:vAlign w:val="bottom"/>
          </w:tcPr>
          <w:p>
            <w:pPr>
              <w:spacing w:after="0"/>
              <w:rPr>
                <w:sz w:val="1"/>
                <w:szCs w:val="1"/>
                <w:color w:val="auto"/>
              </w:rPr>
            </w:pPr>
          </w:p>
        </w:tc>
      </w:tr>
      <w:tr>
        <w:trPr>
          <w:trHeight w:val="252"/>
        </w:trPr>
        <w:tc>
          <w:tcPr>
            <w:tcW w:w="140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1740" w:type="dxa"/>
            <w:vAlign w:val="bottom"/>
          </w:tcPr>
          <w:p>
            <w:pPr>
              <w:ind w:left="720"/>
              <w:spacing w:after="0"/>
              <w:rPr>
                <w:sz w:val="20"/>
                <w:szCs w:val="20"/>
                <w:color w:val="auto"/>
              </w:rPr>
            </w:pPr>
            <w:r>
              <w:rPr>
                <w:rFonts w:ascii="Courier New" w:cs="Courier New" w:eastAsia="Courier New" w:hAnsi="Courier New"/>
                <w:sz w:val="15"/>
                <w:szCs w:val="15"/>
                <w:color w:val="auto"/>
              </w:rPr>
              <w:t>RISKS</w:t>
            </w:r>
          </w:p>
        </w:tc>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2000</w:t>
            </w:r>
          </w:p>
        </w:tc>
        <w:tc>
          <w:tcPr>
            <w:tcW w:w="12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CASH FLOWS</w:t>
            </w:r>
          </w:p>
        </w:tc>
        <w:tc>
          <w:tcPr>
            <w:tcW w:w="0" w:type="dxa"/>
            <w:vAlign w:val="bottom"/>
          </w:tcPr>
          <w:p>
            <w:pPr>
              <w:spacing w:after="0"/>
              <w:rPr>
                <w:sz w:val="1"/>
                <w:szCs w:val="1"/>
                <w:color w:val="auto"/>
              </w:rPr>
            </w:pPr>
          </w:p>
        </w:tc>
      </w:tr>
      <w:tr>
        <w:trPr>
          <w:trHeight w:val="264"/>
        </w:trPr>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123,193</w:t>
            </w:r>
          </w:p>
        </w:tc>
        <w:tc>
          <w:tcPr>
            <w:tcW w:w="1560" w:type="dxa"/>
            <w:vAlign w:val="bottom"/>
          </w:tcPr>
          <w:p>
            <w:pPr>
              <w:ind w:left="480"/>
              <w:spacing w:after="0"/>
              <w:rPr>
                <w:sz w:val="20"/>
                <w:szCs w:val="20"/>
                <w:color w:val="auto"/>
              </w:rPr>
            </w:pPr>
            <w:r>
              <w:rPr>
                <w:rFonts w:ascii="Courier New" w:cs="Courier New" w:eastAsia="Courier New" w:hAnsi="Courier New"/>
                <w:sz w:val="15"/>
                <w:szCs w:val="15"/>
                <w:color w:val="auto"/>
              </w:rPr>
              <w:t>Modex</w:t>
            </w: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Equity/Foreign</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$27,204,333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2"/>
        </w:trPr>
        <w:tc>
          <w:tcPr>
            <w:tcW w:w="140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Therapeutics</w:t>
            </w: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Currency</w:t>
            </w: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Translation</w:t>
            </w:r>
          </w:p>
        </w:tc>
        <w:tc>
          <w:tcPr>
            <w:tcW w:w="2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right="3079" w:hanging="348"/>
        <w:spacing w:after="0" w:line="281"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 company has not formally adopted a liquidation plan for this investment, liquidation may be necessary to meet operating cash flow requirements. Under the agreement with Modex, the company is restricted from selling its holding through December 23, 2000.</w:t>
      </w:r>
    </w:p>
    <w:p>
      <w:pPr>
        <w:spacing w:after="0" w:line="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4" w:lineRule="exact"/>
        <w:rPr>
          <w:sz w:val="20"/>
          <w:szCs w:val="20"/>
          <w:color w:val="auto"/>
        </w:rPr>
      </w:pPr>
    </w:p>
    <w:p>
      <w:pPr>
        <w:ind w:left="8" w:right="3079" w:firstLine="358"/>
        <w:spacing w:after="0" w:line="272" w:lineRule="auto"/>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69" w:lineRule="exact"/>
        <w:rPr>
          <w:sz w:val="20"/>
          <w:szCs w:val="20"/>
          <w:color w:val="auto"/>
        </w:rPr>
      </w:pPr>
    </w:p>
    <w:p>
      <w:pPr>
        <w:ind w:left="8" w:right="3259" w:firstLine="358"/>
        <w:spacing w:after="0" w:line="254" w:lineRule="auto"/>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8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left="8" w:right="3079" w:firstLine="358"/>
        <w:spacing w:after="0" w:line="266" w:lineRule="auto"/>
        <w:rPr>
          <w:sz w:val="20"/>
          <w:szCs w:val="20"/>
          <w:color w:val="auto"/>
        </w:rPr>
      </w:pPr>
      <w:r>
        <w:rPr>
          <w:rFonts w:ascii="Courier New" w:cs="Courier New" w:eastAsia="Courier New" w:hAnsi="Courier New"/>
          <w:sz w:val="15"/>
          <w:szCs w:val="15"/>
          <w:color w:val="auto"/>
        </w:rPr>
        <w:t>As of August 15, 2000, we had twenty full-time employees, of whom five have Ph.D. degrees, as well as two half-time employees. The equivalent of fifteen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pacing w:after="0" w:line="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435"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4" w:lineRule="exact"/>
        <w:rPr>
          <w:sz w:val="20"/>
          <w:szCs w:val="20"/>
          <w:color w:val="auto"/>
        </w:rPr>
      </w:pPr>
    </w:p>
    <w:p>
      <w:pPr>
        <w:ind w:right="3079" w:firstLine="358"/>
        <w:spacing w:after="0" w:line="250" w:lineRule="auto"/>
        <w:rPr>
          <w:sz w:val="20"/>
          <w:szCs w:val="20"/>
          <w:color w:val="auto"/>
        </w:rPr>
      </w:pPr>
      <w:r>
        <w:rPr>
          <w:rFonts w:ascii="Courier New" w:cs="Courier New" w:eastAsia="Courier New" w:hAnsi="Courier New"/>
          <w:sz w:val="15"/>
          <w:szCs w:val="15"/>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which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87" w:lineRule="exact"/>
        <w:rPr>
          <w:sz w:val="20"/>
          <w:szCs w:val="20"/>
          <w:color w:val="auto"/>
        </w:rPr>
      </w:pPr>
    </w:p>
    <w:p>
      <w:pPr>
        <w:ind w:left="520" w:right="3259" w:hanging="170"/>
        <w:spacing w:after="0" w:line="26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 Inc.</w:t>
      </w:r>
    </w:p>
    <w:p>
      <w:pPr>
        <w:spacing w:after="0" w:line="77" w:lineRule="exact"/>
        <w:rPr>
          <w:rFonts w:ascii="Courier New" w:cs="Courier New" w:eastAsia="Courier New" w:hAnsi="Courier New"/>
          <w:sz w:val="15"/>
          <w:szCs w:val="15"/>
          <w:color w:val="auto"/>
        </w:rPr>
      </w:pPr>
    </w:p>
    <w:p>
      <w:pPr>
        <w:ind w:left="520" w:right="3079" w:hanging="170"/>
        <w:spacing w:after="0" w:line="301"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48" w:lineRule="exact"/>
        <w:rPr>
          <w:rFonts w:ascii="Courier New" w:cs="Courier New" w:eastAsia="Courier New" w:hAnsi="Courier New"/>
          <w:sz w:val="15"/>
          <w:szCs w:val="15"/>
          <w:color w:val="auto"/>
        </w:rPr>
      </w:pPr>
    </w:p>
    <w:p>
      <w:pPr>
        <w:ind w:left="520" w:right="3519" w:hanging="170"/>
        <w:spacing w:after="0" w:line="281"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35" w:right="1440" w:bottom="1440" w:gutter="0" w:footer="0" w:header="0"/>
        </w:sectPr>
      </w:pPr>
    </w:p>
    <w:bookmarkStart w:id="42" w:name="page43"/>
    <w:bookmarkEnd w:id="42"/>
    <w:p>
      <w:pPr>
        <w:jc w:val="center"/>
        <w:ind w:right="3079"/>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right="3439" w:firstLine="358"/>
        <w:spacing w:after="0" w:line="359" w:lineRule="auto"/>
        <w:rPr>
          <w:sz w:val="20"/>
          <w:szCs w:val="20"/>
          <w:color w:val="auto"/>
        </w:rPr>
      </w:pPr>
      <w:r>
        <w:rPr>
          <w:rFonts w:ascii="Courier New" w:cs="Courier New" w:eastAsia="Courier New" w:hAnsi="Courier New"/>
          <w:sz w:val="15"/>
          <w:szCs w:val="15"/>
          <w:color w:val="auto"/>
        </w:rPr>
        <w:t>The following table sets forth the name, age and position of each of our executive officers, key members of management, and directors.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AGE</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POSITION</w:t>
            </w: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66</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 Chairman of the Board</w:t>
            </w: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94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54</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w w:val="98"/>
              </w:rPr>
              <w:t>Acting President and Chief Executive</w:t>
            </w: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Officer</w:t>
            </w:r>
          </w:p>
        </w:tc>
        <w:tc>
          <w:tcPr>
            <w:tcW w:w="0" w:type="dxa"/>
            <w:vAlign w:val="bottom"/>
          </w:tcPr>
          <w:p>
            <w:pPr>
              <w:spacing w:after="0"/>
              <w:rPr>
                <w:sz w:val="1"/>
                <w:szCs w:val="1"/>
                <w:color w:val="auto"/>
              </w:rPr>
            </w:pP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69</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Irving L. Weissman, M.D...................</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20" w:right="3079" w:hanging="170"/>
        <w:spacing w:after="0" w:line="254"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J. Schwartz, Ph.D., was elected to the board of directors in 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w:t>
      </w:r>
    </w:p>
    <w:p>
      <w:pPr>
        <w:spacing w:after="0" w:line="86" w:lineRule="exact"/>
        <w:rPr>
          <w:rFonts w:ascii="Courier New" w:cs="Courier New" w:eastAsia="Courier New" w:hAnsi="Courier New"/>
          <w:sz w:val="15"/>
          <w:szCs w:val="15"/>
          <w:color w:val="auto"/>
        </w:rPr>
      </w:pPr>
    </w:p>
    <w:p>
      <w:pPr>
        <w:ind w:left="520" w:right="3079" w:hanging="170"/>
        <w:spacing w:after="0" w:line="250"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W. Dunbar, Jr., was appointed Acting President and Chief Executive Officer of the company effective as of February 1, 2000. Mr. Dunbar joined the company as Acting President of StemCells California, Inc., the company's wholly owned subsidiary, on November 8, 1999, and still holds this office. From September 1999 through the present, Mr. Dunbar has been a founding member of iCEO, LLC. From July 1991 until July 1999, Mr. Dunbar was President, Chief Executive Officer and a member of the Board of Directors of Metra Biosystems, a medical device company, which merged with Quidel Corporation during 1999. Prior to Metra Biosystems, Mr. Dunbar was a vice president of The Ares-Serono Group, a Swiss healthcare company, and served before that as a vice president of Amersham International plc's life sciences business in the United States. Mr. Dunbar serves as a Board member for Competitive Technologies, Quidel Corporation, LJL Biosystems, Sonus Pharmaceuticals and The Valley Medical Center Foundation. He also sits on the MBA Advisory Board of the Auburn University School of Business, his alma mater.</w:t>
      </w:r>
    </w:p>
    <w:p>
      <w:pPr>
        <w:spacing w:after="0" w:line="92" w:lineRule="exact"/>
        <w:rPr>
          <w:rFonts w:ascii="Courier New" w:cs="Courier New" w:eastAsia="Courier New" w:hAnsi="Courier New"/>
          <w:sz w:val="15"/>
          <w:szCs w:val="15"/>
          <w:color w:val="auto"/>
        </w:rPr>
      </w:pPr>
    </w:p>
    <w:p>
      <w:pPr>
        <w:ind w:left="520" w:right="3079" w:hanging="170"/>
        <w:spacing w:after="0" w:line="250"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Donald Kennedy, Ph.D., has served as a director of the company since July 1999. Dr. Kennedy is the Bing Professor of Environmental Science, Professor of Education, and President Emeritus of Stanford University. He is Editor-in-Chief of SCIENCE magazine. He is also co-director of the Center for Environmental Science and Policy at Stanford. From 1960 to 1977, Dr. Kennedy held various faculty positions at Stanford University. From 1977 to 1979, he served as Commissioner at the U.S. Food and Drug Administration. From 1979 to 1980, he served as Provost of Stanford University. From 1980 to 1992, Dr. Kennedy served as President of Stanford University, and from 1992 to present, he has served as a Stanford faculty member. He is Chairman of Children Now; a member of the National Academy of Sciences, the National Institute of Medicine, and the American Philosophical Society; and a fellow of the American Academy of Arts and Sciences, the American Association for the Advancement of Science, and the California Academy of Sciences. Dr. Kennedy is a member of the Board of Directors of AxyS Pharmaceuticals, Inc., and Alzeta Corp. Dr. Kennedy holds a Ph.D. in biology from Harvard University.</w:t>
      </w:r>
    </w:p>
    <w:p>
      <w:pPr>
        <w:spacing w:after="0" w:line="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35" w:right="1440" w:bottom="1440" w:gutter="0" w:footer="0" w:header="0"/>
        </w:sectPr>
      </w:pPr>
    </w:p>
    <w:bookmarkStart w:id="43" w:name="page44"/>
    <w:bookmarkEnd w:id="43"/>
    <w:p>
      <w:pPr>
        <w:ind w:left="520" w:right="3079" w:hanging="170"/>
        <w:spacing w:after="0" w:line="255"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J. Levin is a founder of the company and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Tularik, Inc.</w:t>
      </w:r>
    </w:p>
    <w:p>
      <w:pPr>
        <w:spacing w:after="0" w:line="86" w:lineRule="exact"/>
        <w:rPr>
          <w:rFonts w:ascii="Courier New" w:cs="Courier New" w:eastAsia="Courier New" w:hAnsi="Courier New"/>
          <w:sz w:val="15"/>
          <w:szCs w:val="15"/>
          <w:color w:val="auto"/>
        </w:rPr>
      </w:pPr>
    </w:p>
    <w:p>
      <w:pPr>
        <w:ind w:left="520" w:right="3079" w:hanging="170"/>
        <w:spacing w:after="0" w:line="251"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Director, is the Karel and Avice Beekhuis Professor of Cancer Biology, Professor of Pathology and Professor of Developmental Biology at Stanford University. Stanford has employed Dr. Weissman since July 1967, and he has been a Faculty member since January 1969. He has been a full professor of pathology since September 1987, and also of developmental biology since July 1989. Since October 1990, Dr. Weissman has also served as a professor of biology (by courtesy). He has been Chairman of the Stanford University Immunology Program since 1986. Dr. Weissman was a cofounder of SyStemix, Inc., and Chairman of its Scientific Advisory Board. He has served on the Scientific Advisory Boards of Amgen Inc., DNAX and T-Cell Sciences, Inc. Dr. Weissman is a member of the National Academy of Sciences and also serves as Chairman of our Scientific Advisory Board. He also serves as Chief Executive Officer and a member of the Board of Managers of Celtrans, LLC.</w:t>
      </w:r>
    </w:p>
    <w:p>
      <w:pPr>
        <w:spacing w:after="0" w:line="92" w:lineRule="exact"/>
        <w:rPr>
          <w:sz w:val="20"/>
          <w:szCs w:val="20"/>
          <w:color w:val="auto"/>
        </w:rPr>
      </w:pPr>
    </w:p>
    <w:p>
      <w:pPr>
        <w:ind w:right="3159" w:firstLine="358"/>
        <w:spacing w:after="0" w:line="266" w:lineRule="auto"/>
        <w:rPr>
          <w:sz w:val="20"/>
          <w:szCs w:val="20"/>
          <w:color w:val="auto"/>
        </w:rPr>
      </w:pPr>
      <w:r>
        <w:rPr>
          <w:rFonts w:ascii="Courier New" w:cs="Courier New" w:eastAsia="Courier New" w:hAnsi="Courier New"/>
          <w:sz w:val="15"/>
          <w:szCs w:val="15"/>
          <w:color w:val="auto"/>
        </w:rPr>
        <w:t>Our Restated Certificate of Incorporation and Amended and Restated By-laws provide for the classification of the board of directors into three classes, as nearly equal in number as possible, with the term of office of one class expiring each year. There are no family relationships between any of our directors or executive officers. Our executive officers are elected by, and serve at the discretion of, the board of directors.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4" w:lineRule="exact"/>
        <w:rPr>
          <w:sz w:val="20"/>
          <w:szCs w:val="20"/>
          <w:color w:val="auto"/>
        </w:rPr>
      </w:pPr>
    </w:p>
    <w:p>
      <w:pPr>
        <w:ind w:right="3159" w:firstLine="358"/>
        <w:spacing w:after="0" w:line="301" w:lineRule="auto"/>
        <w:rPr>
          <w:sz w:val="20"/>
          <w:szCs w:val="20"/>
          <w:color w:val="auto"/>
        </w:rPr>
      </w:pPr>
      <w:r>
        <w:rPr>
          <w:rFonts w:ascii="Courier New" w:cs="Courier New" w:eastAsia="Courier New" w:hAnsi="Courier New"/>
          <w:sz w:val="15"/>
          <w:szCs w:val="15"/>
          <w:color w:val="auto"/>
        </w:rPr>
        <w:t>Our board of directors has an audit committee and compensation committee. The board may also establish other committees to assist in the discharge of its responsibilities.</w:t>
      </w:r>
    </w:p>
    <w:p>
      <w:pPr>
        <w:spacing w:after="0" w:line="49"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The audit committee oversees our financial reporting process on behalf of the board of directors, makes recommendations to the board regarding the independent auditors to be nominated for election by the stockholders, reviews the independence of such auditors, approves the scope of their annual audit activities, reviews their audit results, assures that our financial reporting is of high quality, and reviews the interim financial statements with our management and the independent auditors prior to the filing of our Quarterly Report on Form 10-Q. The audit committee is currently comprised of Dr. Schwartz and Dr. Kennedy.</w:t>
      </w:r>
    </w:p>
    <w:p>
      <w:pPr>
        <w:spacing w:after="0" w:line="83" w:lineRule="exact"/>
        <w:rPr>
          <w:sz w:val="20"/>
          <w:szCs w:val="20"/>
          <w:color w:val="auto"/>
        </w:rPr>
      </w:pPr>
    </w:p>
    <w:p>
      <w:pPr>
        <w:ind w:right="3159" w:firstLine="358"/>
        <w:spacing w:after="0" w:line="281" w:lineRule="auto"/>
        <w:rPr>
          <w:sz w:val="20"/>
          <w:szCs w:val="20"/>
          <w:color w:val="auto"/>
        </w:rPr>
      </w:pPr>
      <w:r>
        <w:rPr>
          <w:rFonts w:ascii="Courier New" w:cs="Courier New" w:eastAsia="Courier New" w:hAnsi="Courier New"/>
          <w:sz w:val="15"/>
          <w:szCs w:val="15"/>
          <w:color w:val="auto"/>
        </w:rPr>
        <w:t>The duties of the compensation committee are to make recommendations to the board and our management concerning salaries in general, determine executive compensation, and approve incentive compensation. The compensation committee is currently comprised of Mr. Levin and Dr. Schwartz.</w:t>
      </w:r>
    </w:p>
    <w:p>
      <w:pPr>
        <w:spacing w:after="0" w:line="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35" w:right="1440" w:bottom="1440" w:gutter="0" w:footer="0" w:header="0"/>
        </w:sectPr>
      </w:pPr>
    </w:p>
    <w:bookmarkStart w:id="44" w:name="page45"/>
    <w:bookmarkEnd w:id="44"/>
    <w:p>
      <w:pPr>
        <w:ind w:left="2588"/>
        <w:spacing w:after="0"/>
        <w:rPr>
          <w:sz w:val="20"/>
          <w:szCs w:val="20"/>
          <w:color w:val="auto"/>
        </w:rPr>
      </w:pPr>
      <w:r>
        <w:rPr>
          <w:rFonts w:ascii="Courier New" w:cs="Courier New" w:eastAsia="Courier New" w:hAnsi="Courier New"/>
          <w:sz w:val="15"/>
          <w:szCs w:val="15"/>
          <w:color w:val="auto"/>
        </w:rPr>
        <w:t>EXECUTIVE COMPENSATION</w:t>
      </w:r>
    </w:p>
    <w:p>
      <w:pPr>
        <w:spacing w:after="0" w:line="346" w:lineRule="exact"/>
        <w:rPr>
          <w:sz w:val="20"/>
          <w:szCs w:val="20"/>
          <w:color w:val="auto"/>
        </w:rPr>
      </w:pPr>
    </w:p>
    <w:p>
      <w:pPr>
        <w:ind w:left="8" w:right="4300" w:firstLine="358"/>
        <w:spacing w:after="0" w:line="266" w:lineRule="auto"/>
        <w:rPr>
          <w:sz w:val="20"/>
          <w:szCs w:val="20"/>
          <w:color w:val="auto"/>
        </w:rPr>
      </w:pPr>
      <w:r>
        <w:rPr>
          <w:rFonts w:ascii="Courier New" w:cs="Courier New" w:eastAsia="Courier New" w:hAnsi="Courier New"/>
          <w:sz w:val="15"/>
          <w:szCs w:val="15"/>
          <w:color w:val="auto"/>
        </w:rPr>
        <w:t>The following table sets forth the compensation paid by us to our Chief Executive Officer during the three most recent fiscal years ended December 31, and the two other most highly compensated executive officers who served in such capacities during the fiscal year ended December 31, 1999 but who were not serving in such capacities as of the end of such fiscal year. There were no other persons serving as executive officers at the end of such fiscal year.</w:t>
      </w:r>
    </w:p>
    <w:p>
      <w:pPr>
        <w:spacing w:after="0" w:line="74" w:lineRule="exact"/>
        <w:rPr>
          <w:sz w:val="20"/>
          <w:szCs w:val="20"/>
          <w:color w:val="auto"/>
        </w:rPr>
      </w:pPr>
    </w:p>
    <w:tbl>
      <w:tblPr>
        <w:tblLayout w:type="fixed"/>
        <w:tblInd w:w="8" w:type="dxa"/>
        <w:tblCellMar>
          <w:top w:w="0" w:type="dxa"/>
          <w:left w:w="0" w:type="dxa"/>
          <w:bottom w:w="0" w:type="dxa"/>
          <w:right w:w="0" w:type="dxa"/>
        </w:tblCellMar>
      </w:tblPr>
      <w:tr>
        <w:trPr>
          <w:trHeight w:val="252"/>
        </w:trPr>
        <w:tc>
          <w:tcPr>
            <w:tcW w:w="240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SUMMARY COMPENSATION TABLE</w:t>
            </w:r>
          </w:p>
        </w:tc>
        <w:tc>
          <w:tcPr>
            <w:tcW w:w="9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2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00" w:type="dxa"/>
            <w:vAlign w:val="bottom"/>
            <w:gridSpan w:val="2"/>
          </w:tcPr>
          <w:p>
            <w:pPr>
              <w:jc w:val="right"/>
              <w:ind w:right="1045"/>
              <w:spacing w:after="0"/>
              <w:rPr>
                <w:sz w:val="20"/>
                <w:szCs w:val="20"/>
                <w:color w:val="auto"/>
              </w:rPr>
            </w:pPr>
            <w:r>
              <w:rPr>
                <w:rFonts w:ascii="Courier New" w:cs="Courier New" w:eastAsia="Courier New" w:hAnsi="Courier New"/>
                <w:sz w:val="15"/>
                <w:szCs w:val="15"/>
                <w:color w:val="auto"/>
              </w:rPr>
              <w:t>AWARDS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40" w:type="dxa"/>
            <w:vAlign w:val="bottom"/>
            <w:gridSpan w:val="3"/>
            <w:vMerge w:val="restart"/>
          </w:tcPr>
          <w:p>
            <w:pPr>
              <w:jc w:val="right"/>
              <w:ind w:right="1125"/>
              <w:spacing w:after="0"/>
              <w:rPr>
                <w:sz w:val="20"/>
                <w:szCs w:val="20"/>
                <w:color w:val="auto"/>
              </w:rPr>
            </w:pPr>
            <w:r>
              <w:rPr>
                <w:rFonts w:ascii="Courier New" w:cs="Courier New" w:eastAsia="Courier New" w:hAnsi="Courier New"/>
                <w:sz w:val="15"/>
                <w:szCs w:val="15"/>
                <w:color w:val="auto"/>
              </w:rPr>
              <w:t>ANNUAL COMPENSATION</w:t>
            </w:r>
          </w:p>
        </w:tc>
        <w:tc>
          <w:tcPr>
            <w:tcW w:w="250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LONG TERM</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40" w:type="dxa"/>
            <w:vAlign w:val="bottom"/>
            <w:gridSpan w:val="3"/>
            <w:vMerge w:val="continue"/>
          </w:tcPr>
          <w:p>
            <w:pPr>
              <w:spacing w:after="0"/>
              <w:rPr>
                <w:sz w:val="14"/>
                <w:szCs w:val="14"/>
                <w:color w:val="auto"/>
              </w:rPr>
            </w:pPr>
          </w:p>
        </w:tc>
        <w:tc>
          <w:tcPr>
            <w:tcW w:w="250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3"/>
              </w:rPr>
              <w:t>-----------------------------------------</w:t>
            </w:r>
          </w:p>
        </w:tc>
        <w:tc>
          <w:tcPr>
            <w:tcW w:w="17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OTHER ANNUAL</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RESTRICTED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4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72"/>
        </w:trPr>
        <w:tc>
          <w:tcPr>
            <w:tcW w:w="240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NAME AND PRINCIPAL POSITION</w:t>
            </w:r>
          </w:p>
        </w:tc>
        <w:tc>
          <w:tcPr>
            <w:tcW w:w="11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YEAR</w:t>
            </w:r>
          </w:p>
        </w:tc>
        <w:tc>
          <w:tcPr>
            <w:tcW w:w="1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SALARY($)</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7"/>
              </w:rPr>
              <w:t>BONUS($)</w:t>
            </w:r>
          </w:p>
        </w:tc>
        <w:tc>
          <w:tcPr>
            <w:tcW w:w="1700" w:type="dxa"/>
            <w:vAlign w:val="bottom"/>
            <w:vMerge w:val="continue"/>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UNDERLYING</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COMPENSATION ($)</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AWARDS($)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OPTIONS (#)</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0"/>
                <w:szCs w:val="20"/>
                <w:color w:val="auto"/>
              </w:rPr>
            </w:pPr>
            <w:r>
              <w:rPr>
                <w:rFonts w:ascii="Courier New" w:cs="Courier New" w:eastAsia="Courier New" w:hAnsi="Courier New"/>
                <w:sz w:val="15"/>
                <w:szCs w:val="15"/>
                <w:color w:val="auto"/>
                <w:w w:val="91"/>
              </w:rPr>
              <w:t>- ---------------------------</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279,974</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4667(2)</w:t>
            </w: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286,553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150,000(3)</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11,330(4)</w:t>
            </w:r>
          </w:p>
        </w:tc>
        <w:tc>
          <w:tcPr>
            <w:tcW w:w="0" w:type="dxa"/>
            <w:vAlign w:val="bottom"/>
          </w:tcPr>
          <w:p>
            <w:pPr>
              <w:spacing w:after="0"/>
              <w:rPr>
                <w:sz w:val="1"/>
                <w:szCs w:val="1"/>
                <w:color w:val="auto"/>
              </w:rPr>
            </w:pPr>
          </w:p>
        </w:tc>
      </w:tr>
      <w:tr>
        <w:trPr>
          <w:trHeight w:val="25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Officer(1)</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68,750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300,000(5)</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76,268(6)</w:t>
            </w: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0"/>
                <w:szCs w:val="20"/>
                <w:color w:val="auto"/>
              </w:rPr>
            </w:pPr>
            <w:r>
              <w:rPr>
                <w:rFonts w:ascii="Courier New" w:cs="Courier New" w:eastAsia="Courier New" w:hAnsi="Courier New"/>
                <w:sz w:val="15"/>
                <w:szCs w:val="15"/>
                <w:color w:val="auto"/>
              </w:rPr>
              <w:t>Phillip K. Yachmetz......</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406,731(8)</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12,000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71,355(9)</w:t>
            </w: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155,780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75,000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86,695(10)</w:t>
            </w: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And General Counsel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Acting Chief Financial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Officer and Treasurer(7)</w:t>
            </w: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195,176(12)</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18,000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7,921(13)</w:t>
            </w: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Chief</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188,957</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67,875(14)</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Technical Officer Cell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Encapsulation (11)</w:t>
            </w: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right="4660" w:hanging="348"/>
        <w:spacing w:after="0" w:line="30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48" w:lineRule="exact"/>
        <w:rPr>
          <w:rFonts w:ascii="Courier New" w:cs="Courier New" w:eastAsia="Courier New" w:hAnsi="Courier New"/>
          <w:sz w:val="15"/>
          <w:szCs w:val="15"/>
          <w:color w:val="auto"/>
        </w:rPr>
      </w:pPr>
    </w:p>
    <w:p>
      <w:pPr>
        <w:ind w:left="348" w:right="4220" w:hanging="348"/>
        <w:spacing w:after="0" w:line="30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48" w:lineRule="exact"/>
        <w:rPr>
          <w:rFonts w:ascii="Courier New" w:cs="Courier New" w:eastAsia="Courier New" w:hAnsi="Courier New"/>
          <w:sz w:val="15"/>
          <w:szCs w:val="15"/>
          <w:color w:val="auto"/>
        </w:rPr>
      </w:pPr>
    </w:p>
    <w:p>
      <w:pPr>
        <w:ind w:left="348" w:right="4220" w:hanging="348"/>
        <w:spacing w:after="0" w:line="256"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46" w:lineRule="exact"/>
        <w:rPr>
          <w:rFonts w:ascii="Courier New" w:cs="Courier New" w:eastAsia="Courier New" w:hAnsi="Courier New"/>
          <w:sz w:val="15"/>
          <w:szCs w:val="15"/>
          <w:color w:val="auto"/>
        </w:rPr>
      </w:pPr>
    </w:p>
    <w:p>
      <w:pPr>
        <w:ind w:left="348" w:right="4740" w:hanging="348"/>
        <w:spacing w:after="0" w:line="390" w:lineRule="auto"/>
        <w:tabs>
          <w:tab w:leader="none" w:pos="34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401(k)Plan.</w:t>
      </w:r>
    </w:p>
    <w:p>
      <w:pPr>
        <w:ind w:left="348" w:right="4220" w:hanging="348"/>
        <w:spacing w:after="0" w:line="30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option grant for 200,000 shares was reduced to 150,000 shares upon there pricing of the grant effective as of July 10, 1998 at a price of $1.28 per share.</w:t>
      </w:r>
    </w:p>
    <w:p>
      <w:pPr>
        <w:spacing w:after="0" w:line="48" w:lineRule="exact"/>
        <w:rPr>
          <w:rFonts w:ascii="Courier New" w:cs="Courier New" w:eastAsia="Courier New" w:hAnsi="Courier New"/>
          <w:sz w:val="15"/>
          <w:szCs w:val="15"/>
          <w:color w:val="auto"/>
        </w:rPr>
      </w:pPr>
    </w:p>
    <w:p>
      <w:pPr>
        <w:ind w:left="348" w:right="4300" w:hanging="348"/>
        <w:spacing w:after="0" w:line="30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advance for relocation expenses of $75,000 and fair market value of $1,268 of our matching contributions of common stock to Dr. Rose's account in our 401(k) plan.</w:t>
      </w:r>
    </w:p>
    <w:p>
      <w:pPr>
        <w:spacing w:after="0" w:line="48" w:lineRule="exact"/>
        <w:rPr>
          <w:rFonts w:ascii="Courier New" w:cs="Courier New" w:eastAsia="Courier New" w:hAnsi="Courier New"/>
          <w:sz w:val="15"/>
          <w:szCs w:val="15"/>
          <w:color w:val="auto"/>
        </w:rPr>
      </w:pPr>
    </w:p>
    <w:p>
      <w:pPr>
        <w:ind w:left="348" w:right="4660" w:hanging="348"/>
        <w:spacing w:after="0" w:line="30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Yachmetz was appointed Acting Chief Financial Officer and Treasurer effective as of April 2, 1999. The term of Mr. Yachmetz' Employment Agreement expired on October 31, 1999.</w:t>
      </w:r>
    </w:p>
    <w:p>
      <w:pPr>
        <w:spacing w:after="0" w:line="4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1368"/>
          </w:cols>
          <w:pgMar w:left="232" w:top="607" w:right="299" w:bottom="1440" w:gutter="0" w:footer="0" w:header="0"/>
        </w:sectPr>
      </w:pPr>
    </w:p>
    <w:bookmarkStart w:id="45" w:name="page46"/>
    <w:bookmarkEnd w:id="45"/>
    <w:p>
      <w:pPr>
        <w:jc w:val="both"/>
        <w:ind w:left="348" w:right="3159" w:hanging="348"/>
        <w:spacing w:after="0" w:line="301" w:lineRule="auto"/>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$204,807 of compensation and accrued and unused vacation paid upon the expiration of Mr. Yachmetz' Employment Agreement in accordance with the terms of such agreement.</w:t>
      </w:r>
    </w:p>
    <w:p>
      <w:pPr>
        <w:spacing w:after="0" w:line="48" w:lineRule="exact"/>
        <w:rPr>
          <w:rFonts w:ascii="Courier New" w:cs="Courier New" w:eastAsia="Courier New" w:hAnsi="Courier New"/>
          <w:sz w:val="15"/>
          <w:szCs w:val="15"/>
          <w:color w:val="auto"/>
        </w:rPr>
      </w:pPr>
    </w:p>
    <w:p>
      <w:pPr>
        <w:ind w:left="348" w:right="3079" w:hanging="348"/>
        <w:spacing w:after="0" w:line="272" w:lineRule="auto"/>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$15,304 as the fair market value of 9,601 shares of our common stock earned in 1998 and issued in 1999, $3,990 of fair market value of our matching contributions of common stock to Mr. Yachmetz' account in our 401(k) Plan and $52,061 of temporary living and relocation expenses adjusted for taxes.</w:t>
      </w:r>
    </w:p>
    <w:p>
      <w:pPr>
        <w:spacing w:after="0" w:line="69" w:lineRule="exact"/>
        <w:rPr>
          <w:rFonts w:ascii="Courier New" w:cs="Courier New" w:eastAsia="Courier New" w:hAnsi="Courier New"/>
          <w:sz w:val="15"/>
          <w:szCs w:val="15"/>
          <w:color w:val="auto"/>
        </w:rPr>
      </w:pPr>
    </w:p>
    <w:p>
      <w:pPr>
        <w:ind w:left="348" w:right="3079" w:hanging="348"/>
        <w:spacing w:after="0" w:line="281"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$14,724 of temporary living and relocation expenses adjusted for taxes paid to Mr. Yachmetz and personal use of a company vehicle. Also represents $1,827 of fair market value of our matching contributions of common stock to Mr. Yachmetz' account in our 401(k) Plan.</w:t>
      </w:r>
    </w:p>
    <w:p>
      <w:pPr>
        <w:spacing w:after="0" w:line="64" w:lineRule="exact"/>
        <w:rPr>
          <w:rFonts w:ascii="Courier New" w:cs="Courier New" w:eastAsia="Courier New" w:hAnsi="Courier New"/>
          <w:sz w:val="15"/>
          <w:szCs w:val="15"/>
          <w:color w:val="auto"/>
        </w:rPr>
      </w:pPr>
    </w:p>
    <w:p>
      <w:pPr>
        <w:ind w:left="348" w:right="3159" w:hanging="348"/>
        <w:spacing w:after="0" w:line="301"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Goddard resigned as a director and officer of the company effective as of August 30, 1999 and served as a consultant to the company through March 28, 2000.</w:t>
      </w:r>
    </w:p>
    <w:p>
      <w:pPr>
        <w:spacing w:after="0" w:line="48" w:lineRule="exact"/>
        <w:rPr>
          <w:rFonts w:ascii="Courier New" w:cs="Courier New" w:eastAsia="Courier New" w:hAnsi="Courier New"/>
          <w:sz w:val="15"/>
          <w:szCs w:val="15"/>
          <w:color w:val="auto"/>
        </w:rPr>
      </w:pPr>
    </w:p>
    <w:p>
      <w:pPr>
        <w:ind w:left="348" w:right="3079" w:hanging="348"/>
        <w:spacing w:after="0" w:line="359"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$70,945 of compensation paid to Dr. Goddard in accordance with the severance agreement entered into with us.</w:t>
      </w:r>
    </w:p>
    <w:p>
      <w:pPr>
        <w:spacing w:after="0" w:line="7" w:lineRule="exact"/>
        <w:rPr>
          <w:rFonts w:ascii="Courier New" w:cs="Courier New" w:eastAsia="Courier New" w:hAnsi="Courier New"/>
          <w:sz w:val="15"/>
          <w:szCs w:val="15"/>
          <w:color w:val="auto"/>
        </w:rPr>
      </w:pPr>
    </w:p>
    <w:p>
      <w:pPr>
        <w:ind w:left="348" w:right="3699" w:hanging="348"/>
        <w:spacing w:after="0" w:line="359"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market value of 4,687 shares of our common stock granted to Dr. Goddard through our 1992 Equity Incentive Plan.</w:t>
      </w:r>
    </w:p>
    <w:p>
      <w:pPr>
        <w:spacing w:after="0" w:line="7" w:lineRule="exact"/>
        <w:rPr>
          <w:rFonts w:ascii="Courier New" w:cs="Courier New" w:eastAsia="Courier New" w:hAnsi="Courier New"/>
          <w:sz w:val="15"/>
          <w:szCs w:val="15"/>
          <w:color w:val="auto"/>
        </w:rPr>
      </w:pPr>
    </w:p>
    <w:p>
      <w:pPr>
        <w:ind w:left="348" w:right="3079" w:hanging="348"/>
        <w:spacing w:after="0" w:line="281"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options in the total original amount of 90,500 shares which was reduced to 67,875 shares as a result of the employee equity incentive repricing plan approved by the Board of Directors on July 10, 1998.</w:t>
      </w:r>
    </w:p>
    <w:p>
      <w:pPr>
        <w:spacing w:after="0" w:line="6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435" w:right="1440" w:bottom="1440" w:gutter="0" w:footer="0" w:header="0"/>
        </w:sectPr>
      </w:pPr>
    </w:p>
    <w:bookmarkStart w:id="46" w:name="page47"/>
    <w:bookmarkEnd w:id="46"/>
    <w:p>
      <w:pPr>
        <w:ind w:left="2688"/>
        <w:spacing w:after="0"/>
        <w:rPr>
          <w:sz w:val="20"/>
          <w:szCs w:val="20"/>
          <w:color w:val="auto"/>
        </w:rPr>
      </w:pPr>
      <w:r>
        <w:rPr>
          <w:rFonts w:ascii="Courier New" w:cs="Courier New" w:eastAsia="Courier New" w:hAnsi="Courier New"/>
          <w:sz w:val="15"/>
          <w:szCs w:val="15"/>
          <w:color w:val="auto"/>
        </w:rPr>
        <w:t>SELLING STOCKHOLDERS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SALES BY MEMBERS OF THE COMPANY'S BOARD</w:t>
      </w:r>
    </w:p>
    <w:p>
      <w:pPr>
        <w:spacing w:after="0" w:line="174" w:lineRule="exact"/>
        <w:rPr>
          <w:sz w:val="20"/>
          <w:szCs w:val="20"/>
          <w:color w:val="auto"/>
        </w:rPr>
      </w:pPr>
    </w:p>
    <w:p>
      <w:pPr>
        <w:ind w:left="8" w:right="3959" w:firstLine="358"/>
        <w:spacing w:after="0" w:line="281" w:lineRule="auto"/>
        <w:rPr>
          <w:sz w:val="20"/>
          <w:szCs w:val="20"/>
          <w:color w:val="auto"/>
        </w:rPr>
      </w:pPr>
      <w:r>
        <w:rPr>
          <w:rFonts w:ascii="Courier New" w:cs="Courier New" w:eastAsia="Courier New" w:hAnsi="Courier New"/>
          <w:sz w:val="14"/>
          <w:szCs w:val="14"/>
          <w:color w:val="auto"/>
        </w:rPr>
        <w:t>Dr. Irving Weissman and Mark J. Levin, two members of our Board of Directors, will be selling shares of common stock in this offering.</w:t>
      </w:r>
    </w:p>
    <w:p>
      <w:pPr>
        <w:spacing w:after="0" w:line="1"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Dr. Weissman and Mr. Levin acquired their shares pursuant to a 6% cumulative convertible preferred stock financing in April, 2000, which is described in the section titled "Relationships and Transactions with Certain Related Parties." Both Dr. Weissman and Mr. Levin are party to a registration rights agreement in which we agreed to register their shares of Common Stock upon their request and to use our best efforts to keep the registration statement effective for five</w:t>
      </w:r>
    </w:p>
    <w:p>
      <w:pPr>
        <w:spacing w:after="0" w:line="1" w:lineRule="exact"/>
        <w:rPr>
          <w:sz w:val="20"/>
          <w:szCs w:val="20"/>
          <w:color w:val="auto"/>
        </w:rPr>
      </w:pPr>
    </w:p>
    <w:p>
      <w:pPr>
        <w:jc w:val="both"/>
        <w:ind w:left="8" w:right="3439" w:hanging="8"/>
        <w:spacing w:after="0" w:line="268" w:lineRule="auto"/>
        <w:tabs>
          <w:tab w:leader="none" w:pos="36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or until all of their registered shares of StemCells, Inc. Common Stock are sold, whichever comes first. Registration of these shares does not necessarily mean that the selling stockholders will sell all or any of the shares.</w:t>
      </w:r>
    </w:p>
    <w:p>
      <w:pPr>
        <w:spacing w:after="0" w:line="73" w:lineRule="exact"/>
        <w:rPr>
          <w:sz w:val="20"/>
          <w:szCs w:val="20"/>
          <w:color w:val="auto"/>
        </w:rPr>
      </w:pPr>
    </w:p>
    <w:p>
      <w:pPr>
        <w:ind w:left="8" w:right="3079" w:firstLine="358"/>
        <w:spacing w:after="0" w:line="255" w:lineRule="auto"/>
        <w:rPr>
          <w:sz w:val="20"/>
          <w:szCs w:val="20"/>
          <w:color w:val="auto"/>
        </w:rPr>
      </w:pPr>
      <w:r>
        <w:rPr>
          <w:rFonts w:ascii="Courier New" w:cs="Courier New" w:eastAsia="Courier New" w:hAnsi="Courier New"/>
          <w:sz w:val="15"/>
          <w:szCs w:val="15"/>
          <w:color w:val="auto"/>
        </w:rPr>
        <w:t>The material relationships between Dr. Weissman, Mr. Levin and StemCells, Inc. are as follows: Mark J. Levin is a Class I Director, and from inception until January 1990 and from May 1990 until February 1991, he served as our President and acting Chief Executive Officer. Irving L. Weissman, M.D. is a Class II Director. In addition, both Dr. Weissman and Mr. Levin may donate or transfer as gifts some or all of their StemCells, Inc. shares, or may transfer their shares for no value to other beneficial owners. The selling stockholders will include these donees or transferees as selling stockholders in a prospectus supplement if the donees or transferees wish to use this prospectus to re-offer the shares.</w:t>
      </w:r>
    </w:p>
    <w:p>
      <w:pPr>
        <w:spacing w:after="0" w:line="87"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SALES BY MILLENNIUM PARTNERS, L.P.</w:t>
      </w:r>
    </w:p>
    <w:p>
      <w:pPr>
        <w:spacing w:after="0" w:line="174" w:lineRule="exact"/>
        <w:rPr>
          <w:sz w:val="20"/>
          <w:szCs w:val="20"/>
          <w:color w:val="auto"/>
        </w:rPr>
      </w:pPr>
    </w:p>
    <w:p>
      <w:pPr>
        <w:ind w:left="8" w:right="3079" w:firstLine="358"/>
        <w:spacing w:after="0" w:line="269" w:lineRule="auto"/>
        <w:rPr>
          <w:sz w:val="20"/>
          <w:szCs w:val="20"/>
          <w:color w:val="auto"/>
        </w:rPr>
      </w:pPr>
      <w:r>
        <w:rPr>
          <w:rFonts w:ascii="Courier New" w:cs="Courier New" w:eastAsia="Courier New" w:hAnsi="Courier New"/>
          <w:sz w:val="14"/>
          <w:szCs w:val="14"/>
          <w:color w:val="auto"/>
        </w:rPr>
        <w:t>Millennium Partners, L.P. and May Davis Group, Inc. and four of its affiliates also will be selling shares in this offering. On August 3, 2000, we issued 923,521 shares of Common Stock to Millennium Partners, L.P., or the Fund. At the same time we also issued to Millennium Partners a callable warrant to purchase 101,587 shares of Common Stock and an adjustable warrant for a number of shares, to be determined on eight dates beginning six months after the closing and then every three months thereafter. On August 30, 2000 we issued an additional 180,914 shares to the Fund, together with a callable warrant to purchase 19,900 shares of Common Stock and an adjustable warrant for a number of shares, to be determined on eight dates beginning six months after the closing and then every three months thereafter. On November 1, 2000, we agreed with Millennium to cancel the adjustable warrant issued on August 30, 2000 and to decrease the number of shares for which the adjustable warrant issued on August 3, 2000 may be exercisable. In connection with the Millennium Partners transaction, we issued warrants for a total of 100,000 shares of Common Stock to May Davis Group, Inc., who acted as placement agent for the transaction, and four of its affiliates. These warrants expire on August 3, 2005.</w:t>
      </w:r>
    </w:p>
    <w:p>
      <w:pPr>
        <w:spacing w:after="0" w:line="252" w:lineRule="exact"/>
        <w:rPr>
          <w:sz w:val="20"/>
          <w:szCs w:val="20"/>
          <w:color w:val="auto"/>
        </w:rPr>
      </w:pPr>
    </w:p>
    <w:p>
      <w:pPr>
        <w:ind w:left="8" w:right="3079" w:firstLine="358"/>
        <w:spacing w:after="0" w:line="255" w:lineRule="auto"/>
        <w:rPr>
          <w:sz w:val="20"/>
          <w:szCs w:val="20"/>
          <w:color w:val="auto"/>
        </w:rPr>
      </w:pPr>
      <w:r>
        <w:rPr>
          <w:rFonts w:ascii="Courier New" w:cs="Courier New" w:eastAsia="Courier New" w:hAnsi="Courier New"/>
          <w:sz w:val="15"/>
          <w:szCs w:val="15"/>
          <w:color w:val="auto"/>
        </w:rPr>
        <w:t>We entered into a registration rights agreement with Millennium Partners in which we agreed to register the shares of Common Stock purchased by Millennium partners and issuable upon exercise of the warrants issued to Millennium Partners. We agreed to use commercially reasonable efforts to keep the registration statement in effect for five years, until all shares covered by the registration statement are eligible for resale pursuant to Rule 144(k), or until Millennium Partners and its transferees no longer hold the shares covered by the registration statement, whichever occurs first. We also agreed to include in this registration statement the shares issuable upon exercise of the warrants issued to May Davis and its affiliates.</w:t>
      </w:r>
    </w:p>
    <w:p>
      <w:pPr>
        <w:spacing w:after="0" w:line="8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7"/>
          </w:cols>
          <w:pgMar w:left="232" w:top="435" w:right="1440" w:bottom="1440" w:gutter="0" w:footer="0" w:header="0"/>
        </w:sectPr>
      </w:pPr>
    </w:p>
    <w:bookmarkStart w:id="47" w:name="page48"/>
    <w:bookmarkEnd w:id="47"/>
    <w:p>
      <w:pPr>
        <w:jc w:val="center"/>
        <w:ind w:right="3159"/>
        <w:spacing w:after="0"/>
        <w:rPr>
          <w:sz w:val="20"/>
          <w:szCs w:val="20"/>
          <w:color w:val="auto"/>
        </w:rPr>
      </w:pPr>
      <w:r>
        <w:rPr>
          <w:rFonts w:ascii="Courier New" w:cs="Courier New" w:eastAsia="Courier New" w:hAnsi="Courier New"/>
          <w:sz w:val="15"/>
          <w:szCs w:val="15"/>
          <w:color w:val="auto"/>
        </w:rPr>
        <w:t>SECURITY OWNERSHIP OF THE SELLING STOCKHOLDERS, CERTAIN BENEFICIAL OWNERS AND</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w:t>
      </w:r>
    </w:p>
    <w:p>
      <w:pPr>
        <w:spacing w:after="0" w:line="146" w:lineRule="exact"/>
        <w:rPr>
          <w:sz w:val="20"/>
          <w:szCs w:val="20"/>
          <w:color w:val="auto"/>
        </w:rPr>
      </w:pPr>
    </w:p>
    <w:p>
      <w:pPr>
        <w:ind w:right="3159" w:firstLine="358"/>
        <w:spacing w:after="0" w:line="359" w:lineRule="auto"/>
        <w:rPr>
          <w:sz w:val="20"/>
          <w:szCs w:val="20"/>
          <w:color w:val="auto"/>
        </w:rPr>
      </w:pPr>
      <w:r>
        <w:rPr>
          <w:rFonts w:ascii="Courier New" w:cs="Courier New" w:eastAsia="Courier New" w:hAnsi="Courier New"/>
          <w:sz w:val="15"/>
          <w:szCs w:val="15"/>
          <w:color w:val="auto"/>
        </w:rPr>
        <w:t>The following table shows information regarding the beneficial ownership of our common stock as of August 30, 2000 for:</w:t>
      </w:r>
    </w:p>
    <w:p>
      <w:pPr>
        <w:spacing w:after="0" w:line="8" w:lineRule="exact"/>
        <w:rPr>
          <w:sz w:val="20"/>
          <w:szCs w:val="20"/>
          <w:color w:val="auto"/>
        </w:rPr>
      </w:pPr>
    </w:p>
    <w:p>
      <w:pPr>
        <w:ind w:left="520" w:right="3079" w:hanging="170"/>
        <w:spacing w:after="0" w:line="359"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known by us to own beneficially more than 5% of the outstanding shares of common stock;</w:t>
      </w:r>
    </w:p>
    <w:p>
      <w:pPr>
        <w:spacing w:after="0" w:line="7"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4" w:lineRule="exact"/>
        <w:rPr>
          <w:sz w:val="20"/>
          <w:szCs w:val="20"/>
          <w:color w:val="auto"/>
        </w:rPr>
      </w:pPr>
    </w:p>
    <w:p>
      <w:pPr>
        <w:ind w:right="3079" w:firstLine="358"/>
        <w:spacing w:after="0" w:line="359" w:lineRule="auto"/>
        <w:rPr>
          <w:sz w:val="20"/>
          <w:szCs w:val="20"/>
          <w:color w:val="auto"/>
        </w:rPr>
      </w:pPr>
      <w:r>
        <w:rPr>
          <w:rFonts w:ascii="Courier New" w:cs="Courier New" w:eastAsia="Courier New" w:hAnsi="Courier New"/>
          <w:sz w:val="15"/>
          <w:szCs w:val="15"/>
          <w:color w:val="auto"/>
        </w:rPr>
        <w:t>The address for each listed director and officer is c/o StemCells, Inc., 525 Del Rey Avenue, Suite C, Sunnyvale, CA 94085.</w:t>
      </w:r>
    </w:p>
    <w:p>
      <w:pPr>
        <w:spacing w:after="0" w:line="8" w:lineRule="exact"/>
        <w:rPr>
          <w:sz w:val="20"/>
          <w:szCs w:val="20"/>
          <w:color w:val="auto"/>
        </w:rPr>
      </w:pPr>
    </w:p>
    <w:p>
      <w:pPr>
        <w:ind w:right="3079" w:firstLine="358"/>
        <w:spacing w:after="0" w:line="249" w:lineRule="auto"/>
        <w:rPr>
          <w:sz w:val="20"/>
          <w:szCs w:val="20"/>
          <w:color w:val="auto"/>
        </w:rPr>
      </w:pPr>
      <w:r>
        <w:rPr>
          <w:rFonts w:ascii="Courier New" w:cs="Courier New" w:eastAsia="Courier New" w:hAnsi="Courier New"/>
          <w:sz w:val="15"/>
          <w:szCs w:val="15"/>
          <w:color w:val="auto"/>
        </w:rPr>
        <w:t>We have determined beneficial ownership in the table in accordance with the rules of the Securities and Exchange Commission. In computing the number of shares beneficially owned by a person and the percentage ownership of that person, we have deemed to be outstanding shares of common stock subject to options or warrants held by that person that are currently exercisable or will become exercisable within 60 days of August 15, 2000, assuming that this offering occurs in that 60-day period, but we have not deemed these shares to be outstanding for computing the percentage ownership of any other person. The shares listed below for the selling stockholders represent all of the shares that each selling stockholder currently beneficially owns, the number of shares each of them may offer and the number of shares each of them will own after the offering assuming they sell all of the shares. To our knowledge, except as set forth in the footnotes below, each stockholder identified in the table possesses sole voting and investment power with respect to all shares of common stock shown as beneficially owned by that stockholder. Beneficial ownership percentage is based on 20,538,742 shares of our common stock outstanding on August 15, 2000 and as adjusted for unexercised options and warrants as of that date as noted below and 180,914 shares and 19,900 warrants issued to one of the Selling Shareholders on August 30, 2000.</w:t>
      </w:r>
    </w:p>
    <w:p>
      <w:pPr>
        <w:spacing w:after="0" w:line="263" w:lineRule="exact"/>
        <w:rPr>
          <w:sz w:val="20"/>
          <w:szCs w:val="20"/>
          <w:color w:val="auto"/>
        </w:rPr>
      </w:pPr>
    </w:p>
    <w:p>
      <w:pPr>
        <w:ind w:right="3079" w:firstLine="358"/>
        <w:spacing w:after="0" w:line="254" w:lineRule="auto"/>
        <w:rPr>
          <w:sz w:val="20"/>
          <w:szCs w:val="20"/>
          <w:color w:val="auto"/>
        </w:rPr>
      </w:pPr>
      <w:r>
        <w:rPr>
          <w:rFonts w:ascii="Courier New" w:cs="Courier New" w:eastAsia="Courier New" w:hAnsi="Courier New"/>
          <w:sz w:val="15"/>
          <w:szCs w:val="15"/>
          <w:color w:val="auto"/>
        </w:rPr>
        <w:t>The number of shares of our Common Stock that will be issuable upon exercise of the warrants issued to Millennium Partners is based upon fluctuations in the market price and the number of shares of our Common Stock that will be issuable upon conversion of the Preferred Stock held by Messrs. Weissman and Levin is subject to anti-dilution provisions, so the actual number of shares of our Common Stock that will be issuable and beneficially owned upon exercise of the warrants and conversion of the Preferred Stock cannot be determined at this time. As a result, we have agreed to register, and in the registration statement of which this prospectus is a part we are registering, a number of shares of Common Stock that is greater than the number of shares of Common Stock currently beneficially owned by the selling stockholders.</w:t>
      </w:r>
    </w:p>
    <w:p>
      <w:pPr>
        <w:spacing w:after="0" w:line="2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35" w:right="1440" w:bottom="1440" w:gutter="0" w:footer="0" w:header="0"/>
        </w:sectPr>
      </w:pPr>
    </w:p>
    <w:bookmarkStart w:id="48" w:name="page49"/>
    <w:bookmarkEnd w:id="48"/>
    <w:p>
      <w:pPr>
        <w:ind w:left="8" w:right="3159" w:firstLine="358"/>
        <w:spacing w:after="0" w:line="301" w:lineRule="auto"/>
        <w:rPr>
          <w:sz w:val="20"/>
          <w:szCs w:val="20"/>
          <w:color w:val="auto"/>
        </w:rPr>
      </w:pPr>
      <w:r>
        <w:rPr>
          <w:rFonts w:ascii="Courier New" w:cs="Courier New" w:eastAsia="Courier New" w:hAnsi="Courier New"/>
          <w:sz w:val="15"/>
          <w:szCs w:val="15"/>
          <w:color w:val="auto"/>
        </w:rPr>
        <w:t>The selling stockholders may offer all or some of their shares. All numbers in the following table are based on information obtained by questionnaires received by the company.</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8"/>
              </w:rPr>
              <w:t>SHARES OF COMMON</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2800" w:type="dxa"/>
            <w:vAlign w:val="bottom"/>
            <w:gridSpan w:val="2"/>
            <w:vMerge w:val="restart"/>
          </w:tcPr>
          <w:p>
            <w:pPr>
              <w:jc w:val="right"/>
              <w:ind w:right="405"/>
              <w:spacing w:after="0"/>
              <w:rPr>
                <w:sz w:val="20"/>
                <w:szCs w:val="20"/>
                <w:color w:val="auto"/>
              </w:rPr>
            </w:pPr>
            <w:r>
              <w:rPr>
                <w:rFonts w:ascii="Courier New" w:cs="Courier New" w:eastAsia="Courier New" w:hAnsi="Courier New"/>
                <w:sz w:val="15"/>
                <w:szCs w:val="15"/>
                <w:color w:val="auto"/>
              </w:rPr>
              <w:t>SHARES OF COMMON STOCK</w:t>
            </w:r>
          </w:p>
        </w:tc>
        <w:tc>
          <w:tcPr>
            <w:tcW w:w="1700" w:type="dxa"/>
            <w:vAlign w:val="bottom"/>
            <w:vMerge w:val="restart"/>
          </w:tcPr>
          <w:p>
            <w:pPr>
              <w:jc w:val="center"/>
              <w:ind w:right="85"/>
              <w:spacing w:after="0"/>
              <w:rPr>
                <w:sz w:val="20"/>
                <w:szCs w:val="20"/>
                <w:color w:val="auto"/>
              </w:rPr>
            </w:pPr>
            <w:r>
              <w:rPr>
                <w:rFonts w:ascii="Courier New" w:cs="Courier New" w:eastAsia="Courier New" w:hAnsi="Courier New"/>
                <w:sz w:val="15"/>
                <w:szCs w:val="15"/>
                <w:color w:val="auto"/>
                <w:w w:val="98"/>
              </w:rPr>
              <w:t>SHARES OF COMMON</w:t>
            </w: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STOCK BENEFICIALLY</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2800" w:type="dxa"/>
            <w:vAlign w:val="bottom"/>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8"/>
              </w:rPr>
              <w:t>OWNED AFTER THIS</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BENEFICIALLY OWNED PRIOR TO</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STOCK OFFERED</w:t>
            </w: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7"/>
              </w:rPr>
              <w:t>OFFERING</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845"/>
              <w:spacing w:after="0"/>
              <w:rPr>
                <w:sz w:val="20"/>
                <w:szCs w:val="20"/>
                <w:color w:val="auto"/>
              </w:rPr>
            </w:pPr>
            <w:r>
              <w:rPr>
                <w:rFonts w:ascii="Courier New" w:cs="Courier New" w:eastAsia="Courier New" w:hAnsi="Courier New"/>
                <w:sz w:val="15"/>
                <w:szCs w:val="15"/>
                <w:color w:val="auto"/>
              </w:rPr>
              <w:t>THIS OFFERING</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HEREBY</w:t>
            </w:r>
          </w:p>
        </w:tc>
        <w:tc>
          <w:tcPr>
            <w:tcW w:w="212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w w:val="74"/>
              </w:rPr>
              <w:t>---------------------</w:t>
            </w:r>
            <w:r>
              <w:rPr>
                <w:rFonts w:ascii="Courier New" w:cs="Courier New" w:eastAsia="Courier New" w:hAnsi="Courier New"/>
                <w:sz w:val="29"/>
                <w:szCs w:val="29"/>
                <w:color w:val="auto"/>
                <w:w w:val="74"/>
                <w:vertAlign w:val="subscript"/>
              </w:rPr>
              <w:t>NUMBER</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2800" w:type="dxa"/>
            <w:vAlign w:val="bottom"/>
            <w:gridSpan w:val="2"/>
            <w:vMerge w:val="restart"/>
          </w:tcPr>
          <w:p>
            <w:pPr>
              <w:jc w:val="right"/>
              <w:ind w:right="145"/>
              <w:spacing w:after="0"/>
              <w:rPr>
                <w:sz w:val="20"/>
                <w:szCs w:val="20"/>
                <w:color w:val="auto"/>
              </w:rPr>
            </w:pPr>
            <w:r>
              <w:rPr>
                <w:rFonts w:ascii="Courier New" w:cs="Courier New" w:eastAsia="Courier New" w:hAnsi="Courier New"/>
                <w:sz w:val="15"/>
                <w:szCs w:val="15"/>
                <w:color w:val="auto"/>
                <w:w w:val="74"/>
              </w:rPr>
              <w:t>----------------------------</w:t>
            </w:r>
            <w:r>
              <w:rPr>
                <w:rFonts w:ascii="Courier New" w:cs="Courier New" w:eastAsia="Courier New" w:hAnsi="Courier New"/>
                <w:sz w:val="29"/>
                <w:szCs w:val="29"/>
                <w:color w:val="auto"/>
                <w:w w:val="74"/>
                <w:vertAlign w:val="subscript"/>
              </w:rPr>
              <w:t>NUMBEROF</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vMerge w:val="restart"/>
          </w:tcPr>
          <w:p>
            <w:pPr>
              <w:spacing w:after="0"/>
              <w:rPr>
                <w:sz w:val="20"/>
                <w:szCs w:val="20"/>
                <w:color w:val="auto"/>
              </w:rPr>
            </w:pPr>
            <w:r>
              <w:rPr>
                <w:rFonts w:ascii="Courier New" w:cs="Courier New" w:eastAsia="Courier New" w:hAnsi="Courier New"/>
                <w:sz w:val="15"/>
                <w:szCs w:val="15"/>
                <w:color w:val="auto"/>
              </w:rPr>
              <w:t>NAME OF BENEFICIAL OWNER</w:t>
            </w:r>
          </w:p>
        </w:tc>
        <w:tc>
          <w:tcPr>
            <w:tcW w:w="1600" w:type="dxa"/>
            <w:vAlign w:val="bottom"/>
            <w:vMerge w:val="continue"/>
          </w:tcPr>
          <w:p>
            <w:pPr>
              <w:spacing w:after="0"/>
              <w:rPr>
                <w:sz w:val="14"/>
                <w:szCs w:val="14"/>
                <w:color w:val="auto"/>
              </w:rPr>
            </w:pPr>
          </w:p>
        </w:tc>
        <w:tc>
          <w:tcPr>
            <w:tcW w:w="120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w w:val="97"/>
              </w:rPr>
              <w:t>PERCENTAGE</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NUMBER OF</w:t>
            </w: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OF</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7"/>
              </w:rPr>
              <w:t>PERCENTAGE</w:t>
            </w:r>
          </w:p>
        </w:tc>
        <w:tc>
          <w:tcPr>
            <w:tcW w:w="0" w:type="dxa"/>
            <w:vAlign w:val="bottom"/>
          </w:tcPr>
          <w:p>
            <w:pPr>
              <w:spacing w:after="0"/>
              <w:rPr>
                <w:sz w:val="1"/>
                <w:szCs w:val="1"/>
                <w:color w:val="auto"/>
              </w:rPr>
            </w:pPr>
          </w:p>
        </w:tc>
      </w:tr>
      <w:tr>
        <w:trPr>
          <w:trHeight w:val="172"/>
        </w:trPr>
        <w:tc>
          <w:tcPr>
            <w:tcW w:w="3220" w:type="dxa"/>
            <w:vAlign w:val="bottom"/>
            <w:vMerge w:val="continue"/>
          </w:tcPr>
          <w:p>
            <w:pPr>
              <w:spacing w:after="0"/>
              <w:rPr>
                <w:sz w:val="14"/>
                <w:szCs w:val="14"/>
                <w:color w:val="auto"/>
              </w:rPr>
            </w:pP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SHARES</w:t>
            </w:r>
          </w:p>
        </w:tc>
        <w:tc>
          <w:tcPr>
            <w:tcW w:w="1200" w:type="dxa"/>
            <w:vAlign w:val="bottom"/>
            <w:vMerge w:val="continue"/>
          </w:tcPr>
          <w:p>
            <w:pPr>
              <w:spacing w:after="0"/>
              <w:rPr>
                <w:sz w:val="14"/>
                <w:szCs w:val="14"/>
                <w:color w:val="auto"/>
              </w:rPr>
            </w:pP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SHARES</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22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9,234(1)</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9,234</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390,726(2)</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472,743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154,287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139,180(3)</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0.7</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139,180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Irving Weissman, M.D...............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600,298(4)</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2.9</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472,743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363,859</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50,000(5)</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officers as a group (5</w:t>
            </w:r>
          </w:p>
        </w:tc>
        <w:tc>
          <w:tcPr>
            <w:tcW w:w="16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1,189,439(6)</w:t>
            </w:r>
          </w:p>
        </w:tc>
        <w:tc>
          <w:tcPr>
            <w:tcW w:w="1200" w:type="dxa"/>
            <w:vAlign w:val="bottom"/>
            <w:vMerge w:val="restart"/>
          </w:tcPr>
          <w:p>
            <w:pPr>
              <w:jc w:val="right"/>
              <w:ind w:right="505"/>
              <w:spacing w:after="0"/>
              <w:rPr>
                <w:sz w:val="20"/>
                <w:szCs w:val="20"/>
                <w:color w:val="auto"/>
              </w:rPr>
            </w:pPr>
            <w:r>
              <w:rPr>
                <w:rFonts w:ascii="Courier New" w:cs="Courier New" w:eastAsia="Courier New" w:hAnsi="Courier New"/>
                <w:sz w:val="15"/>
                <w:szCs w:val="15"/>
                <w:color w:val="auto"/>
              </w:rPr>
              <w:t>5.6</w:t>
            </w:r>
          </w:p>
        </w:tc>
        <w:tc>
          <w:tcPr>
            <w:tcW w:w="170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945,486</w:t>
            </w:r>
          </w:p>
        </w:tc>
        <w:tc>
          <w:tcPr>
            <w:tcW w:w="10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716,561</w:t>
            </w:r>
          </w:p>
        </w:tc>
        <w:tc>
          <w:tcPr>
            <w:tcW w:w="10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persons).........................</w:t>
            </w:r>
          </w:p>
        </w:tc>
        <w:tc>
          <w:tcPr>
            <w:tcW w:w="16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Millennium Partners, L.P.**........</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1,225,922(7)</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5.9</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2,160,000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May Davis Group....................</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100,000(8)</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0.5</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188" w:hanging="188"/>
        <w:spacing w:after="0"/>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0.1%</w:t>
      </w:r>
    </w:p>
    <w:p>
      <w:pPr>
        <w:spacing w:after="0" w:line="174" w:lineRule="exact"/>
        <w:rPr>
          <w:sz w:val="20"/>
          <w:szCs w:val="20"/>
          <w:color w:val="auto"/>
        </w:rPr>
      </w:pPr>
    </w:p>
    <w:p>
      <w:pPr>
        <w:ind w:left="348" w:right="3439" w:hanging="348"/>
        <w:spacing w:after="0" w:line="266"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 a Cayman Islands limited partnership, is a private investment partnership whose general partners are Millennium Management, L.L.C., a Delaware limited liability company whose managing member is Israel A. Englander, and Englander (Cayman Islands) Limited, a Cayman Islands exempted company. Both Millennium Management, L.L.C., and Englander (Cayman Islands) Limited are controlled by Mr. Englander.</w:t>
      </w:r>
    </w:p>
    <w:p>
      <w:pPr>
        <w:spacing w:after="0" w:line="74" w:lineRule="exact"/>
        <w:rPr>
          <w:sz w:val="20"/>
          <w:szCs w:val="20"/>
          <w:color w:val="auto"/>
        </w:rPr>
      </w:pPr>
    </w:p>
    <w:p>
      <w:pPr>
        <w:ind w:left="348" w:right="3339" w:hanging="348"/>
        <w:spacing w:after="0" w:line="359"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9,234 shares issuable upon exercise of stock options exercisable within 60 days.</w:t>
      </w:r>
    </w:p>
    <w:p>
      <w:pPr>
        <w:spacing w:after="0" w:line="7" w:lineRule="exact"/>
        <w:rPr>
          <w:rFonts w:ascii="Courier New" w:cs="Courier New" w:eastAsia="Courier New" w:hAnsi="Courier New"/>
          <w:sz w:val="15"/>
          <w:szCs w:val="15"/>
          <w:color w:val="auto"/>
        </w:rPr>
      </w:pPr>
    </w:p>
    <w:p>
      <w:pPr>
        <w:ind w:left="348" w:right="3259" w:hanging="348"/>
        <w:spacing w:after="0" w:line="281"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27,555 shares issuable upon exercise of stock options exercisable within 60 days. Includes 198,871 shares issuable upon conversion of cumulative convertible preferred shares at the currently applicable conversion price, and a warrant to purchase 37,500 shares.</w:t>
      </w:r>
    </w:p>
    <w:p>
      <w:pPr>
        <w:spacing w:after="0" w:line="64" w:lineRule="exact"/>
        <w:rPr>
          <w:rFonts w:ascii="Courier New" w:cs="Courier New" w:eastAsia="Courier New" w:hAnsi="Courier New"/>
          <w:sz w:val="15"/>
          <w:szCs w:val="15"/>
          <w:color w:val="auto"/>
        </w:rPr>
      </w:pPr>
    </w:p>
    <w:p>
      <w:pPr>
        <w:ind w:left="348" w:right="3159" w:hanging="348"/>
        <w:spacing w:after="0" w:line="359"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139,180 shares issuable upon exercise of stock options exercisable within 60 days.</w:t>
      </w:r>
    </w:p>
    <w:p>
      <w:pPr>
        <w:spacing w:after="0" w:line="7" w:lineRule="exact"/>
        <w:rPr>
          <w:rFonts w:ascii="Courier New" w:cs="Courier New" w:eastAsia="Courier New" w:hAnsi="Courier New"/>
          <w:sz w:val="15"/>
          <w:szCs w:val="15"/>
          <w:color w:val="auto"/>
        </w:rPr>
      </w:pPr>
    </w:p>
    <w:p>
      <w:pPr>
        <w:ind w:left="348" w:right="3079" w:hanging="348"/>
        <w:spacing w:after="0" w:line="262"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31,250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Includes a total of 50,791 shares owned by trusts for the benefit of Dr. Weissman's children as to which he disclaims beneficial ownership. Also includes a warrant to purchase 37,500 shares.</w:t>
      </w:r>
    </w:p>
    <w:p>
      <w:pPr>
        <w:spacing w:after="0" w:line="77" w:lineRule="exact"/>
        <w:rPr>
          <w:rFonts w:ascii="Courier New" w:cs="Courier New" w:eastAsia="Courier New" w:hAnsi="Courier New"/>
          <w:sz w:val="15"/>
          <w:szCs w:val="15"/>
          <w:color w:val="auto"/>
        </w:rPr>
      </w:pPr>
    </w:p>
    <w:p>
      <w:pPr>
        <w:ind w:left="348" w:right="3259" w:hanging="348"/>
        <w:spacing w:after="0" w:line="256"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50,000 shares issuable upon exercise of stock options exercisable within 60 days. Mr. Dunbar was appointed Acting President and Chief Executive Officer of our wholly owned subsidiary, StemCells</w:t>
      </w:r>
    </w:p>
    <w:p>
      <w:pPr>
        <w:ind w:left="348" w:right="3079"/>
        <w:spacing w:after="0" w:line="28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California, Inc., effective as of November 8, 1999, and was appointed Acting President and Chief Executive Officer of the company effective as of February 1, 2000.</w:t>
      </w:r>
    </w:p>
    <w:p>
      <w:pPr>
        <w:spacing w:after="0" w:line="63" w:lineRule="exact"/>
        <w:rPr>
          <w:rFonts w:ascii="Courier New" w:cs="Courier New" w:eastAsia="Courier New" w:hAnsi="Courier New"/>
          <w:sz w:val="15"/>
          <w:szCs w:val="15"/>
          <w:color w:val="auto"/>
        </w:rPr>
      </w:pPr>
    </w:p>
    <w:p>
      <w:pPr>
        <w:ind w:left="348" w:right="3519" w:hanging="348"/>
        <w:spacing w:after="0" w:line="359"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339,379 shares exercisable upon exercise of warrants and stock options exercisable within 60 days.</w:t>
      </w:r>
    </w:p>
    <w:p>
      <w:pPr>
        <w:spacing w:after="0" w:line="7" w:lineRule="exact"/>
        <w:rPr>
          <w:rFonts w:ascii="Courier New" w:cs="Courier New" w:eastAsia="Courier New" w:hAnsi="Courier New"/>
          <w:sz w:val="15"/>
          <w:szCs w:val="15"/>
          <w:color w:val="auto"/>
        </w:rPr>
      </w:pPr>
    </w:p>
    <w:p>
      <w:pPr>
        <w:ind w:left="348" w:right="3159" w:hanging="348"/>
        <w:spacing w:after="0" w:line="281"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180,914 shares issued as of August 30, 2000 and 19,900 shares issuable upon exercise of warrants issued together with those shares. Includes 101,587 shares issuable upon exercise of warrants issued August 3, 2000.</w:t>
      </w:r>
    </w:p>
    <w:p>
      <w:pPr>
        <w:spacing w:after="0" w:line="64" w:lineRule="exact"/>
        <w:rPr>
          <w:rFonts w:ascii="Courier New" w:cs="Courier New" w:eastAsia="Courier New" w:hAnsi="Courier New"/>
          <w:sz w:val="15"/>
          <w:szCs w:val="15"/>
          <w:color w:val="auto"/>
        </w:rPr>
      </w:pPr>
    </w:p>
    <w:p>
      <w:pPr>
        <w:ind w:left="348" w:right="3259" w:hanging="348"/>
        <w:spacing w:after="0" w:line="359"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issuable upon exercise of warrants held by four affiliates of May Davis Group.</w:t>
      </w:r>
    </w:p>
    <w:p>
      <w:pPr>
        <w:spacing w:after="0" w:line="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435" w:right="1440" w:bottom="1440" w:gutter="0" w:footer="0" w:header="0"/>
        </w:sectPr>
      </w:pPr>
    </w:p>
    <w:bookmarkStart w:id="49" w:name="page50"/>
    <w:bookmarkEnd w:id="49"/>
    <w:p>
      <w:pPr>
        <w:ind w:left="1340"/>
        <w:spacing w:after="0"/>
        <w:rPr>
          <w:sz w:val="20"/>
          <w:szCs w:val="20"/>
          <w:color w:val="auto"/>
        </w:rPr>
      </w:pPr>
      <w:r>
        <w:rPr>
          <w:rFonts w:ascii="Courier New" w:cs="Courier New" w:eastAsia="Courier New" w:hAnsi="Courier New"/>
          <w:sz w:val="15"/>
          <w:szCs w:val="15"/>
          <w:color w:val="auto"/>
        </w:rPr>
        <w:t>RELATIONSHIP AND TRANSACTIONS WITH RELATED PARTIES</w:t>
      </w:r>
    </w:p>
    <w:p>
      <w:pPr>
        <w:spacing w:after="0" w:line="174"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us rendering strategic business advice and consulting services, including assistance in the negotiation and consummation of strategic collaboration transactions specified by us. Under terms of an agreement dated December 19, 1998, and amended as of July 1, 1999 (the "Letter Agreement") Dr. Schwartz agreed to serve as a Director and Chairman of the Board of Directors of the Company for a term expiring at the 2001 Annual Meeting of Stockholders. The Letter Agreement incorporates certain payments provided for under a consulting services agreement dated July 27, 1998, and amended as of December 19, 1998 (the "Consulting Services Agreement"). As a result, Dr. Schwartz is entitled to a retainer of $192,000 per year plus $1,500 for each Board meeting or Committee meeting (if held at a date and time separate from the Board meeting) physically attended and $500 for each Board meeting or Committee meeting (if held at a date and time separate from the Board meeting) held by conference call, payable quarterly in arrears. Dr. Schwartz is obligated to spend no less than thirty business days per calendar quarter devoted to the performance of his duties under the Letter Agreement. In the event Dr. Schwartz devotes more than thirty business days in any calendar quarter to the performance of his duties, Dr. Schwartz is entitled to receive additional compensation at the rate of $1,500 per day. Under the Letter Agreement,</w:t>
      </w:r>
    </w:p>
    <w:p>
      <w:pPr>
        <w:spacing w:after="0" w:line="16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Schwartz was granted a stock option covering 40,000 shares of Common Stock that vests in equal portions on the last day of each of the 29 months of the term of the Letter Agreement. By virtue of provisions incorporated from the Consulting Services Agreement, Dr. Schwartz also holds an option to purchase 76,000 shares of the Company's Common Stock at $1.281 per share, the fair market value of the Company's Common Stock at the time the option was granted, vesting at a rate of 3,167 shares per month for the ensuing 23 months after the date of the grant, with a final vesting of 3,159 shares in the 24th month, plus another option to purchase 48,000 shares of Common Stock at the then current fair market value of the Company's Common Stock on July 27, 1999, vesting at a rate of 2,000 shares per month. In the event Dr. Schwartz ceases to be Chairman of the Board of Directors, either as a result of an affirmative vote of the Board of Directors for reasons other than cause or due to his disability or his resignation from such position, but remains a Director, his cash compensation and remaining unvested portion of the 40,000-share time-based stock option will be reduced to the then current rate for a Director of the Company, plus $5,000 per month pursuant to the Consulting Services Agreement. In the event</w:t>
      </w:r>
    </w:p>
    <w:p>
      <w:pPr>
        <w:spacing w:after="0" w:line="12" w:lineRule="exact"/>
        <w:rPr>
          <w:sz w:val="20"/>
          <w:szCs w:val="20"/>
          <w:color w:val="auto"/>
        </w:rPr>
      </w:pPr>
    </w:p>
    <w:p>
      <w:pPr>
        <w:jc w:val="both"/>
        <w:ind w:right="3079"/>
        <w:spacing w:after="0" w:line="260" w:lineRule="auto"/>
        <w:rPr>
          <w:sz w:val="20"/>
          <w:szCs w:val="20"/>
          <w:color w:val="auto"/>
        </w:rPr>
      </w:pPr>
      <w:r>
        <w:rPr>
          <w:rFonts w:ascii="Courier New" w:cs="Courier New" w:eastAsia="Courier New" w:hAnsi="Courier New"/>
          <w:sz w:val="14"/>
          <w:szCs w:val="14"/>
          <w:color w:val="auto"/>
        </w:rPr>
        <w:t>Dr. Schwartz ceases to be Chairman of the Board of Directors, either as a result of an affirmative vote of the Board of Directors for reasons other than cause or due to his disability or his resignation from such position, and then he resigns as a Director or is removed as a Director pursuant to the Company's By-laws, the Company shall have no further obligation to pay cash compensation to</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Dr. Schwartz under the Letter Agreement but he would receive $5,000 per month pursuant to the Consulting Services Agreement. Dr. Schwartz shall have one year from such date to exercise the vested portion of the 40,000-share time-based option and any unvested portion of that option shall lapse. In the event</w:t>
      </w:r>
    </w:p>
    <w:p>
      <w:pPr>
        <w:spacing w:after="0" w:line="3" w:lineRule="exact"/>
        <w:rPr>
          <w:sz w:val="20"/>
          <w:szCs w:val="20"/>
          <w:color w:val="auto"/>
        </w:rPr>
      </w:pPr>
    </w:p>
    <w:p>
      <w:pPr>
        <w:ind w:right="3079"/>
        <w:spacing w:after="0" w:line="247" w:lineRule="auto"/>
        <w:rPr>
          <w:sz w:val="20"/>
          <w:szCs w:val="20"/>
          <w:color w:val="auto"/>
        </w:rPr>
      </w:pPr>
      <w:r>
        <w:rPr>
          <w:rFonts w:ascii="Courier New" w:cs="Courier New" w:eastAsia="Courier New" w:hAnsi="Courier New"/>
          <w:sz w:val="15"/>
          <w:szCs w:val="15"/>
          <w:color w:val="auto"/>
        </w:rPr>
        <w:t>Dr. Schwartz is removed from his positions as Director and Chairman of the Board of Directors for cause, as defined in the Letter Agreement, the Company shall have no further obligation to pay cash compensation to Dr. Schwartz under the Letter Agreement, any unvested portion of the 40,000-share time-based option shall lapse and the exercise of any vested portion shall be governed by the terms of the Company's 1992 Equity Incentive Plan. The termination of the Letter Agreement for any reason shall have no effect on the Consulting Services Agreement, which had an initial term through July 27, 2000 and was renewed on a month-to-month basis, and Dr. Schwartz shall serve as a consultant to the Company rendering strategic business advice and counseling services, including assistance in the negotiation and consummation of strategic collaboration transactions specified by the Company as provided therein. At a meeting of the Board on February 23, 2000, in order to conserve cash and demonstrate his continuing confidence in the Company's future, the Board of Directors, upon the suggestion of Dr. Schwartz, approved a resolution revising the compensation arrangement between Dr. Schwartz and the Company, for the period commencing January 1, 2000. Under this resolution,</w:t>
      </w:r>
    </w:p>
    <w:p>
      <w:pPr>
        <w:spacing w:after="0" w:line="9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35" w:right="1440" w:bottom="1440" w:gutter="0" w:footer="0" w:header="0"/>
        </w:sectPr>
      </w:pPr>
    </w:p>
    <w:bookmarkStart w:id="50" w:name="page51"/>
    <w:bookmarkEnd w:id="50"/>
    <w:p>
      <w:pPr>
        <w:ind w:right="3079"/>
        <w:spacing w:after="0" w:line="250" w:lineRule="auto"/>
        <w:rPr>
          <w:sz w:val="20"/>
          <w:szCs w:val="20"/>
          <w:color w:val="auto"/>
        </w:rPr>
      </w:pPr>
      <w:r>
        <w:rPr>
          <w:rFonts w:ascii="Courier New" w:cs="Courier New" w:eastAsia="Courier New" w:hAnsi="Courier New"/>
          <w:sz w:val="15"/>
          <w:szCs w:val="15"/>
          <w:color w:val="auto"/>
        </w:rPr>
        <w:t>Dr. Schwartz waives any and all cash payments which may accrue to him for his retainer, monthly and meeting fees, and agrees to take, in lieu of such cash payments, compensation in the form of options to purchase shares of the Company's common stock at below-market prices ($0.25 per share). To effectuate the intention of Dr. Schwartz and other members of the Board to change the form but not the amount of compensation, Dr. Schwartz will be granted options covering a number of shares of the Company's common stock such that the difference between the aggregate exercise price of such options and the aggregate market value of the shares underlying such options (using the closing price of the Company's common stock for the date of the subject Board or Committee meeting (if such Committee meeting is not held contemporaneously with a Board meeting) or, with respect to the quarterly or monthly retainer payments of $33,000 and $5,000 respectively, the closing price for the last business day of the quarter or month) is equal to the compensation he is entitled to receive. All options so issued to Dr. Schwartz vest immediately. The Consulting Services Agreement expired under its terms on July 27, 2000 and the board of directors renewed it on a month-to-month basis on September 19, 2000.</w:t>
      </w:r>
    </w:p>
    <w:p>
      <w:pPr>
        <w:spacing w:after="0" w:line="259" w:lineRule="exact"/>
        <w:rPr>
          <w:sz w:val="20"/>
          <w:szCs w:val="20"/>
          <w:color w:val="auto"/>
        </w:rPr>
      </w:pPr>
    </w:p>
    <w:p>
      <w:pPr>
        <w:ind w:right="3079" w:firstLine="358"/>
        <w:spacing w:after="0" w:line="245" w:lineRule="auto"/>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expect to incur a charge of approximately $800,000 during the fourth quarter of 2000 as a result of this change in the vested portion of the option. The deferred compensation expense associated with the unvested portion of the grants was determined to be approximately $1.4 million. We plan to revalue the options using the Black-Scholes method on a quarterly basis and recognize additional compensation expense accordingly. The Company also agreed to nominate</w:t>
      </w:r>
    </w:p>
    <w:p>
      <w:pPr>
        <w:spacing w:after="0" w:line="2"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Dr. Weissman for a position on the Board of Directors. The Consulting Agreement contains confidentiality, noncompetition, and assignment of invention provisions and is for a term of ten years, subject to earlier termination by us for cause or frustration of purpose and earlier termination by Dr. Weissman for good reason. Dr. Weissman receives no compensation as a member of the Board of Directors or for attending meetings of the Board or its committees or meetings of our Scientific Advisory Board, but is reimbursed for reasonable expenses he incurs in attending such meetings.</w:t>
      </w:r>
    </w:p>
    <w:p>
      <w:pPr>
        <w:spacing w:after="0" w:line="259" w:lineRule="exact"/>
        <w:rPr>
          <w:sz w:val="20"/>
          <w:szCs w:val="20"/>
          <w:color w:val="auto"/>
        </w:rPr>
      </w:pPr>
    </w:p>
    <w:p>
      <w:pPr>
        <w:ind w:right="3339" w:firstLine="358"/>
        <w:spacing w:after="0" w:line="262" w:lineRule="auto"/>
        <w:rPr>
          <w:sz w:val="20"/>
          <w:szCs w:val="20"/>
          <w:color w:val="auto"/>
        </w:rPr>
      </w:pPr>
      <w:r>
        <w:rPr>
          <w:rFonts w:ascii="Courier New" w:cs="Courier New" w:eastAsia="Courier New" w:hAnsi="Courier New"/>
          <w:sz w:val="15"/>
          <w:szCs w:val="15"/>
          <w:color w:val="auto"/>
        </w:rPr>
        <w:t>George W. Dunbar, Jr., Acting President and Chief Executive Officer as of February 1, 2000, was a founding member of iCEO, LLC ("iCEO") in</w:t>
      </w:r>
    </w:p>
    <w:p>
      <w:pPr>
        <w:spacing w:after="0" w:line="1" w:lineRule="exact"/>
        <w:rPr>
          <w:sz w:val="20"/>
          <w:szCs w:val="20"/>
          <w:color w:val="auto"/>
        </w:rPr>
      </w:pPr>
    </w:p>
    <w:p>
      <w:pPr>
        <w:ind w:right="3079"/>
        <w:spacing w:after="0" w:line="246" w:lineRule="auto"/>
        <w:rPr>
          <w:sz w:val="20"/>
          <w:szCs w:val="20"/>
          <w:color w:val="auto"/>
        </w:rPr>
      </w:pPr>
      <w:r>
        <w:rPr>
          <w:rFonts w:ascii="Courier New" w:cs="Courier New" w:eastAsia="Courier New" w:hAnsi="Courier New"/>
          <w:sz w:val="15"/>
          <w:szCs w:val="15"/>
          <w:color w:val="auto"/>
        </w:rPr>
        <w:t>September 1999. Mr. Dunbar joined the company as Acting President of StemCells California, Inc., our wholly owned subsidiary, and he still holds this position currently. Under the terms of two agreements dated as of November 17, 1999 and effective as of November 8, 1999, the first between us and iCEO and the second between us and Mr. Dunbar, Mr. Dunbar agreed to serve as Acting President of StemCells California, Inc., our wholly owned subsidiary. Pursuant to the terms of his agreement with us, Mr. Dunbar is entitled to an annual salary of $175,000 and was granted a stock option to purchase 48,000 shares of our common stock that will vest at the rate of 4,000 shares per month commencing on December 6, 1999 and continuing until fully vested so long as he continues to serve as Acting President. The vesting under the option will be accelerated in the event of certain changes of control. Additionally, the agreement provides that the Board will consider once per quarter the grant of an option for an additional 3,000 shares if it is determined that the services rendered by Mr. Dunbar during the preceding quarter exceeded expectations. Mr. Dunbar is an at-will employee and as such may resign or be terminated with or without reason. On September 22, 2000 we announced that George Dunbar, our acting President and Chief Executive Officer, would be phasing out his service. Mr. Dunbar will continue in his position on a reduced time basis during this transition period. The agreement has no provisions for any severance</w:t>
      </w:r>
    </w:p>
    <w:p>
      <w:pPr>
        <w:spacing w:after="0" w:line="10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35" w:right="1440" w:bottom="1440" w:gutter="0" w:footer="0" w:header="0"/>
        </w:sectPr>
      </w:pPr>
    </w:p>
    <w:bookmarkStart w:id="51" w:name="page52"/>
    <w:bookmarkEnd w:id="51"/>
    <w:p>
      <w:pPr>
        <w:ind w:right="3079"/>
        <w:spacing w:after="0" w:line="248" w:lineRule="auto"/>
        <w:rPr>
          <w:sz w:val="20"/>
          <w:szCs w:val="20"/>
          <w:color w:val="auto"/>
        </w:rPr>
      </w:pPr>
      <w:r>
        <w:rPr>
          <w:rFonts w:ascii="Courier New" w:cs="Courier New" w:eastAsia="Courier New" w:hAnsi="Courier New"/>
          <w:sz w:val="15"/>
          <w:szCs w:val="15"/>
          <w:color w:val="auto"/>
        </w:rPr>
        <w:t>payments or other benefits upon Mr. Dunbar's resignation or termination. Pursuant to the terms of the agreement between iCEO and us, iCEO is entitled to receive annual compensation of $75,000 for so long as Mr. Dunbar continues to serve in his role as Acting President of StemCells California, Inc. or in any other interim role with the Company. In addition, iCEO was granted a stock option to purchase 48,000 shares of our common stock that will vest at the rate of 4,000 shares per month commencing on December 6, 1999 and continuing until fully vested so long as Mr. Dunbar continues to serve as Acting President of StemCells California, Inc. or in any other interim role with the company. Additionally, the iCEO agreement provides that the Board will consider once per quarter the grant of an option to iCEO for an additional 3,000 shares if it is determined that the services rendered by Mr. Dunbar during the preceding quarter exceeded expectations. As a member of iCEO, Mr. Dunbar is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us. When Mr. Dunbar was appointed Acting President and Chief Executive Officer effective as of February 1, 2000, there was no adjustment to his or iCEO's compensation or stock options. In the event that during the period of his service as Acting President and Chief Executive Officer or within 120 days from the termination of such services, Mr. Dunbar was to become a permanent employee in any capacity, we are obligated under the iCEO agreement to pay iCEO a fee equal to one-third of the then targeted first year's compensation for Mr. Dunbar.</w:t>
      </w:r>
    </w:p>
    <w:p>
      <w:pPr>
        <w:spacing w:after="0" w:line="86" w:lineRule="exact"/>
        <w:rPr>
          <w:sz w:val="20"/>
          <w:szCs w:val="20"/>
          <w:color w:val="auto"/>
        </w:rPr>
      </w:pPr>
    </w:p>
    <w:p>
      <w:pPr>
        <w:ind w:right="3079" w:firstLine="358"/>
        <w:spacing w:after="0" w:line="249" w:lineRule="auto"/>
        <w:rPr>
          <w:sz w:val="20"/>
          <w:szCs w:val="20"/>
          <w:color w:val="auto"/>
        </w:rPr>
      </w:pPr>
      <w:r>
        <w:rPr>
          <w:rFonts w:ascii="Courier New" w:cs="Courier New" w:eastAsia="Courier New" w:hAnsi="Courier New"/>
          <w:sz w:val="15"/>
          <w:szCs w:val="15"/>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If offerings totaling at least $6 million are not completed during the 6 months, the investors have the right to acquire up to a total of 1,126 additional shares of convertible preferred stock the face value of which is convertible at the option of the holder into common stock at $6.33 per share. Any unconverted preferred stock will be converted into common stock on April 13, 2002 in the case of the original stock issued and two years after the first acquisition of any of the additional 1,126 shares, if any are acquired. The warrants expire on April 13, 2005.</w:t>
      </w:r>
    </w:p>
    <w:p>
      <w:pPr>
        <w:spacing w:after="0" w:line="9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35" w:right="1440" w:bottom="1440" w:gutter="0" w:footer="0" w:header="0"/>
        </w:sectPr>
      </w:pPr>
    </w:p>
    <w:bookmarkStart w:id="52" w:name="page53"/>
    <w:bookmarkEnd w:id="52"/>
    <w:p>
      <w:pPr>
        <w:ind w:left="2320"/>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MATTERS</w:t>
      </w:r>
    </w:p>
    <w:p>
      <w:pPr>
        <w:spacing w:after="0" w:line="174"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Upon completion of this offering, the total amount of our authorized capital stock will consist of 45,000,000 shares of common stock, $.01 par value per share, and 1,000,000 shares of undesignated preferred stock, $.01 par value per share, to be issued from time to time in one or more series, with such designations, powers, preferences, rights, qualifications, limitations and restrictions as our board of directors may determine. As of August 15, 2000, we had outstanding 20,538,928 shares of common stock and 1,500 shares of 6% cumulative convertible preferred stock.</w:t>
      </w:r>
    </w:p>
    <w:p>
      <w:pPr>
        <w:spacing w:after="0" w:line="81"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As of August 15, 2000, we had 249 stockholders of record with respect to our common stock and outstanding options to purchase 2,556,486 shares of our common stock, of which 608,976 were currently exercisable. The following summary of provisions of our capital stock describes all material provisions of, but does not purport to be complete and is subject to, and qualified in its entirety by, our restated certificate of incorporation and our amended and restated by-laws, which are included as exhibits to the registration statement of which this prospectus forms a part, and by the provisions of applicable law.</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079" w:firstLine="358"/>
        <w:spacing w:after="0" w:line="249" w:lineRule="auto"/>
        <w:rPr>
          <w:sz w:val="20"/>
          <w:szCs w:val="20"/>
          <w:color w:val="auto"/>
        </w:rPr>
      </w:pPr>
      <w:r>
        <w:rPr>
          <w:rFonts w:ascii="Courier New" w:cs="Courier New" w:eastAsia="Courier New" w:hAnsi="Courier New"/>
          <w:sz w:val="15"/>
          <w:szCs w:val="15"/>
          <w:color w:val="auto"/>
        </w:rPr>
        <w:t>The issued and outstanding shares of common stock are, and the shares of common stock to be issued by us in connection with the offering will be, validly issued, fully paid and nonassessable. Holders of our common stock are entitled to any and all dividends as such dividends are declared by the Board of Directors. This right is not cumulative, and no right shall accrue to holders of common stock by reason of the fact that dividends on said shares were not declared in any prior period. The shares of common stock are not convertible and the holders thereof have no preemptive or subscription rights to purchase any of our securities. Upon liquidation, dissolution or winding up of our company, the holders of common stock are entitled to an amount equal to $1.00 per share, subject to the rights of the holders of the preferred stock. After payment to the holders of the common stock of the full preferential amounts due to them, the holders of common stock have the right to share equally in the distribution of the entire remaining assets of the company legally available for distribution, subject to the rights of the holders of the preferred stock. Each outstanding share of common stock is entitled to one vote on all matters submitted to a vote of stockholders, such voting rights to be counted together with all other shares of capital stock having voting powers and not as a separate class, except as otherwise required by law.</w:t>
      </w:r>
    </w:p>
    <w:p>
      <w:pPr>
        <w:spacing w:after="0" w:line="91" w:lineRule="exact"/>
        <w:rPr>
          <w:sz w:val="20"/>
          <w:szCs w:val="20"/>
          <w:color w:val="auto"/>
        </w:rPr>
      </w:pPr>
    </w:p>
    <w:p>
      <w:pPr>
        <w:ind w:right="3339" w:firstLine="358"/>
        <w:spacing w:after="0" w:line="359" w:lineRule="auto"/>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079" w:firstLine="358"/>
        <w:spacing w:after="0" w:line="255" w:lineRule="auto"/>
        <w:rPr>
          <w:sz w:val="20"/>
          <w:szCs w:val="20"/>
          <w:color w:val="auto"/>
        </w:rPr>
      </w:pPr>
      <w:r>
        <w:rPr>
          <w:rFonts w:ascii="Courier New" w:cs="Courier New" w:eastAsia="Courier New" w:hAnsi="Courier New"/>
          <w:sz w:val="15"/>
          <w:szCs w:val="15"/>
          <w:color w:val="auto"/>
        </w:rPr>
        <w:t>Our board of directors may from time to time direct the issuance of shares of preferred stock in series and may, at the time of issuance, determine the rights, preferences and limitations of each series. Shares of preferred stock of any one series shall be identical with each other in all respects except as to the dates from which dividends shall accrue and/or cumulate. In the event of any liquidation, dissolution or winding up of the company, the holders of undesignated preferred stock of each series are entitled to receive an amount fixed by the company's Restated Certificate of Incorporation or by the resolution(s) of the board of directors providing for the issuance of such series.</w:t>
      </w:r>
    </w:p>
    <w:p>
      <w:pPr>
        <w:spacing w:after="0" w:line="87" w:lineRule="exact"/>
        <w:rPr>
          <w:sz w:val="20"/>
          <w:szCs w:val="20"/>
          <w:color w:val="auto"/>
        </w:rPr>
      </w:pPr>
    </w:p>
    <w:p>
      <w:pPr>
        <w:ind w:right="3079" w:firstLine="358"/>
        <w:spacing w:after="0" w:line="259" w:lineRule="auto"/>
        <w:rPr>
          <w:sz w:val="20"/>
          <w:szCs w:val="20"/>
          <w:color w:val="auto"/>
        </w:rPr>
      </w:pPr>
      <w:r>
        <w:rPr>
          <w:rFonts w:ascii="Courier New" w:cs="Courier New" w:eastAsia="Courier New" w:hAnsi="Courier New"/>
          <w:sz w:val="15"/>
          <w:szCs w:val="15"/>
          <w:color w:val="auto"/>
        </w:rPr>
        <w:t>The board of directors designated 2,626 shares, $.01 par value per share, as 6% cumulative convertible preferred stock, 1,500 shares of which are issued and outstanding. The holders of these preferred shares are entitled to receive cumulative dividends at a per share rate of 6% of the liquidation preference of each share, per annum accruing daily and compounding quarterly, with priority over payment of any dividend on common stock or any other class or series of equity security of the company. In the event of any liquidation, dissolution or winding up of the company, the holders</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35" w:right="1440" w:bottom="1440" w:gutter="0" w:footer="0" w:header="0"/>
        </w:sectPr>
      </w:pPr>
    </w:p>
    <w:bookmarkStart w:id="53" w:name="page54"/>
    <w:bookmarkEnd w:id="53"/>
    <w:p>
      <w:pPr>
        <w:ind w:right="3079"/>
        <w:spacing w:after="0" w:line="248" w:lineRule="auto"/>
        <w:rPr>
          <w:sz w:val="20"/>
          <w:szCs w:val="20"/>
          <w:color w:val="auto"/>
        </w:rPr>
      </w:pPr>
      <w:r>
        <w:rPr>
          <w:rFonts w:ascii="Courier New" w:cs="Courier New" w:eastAsia="Courier New" w:hAnsi="Courier New"/>
          <w:sz w:val="15"/>
          <w:szCs w:val="15"/>
          <w:color w:val="auto"/>
        </w:rPr>
        <w:t>of the 6% cumulative convertible preferred stock are entitled to receive in preference to holders of any other class or series of equity securities, an amount equal to $1,000 per share plus (i) dividends added to the liquidation preference, (ii) all accrued but unpaid dividends and (iii) all "Monthly Delay Payments" under the Registration Rights Agreement. The 6% cumulative convertible preferred stock was issued pursuant to a Securities Purchase Agreement. Each holder of the 6% cumulative convertible preferred stock has at any time the right to convert any or all 6% cumulative convertible preferred stock held by such holder into fully paid, validly issued and nonassessable shares of common stock, $.01 par value per share, at which point the rights of the holders of converted 6% cumulative convertible preferred stock shall be treated as having become the owners of such common stock. The affirmative vote of a majority in interest of the outstanding 6% cumulative convertible preferred stock is required for (i) any amendment, modification or repeal of the Certificate of Designations, Certificate of Incorporation or by-laws that may amend or change or adversely affect any of the rights or preference of the 6% cumulative convertible preferred stock; provided, however, that the holders of 6% cumulative convertible preferred stock who are affiliates of the company shall not participate in such votes, and such shares shall be deemed not to be outstanding for purposes of such votes. We have no current intention to issue any more of our unissued, authorized shares of undesignated preferred stock. However, the issuance of any shares of undesignated preferred stock in the future could adversely affect the rights of the holders of common stock.</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4" w:lineRule="exact"/>
        <w:rPr>
          <w:sz w:val="20"/>
          <w:szCs w:val="20"/>
          <w:color w:val="auto"/>
        </w:rPr>
      </w:pPr>
    </w:p>
    <w:p>
      <w:pPr>
        <w:ind w:right="3339" w:firstLine="358"/>
        <w:spacing w:after="0" w:line="307" w:lineRule="auto"/>
        <w:rPr>
          <w:sz w:val="20"/>
          <w:szCs w:val="20"/>
          <w:color w:val="auto"/>
        </w:rPr>
      </w:pPr>
      <w:r>
        <w:rPr>
          <w:rFonts w:ascii="Courier New" w:cs="Courier New" w:eastAsia="Courier New" w:hAnsi="Courier New"/>
          <w:sz w:val="14"/>
          <w:szCs w:val="14"/>
          <w:color w:val="auto"/>
        </w:rPr>
        <w:t>As of September 30, 2000, we had outstanding warrants to purchase 296,487 shares of common stock at an average exercise price of $5.3876 per share, subject to customary antidilution adjustment. The warrants were issued at various times during this year to eight different parties as described below.</w:t>
      </w:r>
    </w:p>
    <w:p>
      <w:pPr>
        <w:spacing w:after="0" w:line="49"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5"/>
          <w:szCs w:val="15"/>
          <w:color w:val="auto"/>
        </w:rPr>
        <w:t>As of April 13, 2000, we issued to each of Irving Weissman and Mark Levin a warrant in connection with a Securities Purchase Agreement dated as of</w:t>
      </w:r>
    </w:p>
    <w:p>
      <w:pPr>
        <w:spacing w:after="0" w:line="1" w:lineRule="exact"/>
        <w:rPr>
          <w:sz w:val="20"/>
          <w:szCs w:val="20"/>
          <w:color w:val="auto"/>
        </w:rPr>
      </w:pPr>
    </w:p>
    <w:p>
      <w:pPr>
        <w:ind w:right="3079"/>
        <w:spacing w:after="0" w:line="246" w:lineRule="auto"/>
        <w:rPr>
          <w:sz w:val="20"/>
          <w:szCs w:val="20"/>
          <w:color w:val="auto"/>
        </w:rPr>
      </w:pPr>
      <w:r>
        <w:rPr>
          <w:rFonts w:ascii="Courier New" w:cs="Courier New" w:eastAsia="Courier New" w:hAnsi="Courier New"/>
          <w:sz w:val="15"/>
          <w:szCs w:val="15"/>
          <w:color w:val="auto"/>
        </w:rPr>
        <w:t>April 13, 2000. Each warrant is to purchase 37,500 shares of our common stock at an exercise price of $6.58125 per share. Each warrant is exercisable, in whole or in part, at any time on or after April 13, 2000 and on or prior to April 13, 2005. The exercise price is subject to adjustment for subdivisions, combinations, stock dividends, reorganizations and various other issuances. Under the terms of the warrants, during any time that the warrant shares are not subject to an effective registration statement, each investor may elect to receive a reduced number of warrant shares in lieu of tendering the exercise price in cash. Each investor is not entitled to any rights as a shareholder until he exercises the warrant. In the event of a transaction by us in which more than 50% of our voting power is disposed of, each investor shall have the right to purchase, by exercise of the warrant and payment of the exercise price, the kind and amount of shares and other securities and property which he would have owned or have been entitled to receive after the occurrence of the transaction had the warrant been exercised immediately prior thereto, subject to the adjustment of the exercise price as described in the warrant and above. We may, at any time during the term of the warrant, reduce the exercise price to any amount for any period of time deemed appropriate by our Board of Directors. Under the terms of the warrants, the number of shares of common stock that each investor may acquire upon exercise cannot exceed a number that, when added to the total number of shares of common stock the investor is deemed to beneficially own, together with all shares of common stock deemed beneficially owned by the investor's affiliates (as defined by Rule 144 of the Securities Act of 1933), would exceed 9.99% of the total issued and outstanding shares of the common stock.</w:t>
      </w:r>
    </w:p>
    <w:p>
      <w:pPr>
        <w:spacing w:after="0" w:line="90"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We issued a warrant to Millennium Partners L.P. on August 3, 2000, which may entitle them to receive additional shares of common stock on eight dates beginning six months from that date and every three months thereafter. On August 30, 2000 we issued a second warrant to Millennium which may entitle them to receive additional shares of common stock on eight dates beginning six months from August 30, 2000 and every three months thereafter. On November 1, 2000, we agreed with</w:t>
      </w:r>
    </w:p>
    <w:p>
      <w:pPr>
        <w:spacing w:after="0" w:line="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35" w:right="1440" w:bottom="1440" w:gutter="0" w:footer="0" w:header="0"/>
        </w:sectPr>
      </w:pPr>
    </w:p>
    <w:bookmarkStart w:id="54" w:name="page55"/>
    <w:bookmarkEnd w:id="54"/>
    <w:p>
      <w:pPr>
        <w:ind w:right="3079"/>
        <w:spacing w:after="0" w:line="246" w:lineRule="auto"/>
        <w:rPr>
          <w:sz w:val="20"/>
          <w:szCs w:val="20"/>
          <w:color w:val="auto"/>
        </w:rPr>
      </w:pPr>
      <w:r>
        <w:rPr>
          <w:rFonts w:ascii="Courier New" w:cs="Courier New" w:eastAsia="Courier New" w:hAnsi="Courier New"/>
          <w:sz w:val="15"/>
          <w:szCs w:val="15"/>
          <w:color w:val="auto"/>
        </w:rPr>
        <w:t>Millennium to cancel the adjustable warrant issued on August 30, 2000 and to decrease the number of shares for which the adjustable warrant issued on August 3, 2000 may be exercisable. The number of additional shares Millennium will be entitled to receive on each date will be based on the number of shares of common stock Millennium continues to hold on each date and the market price of our common stock over a period prior to each date. We will have the right, under certain circumstances, to limit the number of additional shares by purchasing part of the entitlement from Millennium. The remaining warrant is exercisable, in whole or in part, at any time on or prior to 30 days after the last date which may entitle Millennium to receive additional shares. This warrant is subject to adjustment for subdivisions, combinations, stock dividends, reorganizations and various other issuances of common stock. During any period of time that the shares of common stock underlying this warrant are not subject to an effective registration statement, Millennium may elect to exercise the warrant by receiving a reduced number of shares in lieu of tendering the exercise price in cash. In the event of certain mergers, asset sales and tender or exchange offers, Millennium shall have the right to purchase, by exercise of this warrant and payment of the exercise price, the kind and amount of shares and other securities and property it would have owned or have been entitled to receive after the occurrence of the transaction had the warrant been exercised immediately before the transaction,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this warrant,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103" w:lineRule="exact"/>
        <w:rPr>
          <w:sz w:val="20"/>
          <w:szCs w:val="20"/>
          <w:color w:val="auto"/>
        </w:rPr>
      </w:pPr>
    </w:p>
    <w:p>
      <w:pPr>
        <w:ind w:right="3079" w:firstLine="358"/>
        <w:spacing w:after="0" w:line="246" w:lineRule="auto"/>
        <w:rPr>
          <w:sz w:val="20"/>
          <w:szCs w:val="20"/>
          <w:color w:val="auto"/>
        </w:rPr>
      </w:pPr>
      <w:r>
        <w:rPr>
          <w:rFonts w:ascii="Courier New" w:cs="Courier New" w:eastAsia="Courier New" w:hAnsi="Courier New"/>
          <w:sz w:val="15"/>
          <w:szCs w:val="15"/>
          <w:color w:val="auto"/>
        </w:rPr>
        <w:t>Millennium also received a warrant on August 3, 2000 to purchase up to 101,587 shares of common stock at $4.725 per share, which is callable by us at $7.875 per underlying share. On August 30, 2000 we issued an additional warrant to purchase up to 19,900 shares of common stock at $6.03 per share which is callable by us at $10.05 per underlying share. Each callable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 Under the terms of the callable warrants, during any time that the warrant shares are not subject to an effective registration statement, Millennium may elect to receive a reduced number of warrant shares in lieu of tendering the exercise price in cash. Millennium is not entitled to any rights as a shareholder until it exercises the warrant. In the event of certain mergers, asset sales and tender or exchange offers, Millennium shall have the right to purchase, by exercise of the callable warrant and payment of the exercise price, the kind and amount of shares and other securities and property it would have owned or have been entitled to receive after the occurrence of the transaction had the warrant been exercised immediately prior thereto,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the callable warrants,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107" w:lineRule="exact"/>
        <w:rPr>
          <w:sz w:val="20"/>
          <w:szCs w:val="20"/>
          <w:color w:val="auto"/>
        </w:rPr>
      </w:pPr>
    </w:p>
    <w:p>
      <w:pPr>
        <w:ind w:right="3079" w:firstLine="358"/>
        <w:spacing w:after="0" w:line="301" w:lineRule="auto"/>
        <w:rPr>
          <w:sz w:val="20"/>
          <w:szCs w:val="20"/>
          <w:color w:val="auto"/>
        </w:rPr>
      </w:pPr>
      <w:r>
        <w:rPr>
          <w:rFonts w:ascii="Courier New" w:cs="Courier New" w:eastAsia="Courier New" w:hAnsi="Courier New"/>
          <w:sz w:val="15"/>
          <w:szCs w:val="15"/>
          <w:color w:val="auto"/>
        </w:rPr>
        <w:t>On August 3, 2000 we issued a warrant to the May Davis Group and four of its affiliates to purchase up to 100,000 shares of common stock at $5.0375 per share. The warrant is exercisable, in</w:t>
      </w: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35" w:right="1440" w:bottom="1440" w:gutter="0" w:footer="0" w:header="0"/>
        </w:sectPr>
      </w:pPr>
    </w:p>
    <w:bookmarkStart w:id="55" w:name="page56"/>
    <w:bookmarkEnd w:id="55"/>
    <w:p>
      <w:pPr>
        <w:ind w:right="3259"/>
        <w:spacing w:after="0" w:line="281" w:lineRule="auto"/>
        <w:rPr>
          <w:sz w:val="20"/>
          <w:szCs w:val="20"/>
          <w:color w:val="auto"/>
        </w:rPr>
      </w:pPr>
      <w:r>
        <w:rPr>
          <w:rFonts w:ascii="Courier New" w:cs="Courier New" w:eastAsia="Courier New" w:hAnsi="Courier New"/>
          <w:sz w:val="15"/>
          <w:szCs w:val="15"/>
          <w:color w:val="auto"/>
        </w:rPr>
        <w:t>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DELAWARE LAW GOVERNING BUSINESS COMBINATIONS</w:t>
      </w:r>
    </w:p>
    <w:p>
      <w:pPr>
        <w:spacing w:after="0" w:line="174"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We are subject to the "business combination" provisions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spacing w:after="0" w:line="74" w:lineRule="exact"/>
        <w:rPr>
          <w:sz w:val="20"/>
          <w:szCs w:val="20"/>
          <w:color w:val="auto"/>
        </w:rPr>
      </w:pPr>
    </w:p>
    <w:p>
      <w:pPr>
        <w:ind w:left="520" w:right="3339" w:hanging="170"/>
        <w:spacing w:after="0" w:line="359"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approved by the board of directors prior to the date the "interested stockholder" obtained such status;</w:t>
      </w:r>
    </w:p>
    <w:p>
      <w:pPr>
        <w:spacing w:after="0" w:line="7" w:lineRule="exact"/>
        <w:rPr>
          <w:rFonts w:ascii="Courier New" w:cs="Courier New" w:eastAsia="Courier New" w:hAnsi="Courier New"/>
          <w:sz w:val="15"/>
          <w:szCs w:val="15"/>
          <w:color w:val="auto"/>
        </w:rPr>
      </w:pPr>
    </w:p>
    <w:p>
      <w:pPr>
        <w:ind w:left="520" w:right="3079" w:hanging="170"/>
        <w:spacing w:after="0" w:line="257"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82" w:lineRule="exact"/>
        <w:rPr>
          <w:rFonts w:ascii="Courier New" w:cs="Courier New" w:eastAsia="Courier New" w:hAnsi="Courier New"/>
          <w:sz w:val="15"/>
          <w:szCs w:val="15"/>
          <w:color w:val="auto"/>
        </w:rPr>
      </w:pPr>
    </w:p>
    <w:p>
      <w:pPr>
        <w:ind w:left="520" w:right="3259" w:hanging="170"/>
        <w:spacing w:after="0" w:line="272"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such date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69" w:lineRule="exact"/>
        <w:rPr>
          <w:sz w:val="20"/>
          <w:szCs w:val="20"/>
          <w:color w:val="auto"/>
        </w:rPr>
      </w:pPr>
    </w:p>
    <w:p>
      <w:pPr>
        <w:ind w:right="3159" w:firstLine="358"/>
        <w:spacing w:after="0" w:line="288" w:lineRule="auto"/>
        <w:rPr>
          <w:sz w:val="20"/>
          <w:szCs w:val="20"/>
          <w:color w:val="auto"/>
        </w:rPr>
      </w:pPr>
      <w:r>
        <w:rPr>
          <w:rFonts w:ascii="Courier New" w:cs="Courier New" w:eastAsia="Courier New" w:hAnsi="Courier New"/>
          <w:sz w:val="14"/>
          <w:szCs w:val="14"/>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transfer agent and registrar for our common stock is EquiServe L.P.</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35" w:right="1440" w:bottom="1440" w:gutter="0" w:footer="0" w:header="0"/>
        </w:sectPr>
      </w:pPr>
    </w:p>
    <w:bookmarkStart w:id="56" w:name="page57"/>
    <w:bookmarkEnd w:id="56"/>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4" w:lineRule="exact"/>
        <w:rPr>
          <w:sz w:val="20"/>
          <w:szCs w:val="20"/>
          <w:color w:val="auto"/>
        </w:rPr>
      </w:pPr>
    </w:p>
    <w:p>
      <w:pPr>
        <w:ind w:right="3779" w:firstLine="358"/>
        <w:spacing w:after="0" w:line="359" w:lineRule="auto"/>
        <w:rPr>
          <w:sz w:val="20"/>
          <w:szCs w:val="20"/>
          <w:color w:val="auto"/>
        </w:rPr>
      </w:pPr>
      <w:r>
        <w:rPr>
          <w:rFonts w:ascii="Courier New" w:cs="Courier New" w:eastAsia="Courier New" w:hAnsi="Courier New"/>
          <w:sz w:val="15"/>
          <w:szCs w:val="15"/>
          <w:color w:val="auto"/>
        </w:rPr>
        <w:t>We will not receive any of the proceeds from the sale by the selling stockholders of the common stock offered hereby.</w:t>
      </w:r>
    </w:p>
    <w:p>
      <w:pPr>
        <w:spacing w:after="0" w:line="8" w:lineRule="exact"/>
        <w:rPr>
          <w:sz w:val="20"/>
          <w:szCs w:val="20"/>
          <w:color w:val="auto"/>
        </w:rPr>
      </w:pPr>
    </w:p>
    <w:p>
      <w:pPr>
        <w:ind w:right="3079" w:firstLine="358"/>
        <w:spacing w:after="0" w:line="248" w:lineRule="auto"/>
        <w:rPr>
          <w:sz w:val="20"/>
          <w:szCs w:val="20"/>
          <w:color w:val="auto"/>
        </w:rPr>
      </w:pPr>
      <w:r>
        <w:rPr>
          <w:rFonts w:ascii="Courier New" w:cs="Courier New" w:eastAsia="Courier New" w:hAnsi="Courier New"/>
          <w:sz w:val="15"/>
          <w:szCs w:val="15"/>
          <w:color w:val="auto"/>
        </w:rPr>
        <w:t>The shares of the common stock offered hereby may be sold from time to time by the selling stockholders, or by pledgees, donees, transferees or other successors in interest (i) to or through underwriters or dealers, (ii) directly to one or more other purchasers, (iii) through agents on a best-efforts basis, or (iv) through a combination of any such methods of sale. 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 (a) a block trade in which the broker or dealer so engaged will attempt to sell the shares as agent but may position and resell a portion of the block as principal to facilitate the transaction; (b) purchases by a broker or dealer as principal and resale by such broker or dealer for its account pursuant to this prospectus; (c) an exchange distribution in accordance with the rules of such exchange; and (d) ordinary brokerage transactions and transactions in which the broker solicits purchasers; and (e) privately negotiated transactions without a broker or dealer. In effecting sales, brokers or dealers engaged by the selling stockholders may arrange for other brokers or dealers to participate. Brokers or dealers will receive commissions or discounts from selling stockholders in amounts to be negotiated prior to the sale. In addition, any securities covered by this prospectus which qualify for sale pursuant to Rule 144 may be sold under Rule 144 rather than pursuant to this prospectus.</w:t>
      </w:r>
    </w:p>
    <w:p>
      <w:pPr>
        <w:spacing w:after="0" w:line="93" w:lineRule="exact"/>
        <w:rPr>
          <w:sz w:val="20"/>
          <w:szCs w:val="20"/>
          <w:color w:val="auto"/>
        </w:rPr>
      </w:pPr>
    </w:p>
    <w:p>
      <w:pPr>
        <w:ind w:right="3159" w:firstLine="358"/>
        <w:spacing w:after="0" w:line="281" w:lineRule="auto"/>
        <w:rPr>
          <w:sz w:val="20"/>
          <w:szCs w:val="20"/>
          <w:color w:val="auto"/>
        </w:rPr>
      </w:pPr>
      <w:r>
        <w:rPr>
          <w:rFonts w:ascii="Courier New" w:cs="Courier New" w:eastAsia="Courier New" w:hAnsi="Courier New"/>
          <w:sz w:val="15"/>
          <w:szCs w:val="15"/>
          <w:color w:val="auto"/>
        </w:rPr>
        <w:t>In addition, the selling stockholders may engage in short sales and other transactions in the common stock or derivatives thereof, and may pledge, sell, deliver or otherwise transfer the common stock offered under this prospectus in connection with such transactions.</w:t>
      </w:r>
    </w:p>
    <w:p>
      <w:pPr>
        <w:spacing w:after="0" w:line="64" w:lineRule="exact"/>
        <w:rPr>
          <w:sz w:val="20"/>
          <w:szCs w:val="20"/>
          <w:color w:val="auto"/>
        </w:rPr>
      </w:pPr>
    </w:p>
    <w:p>
      <w:pPr>
        <w:ind w:right="3159" w:firstLine="358"/>
        <w:spacing w:after="0" w:line="272" w:lineRule="auto"/>
        <w:rPr>
          <w:sz w:val="20"/>
          <w:szCs w:val="20"/>
          <w:color w:val="auto"/>
        </w:rPr>
      </w:pPr>
      <w:r>
        <w:rPr>
          <w:rFonts w:ascii="Courier New" w:cs="Courier New" w:eastAsia="Courier New" w:hAnsi="Courier New"/>
          <w:sz w:val="15"/>
          <w:szCs w:val="15"/>
          <w:color w:val="auto"/>
        </w:rPr>
        <w:t>If we are notified by a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69" w:lineRule="exact"/>
        <w:rPr>
          <w:sz w:val="20"/>
          <w:szCs w:val="20"/>
          <w:color w:val="auto"/>
        </w:rPr>
      </w:pPr>
    </w:p>
    <w:p>
      <w:pPr>
        <w:ind w:left="520" w:right="4239" w:hanging="170"/>
        <w:spacing w:after="0" w:line="359" w:lineRule="auto"/>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each selling stockholder and of the participating broker-dealer(s);</w:t>
      </w:r>
    </w:p>
    <w:p>
      <w:pPr>
        <w:spacing w:after="0" w:line="7"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involved;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such shares were sold;</w:t>
      </w:r>
    </w:p>
    <w:p>
      <w:pPr>
        <w:spacing w:after="0" w:line="174" w:lineRule="exact"/>
        <w:rPr>
          <w:rFonts w:ascii="Courier New" w:cs="Courier New" w:eastAsia="Courier New" w:hAnsi="Courier New"/>
          <w:sz w:val="15"/>
          <w:szCs w:val="15"/>
          <w:color w:val="auto"/>
        </w:rPr>
      </w:pPr>
    </w:p>
    <w:p>
      <w:pPr>
        <w:ind w:left="520" w:right="3959" w:hanging="170"/>
        <w:spacing w:after="0" w:line="359" w:lineRule="auto"/>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commissions paid or discounts or concessions allowed to such broker-dealer(s), where applicable; and</w:t>
      </w:r>
    </w:p>
    <w:p>
      <w:pPr>
        <w:spacing w:after="0" w:line="7"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facts material to the transaction.</w:t>
      </w:r>
    </w:p>
    <w:p>
      <w:pPr>
        <w:spacing w:after="0" w:line="174" w:lineRule="exact"/>
        <w:rPr>
          <w:sz w:val="20"/>
          <w:szCs w:val="20"/>
          <w:color w:val="auto"/>
        </w:rPr>
      </w:pPr>
    </w:p>
    <w:p>
      <w:pPr>
        <w:ind w:right="3159" w:firstLine="358"/>
        <w:spacing w:after="0" w:line="281" w:lineRule="auto"/>
        <w:rPr>
          <w:sz w:val="20"/>
          <w:szCs w:val="20"/>
          <w:color w:val="auto"/>
        </w:rPr>
      </w:pPr>
      <w:r>
        <w:rPr>
          <w:rFonts w:ascii="Courier New" w:cs="Courier New" w:eastAsia="Courier New" w:hAnsi="Courier New"/>
          <w:sz w:val="15"/>
          <w:szCs w:val="15"/>
          <w:color w:val="auto"/>
        </w:rPr>
        <w:t>We have agreed to pay the cost of registering the shares covered by this prospectus and the costs of preparing this prospectus and the registration statement under which it is filed. We will provide the estimated total of these expenses by amendment.</w:t>
      </w:r>
    </w:p>
    <w:p>
      <w:pPr>
        <w:spacing w:after="0" w:line="64" w:lineRule="exact"/>
        <w:rPr>
          <w:sz w:val="20"/>
          <w:szCs w:val="20"/>
          <w:color w:val="auto"/>
        </w:rPr>
      </w:pPr>
    </w:p>
    <w:p>
      <w:pPr>
        <w:ind w:right="3159" w:firstLine="358"/>
        <w:spacing w:after="0" w:line="390" w:lineRule="auto"/>
        <w:rPr>
          <w:sz w:val="20"/>
          <w:szCs w:val="20"/>
          <w:color w:val="auto"/>
        </w:rPr>
      </w:pPr>
      <w:r>
        <w:rPr>
          <w:rFonts w:ascii="Courier New" w:cs="Courier New" w:eastAsia="Courier New" w:hAnsi="Courier New"/>
          <w:sz w:val="14"/>
          <w:szCs w:val="14"/>
          <w:color w:val="auto"/>
        </w:rPr>
        <w:t>We and the selling stockholders have agreed to indemnify each other against certain liabilities, including liabilities arising under the Securities Act.</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35" w:right="1440" w:bottom="1440" w:gutter="0" w:footer="0" w:header="0"/>
        </w:sectPr>
      </w:pPr>
    </w:p>
    <w:bookmarkStart w:id="57" w:name="page58"/>
    <w:bookmarkEnd w:id="57"/>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079" w:firstLine="358"/>
        <w:spacing w:after="0" w:line="359" w:lineRule="auto"/>
        <w:rPr>
          <w:sz w:val="20"/>
          <w:szCs w:val="20"/>
          <w:color w:val="auto"/>
        </w:rPr>
      </w:pPr>
      <w:r>
        <w:rPr>
          <w:rFonts w:ascii="Courier New" w:cs="Courier New" w:eastAsia="Courier New" w:hAnsi="Courier New"/>
          <w:sz w:val="15"/>
          <w:szCs w:val="15"/>
          <w:color w:val="auto"/>
        </w:rPr>
        <w:t>The validity of the shares of our common stock offered hereby will be passed upon for us by Ropes &amp; Gray, Boston, Massachusetts.</w:t>
      </w:r>
    </w:p>
    <w:p>
      <w:pPr>
        <w:spacing w:after="0" w:line="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079" w:firstLine="358"/>
        <w:spacing w:after="0" w:line="266"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at December 31, 1999 and 1998, and for each of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079" w:firstLine="358"/>
        <w:spacing w:after="0" w:line="248" w:lineRule="auto"/>
        <w:rPr>
          <w:sz w:val="20"/>
          <w:szCs w:val="20"/>
          <w:color w:val="auto"/>
        </w:rPr>
      </w:pPr>
      <w:r>
        <w:rPr>
          <w:rFonts w:ascii="Courier New" w:cs="Courier New" w:eastAsia="Courier New" w:hAnsi="Courier New"/>
          <w:sz w:val="15"/>
          <w:szCs w:val="15"/>
          <w:color w:val="auto"/>
        </w:rPr>
        <w:t>We have filed with the SEC a registration statement on Form S-1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9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35" w:right="1440" w:bottom="1440" w:gutter="0" w:footer="0" w:header="0"/>
        </w:sectPr>
      </w:pPr>
    </w:p>
    <w:bookmarkStart w:id="58" w:name="page59"/>
    <w:bookmarkEnd w:id="58"/>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c>
          <w:tcPr>
            <w:tcW w:w="0" w:type="dxa"/>
            <w:vAlign w:val="bottom"/>
          </w:tcPr>
          <w:p>
            <w:pPr>
              <w:spacing w:after="0"/>
              <w:rPr>
                <w:sz w:val="1"/>
                <w:szCs w:val="1"/>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 December 31, 1999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F-4</w:t>
            </w: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Redeemable Common</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Stock and Stockholders' Equity for the years ended</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F-5</w:t>
            </w: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F-6</w:t>
            </w: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at September 30, 2000</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F-25</w:t>
            </w: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December 31, 1999 (unaudited).........................</w:t>
            </w: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Condensed Consolidated Statements of Operations for the nine</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months ended September 30, 2000 and September 30, 1999</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F-26</w:t>
            </w: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Condensed Statements of Cash Flows for the nine months ended</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F-27</w:t>
            </w: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September 30, 2000 and September 30, 1999 (unaudited).....</w:t>
            </w: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F-28</w:t>
            </w: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 Forma Financial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3259" w:firstLine="358"/>
        <w:spacing w:after="0" w:line="301" w:lineRule="auto"/>
        <w:rPr>
          <w:sz w:val="20"/>
          <w:szCs w:val="20"/>
          <w:color w:val="auto"/>
        </w:rPr>
      </w:pPr>
      <w:r>
        <w:rPr>
          <w:rFonts w:ascii="Courier New" w:cs="Courier New" w:eastAsia="Courier New" w:hAnsi="Courier New"/>
          <w:sz w:val="15"/>
          <w:szCs w:val="15"/>
          <w:color w:val="auto"/>
        </w:rPr>
        <w:t>Additional schedules are not provided either because they are inapplicable or because the required information is included in the accompanying financial statements.</w:t>
      </w:r>
    </w:p>
    <w:p>
      <w:pPr>
        <w:spacing w:after="0" w:line="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435" w:right="1440" w:bottom="1440" w:gutter="0" w:footer="0" w:header="0"/>
        </w:sectPr>
      </w:pPr>
    </w:p>
    <w:bookmarkStart w:id="59" w:name="page60"/>
    <w:bookmarkEnd w:id="59"/>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4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We have audited the accompanying consolidated balance sheets of StemCells, Inc. (formerly CytoTherapeutics, Inc.) as of December 31, 1999 and 1998, and the related consolidated statements of operations, changes in redeemable common stock and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78" w:lineRule="exact"/>
        <w:rPr>
          <w:sz w:val="20"/>
          <w:szCs w:val="20"/>
          <w:color w:val="auto"/>
        </w:rPr>
      </w:pPr>
    </w:p>
    <w:p>
      <w:pPr>
        <w:ind w:right="3079" w:firstLine="358"/>
        <w:spacing w:after="0" w:line="257"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3" w:lineRule="exact"/>
        <w:rPr>
          <w:sz w:val="20"/>
          <w:szCs w:val="20"/>
          <w:color w:val="auto"/>
        </w:rPr>
      </w:pPr>
    </w:p>
    <w:p>
      <w:pPr>
        <w:ind w:right="3259" w:firstLine="358"/>
        <w:spacing w:after="0" w:line="26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w:t>
      </w:r>
    </w:p>
    <w:p>
      <w:pPr>
        <w:spacing w:after="0" w:line="1" w:lineRule="exact"/>
        <w:rPr>
          <w:sz w:val="20"/>
          <w:szCs w:val="20"/>
          <w:color w:val="auto"/>
        </w:rPr>
      </w:pPr>
    </w:p>
    <w:p>
      <w:pPr>
        <w:ind w:right="3079"/>
        <w:spacing w:after="0" w:line="268" w:lineRule="auto"/>
        <w:rPr>
          <w:sz w:val="20"/>
          <w:szCs w:val="20"/>
          <w:color w:val="auto"/>
        </w:rPr>
      </w:pPr>
      <w:r>
        <w:rPr>
          <w:rFonts w:ascii="Courier New" w:cs="Courier New" w:eastAsia="Courier New" w:hAnsi="Courier New"/>
          <w:sz w:val="15"/>
          <w:szCs w:val="15"/>
          <w:color w:val="auto"/>
        </w:rPr>
        <w:t>StemCells, Inc. (formerly CytoTherapeutics, Inc.) at December 31, 1999 and 1998, and the consolidated results of its operations and its cash flows for each of the three years in the period ended December 31, 1999, in conformity with accounting principles generally accepted in the United States.</w:t>
      </w:r>
    </w:p>
    <w:p>
      <w:pPr>
        <w:spacing w:after="0" w:line="73"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14, 2000</w:t>
      </w:r>
    </w:p>
    <w:p>
      <w:pPr>
        <w:spacing w:after="0" w:line="1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35" w:right="1440" w:bottom="1440" w:gutter="0" w:footer="0" w:header="0"/>
        </w:sectPr>
      </w:pPr>
    </w:p>
    <w:bookmarkStart w:id="60" w:name="page61"/>
    <w:bookmarkEnd w:id="60"/>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7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4,760,064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7,864,788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Marketable securities.....................................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9,520,939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42,212</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206,609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sale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Debt service fund.........................................</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609,905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558,674</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841,674</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jc w:val="right"/>
              <w:spacing w:after="0"/>
              <w:rPr>
                <w:sz w:val="20"/>
                <w:szCs w:val="20"/>
                <w:color w:val="auto"/>
              </w:rPr>
            </w:pPr>
            <w:r>
              <w:rPr>
                <w:rFonts w:ascii="Courier New" w:cs="Courier New" w:eastAsia="Courier New" w:hAnsi="Courier New"/>
                <w:sz w:val="2"/>
                <w:szCs w:val="2"/>
                <w:color w:val="auto"/>
              </w:rPr>
              <w:t>-------------</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8,970,855</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18,434,010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held for sale......................................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3,203,491</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1,747,885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8,356,009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1,858,768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6,075,663</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2"/>
                <w:vertAlign w:val="subscript"/>
              </w:rPr>
              <w:t>$</w:t>
            </w:r>
            <w:r>
              <w:rPr>
                <w:rFonts w:ascii="Courier New" w:cs="Courier New" w:eastAsia="Courier New" w:hAnsi="Courier New"/>
                <w:sz w:val="2"/>
                <w:szCs w:val="2"/>
                <w:color w:val="auto"/>
                <w:w w:val="92"/>
              </w:rPr>
              <w:t>-------------</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32,865,682</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631,315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710,622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2,605,068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1,020,119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324,167</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317,083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1,000,000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jc w:val="right"/>
              <w:spacing w:after="0"/>
              <w:rPr>
                <w:sz w:val="20"/>
                <w:szCs w:val="20"/>
                <w:color w:val="auto"/>
              </w:rPr>
            </w:pPr>
            <w:r>
              <w:rPr>
                <w:rFonts w:ascii="Courier New" w:cs="Courier New" w:eastAsia="Courier New" w:hAnsi="Courier New"/>
                <w:sz w:val="2"/>
                <w:szCs w:val="2"/>
                <w:color w:val="auto"/>
              </w:rPr>
              <w:t>-------------</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3,560,550</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5,547,824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2,937,083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3,261,667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21"/>
                <w:szCs w:val="21"/>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502,353</w:t>
            </w:r>
          </w:p>
        </w:tc>
        <w:tc>
          <w:tcPr>
            <w:tcW w:w="180" w:type="dxa"/>
            <w:vAlign w:val="bottom"/>
          </w:tcPr>
          <w:p>
            <w:pPr>
              <w:spacing w:after="0"/>
              <w:rPr>
                <w:sz w:val="21"/>
                <w:szCs w:val="21"/>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222,673</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5,248,610</w:t>
            </w:r>
          </w:p>
        </w:tc>
        <w:tc>
          <w:tcPr>
            <w:tcW w:w="180" w:type="dxa"/>
            <w:vAlign w:val="bottom"/>
          </w:tcPr>
          <w:p>
            <w:pPr>
              <w:spacing w:after="0"/>
              <w:rPr>
                <w:sz w:val="14"/>
                <w:szCs w:val="14"/>
                <w:color w:val="auto"/>
              </w:rPr>
            </w:pP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5,248,610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 and outstanding at December 31, 1999 and 1998......</w:t>
            </w: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Common stock to be issued...................................</w:t>
            </w:r>
          </w:p>
        </w:tc>
        <w:tc>
          <w:tcPr>
            <w:tcW w:w="180" w:type="dxa"/>
            <w:vAlign w:val="bottom"/>
          </w:tcPr>
          <w:p>
            <w:pPr>
              <w:spacing w:after="0"/>
              <w:rPr>
                <w:sz w:val="21"/>
                <w:szCs w:val="21"/>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187,500</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authorized; no shares issued and outstanding.....</w:t>
            </w: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authorized; 18,635,565 and 17,800,323 shares issued and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1999 and 1998,</w:t>
            </w:r>
          </w:p>
        </w:tc>
        <w:tc>
          <w:tcPr>
            <w:tcW w:w="180" w:type="dxa"/>
            <w:vAlign w:val="bottom"/>
          </w:tcPr>
          <w:p>
            <w:pPr>
              <w:spacing w:after="0"/>
              <w:rPr>
                <w:sz w:val="14"/>
                <w:szCs w:val="14"/>
                <w:color w:val="auto"/>
              </w:rPr>
            </w:pP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178,003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123,917,758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122,861,606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(103,664,084)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losses on marketable securities................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(5,198)</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Accumulated total comprehensive loss......................</w:t>
            </w:r>
          </w:p>
        </w:tc>
        <w:tc>
          <w:tcPr>
            <w:tcW w:w="180" w:type="dxa"/>
            <w:vAlign w:val="bottom"/>
          </w:tcPr>
          <w:p>
            <w:pPr>
              <w:jc w:val="right"/>
              <w:spacing w:after="0"/>
              <w:rPr>
                <w:sz w:val="20"/>
                <w:szCs w:val="20"/>
                <w:color w:val="auto"/>
              </w:rPr>
            </w:pPr>
            <w:r>
              <w:rPr>
                <w:rFonts w:ascii="Courier New" w:cs="Courier New" w:eastAsia="Courier New" w:hAnsi="Courier New"/>
                <w:sz w:val="2"/>
                <w:szCs w:val="2"/>
                <w:color w:val="auto"/>
              </w:rPr>
              <w:t>-------------</w:t>
            </w:r>
          </w:p>
        </w:tc>
        <w:tc>
          <w:tcPr>
            <w:tcW w:w="12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(103,669,282)</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jc w:val="right"/>
              <w:spacing w:after="0"/>
              <w:rPr>
                <w:sz w:val="20"/>
                <w:szCs w:val="20"/>
                <w:color w:val="auto"/>
              </w:rPr>
            </w:pPr>
            <w:r>
              <w:rPr>
                <w:rFonts w:ascii="Courier New" w:cs="Courier New" w:eastAsia="Courier New" w:hAnsi="Courier New"/>
                <w:sz w:val="2"/>
                <w:szCs w:val="2"/>
                <w:color w:val="auto"/>
              </w:rPr>
              <w:t>-------------</w:t>
            </w:r>
          </w:p>
        </w:tc>
        <w:tc>
          <w:tcPr>
            <w:tcW w:w="12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(1,225,000)</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jc w:val="right"/>
              <w:spacing w:after="0"/>
              <w:rPr>
                <w:sz w:val="20"/>
                <w:szCs w:val="20"/>
                <w:color w:val="auto"/>
              </w:rPr>
            </w:pPr>
            <w:r>
              <w:rPr>
                <w:rFonts w:ascii="Courier New" w:cs="Courier New" w:eastAsia="Courier New" w:hAnsi="Courier New"/>
                <w:sz w:val="2"/>
                <w:szCs w:val="2"/>
                <w:color w:val="auto"/>
              </w:rPr>
              <w:t>-------------</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3,506,403</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17,897,408</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2"/>
                <w:vertAlign w:val="subscript"/>
              </w:rPr>
              <w:t>$</w:t>
            </w:r>
            <w:r>
              <w:rPr>
                <w:rFonts w:ascii="Courier New" w:cs="Courier New" w:eastAsia="Courier New" w:hAnsi="Courier New"/>
                <w:sz w:val="2"/>
                <w:szCs w:val="2"/>
                <w:color w:val="auto"/>
                <w:w w:val="92"/>
              </w:rPr>
              <w:t>-------------</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32,865,682</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435" w:right="1440" w:bottom="1440" w:gutter="0" w:footer="0" w:header="0"/>
        </w:sectPr>
      </w:pPr>
    </w:p>
    <w:bookmarkStart w:id="61" w:name="page62"/>
    <w:bookmarkEnd w:id="61"/>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4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392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4740" w:type="dxa"/>
            <w:vAlign w:val="bottom"/>
          </w:tcPr>
          <w:p>
            <w:pPr>
              <w:spacing w:after="0"/>
              <w:rPr>
                <w:sz w:val="21"/>
                <w:szCs w:val="21"/>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8,803,163</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$ 10,617,443</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17,658,530</w:t>
            </w:r>
          </w:p>
        </w:tc>
        <w:tc>
          <w:tcPr>
            <w:tcW w:w="180" w:type="dxa"/>
            <w:vAlign w:val="bottom"/>
          </w:tcPr>
          <w:p>
            <w:pPr>
              <w:spacing w:after="0"/>
              <w:rPr>
                <w:sz w:val="14"/>
                <w:szCs w:val="14"/>
                <w:color w:val="auto"/>
              </w:rPr>
            </w:pPr>
          </w:p>
        </w:tc>
        <w:tc>
          <w:tcPr>
            <w:tcW w:w="10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18,603,523</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8,343,684</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4,602,758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6,158,410</w:t>
            </w:r>
          </w:p>
        </w:tc>
        <w:tc>
          <w:tcPr>
            <w:tcW w:w="0" w:type="dxa"/>
            <w:vAlign w:val="bottom"/>
          </w:tcPr>
          <w:p>
            <w:pPr>
              <w:spacing w:after="0"/>
              <w:rPr>
                <w:sz w:val="1"/>
                <w:szCs w:val="1"/>
                <w:color w:val="auto"/>
              </w:rPr>
            </w:pP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180" w:type="dxa"/>
            <w:vAlign w:val="bottom"/>
          </w:tcPr>
          <w:p>
            <w:pPr>
              <w:spacing w:after="0"/>
              <w:rPr>
                <w:sz w:val="14"/>
                <w:szCs w:val="14"/>
                <w:color w:val="auto"/>
              </w:rPr>
            </w:pP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20,959,136</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22,261,288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33,105,617</w:t>
            </w:r>
          </w:p>
        </w:tc>
        <w:tc>
          <w:tcPr>
            <w:tcW w:w="0" w:type="dxa"/>
            <w:vAlign w:val="bottom"/>
          </w:tcPr>
          <w:p>
            <w:pPr>
              <w:spacing w:after="0"/>
              <w:rPr>
                <w:sz w:val="1"/>
                <w:szCs w:val="1"/>
                <w:color w:val="auto"/>
              </w:rPr>
            </w:pPr>
          </w:p>
        </w:tc>
      </w:tr>
      <w:tr>
        <w:trPr>
          <w:trHeight w:val="172"/>
        </w:trPr>
        <w:tc>
          <w:tcPr>
            <w:tcW w:w="47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1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6"/>
              </w:rPr>
              <w:t>(15,937,429)</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(13,458,125)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(22,488,174)</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1,253,781</w:t>
            </w:r>
          </w:p>
        </w:tc>
        <w:tc>
          <w:tcPr>
            <w:tcW w:w="180" w:type="dxa"/>
            <w:vAlign w:val="bottom"/>
          </w:tcPr>
          <w:p>
            <w:pPr>
              <w:spacing w:after="0"/>
              <w:rPr>
                <w:sz w:val="14"/>
                <w:szCs w:val="14"/>
                <w:color w:val="auto"/>
              </w:rPr>
            </w:pPr>
          </w:p>
        </w:tc>
        <w:tc>
          <w:tcPr>
            <w:tcW w:w="10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1,931,260</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(472,400)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(437,991)</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Gain on partial sale of Modex.....................</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3,386,808</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sale/leaseback............................</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(342,014)</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equity investment.........................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(57,538)</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228,803</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830,295</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4,374,594</w:t>
            </w:r>
          </w:p>
        </w:tc>
        <w:tc>
          <w:tcPr>
            <w:tcW w:w="0" w:type="dxa"/>
            <w:vAlign w:val="bottom"/>
          </w:tcPr>
          <w:p>
            <w:pPr>
              <w:spacing w:after="0"/>
              <w:rPr>
                <w:sz w:val="1"/>
                <w:szCs w:val="1"/>
                <w:color w:val="auto"/>
              </w:rPr>
            </w:pPr>
          </w:p>
        </w:tc>
      </w:tr>
      <w:tr>
        <w:trPr>
          <w:trHeight w:val="172"/>
        </w:trPr>
        <w:tc>
          <w:tcPr>
            <w:tcW w:w="47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340" w:type="dxa"/>
            <w:vAlign w:val="bottom"/>
            <w:gridSpan w:val="2"/>
            <w:vMerge w:val="restart"/>
          </w:tcPr>
          <w:p>
            <w:pPr>
              <w:ind w:left="8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(15,708,626)</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c>
          <w:tcPr>
            <w:tcW w:w="0" w:type="dxa"/>
            <w:vAlign w:val="bottom"/>
          </w:tcPr>
          <w:p>
            <w:pPr>
              <w:spacing w:after="0"/>
              <w:rPr>
                <w:sz w:val="1"/>
                <w:szCs w:val="1"/>
                <w:color w:val="auto"/>
              </w:rPr>
            </w:pPr>
          </w:p>
        </w:tc>
      </w:tr>
      <w:tr>
        <w:trPr>
          <w:trHeight w:val="172"/>
        </w:trPr>
        <w:tc>
          <w:tcPr>
            <w:tcW w:w="47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vMerge w:val="continue"/>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252"/>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7"/>
                <w:szCs w:val="7"/>
                <w:color w:val="auto"/>
              </w:rPr>
            </w:pP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18,290,548</w:t>
            </w:r>
          </w:p>
        </w:tc>
        <w:tc>
          <w:tcPr>
            <w:tcW w:w="180" w:type="dxa"/>
            <w:vAlign w:val="bottom"/>
          </w:tcPr>
          <w:p>
            <w:pPr>
              <w:spacing w:after="0"/>
              <w:rPr>
                <w:sz w:val="7"/>
                <w:szCs w:val="7"/>
                <w:color w:val="auto"/>
              </w:rPr>
            </w:pPr>
          </w:p>
        </w:tc>
        <w:tc>
          <w:tcPr>
            <w:tcW w:w="10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16,704,144</w:t>
            </w:r>
          </w:p>
        </w:tc>
        <w:tc>
          <w:tcPr>
            <w:tcW w:w="0" w:type="dxa"/>
            <w:vAlign w:val="bottom"/>
          </w:tcPr>
          <w:p>
            <w:pPr>
              <w:spacing w:after="0"/>
              <w:rPr>
                <w:sz w:val="1"/>
                <w:szCs w:val="1"/>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740" w:type="dxa"/>
            <w:vAlign w:val="bottom"/>
          </w:tcPr>
          <w:p>
            <w:pPr>
              <w:spacing w:after="0"/>
              <w:rPr>
                <w:sz w:val="21"/>
                <w:szCs w:val="21"/>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435" w:right="1440" w:bottom="1440" w:gutter="0" w:footer="0" w:header="0"/>
        </w:sectPr>
      </w:pPr>
    </w:p>
    <w:bookmarkStart w:id="62" w:name="page63"/>
    <w:bookmarkEnd w:id="62"/>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5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240" w:type="dxa"/>
            <w:vAlign w:val="bottom"/>
            <w:gridSpan w:val="5"/>
          </w:tcPr>
          <w:p>
            <w:pPr>
              <w:spacing w:after="0"/>
              <w:rPr>
                <w:sz w:val="20"/>
                <w:szCs w:val="20"/>
                <w:color w:val="auto"/>
              </w:rPr>
            </w:pPr>
            <w:r>
              <w:rPr>
                <w:rFonts w:ascii="Courier New" w:cs="Courier New" w:eastAsia="Courier New" w:hAnsi="Courier New"/>
                <w:sz w:val="15"/>
                <w:szCs w:val="15"/>
                <w:color w:val="auto"/>
              </w:rPr>
              <w:t>CONSOLIDATED STATEMENTS OF CHANGES IN REDEEMABLE COMMON STOCK AND STOCKHOLDERS'</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1"/>
                <w:szCs w:val="21"/>
                <w:color w:val="auto"/>
              </w:rPr>
            </w:pPr>
          </w:p>
        </w:tc>
        <w:tc>
          <w:tcPr>
            <w:tcW w:w="3400" w:type="dxa"/>
            <w:vAlign w:val="bottom"/>
          </w:tcPr>
          <w:p>
            <w:pPr>
              <w:jc w:val="right"/>
              <w:ind w:right="1525"/>
              <w:spacing w:after="0"/>
              <w:rPr>
                <w:sz w:val="20"/>
                <w:szCs w:val="20"/>
                <w:color w:val="auto"/>
              </w:rPr>
            </w:pPr>
            <w:r>
              <w:rPr>
                <w:rFonts w:ascii="Courier New" w:cs="Courier New" w:eastAsia="Courier New" w:hAnsi="Courier New"/>
                <w:sz w:val="15"/>
                <w:szCs w:val="15"/>
                <w:color w:val="auto"/>
              </w:rPr>
              <w:t>EQUITY</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800" w:type="dxa"/>
            <w:vAlign w:val="bottom"/>
            <w:gridSpan w:val="3"/>
          </w:tcPr>
          <w:p>
            <w:pPr>
              <w:jc w:val="center"/>
              <w:ind w:left="288"/>
              <w:spacing w:after="0"/>
              <w:rPr>
                <w:sz w:val="20"/>
                <w:szCs w:val="20"/>
                <w:color w:val="auto"/>
              </w:rPr>
            </w:pPr>
            <w:r>
              <w:rPr>
                <w:rFonts w:ascii="Courier New" w:cs="Courier New" w:eastAsia="Courier New" w:hAnsi="Courier New"/>
                <w:sz w:val="15"/>
                <w:szCs w:val="15"/>
                <w:color w:val="auto"/>
                <w:w w:val="97"/>
              </w:rPr>
              <w:t>REDEEMABLE</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gridSpan w:val="2"/>
            <w:vMerge w:val="restart"/>
          </w:tcPr>
          <w:p>
            <w:pPr>
              <w:jc w:val="right"/>
              <w:ind w:right="385"/>
              <w:spacing w:after="0"/>
              <w:rPr>
                <w:sz w:val="20"/>
                <w:szCs w:val="20"/>
                <w:color w:val="auto"/>
              </w:rPr>
            </w:pPr>
            <w:r>
              <w:rPr>
                <w:rFonts w:ascii="Courier New" w:cs="Courier New" w:eastAsia="Courier New" w:hAnsi="Courier New"/>
                <w:sz w:val="15"/>
                <w:szCs w:val="15"/>
                <w:color w:val="auto"/>
                <w:w w:val="96"/>
              </w:rPr>
              <w:t>COMMON STOCK</w:t>
            </w:r>
          </w:p>
        </w:tc>
        <w:tc>
          <w:tcPr>
            <w:tcW w:w="180" w:type="dxa"/>
            <w:vAlign w:val="bottom"/>
          </w:tcPr>
          <w:p>
            <w:pPr>
              <w:spacing w:after="0"/>
              <w:rPr>
                <w:sz w:val="22"/>
                <w:szCs w:val="22"/>
                <w:color w:val="auto"/>
              </w:rPr>
            </w:pPr>
          </w:p>
        </w:tc>
        <w:tc>
          <w:tcPr>
            <w:tcW w:w="12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ADDITIONAL</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0" w:type="dxa"/>
            <w:vAlign w:val="bottom"/>
            <w:gridSpan w:val="3"/>
          </w:tcPr>
          <w:p>
            <w:pPr>
              <w:jc w:val="center"/>
              <w:ind w:left="288"/>
              <w:spacing w:after="0"/>
              <w:rPr>
                <w:sz w:val="20"/>
                <w:szCs w:val="20"/>
                <w:color w:val="auto"/>
              </w:rPr>
            </w:pPr>
            <w:r>
              <w:rPr>
                <w:rFonts w:ascii="Courier New" w:cs="Courier New" w:eastAsia="Courier New" w:hAnsi="Courier New"/>
                <w:sz w:val="15"/>
                <w:szCs w:val="15"/>
                <w:color w:val="auto"/>
                <w:w w:val="99"/>
              </w:rPr>
              <w:t>COMMON STOCK</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3"/>
                <w:szCs w:val="13"/>
                <w:color w:val="auto"/>
                <w:w w:val="70"/>
                <w:vertAlign w:val="subscript"/>
              </w:rPr>
              <w:t>SHARES</w:t>
            </w:r>
          </w:p>
        </w:tc>
        <w:tc>
          <w:tcPr>
            <w:tcW w:w="72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w w:val="96"/>
              </w:rPr>
              <w:t>AMOUNT</w:t>
            </w:r>
          </w:p>
        </w:tc>
        <w:tc>
          <w:tcPr>
            <w:tcW w:w="40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PAID-IN</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CAPITAL</w:t>
            </w: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1996.................................</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815,065</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$ 8,158,798</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15,614,333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$156,144</w:t>
            </w:r>
          </w:p>
        </w:tc>
        <w:tc>
          <w:tcPr>
            <w:tcW w:w="180" w:type="dxa"/>
            <w:vAlign w:val="bottom"/>
          </w:tcPr>
          <w:p>
            <w:pPr>
              <w:spacing w:after="0"/>
              <w:rPr>
                <w:sz w:val="22"/>
                <w:szCs w:val="22"/>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$107,649,659</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307,548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3,074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1,552,432</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31,822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180,103</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1,750,000</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25,588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169,196</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1,219,381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12,194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7,381,206</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(257,311)</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(2,575,688)</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257,311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2,573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2,573,115</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75,237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244,427</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3400" w:type="dxa"/>
            <w:vAlign w:val="bottom"/>
          </w:tcPr>
          <w:p>
            <w:pPr>
              <w:jc w:val="right"/>
              <w:ind w:right="625"/>
              <w:spacing w:after="0"/>
              <w:rPr>
                <w:sz w:val="20"/>
                <w:szCs w:val="20"/>
                <w:color w:val="auto"/>
              </w:rPr>
            </w:pPr>
            <w:r>
              <w:rPr>
                <w:rFonts w:ascii="Courier New" w:cs="Courier New" w:eastAsia="Courier New" w:hAnsi="Courier New"/>
                <w:sz w:val="15"/>
                <w:szCs w:val="15"/>
                <w:color w:val="auto"/>
                <w:w w:val="99"/>
              </w:rPr>
              <w:t>amortization and cancellations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(5,000)</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(27,294)</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gridSpan w:val="3"/>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Balances, December 31, 1997</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557,754</w:t>
            </w:r>
          </w:p>
        </w:tc>
        <w:tc>
          <w:tcPr>
            <w:tcW w:w="11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80" w:type="dxa"/>
            <w:vAlign w:val="bottom"/>
            <w:vMerge w:val="continue"/>
          </w:tcPr>
          <w:p>
            <w:pPr>
              <w:spacing w:after="0"/>
              <w:rPr>
                <w:sz w:val="14"/>
                <w:szCs w:val="14"/>
                <w:color w:val="auto"/>
              </w:rPr>
            </w:pP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$ 5,583,110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17,526,220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$175,262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$121,472,844</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43,542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436</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83,622</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84,812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848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143,025</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101,320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1,013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505,587</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(33,417)</w:t>
            </w:r>
          </w:p>
        </w:tc>
        <w:tc>
          <w:tcPr>
            <w:tcW w:w="2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(334,500)</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33,417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334,166</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11,012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1,254</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321,108</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080" w:type="dxa"/>
            <w:vAlign w:val="bottom"/>
          </w:tcPr>
          <w:p>
            <w:pPr>
              <w:spacing w:after="0"/>
              <w:rPr>
                <w:sz w:val="14"/>
                <w:szCs w:val="14"/>
                <w:color w:val="auto"/>
              </w:rPr>
            </w:pPr>
          </w:p>
        </w:tc>
        <w:tc>
          <w:tcPr>
            <w:tcW w:w="1120" w:type="dxa"/>
            <w:vAlign w:val="bottom"/>
            <w:gridSpan w:val="3"/>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Balances, December 31, 1998</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524,337</w:t>
            </w:r>
          </w:p>
        </w:tc>
        <w:tc>
          <w:tcPr>
            <w:tcW w:w="11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80" w:type="dxa"/>
            <w:vAlign w:val="bottom"/>
            <w:vMerge w:val="continue"/>
          </w:tcPr>
          <w:p>
            <w:pPr>
              <w:spacing w:after="0"/>
              <w:rPr>
                <w:sz w:val="14"/>
                <w:szCs w:val="14"/>
                <w:color w:val="auto"/>
              </w:rPr>
            </w:pP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$ 5,248,610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17,800,323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$178,003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$122,861,606</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196,213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318,221</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57,398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41,619</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90,798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102,502</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513,534</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490,833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4,908</w:t>
            </w: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80,276</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080" w:type="dxa"/>
            <w:vAlign w:val="bottom"/>
          </w:tcPr>
          <w:p>
            <w:pPr>
              <w:spacing w:after="0"/>
              <w:rPr>
                <w:sz w:val="14"/>
                <w:szCs w:val="14"/>
                <w:color w:val="auto"/>
              </w:rPr>
            </w:pPr>
          </w:p>
        </w:tc>
        <w:tc>
          <w:tcPr>
            <w:tcW w:w="1120" w:type="dxa"/>
            <w:vAlign w:val="bottom"/>
            <w:gridSpan w:val="3"/>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Balances, December 31, 1999</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524,337</w:t>
            </w:r>
          </w:p>
        </w:tc>
        <w:tc>
          <w:tcPr>
            <w:tcW w:w="11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80" w:type="dxa"/>
            <w:vAlign w:val="bottom"/>
            <w:vMerge w:val="continue"/>
          </w:tcPr>
          <w:p>
            <w:pPr>
              <w:spacing w:after="0"/>
              <w:rPr>
                <w:sz w:val="14"/>
                <w:szCs w:val="14"/>
                <w:color w:val="auto"/>
              </w:rPr>
            </w:pP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$ 5,248,610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18,635,565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$123,917,758</w:t>
            </w: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6"/>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gridSpan w:val="4"/>
          </w:tcPr>
          <w:p>
            <w:pPr>
              <w:jc w:val="right"/>
              <w:ind w:right="565"/>
              <w:spacing w:after="0"/>
              <w:rPr>
                <w:sz w:val="20"/>
                <w:szCs w:val="20"/>
                <w:color w:val="auto"/>
              </w:rPr>
            </w:pPr>
            <w:r>
              <w:rPr>
                <w:rFonts w:ascii="Courier New" w:cs="Courier New" w:eastAsia="Courier New" w:hAnsi="Courier New"/>
                <w:sz w:val="15"/>
                <w:szCs w:val="15"/>
                <w:color w:val="auto"/>
              </w:rPr>
              <w:t>OTHER COMPREHENSIVE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INCOME</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UNREALIZED</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GAINS</w:t>
            </w:r>
          </w:p>
        </w:tc>
        <w:tc>
          <w:tcPr>
            <w:tcW w:w="500" w:type="dxa"/>
            <w:vAlign w:val="bottom"/>
          </w:tcPr>
          <w:p>
            <w:pPr>
              <w:spacing w:after="0"/>
              <w:rPr>
                <w:sz w:val="14"/>
                <w:szCs w:val="14"/>
                <w:color w:val="auto"/>
              </w:rPr>
            </w:pPr>
          </w:p>
        </w:tc>
        <w:tc>
          <w:tcPr>
            <w:tcW w:w="152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CUMULATIVE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vMerge w:val="restart"/>
          </w:tcPr>
          <w:p>
            <w:pPr>
              <w:jc w:val="right"/>
              <w:ind w:right="85"/>
              <w:spacing w:after="0"/>
              <w:rPr>
                <w:sz w:val="20"/>
                <w:szCs w:val="20"/>
                <w:color w:val="auto"/>
              </w:rPr>
            </w:pPr>
            <w:r>
              <w:rPr>
                <w:rFonts w:ascii="Courier New" w:cs="Courier New" w:eastAsia="Courier New" w:hAnsi="Courier New"/>
                <w:sz w:val="15"/>
                <w:szCs w:val="15"/>
                <w:color w:val="auto"/>
              </w:rPr>
              <w:t>ACCUMULATED</w:t>
            </w:r>
          </w:p>
        </w:tc>
        <w:tc>
          <w:tcPr>
            <w:tcW w:w="13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(LOSSES)</w:t>
            </w: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w w:val="94"/>
              </w:rPr>
              <w:t>DEFERRED</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ON MARKETABLE</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TRANSLATION</w:t>
            </w: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SECURITIES</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COMPENSATION</w:t>
            </w:r>
          </w:p>
        </w:tc>
        <w:tc>
          <w:tcPr>
            <w:tcW w:w="0" w:type="dxa"/>
            <w:vAlign w:val="bottom"/>
          </w:tcPr>
          <w:p>
            <w:pPr>
              <w:spacing w:after="0"/>
              <w:rPr>
                <w:sz w:val="1"/>
                <w:szCs w:val="1"/>
                <w:color w:val="auto"/>
              </w:rPr>
            </w:pPr>
          </w:p>
        </w:tc>
      </w:tr>
      <w:tr>
        <w:trPr>
          <w:trHeight w:val="172"/>
        </w:trPr>
        <w:tc>
          <w:tcPr>
            <w:tcW w:w="54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Balances, December 31, 1996</w:t>
            </w:r>
          </w:p>
        </w:tc>
        <w:tc>
          <w:tcPr>
            <w:tcW w:w="1340" w:type="dxa"/>
            <w:vAlign w:val="bottom"/>
            <w:gridSpan w:val="2"/>
            <w:vMerge w:val="restart"/>
          </w:tcPr>
          <w:p>
            <w:pPr>
              <w:ind w:left="10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perscript"/>
              </w:rPr>
              <w:t>-------------</w:t>
            </w:r>
            <w:r>
              <w:rPr>
                <w:rFonts w:ascii="Courier New" w:cs="Courier New" w:eastAsia="Courier New" w:hAnsi="Courier New"/>
                <w:sz w:val="11"/>
                <w:szCs w:val="11"/>
                <w:color w:val="auto"/>
                <w:w w:val="70"/>
              </w:rPr>
              <w:t>(72,922,674)</w:t>
            </w: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544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vMerge w:val="continue"/>
          </w:tcPr>
          <w:p>
            <w:pPr>
              <w:spacing w:after="0"/>
              <w:rPr>
                <w:sz w:val="14"/>
                <w:szCs w:val="14"/>
                <w:color w:val="auto"/>
              </w:rPr>
            </w:pP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14,760</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$(60,416)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(90,118)</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6"/>
              </w:rPr>
              <w:t>(1,750,000)</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3400" w:type="dxa"/>
            <w:vAlign w:val="bottom"/>
          </w:tcPr>
          <w:p>
            <w:pPr>
              <w:jc w:val="right"/>
              <w:ind w:right="625"/>
              <w:spacing w:after="0"/>
              <w:rPr>
                <w:sz w:val="20"/>
                <w:szCs w:val="20"/>
                <w:color w:val="auto"/>
              </w:rPr>
            </w:pPr>
            <w:r>
              <w:rPr>
                <w:rFonts w:ascii="Courier New" w:cs="Courier New" w:eastAsia="Courier New" w:hAnsi="Courier New"/>
                <w:sz w:val="15"/>
                <w:szCs w:val="15"/>
                <w:color w:val="auto"/>
                <w:w w:val="99"/>
              </w:rPr>
              <w:t>amortization and cancellations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137,298</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(23,637)</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60,416</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vMerge w:val="restart"/>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vMerge w:val="restart"/>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Balances, December 31, 1997</w:t>
            </w:r>
          </w:p>
        </w:tc>
        <w:tc>
          <w:tcPr>
            <w:tcW w:w="2700" w:type="dxa"/>
            <w:vAlign w:val="bottom"/>
            <w:gridSpan w:val="5"/>
            <w:vMerge w:val="restart"/>
          </w:tcPr>
          <w:p>
            <w:pPr>
              <w:ind w:left="100"/>
              <w:spacing w:after="0"/>
              <w:rPr>
                <w:sz w:val="20"/>
                <w:szCs w:val="20"/>
                <w:color w:val="auto"/>
              </w:rPr>
            </w:pPr>
            <w:r>
              <w:rPr>
                <w:rFonts w:ascii="Courier New" w:cs="Courier New" w:eastAsia="Courier New" w:hAnsi="Courier New"/>
                <w:sz w:val="15"/>
                <w:szCs w:val="15"/>
                <w:color w:val="auto"/>
                <w:w w:val="96"/>
              </w:rPr>
              <w:t>$</w:t>
            </w:r>
            <w:r>
              <w:rPr>
                <w:rFonts w:ascii="Courier New" w:cs="Courier New" w:eastAsia="Courier New" w:hAnsi="Courier New"/>
                <w:sz w:val="29"/>
                <w:szCs w:val="29"/>
                <w:color w:val="auto"/>
                <w:w w:val="96"/>
                <w:vertAlign w:val="superscript"/>
              </w:rPr>
              <w:t>-------------</w:t>
            </w:r>
            <w:r>
              <w:rPr>
                <w:rFonts w:ascii="Courier New" w:cs="Courier New" w:eastAsia="Courier New" w:hAnsi="Courier New"/>
                <w:sz w:val="15"/>
                <w:szCs w:val="15"/>
                <w:color w:val="auto"/>
                <w:w w:val="96"/>
              </w:rPr>
              <w:t>(91,036,254)</w:t>
            </w:r>
          </w:p>
        </w:tc>
        <w:tc>
          <w:tcPr>
            <w:tcW w:w="15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vMerge w:val="continue"/>
          </w:tcPr>
          <w:p>
            <w:pPr>
              <w:spacing w:after="0"/>
              <w:rPr>
                <w:sz w:val="14"/>
                <w:szCs w:val="14"/>
                <w:color w:val="auto"/>
              </w:rPr>
            </w:pP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(8,877)</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$(1,702,820)</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229,901</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3,679</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84" w:orient="portrait"/>
          <w:cols w:equalWidth="0" w:num="1">
            <w:col w:w="11080"/>
          </w:cols>
          <w:pgMar w:left="240" w:top="435" w:right="57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spacing w:after="0"/>
              <w:rPr>
                <w:sz w:val="14"/>
                <w:szCs w:val="14"/>
                <w:color w:val="auto"/>
              </w:rPr>
            </w:pPr>
          </w:p>
        </w:tc>
        <w:tc>
          <w:tcPr>
            <w:tcW w:w="126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vMerge w:val="restart"/>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vMerge w:val="restart"/>
          </w:tcPr>
          <w:p>
            <w:pPr>
              <w:ind w:left="100"/>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(103,664,084)</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(5,198)</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42,193</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247,919</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5,198</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(15,708,626)</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spacing w:after="0"/>
              <w:rPr>
                <w:sz w:val="14"/>
                <w:szCs w:val="14"/>
                <w:color w:val="auto"/>
              </w:rPr>
            </w:pPr>
          </w:p>
        </w:tc>
        <w:tc>
          <w:tcPr>
            <w:tcW w:w="126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vMerge w:val="restart"/>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vMerge w:val="restart"/>
          </w:tcPr>
          <w:p>
            <w:pPr>
              <w:ind w:left="100"/>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(119,372,710)</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6"/>
        </w:trPr>
        <w:tc>
          <w:tcPr>
            <w:tcW w:w="544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rPr>
              <w:t>STOCKHOLDERS'</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Balances, December 31, 1996.................................</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$ 34,747,355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1,555,506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180,422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169,452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7,393,400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2,575,688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245,179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109,954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(23,637)</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60,416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(18,113,580)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(18,076,081)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Balances, December 31, 1997.................................</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$ 28,900,155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84,058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143,873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506,600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334,500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1,364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551,009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3,679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(12,627,830)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(12,624,151)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$ 17,897,408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320,183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103,410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518,442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328,195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5,198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(15,708,626)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(15,703,428)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3,506,403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5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820"/>
          </w:cols>
          <w:pgMar w:left="240" w:top="113" w:right="839" w:bottom="1440" w:gutter="0" w:footer="0" w:header="0"/>
        </w:sectPr>
      </w:pPr>
    </w:p>
    <w:bookmarkStart w:id="64" w:name="page65"/>
    <w:bookmarkEnd w:id="64"/>
    <w:p>
      <w:pPr>
        <w:jc w:val="center"/>
        <w:ind w:right="315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394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340" w:type="dxa"/>
            <w:vAlign w:val="bottom"/>
            <w:gridSpan w:val="2"/>
            <w:vMerge w:val="restart"/>
          </w:tcPr>
          <w:p>
            <w:pPr>
              <w:jc w:val="right"/>
              <w:ind w:right="5"/>
              <w:spacing w:after="0"/>
              <w:rPr>
                <w:sz w:val="20"/>
                <w:szCs w:val="20"/>
                <w:color w:val="auto"/>
              </w:rPr>
            </w:pPr>
            <w:r>
              <w:rPr>
                <w:rFonts w:ascii="Courier New" w:cs="Courier New" w:eastAsia="Courier New" w:hAnsi="Courier New"/>
                <w:sz w:val="15"/>
                <w:szCs w:val="15"/>
                <w:color w:val="auto"/>
              </w:rPr>
              <w:t>$(15,708,626)</w:t>
            </w:r>
          </w:p>
        </w:tc>
        <w:tc>
          <w:tcPr>
            <w:tcW w:w="136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$(18,113,580)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14"/>
                <w:szCs w:val="14"/>
                <w:color w:val="auto"/>
              </w:rPr>
            </w:pPr>
          </w:p>
        </w:tc>
        <w:tc>
          <w:tcPr>
            <w:tcW w:w="11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2,244,146</w:t>
            </w:r>
          </w:p>
        </w:tc>
        <w:tc>
          <w:tcPr>
            <w:tcW w:w="180" w:type="dxa"/>
            <w:vAlign w:val="bottom"/>
          </w:tcPr>
          <w:p>
            <w:pPr>
              <w:spacing w:after="0"/>
              <w:rPr>
                <w:sz w:val="14"/>
                <w:szCs w:val="14"/>
                <w:color w:val="auto"/>
              </w:rPr>
            </w:pPr>
          </w:p>
        </w:tc>
        <w:tc>
          <w:tcPr>
            <w:tcW w:w="10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1,968,234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551,009</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8,343,684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109,954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Fair market adjustment for property held for sale.........</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300,000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non-cash charges....................................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410,173</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105,931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investment........................................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(3,386,808)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fixed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413,856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intangibles...............................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4"/>
                <w:szCs w:val="14"/>
                <w:color w:val="auto"/>
              </w:rPr>
            </w:pP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14"/>
                <w:szCs w:val="14"/>
                <w:color w:val="auto"/>
              </w:rPr>
            </w:pPr>
          </w:p>
        </w:tc>
        <w:tc>
          <w:tcPr>
            <w:tcW w:w="11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346,577</w:t>
            </w:r>
          </w:p>
        </w:tc>
        <w:tc>
          <w:tcPr>
            <w:tcW w:w="180" w:type="dxa"/>
            <w:vAlign w:val="bottom"/>
          </w:tcPr>
          <w:p>
            <w:pPr>
              <w:spacing w:after="0"/>
              <w:rPr>
                <w:sz w:val="14"/>
                <w:szCs w:val="14"/>
                <w:color w:val="auto"/>
              </w:rPr>
            </w:pPr>
          </w:p>
        </w:tc>
        <w:tc>
          <w:tcPr>
            <w:tcW w:w="10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100,004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283,000</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(265,665)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(232,604)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1,344,142</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(2,378,613)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(1,233,501)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2,483,856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(1,842,948)</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used in operating activities.......................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(11,913,282)</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(9,236,347)</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(13,767,778)</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2"/>
                <w:szCs w:val="22"/>
                <w:color w:val="auto"/>
              </w:rPr>
            </w:pP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11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10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2,958,199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 of Modex, net of cash disposed...........</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marketable securities..........................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(18,982,387)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(14,182,521)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sales of marketable securities................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22,573,625</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23,736,242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property, plant and equipment..................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(2,153,525)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(7,710,126)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on sale of fixed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8,003,926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 of other investment................................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other assets.................................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(558,311)</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(400,219)</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(1,599,418)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Disposal of other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StemCells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(640,490)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Advance to Cognetix.........................................</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 from Cognetix.....................................</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investing activities...................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9,962,013</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1,037,494</w:t>
            </w:r>
          </w:p>
        </w:tc>
        <w:tc>
          <w:tcPr>
            <w:tcW w:w="18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10,315,812</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2"/>
                <w:szCs w:val="22"/>
                <w:color w:val="auto"/>
              </w:rPr>
            </w:pP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11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10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redeemable common stock...........</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common stock......................</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227,931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1,905,380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the exercise of stock options and warrants....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1,364</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245,179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debt financings...............................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1,259,300</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Repayments of debt and lease obligations....................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(1,366,655)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(2,496,849)</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(used in) financing activities.........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(1,153,455)</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121,940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(346,290)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(181,627)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Decrease in 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(3,104,724)</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(8,076,913)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(3,979,883)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January 1........................</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15,941,701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19,921,584</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December 31......................</w:t>
            </w:r>
          </w:p>
        </w:tc>
        <w:tc>
          <w:tcPr>
            <w:tcW w:w="1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4,760,064</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7,864,788</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$ 15,941,701</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335,203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444,047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436,461</w:t>
            </w: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TRANSACTION:</w:t>
      </w:r>
    </w:p>
    <w:p>
      <w:pPr>
        <w:spacing w:after="0" w:line="174" w:lineRule="exact"/>
        <w:rPr>
          <w:sz w:val="20"/>
          <w:szCs w:val="20"/>
          <w:color w:val="auto"/>
        </w:rPr>
      </w:pPr>
    </w:p>
    <w:p>
      <w:pPr>
        <w:ind w:right="3259" w:firstLine="358"/>
        <w:spacing w:after="0" w:line="301" w:lineRule="auto"/>
        <w:rPr>
          <w:sz w:val="20"/>
          <w:szCs w:val="20"/>
          <w:color w:val="auto"/>
        </w:rPr>
      </w:pPr>
      <w:r>
        <w:rPr>
          <w:rFonts w:ascii="Courier New" w:cs="Courier New" w:eastAsia="Courier New" w:hAnsi="Courier New"/>
          <w:sz w:val="15"/>
          <w:szCs w:val="15"/>
          <w:color w:val="auto"/>
        </w:rPr>
        <w:t>In December 1999, the Company sold intellectual property related to its encapsulated cell technology. In association with the transaction, the Company recorded a receivable of $3,000,000 and reduced intangible assets.</w:t>
      </w:r>
    </w:p>
    <w:p>
      <w:pPr>
        <w:spacing w:after="0" w:line="49"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435" w:right="1440" w:bottom="1440" w:gutter="0" w:footer="0" w:header="0"/>
        </w:sectPr>
      </w:pPr>
    </w:p>
    <w:bookmarkStart w:id="65" w:name="page66"/>
    <w:bookmarkEnd w:id="65"/>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4" w:lineRule="exact"/>
        <w:rPr>
          <w:sz w:val="20"/>
          <w:szCs w:val="20"/>
          <w:color w:val="auto"/>
        </w:rPr>
      </w:pPr>
    </w:p>
    <w:p>
      <w:pPr>
        <w:ind w:left="8" w:right="3599" w:firstLine="358"/>
        <w:spacing w:after="0" w:line="301" w:lineRule="auto"/>
        <w:rPr>
          <w:sz w:val="20"/>
          <w:szCs w:val="20"/>
          <w:color w:val="auto"/>
        </w:rPr>
      </w:pPr>
      <w:r>
        <w:rPr>
          <w:rFonts w:ascii="Courier New" w:cs="Courier New" w:eastAsia="Courier New" w:hAnsi="Courier New"/>
          <w:sz w:val="15"/>
          <w:szCs w:val="15"/>
          <w:color w:val="auto"/>
        </w:rPr>
        <w:t>StemCells, Inc. (formerly CytoTherapeutics, Inc.) (the "Company") is a biopharmaceutical company engaged in the development of novel stem cell therapies designed to treat human diseases and disorders.</w:t>
      </w:r>
    </w:p>
    <w:p>
      <w:pPr>
        <w:spacing w:after="0" w:line="49" w:lineRule="exact"/>
        <w:rPr>
          <w:sz w:val="20"/>
          <w:szCs w:val="20"/>
          <w:color w:val="auto"/>
        </w:rPr>
      </w:pPr>
    </w:p>
    <w:p>
      <w:pPr>
        <w:ind w:left="8" w:right="6119" w:hanging="8"/>
        <w:spacing w:after="0" w:line="485" w:lineRule="auto"/>
        <w:tabs>
          <w:tab w:leader="none" w:pos="3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1" w:lineRule="exact"/>
        <w:rPr>
          <w:sz w:val="20"/>
          <w:szCs w:val="20"/>
          <w:color w:val="auto"/>
        </w:rPr>
      </w:pPr>
    </w:p>
    <w:p>
      <w:pPr>
        <w:ind w:left="8" w:right="3159" w:firstLine="358"/>
        <w:spacing w:after="0" w:line="301"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8" w:right="3159" w:firstLine="358"/>
        <w:spacing w:after="0" w:line="272"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6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EQUIVALENTS AND MARKETABLE SECURITIES</w:t>
      </w:r>
    </w:p>
    <w:p>
      <w:pPr>
        <w:spacing w:after="0" w:line="174" w:lineRule="exact"/>
        <w:rPr>
          <w:sz w:val="20"/>
          <w:szCs w:val="20"/>
          <w:color w:val="auto"/>
        </w:rPr>
      </w:pPr>
    </w:p>
    <w:p>
      <w:pPr>
        <w:ind w:left="8" w:right="3079" w:firstLine="358"/>
        <w:spacing w:after="0" w:line="262" w:lineRule="auto"/>
        <w:rPr>
          <w:sz w:val="20"/>
          <w:szCs w:val="20"/>
          <w:color w:val="auto"/>
        </w:rPr>
      </w:pPr>
      <w:r>
        <w:rPr>
          <w:rFonts w:ascii="Courier New" w:cs="Courier New" w:eastAsia="Courier New" w:hAnsi="Courier New"/>
          <w:sz w:val="15"/>
          <w:szCs w:val="15"/>
          <w:color w:val="auto"/>
        </w:rPr>
        <w:t>Cash equivalents include funds held in investments with original maturities of three months or less when purchased. The Company's policy regarding selection of investments, pending their use, is to ensure safety, liquidity, and capital reservation while obtaining a reasonable rate of return. Marketable securities consist of investments in agencies of the U.S. government, investment grade corporate notes and money market funds. The fair values for marketable securities are based on quoted market prices.</w:t>
      </w:r>
    </w:p>
    <w:p>
      <w:pPr>
        <w:spacing w:after="0" w:line="78" w:lineRule="exact"/>
        <w:rPr>
          <w:sz w:val="20"/>
          <w:szCs w:val="20"/>
          <w:color w:val="auto"/>
        </w:rPr>
      </w:pPr>
    </w:p>
    <w:p>
      <w:pPr>
        <w:ind w:left="8" w:right="3159" w:firstLine="358"/>
        <w:spacing w:after="0" w:line="266" w:lineRule="auto"/>
        <w:rPr>
          <w:sz w:val="20"/>
          <w:szCs w:val="20"/>
          <w:color w:val="auto"/>
        </w:rPr>
      </w:pPr>
      <w:r>
        <w:rPr>
          <w:rFonts w:ascii="Courier New" w:cs="Courier New" w:eastAsia="Courier New" w:hAnsi="Courier New"/>
          <w:sz w:val="15"/>
          <w:szCs w:val="15"/>
          <w:color w:val="auto"/>
        </w:rPr>
        <w:t>The Company determines the appropriate classification of cash equivalents and marketable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HELD FOR SALE</w:t>
      </w:r>
    </w:p>
    <w:p>
      <w:pPr>
        <w:spacing w:after="0" w:line="174" w:lineRule="exact"/>
        <w:rPr>
          <w:sz w:val="20"/>
          <w:szCs w:val="20"/>
          <w:color w:val="auto"/>
        </w:rPr>
      </w:pPr>
    </w:p>
    <w:p>
      <w:pPr>
        <w:ind w:left="8" w:right="3259" w:firstLine="358"/>
        <w:spacing w:after="0" w:line="266" w:lineRule="auto"/>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7"/>
          </w:cols>
          <w:pgMar w:left="232" w:top="435" w:right="1440" w:bottom="1440" w:gutter="0" w:footer="0" w:header="0"/>
        </w:sectPr>
      </w:pPr>
    </w:p>
    <w:bookmarkStart w:id="66" w:name="page67"/>
    <w:bookmarkEnd w:id="66"/>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8" w:right="5039" w:hanging="8"/>
        <w:spacing w:after="0" w:line="359" w:lineRule="auto"/>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PROPERTY, PLANT AND EQUIPMENT</w:t>
      </w:r>
    </w:p>
    <w:p>
      <w:pPr>
        <w:spacing w:after="0" w:line="8" w:lineRule="exact"/>
        <w:rPr>
          <w:sz w:val="20"/>
          <w:szCs w:val="20"/>
          <w:color w:val="auto"/>
        </w:rPr>
      </w:pPr>
    </w:p>
    <w:p>
      <w:pPr>
        <w:ind w:left="8" w:right="3259" w:firstLine="358"/>
        <w:spacing w:after="0" w:line="301" w:lineRule="auto"/>
        <w:rPr>
          <w:sz w:val="20"/>
          <w:szCs w:val="20"/>
          <w:color w:val="auto"/>
        </w:rPr>
      </w:pPr>
      <w:r>
        <w:rPr>
          <w:rFonts w:ascii="Courier New" w:cs="Courier New" w:eastAsia="Courier New" w:hAnsi="Courier New"/>
          <w:sz w:val="15"/>
          <w:szCs w:val="15"/>
          <w:color w:val="auto"/>
        </w:rPr>
        <w:t>Property, plant and equipment, including that held under capitalized lease obligations, is stated at cost and depreciated using the straight-line method over the estimated life of the respective asset, as follows:</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2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PATENT COSTS</w:t>
      </w:r>
    </w:p>
    <w:p>
      <w:pPr>
        <w:spacing w:after="0" w:line="174" w:lineRule="exact"/>
        <w:rPr>
          <w:sz w:val="20"/>
          <w:szCs w:val="20"/>
          <w:color w:val="auto"/>
        </w:rPr>
      </w:pPr>
    </w:p>
    <w:p>
      <w:pPr>
        <w:ind w:left="8" w:right="3079" w:firstLine="358"/>
        <w:spacing w:after="0" w:line="257" w:lineRule="auto"/>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written off to expense at the time such patents are deemed to have no continuing value. At December 31, 1999 and 1998, total costs capitalized were $718,000 and $4,285,000 and the related accumulated amortization were $9,000 and $347,000, respectively. Patent expense totaled $539,000, $3,000, and $365,000 in 1999, 1998 and 1997, respectively.</w:t>
      </w:r>
    </w:p>
    <w:p>
      <w:pPr>
        <w:spacing w:after="0" w:line="83" w:lineRule="exact"/>
        <w:rPr>
          <w:sz w:val="20"/>
          <w:szCs w:val="20"/>
          <w:color w:val="auto"/>
        </w:rPr>
      </w:pPr>
    </w:p>
    <w:p>
      <w:pPr>
        <w:ind w:left="8" w:right="3159" w:firstLine="358"/>
        <w:spacing w:after="0" w:line="276" w:lineRule="auto"/>
        <w:rPr>
          <w:sz w:val="20"/>
          <w:szCs w:val="20"/>
          <w:color w:val="auto"/>
        </w:rPr>
      </w:pPr>
      <w:r>
        <w:rPr>
          <w:rFonts w:ascii="Courier New" w:cs="Courier New" w:eastAsia="Courier New" w:hAnsi="Courier New"/>
          <w:sz w:val="14"/>
          <w:szCs w:val="14"/>
          <w:color w:val="auto"/>
        </w:rPr>
        <w:t>In December 1999, the Company sold its Encapsulated Cell Technology ("ECT") to Neurotech, S.A. for an initial payment of $3,000,000,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The loss on this transaction and expenses related to the write-down of ECT are included in wind-down expenses on the Company's Consolidated Statement of Operations.</w:t>
      </w:r>
    </w:p>
    <w:p>
      <w:pPr>
        <w:spacing w:after="0" w:line="6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BASED COMPENSATION</w:t>
      </w:r>
    </w:p>
    <w:p>
      <w:pPr>
        <w:spacing w:after="0" w:line="174" w:lineRule="exact"/>
        <w:rPr>
          <w:sz w:val="20"/>
          <w:szCs w:val="20"/>
          <w:color w:val="auto"/>
        </w:rPr>
      </w:pPr>
    </w:p>
    <w:p>
      <w:pPr>
        <w:ind w:left="8" w:right="3079" w:firstLine="358"/>
        <w:spacing w:after="0" w:line="266" w:lineRule="auto"/>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74" w:lineRule="exact"/>
        <w:rPr>
          <w:sz w:val="20"/>
          <w:szCs w:val="20"/>
          <w:color w:val="auto"/>
        </w:rPr>
      </w:pPr>
    </w:p>
    <w:p>
      <w:pPr>
        <w:ind w:left="8" w:right="3079" w:firstLine="358"/>
        <w:spacing w:after="0" w:line="257" w:lineRule="auto"/>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Fair value is determined using methodologies allowable by FAS No. 123. The cost is amortized over the vesting period of each option or the recipient's contractual arrangement, if shorter.</w:t>
      </w:r>
    </w:p>
    <w:p>
      <w:pPr>
        <w:spacing w:after="0" w:line="8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7"/>
          </w:cols>
          <w:pgMar w:left="232" w:top="435" w:right="1440" w:bottom="1440" w:gutter="0" w:footer="0" w:header="0"/>
        </w:sectPr>
      </w:pPr>
    </w:p>
    <w:bookmarkStart w:id="67" w:name="page68"/>
    <w:bookmarkEnd w:id="67"/>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8" w:right="5039" w:hanging="8"/>
        <w:spacing w:after="0" w:line="359" w:lineRule="auto"/>
        <w:tabs>
          <w:tab w:leader="none" w:pos="3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INCOME TAXES</w:t>
      </w:r>
    </w:p>
    <w:p>
      <w:pPr>
        <w:spacing w:after="0" w:line="8" w:lineRule="exact"/>
        <w:rPr>
          <w:sz w:val="20"/>
          <w:szCs w:val="20"/>
          <w:color w:val="auto"/>
        </w:rPr>
      </w:pPr>
    </w:p>
    <w:p>
      <w:pPr>
        <w:ind w:left="8" w:right="3079" w:firstLine="358"/>
        <w:spacing w:after="0" w:line="262" w:lineRule="auto"/>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rates under laws that are expected to be in effect when the differences reverse. Deferred tax assets may be reduced by a valuation allowance to reflect the uncertainty associated with their ultimate realization.</w:t>
      </w:r>
    </w:p>
    <w:p>
      <w:pPr>
        <w:spacing w:after="0" w:line="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FROM COLLABORATIVE AGREEMENTS</w:t>
      </w:r>
    </w:p>
    <w:p>
      <w:pPr>
        <w:spacing w:after="0" w:line="174" w:lineRule="exact"/>
        <w:rPr>
          <w:sz w:val="20"/>
          <w:szCs w:val="20"/>
          <w:color w:val="auto"/>
        </w:rPr>
      </w:pPr>
    </w:p>
    <w:p>
      <w:pPr>
        <w:ind w:left="8" w:right="3079" w:firstLine="358"/>
        <w:spacing w:after="0" w:line="266"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achievement of certain development milestones as defined within the terms of the collaborative agreement. Payments received in advance of research performed are designated as deferred revenue. Recorded revenues are not refundable in the event research efforts are considered unsuccessful.</w:t>
      </w:r>
    </w:p>
    <w:p>
      <w:pPr>
        <w:spacing w:after="0" w:line="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COSTS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LOSS PER SHARE</w:t>
      </w:r>
    </w:p>
    <w:p>
      <w:pPr>
        <w:spacing w:after="0" w:line="174" w:lineRule="exact"/>
        <w:rPr>
          <w:sz w:val="20"/>
          <w:szCs w:val="20"/>
          <w:color w:val="auto"/>
        </w:rPr>
      </w:pPr>
    </w:p>
    <w:p>
      <w:pPr>
        <w:ind w:left="8" w:right="3259" w:firstLine="358"/>
        <w:spacing w:after="0" w:line="301" w:lineRule="auto"/>
        <w:rPr>
          <w:sz w:val="20"/>
          <w:szCs w:val="20"/>
          <w:color w:val="auto"/>
        </w:rPr>
      </w:pPr>
      <w:r>
        <w:rPr>
          <w:rFonts w:ascii="Courier New" w:cs="Courier New" w:eastAsia="Courier New" w:hAnsi="Courier New"/>
          <w:sz w:val="15"/>
          <w:szCs w:val="15"/>
          <w:color w:val="auto"/>
        </w:rPr>
        <w:t>Net loss per share is computed using the weighted average number of shares of common stock outstanding. Common equivalent shares from stock options and warrants are excluded, as their effect is antidilutive.</w:t>
      </w:r>
    </w:p>
    <w:p>
      <w:pPr>
        <w:spacing w:after="0" w:line="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174" w:lineRule="exact"/>
        <w:rPr>
          <w:sz w:val="20"/>
          <w:szCs w:val="20"/>
          <w:color w:val="auto"/>
        </w:rPr>
      </w:pPr>
    </w:p>
    <w:p>
      <w:pPr>
        <w:ind w:left="8" w:right="3159" w:firstLine="358"/>
        <w:spacing w:after="0" w:line="288" w:lineRule="auto"/>
        <w:rPr>
          <w:sz w:val="20"/>
          <w:szCs w:val="20"/>
          <w:color w:val="auto"/>
        </w:rPr>
      </w:pPr>
      <w:r>
        <w:rPr>
          <w:rFonts w:ascii="Courier New" w:cs="Courier New" w:eastAsia="Courier New" w:hAnsi="Courier New"/>
          <w:sz w:val="14"/>
          <w:szCs w:val="14"/>
          <w:color w:val="auto"/>
        </w:rPr>
        <w:t>The Securities Exchange Commission's recently issued Staff Accounting Bulletin No. 101 provides guidance on revenue recognition that may impact the Company's future reporting relative to recognizing revenues received from collaborative and similar agreements. The Company does not expect this guidance to result in significant changes to its existing revenue recognition policy, subject to the specific terms of each individual collaborative agreement.</w:t>
      </w:r>
    </w:p>
    <w:p>
      <w:pPr>
        <w:spacing w:after="0" w:line="62" w:lineRule="exact"/>
        <w:rPr>
          <w:sz w:val="20"/>
          <w:szCs w:val="20"/>
          <w:color w:val="auto"/>
        </w:rPr>
      </w:pPr>
    </w:p>
    <w:p>
      <w:pPr>
        <w:ind w:left="348" w:hanging="348"/>
        <w:spacing w:after="0"/>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6% CUMULATIVE CONVERTIBLE PREFERRED STOCK</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$1,500,000, on terms more favorable to the Company than it was then able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obtain from outside investors. The shares are convertible at the option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holders into common stock at $3.77 per share (based on the face value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preferred shares). The conversion price may be below the trading market price of</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stock at the time of conversion. The Company has valued the beneficial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conversion feature using the intrinsic value method reflecting the April 13,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2000 commitment date and the most beneficial per share discount available to the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preferred shareholders. Such value was $265,000 and will be treated as a deemed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 as of the commitment date. The holders of the preferred stock have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liquidation rights equal to their original investment plus accrued</w:t>
      </w:r>
    </w:p>
    <w:p>
      <w:pPr>
        <w:spacing w:after="0" w:line="1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7"/>
          </w:cols>
          <w:pgMar w:left="232" w:top="435" w:right="1440" w:bottom="1440" w:gutter="0" w:footer="0" w:header="0"/>
        </w:sectPr>
      </w:pPr>
    </w:p>
    <w:bookmarkStart w:id="68" w:name="page69"/>
    <w:bookmarkEnd w:id="68"/>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6% CUMULATIVE CONVERTIBLE PREFERRED STOCK (CONTINUED)</w:t>
      </w:r>
    </w:p>
    <w:p>
      <w:pPr>
        <w:spacing w:after="0" w:line="30" w:lineRule="exact"/>
        <w:rPr>
          <w:sz w:val="20"/>
          <w:szCs w:val="20"/>
          <w:color w:val="auto"/>
        </w:rPr>
      </w:pPr>
    </w:p>
    <w:p>
      <w:pPr>
        <w:ind w:left="8" w:right="3079"/>
        <w:spacing w:after="0" w:line="250" w:lineRule="auto"/>
        <w:rPr>
          <w:sz w:val="20"/>
          <w:szCs w:val="20"/>
          <w:color w:val="auto"/>
        </w:rPr>
      </w:pPr>
      <w:r>
        <w:rPr>
          <w:rFonts w:ascii="Courier New" w:cs="Courier New" w:eastAsia="Courier New" w:hAnsi="Courier New"/>
          <w:sz w:val="15"/>
          <w:szCs w:val="15"/>
          <w:color w:val="auto"/>
        </w:rPr>
        <w:t>but unpaid dividends. The investors would be entitled to make additional investments in the Company on the same terms as those on which the Company completes offerings of its securities with third parties within 6 months, if any such offerings are completed. If offerings totaling at least $6 million are not completed during the 6 months, the investors have the right to acquire up to 1,126 additional shares of convertible preferred stock at $6.33 per share. Any unconverted preferred stock is converted (based on the face value of the shares), at the applicable conversion price, on April 13, 2002 in the case of the original stock and two years after the first acquisition of any of the additional 1,126 shares, if any are acquired. The warrant expires on April 13, 2005.</w:t>
      </w:r>
    </w:p>
    <w:p>
      <w:pPr>
        <w:spacing w:after="0" w:line="89" w:lineRule="exact"/>
        <w:rPr>
          <w:sz w:val="20"/>
          <w:szCs w:val="20"/>
          <w:color w:val="auto"/>
        </w:rPr>
      </w:pPr>
    </w:p>
    <w:p>
      <w:pPr>
        <w:ind w:left="348" w:hanging="348"/>
        <w:spacing w:after="0"/>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w:t>
      </w:r>
    </w:p>
    <w:p>
      <w:pPr>
        <w:spacing w:after="0" w:line="174" w:lineRule="exact"/>
        <w:rPr>
          <w:sz w:val="20"/>
          <w:szCs w:val="20"/>
          <w:color w:val="auto"/>
        </w:rPr>
      </w:pPr>
    </w:p>
    <w:p>
      <w:pPr>
        <w:ind w:left="8" w:right="3079" w:firstLine="358"/>
        <w:spacing w:after="0" w:line="259" w:lineRule="auto"/>
        <w:rPr>
          <w:sz w:val="20"/>
          <w:szCs w:val="20"/>
          <w:color w:val="auto"/>
        </w:rPr>
      </w:pPr>
      <w:r>
        <w:rPr>
          <w:rFonts w:ascii="Courier New" w:cs="Courier New" w:eastAsia="Courier New" w:hAnsi="Courier New"/>
          <w:sz w:val="15"/>
          <w:szCs w:val="15"/>
          <w:color w:val="auto"/>
        </w:rPr>
        <w:t>Until mid-1999, the Company engaged in research and development in encapsulated cell therapy technology,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81" w:lineRule="exact"/>
        <w:rPr>
          <w:sz w:val="20"/>
          <w:szCs w:val="20"/>
          <w:color w:val="auto"/>
        </w:rPr>
      </w:pPr>
    </w:p>
    <w:p>
      <w:pPr>
        <w:ind w:left="8" w:right="3439" w:firstLine="358"/>
        <w:spacing w:after="0" w:line="281"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236" w:lineRule="exact"/>
        <w:rPr>
          <w:sz w:val="20"/>
          <w:szCs w:val="20"/>
          <w:color w:val="auto"/>
        </w:rPr>
      </w:pPr>
    </w:p>
    <w:p>
      <w:pPr>
        <w:ind w:left="8" w:right="3079" w:firstLine="358"/>
        <w:spacing w:after="0" w:line="252" w:lineRule="auto"/>
        <w:rPr>
          <w:sz w:val="20"/>
          <w:szCs w:val="20"/>
          <w:color w:val="auto"/>
        </w:rPr>
      </w:pPr>
      <w:r>
        <w:rPr>
          <w:rFonts w:ascii="Courier New" w:cs="Courier New" w:eastAsia="Courier New" w:hAnsi="Courier New"/>
          <w:sz w:val="15"/>
          <w:szCs w:val="15"/>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Sunnyvale, California, in</w:t>
      </w:r>
    </w:p>
    <w:p>
      <w:pPr>
        <w:spacing w:after="0" w:line="2" w:lineRule="exact"/>
        <w:rPr>
          <w:sz w:val="20"/>
          <w:szCs w:val="20"/>
          <w:color w:val="auto"/>
        </w:rPr>
      </w:pPr>
    </w:p>
    <w:p>
      <w:pPr>
        <w:ind w:left="8" w:right="3079"/>
        <w:spacing w:after="0" w:line="248" w:lineRule="auto"/>
        <w:rPr>
          <w:sz w:val="20"/>
          <w:szCs w:val="20"/>
          <w:color w:val="auto"/>
        </w:rPr>
      </w:pPr>
      <w:r>
        <w:rPr>
          <w:rFonts w:ascii="Courier New" w:cs="Courier New" w:eastAsia="Courier New" w:hAnsi="Courier New"/>
          <w:sz w:val="15"/>
          <w:szCs w:val="15"/>
          <w:color w:val="auto"/>
        </w:rPr>
        <w:t>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262" w:lineRule="exact"/>
        <w:rPr>
          <w:sz w:val="20"/>
          <w:szCs w:val="20"/>
          <w:color w:val="auto"/>
        </w:rPr>
      </w:pPr>
    </w:p>
    <w:p>
      <w:pPr>
        <w:ind w:left="8" w:right="3259" w:firstLine="358"/>
        <w:spacing w:after="0" w:line="266" w:lineRule="auto"/>
        <w:rPr>
          <w:sz w:val="20"/>
          <w:szCs w:val="20"/>
          <w:color w:val="auto"/>
        </w:rPr>
      </w:pPr>
      <w:r>
        <w:rPr>
          <w:rFonts w:ascii="Courier New" w:cs="Courier New" w:eastAsia="Courier New" w:hAnsi="Courier New"/>
          <w:sz w:val="15"/>
          <w:szCs w:val="15"/>
          <w:color w:val="auto"/>
        </w:rPr>
        <w:t>Wind-down expenses totaled approximately $6,048,000 for the year ended December 31, 1999; no such expenses were incurred in 1998 and 1997. These expenses relate to the wind-down of the Company's encapsulated cell technology research and development program and the Company's other Rhode Island operations, and the transfer of the Company's corporate headquarters to Sunnyvale, California.</w:t>
      </w:r>
    </w:p>
    <w:p>
      <w:pPr>
        <w:spacing w:after="0" w:line="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435" w:right="1440" w:bottom="1440" w:gutter="0" w:footer="0" w:header="0"/>
        </w:sectPr>
      </w:pPr>
    </w:p>
    <w:bookmarkStart w:id="69" w:name="page70"/>
    <w:bookmarkEnd w:id="69"/>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8" w:right="3259" w:hanging="8"/>
        <w:spacing w:after="0" w:line="262" w:lineRule="auto"/>
        <w:tabs>
          <w:tab w:leader="none" w:pos="3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1" w:lineRule="exact"/>
        <w:rPr>
          <w:rFonts w:ascii="Courier New" w:cs="Courier New" w:eastAsia="Courier New" w:hAnsi="Courier New"/>
          <w:sz w:val="15"/>
          <w:szCs w:val="15"/>
          <w:color w:val="auto"/>
        </w:rPr>
      </w:pPr>
    </w:p>
    <w:p>
      <w:pPr>
        <w:ind w:left="8" w:right="3699" w:firstLine="358"/>
        <w:spacing w:after="0" w:line="31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these expenses, including the amounts and periods of recognition, are as follows:</w:t>
      </w:r>
    </w:p>
    <w:p>
      <w:pPr>
        <w:spacing w:after="0" w:line="38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13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THIRD QUARTER</w:t>
            </w:r>
          </w:p>
        </w:tc>
        <w:tc>
          <w:tcPr>
            <w:tcW w:w="1520" w:type="dxa"/>
            <w:vAlign w:val="bottom"/>
            <w:gridSpan w:val="2"/>
            <w:vMerge w:val="restart"/>
          </w:tcPr>
          <w:p>
            <w:pPr>
              <w:jc w:val="right"/>
              <w:ind w:right="45"/>
              <w:spacing w:after="0"/>
              <w:rPr>
                <w:sz w:val="20"/>
                <w:szCs w:val="20"/>
                <w:color w:val="auto"/>
              </w:rPr>
            </w:pPr>
            <w:r>
              <w:rPr>
                <w:rFonts w:ascii="Courier New" w:cs="Courier New" w:eastAsia="Courier New" w:hAnsi="Courier New"/>
                <w:sz w:val="15"/>
                <w:szCs w:val="15"/>
                <w:color w:val="auto"/>
              </w:rPr>
              <w:t>FOURTH QUARTER</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WIND-DOWN</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EXPENSE</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0"/>
                <w:szCs w:val="20"/>
                <w:color w:val="auto"/>
              </w:rPr>
            </w:pPr>
            <w:r>
              <w:rPr>
                <w:rFonts w:ascii="Courier New" w:cs="Courier New" w:eastAsia="Courier New" w:hAnsi="Courier New"/>
                <w:sz w:val="15"/>
                <w:szCs w:val="15"/>
                <w:color w:val="auto"/>
              </w:rPr>
              <w:t>Employee severance costs...............................</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$1,554,000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$1,554,000</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Impairment losses(1):</w:t>
            </w: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800,000</w:t>
            </w:r>
          </w:p>
        </w:tc>
        <w:tc>
          <w:tcPr>
            <w:tcW w:w="400" w:type="dxa"/>
            <w:vAlign w:val="bottom"/>
          </w:tcPr>
          <w:p>
            <w:pPr>
              <w:spacing w:after="0"/>
              <w:rPr>
                <w:sz w:val="14"/>
                <w:szCs w:val="14"/>
                <w:color w:val="auto"/>
              </w:rPr>
            </w:pPr>
          </w:p>
        </w:tc>
        <w:tc>
          <w:tcPr>
            <w:tcW w:w="112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800,000</w:t>
            </w:r>
          </w:p>
        </w:tc>
        <w:tc>
          <w:tcPr>
            <w:tcW w:w="0" w:type="dxa"/>
            <w:vAlign w:val="bottom"/>
          </w:tcPr>
          <w:p>
            <w:pPr>
              <w:spacing w:after="0"/>
              <w:rPr>
                <w:sz w:val="1"/>
                <w:szCs w:val="1"/>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Fixed assets.........................................</w:t>
            </w:r>
          </w:p>
        </w:tc>
        <w:tc>
          <w:tcPr>
            <w:tcW w:w="1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ECT patents..........................................</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260,000</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1,060,000</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6"/>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Rhode Island facilities carrying costs(2):</w:t>
            </w:r>
          </w:p>
        </w:tc>
        <w:tc>
          <w:tcPr>
            <w:tcW w:w="138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1,060,000</w:t>
            </w:r>
          </w:p>
        </w:tc>
        <w:tc>
          <w:tcPr>
            <w:tcW w:w="0" w:type="dxa"/>
            <w:vAlign w:val="bottom"/>
          </w:tcPr>
          <w:p>
            <w:pPr>
              <w:spacing w:after="0"/>
              <w:rPr>
                <w:sz w:val="1"/>
                <w:szCs w:val="1"/>
                <w:color w:val="auto"/>
              </w:rPr>
            </w:pPr>
          </w:p>
        </w:tc>
      </w:tr>
      <w:tr>
        <w:trPr>
          <w:trHeight w:val="78"/>
        </w:trPr>
        <w:tc>
          <w:tcPr>
            <w:tcW w:w="5000" w:type="dxa"/>
            <w:vAlign w:val="bottom"/>
            <w:vMerge w:val="continue"/>
          </w:tcPr>
          <w:p>
            <w:pPr>
              <w:spacing w:after="0"/>
              <w:rPr>
                <w:sz w:val="6"/>
                <w:szCs w:val="6"/>
                <w:color w:val="auto"/>
              </w:rPr>
            </w:pP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702,000</w:t>
            </w:r>
          </w:p>
        </w:tc>
        <w:tc>
          <w:tcPr>
            <w:tcW w:w="400" w:type="dxa"/>
            <w:vAlign w:val="bottom"/>
          </w:tcPr>
          <w:p>
            <w:pPr>
              <w:spacing w:after="0"/>
              <w:rPr>
                <w:sz w:val="6"/>
                <w:szCs w:val="6"/>
                <w:color w:val="auto"/>
              </w:rPr>
            </w:pPr>
          </w:p>
        </w:tc>
        <w:tc>
          <w:tcPr>
            <w:tcW w:w="112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702,000</w:t>
            </w:r>
          </w:p>
        </w:tc>
        <w:tc>
          <w:tcPr>
            <w:tcW w:w="0" w:type="dxa"/>
            <w:vAlign w:val="bottom"/>
          </w:tcPr>
          <w:p>
            <w:pPr>
              <w:spacing w:after="0"/>
              <w:rPr>
                <w:sz w:val="1"/>
                <w:szCs w:val="1"/>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Corporate headquarters...............................</w:t>
            </w:r>
          </w:p>
        </w:tc>
        <w:tc>
          <w:tcPr>
            <w:tcW w:w="1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Pilot manufacturing plant............................</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562,000</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1,264,000</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Employee outplacement..................................</w:t>
            </w:r>
          </w:p>
        </w:tc>
        <w:tc>
          <w:tcPr>
            <w:tcW w:w="1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1,264,000</w:t>
            </w: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c>
          <w:tcPr>
            <w:tcW w:w="0" w:type="dxa"/>
            <w:vAlign w:val="bottom"/>
          </w:tcPr>
          <w:p>
            <w:pPr>
              <w:spacing w:after="0"/>
              <w:rPr>
                <w:sz w:val="1"/>
                <w:szCs w:val="1"/>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RIPSAT settlement(3)...................................</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1,172,000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1,172,000</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Loss on sale of assets(4):</w:t>
            </w: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318,000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318,000</w:t>
            </w:r>
          </w:p>
        </w:tc>
        <w:tc>
          <w:tcPr>
            <w:tcW w:w="0" w:type="dxa"/>
            <w:vAlign w:val="bottom"/>
          </w:tcPr>
          <w:p>
            <w:pPr>
              <w:spacing w:after="0"/>
              <w:rPr>
                <w:sz w:val="1"/>
                <w:szCs w:val="1"/>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Fixed assets.........................................</w:t>
            </w:r>
          </w:p>
        </w:tc>
        <w:tc>
          <w:tcPr>
            <w:tcW w:w="1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ECT patents..........................................</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180,000</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Write-down of pilot plant(5)...........................</w:t>
            </w:r>
          </w:p>
        </w:tc>
        <w:tc>
          <w:tcPr>
            <w:tcW w:w="1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498,000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498,000</w:t>
            </w: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22"/>
                <w:szCs w:val="22"/>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4,078,000</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$1,970,000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$6,048,000</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right="3079" w:hanging="348"/>
        <w:spacing w:after="0" w:line="281"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64" w:lineRule="exact"/>
        <w:rPr>
          <w:rFonts w:ascii="Courier New" w:cs="Courier New" w:eastAsia="Courier New" w:hAnsi="Courier New"/>
          <w:sz w:val="15"/>
          <w:szCs w:val="15"/>
          <w:color w:val="auto"/>
        </w:rPr>
      </w:pPr>
    </w:p>
    <w:p>
      <w:pPr>
        <w:ind w:left="348" w:right="3519" w:hanging="348"/>
        <w:spacing w:after="0" w:line="281"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Facilities carrying costs include operating lease payments, utilities, property taxes, insurance, maintenance, interest and other non-employee related expenses necessary to maintaining these facilities through the expected date of disposition (June 30, 2000).</w:t>
      </w:r>
    </w:p>
    <w:p>
      <w:pPr>
        <w:spacing w:after="0" w:line="64" w:lineRule="exact"/>
        <w:rPr>
          <w:rFonts w:ascii="Courier New" w:cs="Courier New" w:eastAsia="Courier New" w:hAnsi="Courier New"/>
          <w:sz w:val="15"/>
          <w:szCs w:val="15"/>
          <w:color w:val="auto"/>
        </w:rPr>
      </w:pPr>
    </w:p>
    <w:p>
      <w:pPr>
        <w:ind w:left="348" w:right="3159" w:hanging="348"/>
        <w:spacing w:after="0" w:line="257"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82" w:lineRule="exact"/>
        <w:rPr>
          <w:rFonts w:ascii="Courier New" w:cs="Courier New" w:eastAsia="Courier New" w:hAnsi="Courier New"/>
          <w:sz w:val="15"/>
          <w:szCs w:val="15"/>
          <w:color w:val="auto"/>
        </w:rPr>
      </w:pPr>
    </w:p>
    <w:p>
      <w:pPr>
        <w:ind w:left="348" w:right="3079" w:hanging="348"/>
        <w:spacing w:after="0" w:line="301"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4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7"/>
          </w:cols>
          <w:pgMar w:left="232" w:top="435" w:right="1440" w:bottom="1440" w:gutter="0" w:footer="0" w:header="0"/>
        </w:sectPr>
      </w:pPr>
    </w:p>
    <w:bookmarkStart w:id="70" w:name="page71"/>
    <w:bookmarkEnd w:id="70"/>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8" w:right="3259" w:hanging="8"/>
        <w:spacing w:after="0" w:line="262" w:lineRule="auto"/>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1" w:lineRule="exact"/>
        <w:rPr>
          <w:rFonts w:ascii="Courier New" w:cs="Courier New" w:eastAsia="Courier New" w:hAnsi="Courier New"/>
          <w:sz w:val="15"/>
          <w:szCs w:val="15"/>
          <w:color w:val="auto"/>
        </w:rPr>
      </w:pPr>
    </w:p>
    <w:p>
      <w:pPr>
        <w:ind w:left="348" w:right="3079" w:hanging="358"/>
        <w:spacing w:after="0" w:line="2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 The write-down of the pilot plant was based on an independent property appraisal, which was not available during the third quarter, when the Company reached a decision to exit ECT activities and relocate the corporate headquarters.</w:t>
      </w:r>
    </w:p>
    <w:p>
      <w:pPr>
        <w:spacing w:after="0" w:line="73" w:lineRule="exact"/>
        <w:rPr>
          <w:sz w:val="20"/>
          <w:szCs w:val="20"/>
          <w:color w:val="auto"/>
        </w:rPr>
      </w:pPr>
    </w:p>
    <w:p>
      <w:pPr>
        <w:ind w:left="8" w:right="3159" w:firstLine="358"/>
        <w:spacing w:after="0" w:line="301" w:lineRule="auto"/>
        <w:rPr>
          <w:sz w:val="20"/>
          <w:szCs w:val="20"/>
          <w:color w:val="auto"/>
        </w:rPr>
      </w:pPr>
      <w:r>
        <w:rPr>
          <w:rFonts w:ascii="Courier New" w:cs="Courier New" w:eastAsia="Courier New" w:hAnsi="Courier New"/>
          <w:sz w:val="15"/>
          <w:szCs w:val="15"/>
          <w:color w:val="auto"/>
        </w:rPr>
        <w:t>At December 31, 1999, the Company's $1.6 million wind-down reserve included approximately $1.2 million for the RIPSAT settlement and approximately $0.4 million for Rhode Island facility costs.</w:t>
      </w:r>
    </w:p>
    <w:p>
      <w:pPr>
        <w:spacing w:after="0" w:line="49" w:lineRule="exact"/>
        <w:rPr>
          <w:sz w:val="20"/>
          <w:szCs w:val="20"/>
          <w:color w:val="auto"/>
        </w:rPr>
      </w:pPr>
    </w:p>
    <w:p>
      <w:pPr>
        <w:ind w:left="8" w:right="3079" w:firstLine="358"/>
        <w:spacing w:after="0" w:line="255" w:lineRule="auto"/>
        <w:rPr>
          <w:sz w:val="20"/>
          <w:szCs w:val="20"/>
          <w:color w:val="auto"/>
        </w:rPr>
      </w:pPr>
      <w:r>
        <w:rPr>
          <w:rFonts w:ascii="Courier New" w:cs="Courier New" w:eastAsia="Courier New" w:hAnsi="Courier New"/>
          <w:sz w:val="15"/>
          <w:szCs w:val="15"/>
          <w:color w:val="auto"/>
        </w:rPr>
        <w:t>Property held for sale at December 31, 1999, consisted of $3.2 million relating to the Company's pilot plant facility located in Lincoln, Rhode Island. The Company suspended depreciation of these assets totalling approximately $140,000 for the quarter ended December 31, 1999. The balance reflected the $300,000 write-down included as part of the additional wind-down expenses recognized during the fourth quarter, in accordance with Financial 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87" w:lineRule="exact"/>
        <w:rPr>
          <w:sz w:val="20"/>
          <w:szCs w:val="20"/>
          <w:color w:val="auto"/>
        </w:rPr>
      </w:pPr>
    </w:p>
    <w:p>
      <w:pPr>
        <w:ind w:left="348" w:hanging="348"/>
        <w:spacing w:after="0"/>
        <w:tabs>
          <w:tab w:leader="none" w:pos="3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In September 1997, a merger of a wholly owned subsidiary of the company and</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StemCells California, Inc. was completed in the form of a purchase. Through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merger, the Company acquired StemCells California, Inc. for a purchase price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totaling approximately $9,475,000, consisting of 1,320,691 shares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common stock, valued at $6,600,000 and options and warrants for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purchase of 259,296 common shares at nominal consideration, valued 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$1,300,000, the assumption of certain liabilities of $934,000 and transaction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costs of $641,000. Options and warrants were valued utilizing the intrinsic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method; the resultant value approximated the value determined using the Black-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Scholes method. The purchase price was allocated, based upon an asset valuation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study using income approach methods, to license agreements valued at $1,131,000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be amortized over three years and acquired research and development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$8,344,000, which was expensed. The acquired research and development had not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reached scientific feasibility and had no alternative future uses. As part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acquisition of StemCells, Richard M. Rose, M.D., became President, Chief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 and director of the Company and Dr. Irving Weissman became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 of the Company.</w:t>
      </w:r>
    </w:p>
    <w:p>
      <w:pPr>
        <w:spacing w:after="0" w:line="146" w:lineRule="exact"/>
        <w:rPr>
          <w:sz w:val="20"/>
          <w:szCs w:val="20"/>
          <w:color w:val="auto"/>
        </w:rPr>
      </w:pPr>
    </w:p>
    <w:p>
      <w:pPr>
        <w:ind w:left="8" w:right="3079" w:firstLine="358"/>
        <w:spacing w:after="0" w:line="266" w:lineRule="auto"/>
        <w:rPr>
          <w:sz w:val="20"/>
          <w:szCs w:val="20"/>
          <w:color w:val="auto"/>
        </w:rPr>
      </w:pPr>
      <w:r>
        <w:rPr>
          <w:rFonts w:ascii="Courier New" w:cs="Courier New" w:eastAsia="Courier New" w:hAnsi="Courier New"/>
          <w:sz w:val="15"/>
          <w:szCs w:val="15"/>
          <w:color w:val="auto"/>
        </w:rPr>
        <w:t>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w:t>
      </w:r>
    </w:p>
    <w:p>
      <w:pPr>
        <w:spacing w:after="0" w:line="74" w:lineRule="exact"/>
        <w:rPr>
          <w:sz w:val="20"/>
          <w:szCs w:val="20"/>
          <w:color w:val="auto"/>
        </w:rPr>
      </w:pPr>
    </w:p>
    <w:p>
      <w:pPr>
        <w:ind w:left="8" w:right="3079" w:firstLine="358"/>
        <w:spacing w:after="0" w:line="255" w:lineRule="auto"/>
        <w:rPr>
          <w:sz w:val="20"/>
          <w:szCs w:val="20"/>
          <w:color w:val="auto"/>
        </w:rPr>
      </w:pPr>
      <w:r>
        <w:rPr>
          <w:rFonts w:ascii="Courier New" w:cs="Courier New" w:eastAsia="Courier New" w:hAnsi="Courier New"/>
          <w:sz w:val="15"/>
          <w:szCs w:val="15"/>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469,000 options would vest over eight years. The</w:t>
      </w:r>
    </w:p>
    <w:p>
      <w:pPr>
        <w:spacing w:after="0" w:line="8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7"/>
          </w:cols>
          <w:pgMar w:left="232" w:top="435" w:right="1440" w:bottom="1440" w:gutter="0" w:footer="0" w:header="0"/>
        </w:sectPr>
      </w:pPr>
    </w:p>
    <w:bookmarkStart w:id="71" w:name="page72"/>
    <w:bookmarkEnd w:id="71"/>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 (CONTINUED)</w:t>
      </w:r>
    </w:p>
    <w:p>
      <w:pPr>
        <w:spacing w:after="0" w:line="30" w:lineRule="exact"/>
        <w:rPr>
          <w:sz w:val="20"/>
          <w:szCs w:val="20"/>
          <w:color w:val="auto"/>
        </w:rPr>
      </w:pPr>
    </w:p>
    <w:p>
      <w:pPr>
        <w:ind w:left="8" w:right="3079"/>
        <w:spacing w:after="0" w:line="248" w:lineRule="auto"/>
        <w:rPr>
          <w:sz w:val="20"/>
          <w:szCs w:val="20"/>
          <w:color w:val="auto"/>
        </w:rPr>
      </w:pPr>
      <w:r>
        <w:rPr>
          <w:rFonts w:ascii="Courier New" w:cs="Courier New" w:eastAsia="Courier New" w:hAnsi="Courier New"/>
          <w:sz w:val="15"/>
          <w:szCs w:val="15"/>
          <w:color w:val="auto"/>
        </w:rPr>
        <w:t>expense associated with the grants that vested immediately was considered non-employee compensation and was based on the fair value of the options granted. The expense was considered immaterial. In connection with the 469,000 options issued to a non-employee, Dr. Anderson, the Company recorded deferred compensation of $1,750,000, the fair value of such options at the date of grant, which will be amortized over an eight-year period. The fair value was determined using the Black-Scholes method with the following inputs: volatility .594, expected life 8 years, dividend yield 0.0%, risk free rate 5.98%. If the milestones specified relating to the 1,031,000 option granted to non-employees Drs. Weissman and Gage are achieved, at that time the company will record compensation expense for the fair market value of such options determined using the Black-Scholes method. The company has also designated a pool of 400,000 options to be granted to persons in a position to make a significant contribution to the success of the stem cell program.</w:t>
      </w:r>
    </w:p>
    <w:p>
      <w:pPr>
        <w:spacing w:after="0" w:line="94" w:lineRule="exact"/>
        <w:rPr>
          <w:sz w:val="20"/>
          <w:szCs w:val="20"/>
          <w:color w:val="auto"/>
        </w:rPr>
      </w:pPr>
    </w:p>
    <w:p>
      <w:pPr>
        <w:ind w:left="8" w:right="3079" w:firstLine="358"/>
        <w:spacing w:after="0" w:line="271" w:lineRule="auto"/>
        <w:rPr>
          <w:sz w:val="20"/>
          <w:szCs w:val="20"/>
          <w:color w:val="auto"/>
        </w:rPr>
      </w:pPr>
      <w:r>
        <w:rPr>
          <w:rFonts w:ascii="Courier New" w:cs="Courier New" w:eastAsia="Courier New" w:hAnsi="Courier New"/>
          <w:sz w:val="14"/>
          <w:szCs w:val="14"/>
          <w:color w:val="auto"/>
        </w:rPr>
        <w:t>Stem cell research is conducted pursuant to the provisions of an agreement between the company and Drs. Weissman and Gage providing for a two-year research plan. If the goals of the research plan are accomplished, the Company has agreed to fund continuing stem cell research. Increases in stem cells research funding of not more than 25% a year will be funded by the Company as long as the goals of the research plan are being met. However, the Company will retain the option of (i) ceasing or reducing brain stem cell research even if all research plan goals are met, but will be required to accelerate the vesting of all still-achievable performance based stock options, and (ii) ceasing or reducing non-brain stem cell research even if all plan goals are being met by affording the scientific research founders the opportunity to continue development of the non-brain stem cell research by licensing the technology related to such research to the founders in exchange for a payment to the Company equal to all prior Company funding for such research, plus royalty payments.</w:t>
      </w:r>
    </w:p>
    <w:p>
      <w:pPr>
        <w:spacing w:after="0" w:line="73" w:lineRule="exact"/>
        <w:rPr>
          <w:sz w:val="20"/>
          <w:szCs w:val="20"/>
          <w:color w:val="auto"/>
        </w:rPr>
      </w:pPr>
    </w:p>
    <w:p>
      <w:pPr>
        <w:ind w:left="348" w:hanging="348"/>
        <w:spacing w:after="0"/>
        <w:tabs>
          <w:tab w:leader="none" w:pos="3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MODEX</w:t>
      </w:r>
    </w:p>
    <w:p>
      <w:pPr>
        <w:spacing w:after="0" w:line="174" w:lineRule="exact"/>
        <w:rPr>
          <w:sz w:val="20"/>
          <w:szCs w:val="20"/>
          <w:color w:val="auto"/>
        </w:rPr>
      </w:pPr>
    </w:p>
    <w:p>
      <w:pPr>
        <w:ind w:left="8" w:right="3079" w:firstLine="358"/>
        <w:spacing w:after="0" w:line="255"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 transactions of $3,387,000.</w:t>
      </w:r>
    </w:p>
    <w:p>
      <w:pPr>
        <w:spacing w:after="0" w:line="87" w:lineRule="exact"/>
        <w:rPr>
          <w:sz w:val="20"/>
          <w:szCs w:val="20"/>
          <w:color w:val="auto"/>
        </w:rPr>
      </w:pPr>
    </w:p>
    <w:p>
      <w:pPr>
        <w:ind w:left="8" w:right="3159" w:firstLine="358"/>
        <w:spacing w:after="0" w:line="281"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at December 31, 1999.</w:t>
      </w:r>
    </w:p>
    <w:p>
      <w:pPr>
        <w:spacing w:after="0" w:line="64" w:lineRule="exact"/>
        <w:rPr>
          <w:sz w:val="20"/>
          <w:szCs w:val="20"/>
          <w:color w:val="auto"/>
        </w:rPr>
      </w:pPr>
    </w:p>
    <w:p>
      <w:pPr>
        <w:jc w:val="both"/>
        <w:ind w:left="8" w:right="3079" w:firstLine="358"/>
        <w:spacing w:after="0" w:line="266" w:lineRule="auto"/>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7"/>
          </w:cols>
          <w:pgMar w:left="232" w:top="435" w:right="1440" w:bottom="1440" w:gutter="0" w:footer="0" w:header="0"/>
        </w:sectPr>
      </w:pPr>
    </w:p>
    <w:bookmarkStart w:id="72" w:name="page73"/>
    <w:bookmarkEnd w:id="72"/>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SECURITIES</w:t>
      </w:r>
    </w:p>
    <w:p>
      <w:pPr>
        <w:spacing w:after="0" w:line="174" w:lineRule="exact"/>
        <w:rPr>
          <w:sz w:val="20"/>
          <w:szCs w:val="20"/>
          <w:color w:val="auto"/>
        </w:rPr>
      </w:pPr>
    </w:p>
    <w:p>
      <w:pPr>
        <w:ind w:left="8" w:right="3079" w:firstLine="358"/>
        <w:spacing w:after="0" w:line="281" w:lineRule="auto"/>
        <w:rPr>
          <w:sz w:val="20"/>
          <w:szCs w:val="20"/>
          <w:color w:val="auto"/>
        </w:rPr>
      </w:pPr>
      <w:r>
        <w:rPr>
          <w:rFonts w:ascii="Courier New" w:cs="Courier New" w:eastAsia="Courier New" w:hAnsi="Courier New"/>
          <w:sz w:val="15"/>
          <w:szCs w:val="15"/>
          <w:color w:val="auto"/>
        </w:rPr>
        <w:t>During 1999, the Company sold all of its remaining marketable equitable securities. At December 31, 1999, all of the Company's available funds were held in cash and cash equivalents. The following is a summary of available-for-sale securities held at December 31, 1998:</w:t>
      </w:r>
    </w:p>
    <w:p>
      <w:pPr>
        <w:spacing w:after="0" w:line="200" w:lineRule="exact"/>
        <w:rPr>
          <w:sz w:val="20"/>
          <w:szCs w:val="20"/>
          <w:color w:val="auto"/>
        </w:rPr>
      </w:pPr>
    </w:p>
    <w:p>
      <w:pPr>
        <w:spacing w:after="0" w:line="20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DECEMBER 31, 1998</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47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GROSS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GROSS</w:t>
            </w: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ESTIMATED</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220" w:type="dxa"/>
            <w:vAlign w:val="bottom"/>
            <w:vMerge w:val="restart"/>
          </w:tcPr>
          <w:p>
            <w:pPr>
              <w:jc w:val="right"/>
              <w:ind w:right="429"/>
              <w:spacing w:after="0"/>
              <w:rPr>
                <w:sz w:val="20"/>
                <w:szCs w:val="20"/>
                <w:color w:val="auto"/>
              </w:rPr>
            </w:pPr>
            <w:r>
              <w:rPr>
                <w:rFonts w:ascii="Courier New" w:cs="Courier New" w:eastAsia="Courier New" w:hAnsi="Courier New"/>
                <w:sz w:val="15"/>
                <w:szCs w:val="15"/>
                <w:color w:val="auto"/>
              </w:rPr>
              <w:t>COST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UNREALIZED</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UNREALIZED</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GAINS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LOSSES</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FAIR VALUE</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1220" w:type="dxa"/>
            <w:vAlign w:val="bottom"/>
          </w:tcPr>
          <w:p>
            <w:pPr>
              <w:jc w:val="right"/>
              <w:ind w:right="69"/>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0"/>
                <w:szCs w:val="20"/>
                <w:color w:val="auto"/>
              </w:rPr>
            </w:pPr>
            <w:r>
              <w:rPr>
                <w:rFonts w:ascii="Courier New" w:cs="Courier New" w:eastAsia="Courier New" w:hAnsi="Courier New"/>
                <w:sz w:val="15"/>
                <w:szCs w:val="15"/>
                <w:color w:val="auto"/>
              </w:rPr>
              <w:t>U.S. government securities.....................</w:t>
            </w:r>
          </w:p>
        </w:tc>
        <w:tc>
          <w:tcPr>
            <w:tcW w:w="1220" w:type="dxa"/>
            <w:vAlign w:val="bottom"/>
          </w:tcPr>
          <w:p>
            <w:pPr>
              <w:jc w:val="right"/>
              <w:ind w:right="69"/>
              <w:spacing w:after="0"/>
              <w:rPr>
                <w:sz w:val="20"/>
                <w:szCs w:val="20"/>
                <w:color w:val="auto"/>
              </w:rPr>
            </w:pPr>
            <w:r>
              <w:rPr>
                <w:rFonts w:ascii="Courier New" w:cs="Courier New" w:eastAsia="Courier New" w:hAnsi="Courier New"/>
                <w:sz w:val="15"/>
                <w:szCs w:val="15"/>
                <w:color w:val="auto"/>
              </w:rPr>
              <w:t>$ 1,500,994</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$1,720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(504)</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$ 1,502,210</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U.S. corporate securities......................</w:t>
            </w:r>
          </w:p>
        </w:tc>
        <w:tc>
          <w:tcPr>
            <w:tcW w:w="1220" w:type="dxa"/>
            <w:vAlign w:val="bottom"/>
          </w:tcPr>
          <w:p>
            <w:pPr>
              <w:jc w:val="right"/>
              <w:ind w:right="69"/>
              <w:spacing w:after="0"/>
              <w:rPr>
                <w:sz w:val="20"/>
                <w:szCs w:val="20"/>
                <w:color w:val="auto"/>
              </w:rPr>
            </w:pPr>
            <w:r>
              <w:rPr>
                <w:rFonts w:ascii="Courier New" w:cs="Courier New" w:eastAsia="Courier New" w:hAnsi="Courier New"/>
                <w:sz w:val="15"/>
                <w:szCs w:val="15"/>
                <w:color w:val="auto"/>
              </w:rPr>
              <w:t>9,225,095</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3,244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(9,658)</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9,218,681</w:t>
            </w:r>
          </w:p>
        </w:tc>
        <w:tc>
          <w:tcPr>
            <w:tcW w:w="0" w:type="dxa"/>
            <w:vAlign w:val="bottom"/>
          </w:tcPr>
          <w:p>
            <w:pPr>
              <w:spacing w:after="0"/>
              <w:rPr>
                <w:sz w:val="1"/>
                <w:szCs w:val="1"/>
                <w:color w:val="auto"/>
              </w:rPr>
            </w:pPr>
          </w:p>
        </w:tc>
      </w:tr>
      <w:tr>
        <w:trPr>
          <w:trHeight w:val="17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Total debt securities..........................</w:t>
            </w:r>
          </w:p>
        </w:tc>
        <w:tc>
          <w:tcPr>
            <w:tcW w:w="1220" w:type="dxa"/>
            <w:vAlign w:val="bottom"/>
            <w:vMerge w:val="restart"/>
          </w:tcPr>
          <w:p>
            <w:pPr>
              <w:jc w:val="right"/>
              <w:ind w:right="69"/>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7"/>
                <w:szCs w:val="17"/>
                <w:color w:val="auto"/>
                <w:w w:val="71"/>
                <w:vertAlign w:val="superscript"/>
              </w:rPr>
              <w:t>-----------</w:t>
            </w:r>
            <w:r>
              <w:rPr>
                <w:rFonts w:ascii="Courier New" w:cs="Courier New" w:eastAsia="Courier New" w:hAnsi="Courier New"/>
                <w:sz w:val="11"/>
                <w:szCs w:val="11"/>
                <w:color w:val="auto"/>
                <w:w w:val="71"/>
              </w:rPr>
              <w:t>10,726,089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$4,964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$(10,162)</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10,720,891</w:t>
            </w:r>
          </w:p>
        </w:tc>
        <w:tc>
          <w:tcPr>
            <w:tcW w:w="0" w:type="dxa"/>
            <w:vAlign w:val="bottom"/>
          </w:tcPr>
          <w:p>
            <w:pPr>
              <w:spacing w:after="0"/>
              <w:rPr>
                <w:sz w:val="1"/>
                <w:szCs w:val="1"/>
                <w:color w:val="auto"/>
              </w:rPr>
            </w:pPr>
          </w:p>
        </w:tc>
      </w:tr>
      <w:tr>
        <w:trPr>
          <w:trHeight w:val="25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Debt securities included in cash and cash</w:t>
            </w:r>
          </w:p>
        </w:tc>
        <w:tc>
          <w:tcPr>
            <w:tcW w:w="1220" w:type="dxa"/>
            <w:vAlign w:val="bottom"/>
          </w:tcPr>
          <w:p>
            <w:pPr>
              <w:jc w:val="right"/>
              <w:ind w:right="69"/>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42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(1,199,952)</w:t>
            </w:r>
          </w:p>
        </w:tc>
        <w:tc>
          <w:tcPr>
            <w:tcW w:w="0" w:type="dxa"/>
            <w:vAlign w:val="bottom"/>
          </w:tcPr>
          <w:p>
            <w:pPr>
              <w:spacing w:after="0"/>
              <w:rPr>
                <w:sz w:val="1"/>
                <w:szCs w:val="1"/>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equivalents..................................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Debt securities included in marketable</w:t>
            </w:r>
          </w:p>
        </w:tc>
        <w:tc>
          <w:tcPr>
            <w:tcW w:w="1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$ 9,520,939</w:t>
            </w:r>
          </w:p>
        </w:tc>
        <w:tc>
          <w:tcPr>
            <w:tcW w:w="0" w:type="dxa"/>
            <w:vAlign w:val="bottom"/>
          </w:tcPr>
          <w:p>
            <w:pPr>
              <w:spacing w:after="0"/>
              <w:rPr>
                <w:sz w:val="1"/>
                <w:szCs w:val="1"/>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4"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8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4740" w:type="dxa"/>
            <w:vAlign w:val="bottom"/>
          </w:tcPr>
          <w:p>
            <w:pPr>
              <w:spacing w:after="0"/>
              <w:rPr>
                <w:sz w:val="21"/>
                <w:szCs w:val="21"/>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7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665,890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5,665,077</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1,691,096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9,887,251</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219,260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869,831</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2,576,286</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16,422,159</w:t>
            </w:r>
          </w:p>
        </w:tc>
        <w:tc>
          <w:tcPr>
            <w:tcW w:w="0" w:type="dxa"/>
            <w:vAlign w:val="bottom"/>
          </w:tcPr>
          <w:p>
            <w:pPr>
              <w:spacing w:after="0"/>
              <w:rPr>
                <w:sz w:val="1"/>
                <w:szCs w:val="1"/>
                <w:color w:val="auto"/>
              </w:rPr>
            </w:pPr>
          </w:p>
        </w:tc>
      </w:tr>
      <w:tr>
        <w:trPr>
          <w:trHeight w:val="172"/>
        </w:trPr>
        <w:tc>
          <w:tcPr>
            <w:tcW w:w="4740" w:type="dxa"/>
            <w:vAlign w:val="bottom"/>
            <w:vMerge w:val="continue"/>
          </w:tcPr>
          <w:p>
            <w:pPr>
              <w:ind w:left="4100"/>
              <w:spacing w:after="0" w:line="152"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828,401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8,066,150</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80" w:type="dxa"/>
            <w:vAlign w:val="bottom"/>
            <w:vMerge w:val="restart"/>
          </w:tcPr>
          <w:p>
            <w:pPr>
              <w:ind w:left="8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1,747,885</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8,356,009</w:t>
            </w:r>
          </w:p>
        </w:tc>
        <w:tc>
          <w:tcPr>
            <w:tcW w:w="0" w:type="dxa"/>
            <w:vAlign w:val="bottom"/>
          </w:tcPr>
          <w:p>
            <w:pPr>
              <w:spacing w:after="0"/>
              <w:rPr>
                <w:sz w:val="1"/>
                <w:szCs w:val="1"/>
                <w:color w:val="auto"/>
              </w:rPr>
            </w:pPr>
          </w:p>
        </w:tc>
      </w:tr>
      <w:tr>
        <w:trPr>
          <w:trHeight w:val="252"/>
        </w:trPr>
        <w:tc>
          <w:tcPr>
            <w:tcW w:w="4740" w:type="dxa"/>
            <w:vAlign w:val="bottom"/>
          </w:tcPr>
          <w:p>
            <w:pPr>
              <w:spacing w:after="0"/>
              <w:rPr>
                <w:sz w:val="21"/>
                <w:szCs w:val="21"/>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Depreciation and amortization expense was $1,436,000, $1,720,000, and</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$1,778,000 for the years ending December 31, 1999, 1998 and 1997, respectively.</w:t>
      </w:r>
    </w:p>
    <w:p>
      <w:pPr>
        <w:spacing w:after="0" w:line="146" w:lineRule="exact"/>
        <w:rPr>
          <w:sz w:val="20"/>
          <w:szCs w:val="20"/>
          <w:color w:val="auto"/>
        </w:rPr>
      </w:pPr>
    </w:p>
    <w:p>
      <w:pPr>
        <w:ind w:left="8" w:right="3079" w:firstLine="358"/>
        <w:spacing w:after="0" w:line="255" w:lineRule="auto"/>
        <w:rPr>
          <w:sz w:val="20"/>
          <w:szCs w:val="20"/>
          <w:color w:val="auto"/>
        </w:rPr>
      </w:pPr>
      <w:r>
        <w:rPr>
          <w:rFonts w:ascii="Courier New" w:cs="Courier New" w:eastAsia="Courier New" w:hAnsi="Courier New"/>
          <w:sz w:val="15"/>
          <w:szCs w:val="15"/>
          <w:color w:val="auto"/>
        </w:rPr>
        <w:t>As part of the Company's restructuring of its operations, sale of its encapsulated cell technology ("ECT"), and relocation of its corporate headquarters to Sunnyvale, California, the Company identified machinery and equipment and furniture and fixtures associated with the ECT or otherwise no longer needed. In December of 1999, the Company disposed of these excess fixed assets, realizing proceeds of approximately $746,000. At the time of the sale, these assets had a net book value of approximately $1,063,000 after a third quarter 1999 write-down of $800,000, which was based on management's estimate of expected sale proceeds. The third quarter write-down and actual fourth quarter loss were included in wind-down expenses.</w:t>
      </w:r>
    </w:p>
    <w:p>
      <w:pPr>
        <w:spacing w:after="0" w:line="87"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Certain property, plant and equipment have been acquired under capitalized</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lease obligations. These assets totaled $5,827,000 and $6,587,000, 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1999 and 1998, respectively, with related accumulated amortization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$2,747,000 and $2,860,000 at December 31, 1999 and 1998,</w:t>
      </w:r>
    </w:p>
    <w:p>
      <w:pPr>
        <w:spacing w:after="0" w:line="1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7"/>
          </w:cols>
          <w:pgMar w:left="232" w:top="435" w:right="1440" w:bottom="1440" w:gutter="0" w:footer="0" w:header="0"/>
        </w:sectPr>
      </w:pPr>
    </w:p>
    <w:bookmarkStart w:id="73" w:name="page74"/>
    <w:bookmarkEnd w:id="73"/>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(CONTINUED)</w:t>
      </w:r>
    </w:p>
    <w:p>
      <w:pPr>
        <w:spacing w:after="0" w:line="30" w:lineRule="exact"/>
        <w:rPr>
          <w:sz w:val="20"/>
          <w:szCs w:val="20"/>
          <w:color w:val="auto"/>
        </w:rPr>
      </w:pPr>
    </w:p>
    <w:p>
      <w:pPr>
        <w:ind w:left="8" w:right="3159"/>
        <w:spacing w:after="0" w:line="281" w:lineRule="auto"/>
        <w:rPr>
          <w:sz w:val="20"/>
          <w:szCs w:val="20"/>
          <w:color w:val="auto"/>
        </w:rPr>
      </w:pPr>
      <w:r>
        <w:rPr>
          <w:rFonts w:ascii="Courier New" w:cs="Courier New" w:eastAsia="Courier New" w:hAnsi="Courier New"/>
          <w:sz w:val="15"/>
          <w:szCs w:val="15"/>
          <w:color w:val="auto"/>
        </w:rPr>
        <w:t>respectively. As a result of the Company's decision to exit ECT and relocate to Sunnyvale, CA, this property has been classified as held for sale at December 31, 1999.</w:t>
      </w:r>
    </w:p>
    <w:p>
      <w:pPr>
        <w:spacing w:after="0" w:line="63" w:lineRule="exact"/>
        <w:rPr>
          <w:sz w:val="20"/>
          <w:szCs w:val="20"/>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4"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4820" w:type="dxa"/>
            <w:vAlign w:val="bottom"/>
          </w:tcPr>
          <w:p>
            <w:pPr>
              <w:spacing w:after="0"/>
              <w:rPr>
                <w:sz w:val="21"/>
                <w:szCs w:val="21"/>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Patents,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708,823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$3,938,755</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License agreements,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282,750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659,750</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Security deposit--building lease.....................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Restricted cash......................................</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603,467</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Deferred financing costs,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117,195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123,701</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1,858,768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$6,075,663</w:t>
            </w:r>
          </w:p>
        </w:tc>
        <w:tc>
          <w:tcPr>
            <w:tcW w:w="0" w:type="dxa"/>
            <w:vAlign w:val="bottom"/>
          </w:tcPr>
          <w:p>
            <w:pPr>
              <w:spacing w:after="0"/>
              <w:rPr>
                <w:sz w:val="1"/>
                <w:szCs w:val="1"/>
                <w:color w:val="auto"/>
              </w:rPr>
            </w:pPr>
          </w:p>
        </w:tc>
      </w:tr>
      <w:tr>
        <w:trPr>
          <w:trHeight w:val="252"/>
        </w:trPr>
        <w:tc>
          <w:tcPr>
            <w:tcW w:w="4820" w:type="dxa"/>
            <w:vAlign w:val="bottom"/>
          </w:tcPr>
          <w:p>
            <w:pPr>
              <w:spacing w:after="0"/>
              <w:rPr>
                <w:sz w:val="21"/>
                <w:szCs w:val="21"/>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079" w:firstLine="358"/>
        <w:spacing w:after="0" w:line="259" w:lineRule="auto"/>
        <w:rPr>
          <w:sz w:val="20"/>
          <w:szCs w:val="20"/>
          <w:color w:val="auto"/>
        </w:rPr>
      </w:pPr>
      <w:r>
        <w:rPr>
          <w:rFonts w:ascii="Courier New" w:cs="Courier New" w:eastAsia="Courier New" w:hAnsi="Courier New"/>
          <w:sz w:val="15"/>
          <w:szCs w:val="15"/>
          <w:color w:val="auto"/>
        </w:rPr>
        <w:t>The decrease in patents from 1999 to 1998 was primarily due to management's decision to exit encapsulated cell technology and dispose of the related intellectual property. Management reached this decision during the third quarter of 1999, and established a reserve that included $260,000 directly related to the write-down of encapsulated cell technology patents. During the fourth quarter, management established an additional reserve that included a $180,000 loss associated with the sale of encapsulated cell technology patents worth $3,180,000.</w:t>
      </w:r>
    </w:p>
    <w:p>
      <w:pPr>
        <w:spacing w:after="0" w:line="81" w:lineRule="exact"/>
        <w:rPr>
          <w:sz w:val="20"/>
          <w:szCs w:val="20"/>
          <w:color w:val="auto"/>
        </w:rPr>
      </w:pPr>
    </w:p>
    <w:p>
      <w:pPr>
        <w:ind w:left="8" w:right="3439" w:firstLine="358"/>
        <w:spacing w:after="0" w:line="359" w:lineRule="auto"/>
        <w:rPr>
          <w:sz w:val="20"/>
          <w:szCs w:val="20"/>
          <w:color w:val="auto"/>
        </w:rPr>
      </w:pPr>
      <w:r>
        <w:rPr>
          <w:rFonts w:ascii="Courier New" w:cs="Courier New" w:eastAsia="Courier New" w:hAnsi="Courier New"/>
          <w:sz w:val="15"/>
          <w:szCs w:val="15"/>
          <w:color w:val="auto"/>
        </w:rPr>
        <w:t>At December 31, 1999 and 1998, accumulated amortization was $857,000 and $818,000, respectively, for patents and license agreements.</w:t>
      </w:r>
    </w:p>
    <w:p>
      <w:pPr>
        <w:spacing w:after="0" w:line="8" w:lineRule="exact"/>
        <w:rPr>
          <w:sz w:val="20"/>
          <w:szCs w:val="20"/>
          <w:color w:val="auto"/>
        </w:rPr>
      </w:pPr>
    </w:p>
    <w:p>
      <w:pPr>
        <w:ind w:left="448" w:hanging="448"/>
        <w:spacing w:after="0"/>
        <w:tabs>
          <w:tab w:leader="none" w:pos="4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820" w:type="dxa"/>
            <w:vAlign w:val="bottom"/>
          </w:tcPr>
          <w:p>
            <w:pPr>
              <w:spacing w:after="0"/>
              <w:rPr>
                <w:sz w:val="14"/>
                <w:szCs w:val="14"/>
                <w:color w:val="auto"/>
              </w:rPr>
            </w:pPr>
          </w:p>
        </w:tc>
        <w:tc>
          <w:tcPr>
            <w:tcW w:w="214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4820" w:type="dxa"/>
            <w:vAlign w:val="bottom"/>
          </w:tcPr>
          <w:p>
            <w:pPr>
              <w:spacing w:after="0"/>
              <w:rPr>
                <w:sz w:val="21"/>
                <w:szCs w:val="21"/>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0"/>
                <w:szCs w:val="20"/>
                <w:color w:val="auto"/>
              </w:rPr>
            </w:pPr>
            <w:r>
              <w:rPr>
                <w:rFonts w:ascii="Courier New" w:cs="Courier New" w:eastAsia="Courier New" w:hAnsi="Courier New"/>
                <w:sz w:val="15"/>
                <w:szCs w:val="15"/>
                <w:color w:val="auto"/>
              </w:rPr>
              <w:t>Wind-down expenses...................................</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$1,634,522</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External services....................................</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97,439</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412,253</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Employee compensation................................</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306,342</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262,679</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Collaborative research...............................</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222,140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196,505</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344,625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148,682</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120" w:type="dxa"/>
            <w:vAlign w:val="bottom"/>
            <w:vMerge w:val="restart"/>
          </w:tcPr>
          <w:p>
            <w:pPr>
              <w:jc w:val="right"/>
              <w:ind w:right="67"/>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7"/>
                <w:szCs w:val="17"/>
                <w:color w:val="auto"/>
                <w:w w:val="71"/>
                <w:vertAlign w:val="superscript"/>
              </w:rPr>
              <w:t>----------</w:t>
            </w:r>
            <w:r>
              <w:rPr>
                <w:rFonts w:ascii="Courier New" w:cs="Courier New" w:eastAsia="Courier New" w:hAnsi="Courier New"/>
                <w:sz w:val="11"/>
                <w:szCs w:val="11"/>
                <w:color w:val="auto"/>
                <w:w w:val="71"/>
              </w:rPr>
              <w:t>2,605,068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$1,020,119</w:t>
            </w:r>
          </w:p>
        </w:tc>
        <w:tc>
          <w:tcPr>
            <w:tcW w:w="0" w:type="dxa"/>
            <w:vAlign w:val="bottom"/>
          </w:tcPr>
          <w:p>
            <w:pPr>
              <w:spacing w:after="0"/>
              <w:rPr>
                <w:sz w:val="1"/>
                <w:szCs w:val="1"/>
                <w:color w:val="auto"/>
              </w:rPr>
            </w:pPr>
          </w:p>
        </w:tc>
      </w:tr>
      <w:tr>
        <w:trPr>
          <w:trHeight w:val="252"/>
        </w:trPr>
        <w:tc>
          <w:tcPr>
            <w:tcW w:w="4820" w:type="dxa"/>
            <w:vAlign w:val="bottom"/>
          </w:tcPr>
          <w:p>
            <w:pPr>
              <w:spacing w:after="0"/>
              <w:rPr>
                <w:sz w:val="21"/>
                <w:szCs w:val="21"/>
                <w:color w:val="auto"/>
              </w:rPr>
            </w:pP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079" w:firstLine="358"/>
        <w:spacing w:after="0" w:line="281" w:lineRule="auto"/>
        <w:rPr>
          <w:sz w:val="20"/>
          <w:szCs w:val="20"/>
          <w:color w:val="auto"/>
        </w:rPr>
      </w:pPr>
      <w:r>
        <w:rPr>
          <w:rFonts w:ascii="Courier New" w:cs="Courier New" w:eastAsia="Courier New" w:hAnsi="Courier New"/>
          <w:sz w:val="15"/>
          <w:szCs w:val="15"/>
          <w:color w:val="auto"/>
        </w:rPr>
        <w:t>The reserve for wind-down expenses included approximately $1,172,000 relating to the RIPSAT settlement (Notes 4 and 11) and approximately $463,000 for the estimated six months of lease payments and operating costs for the Rhode Island facilities through an expected disposal date of June 30, 2000.</w:t>
      </w:r>
    </w:p>
    <w:p>
      <w:pPr>
        <w:spacing w:after="0" w:line="6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435" w:right="1440" w:bottom="1440" w:gutter="0" w:footer="0" w:header="0"/>
        </w:sectPr>
      </w:pPr>
    </w:p>
    <w:bookmarkStart w:id="74" w:name="page75"/>
    <w:bookmarkEnd w:id="74"/>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4" w:lineRule="exact"/>
        <w:rPr>
          <w:sz w:val="20"/>
          <w:szCs w:val="20"/>
          <w:color w:val="auto"/>
        </w:rPr>
      </w:pPr>
    </w:p>
    <w:p>
      <w:pPr>
        <w:ind w:left="8" w:right="3079" w:firstLine="358"/>
        <w:spacing w:after="0" w:line="267"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 Funding Agreement dated as of June 22, 1989. On execution and delivery of this Agreement, IRBA agreed to return to the Company the full amount of the Company's debt service reserve ("Reserve Funds"), approximately $610,000 of principal and interest, relating to the bonds the Company has with IRBA and RIIFC. Such amount has been classified as debt service funds in current assets of the consolidated balance sheet. In order to avoid the loss of interest on the Reserve Funds due to early termination of certain investments, the parties agreed that the Company would render a net payment to RIPSAT in the amount of approximately $562,000.</w:t>
      </w:r>
    </w:p>
    <w:p>
      <w:pPr>
        <w:spacing w:after="0" w:line="75" w:lineRule="exact"/>
        <w:rPr>
          <w:sz w:val="20"/>
          <w:szCs w:val="20"/>
          <w:color w:val="auto"/>
        </w:rPr>
      </w:pPr>
    </w:p>
    <w:p>
      <w:pPr>
        <w:ind w:left="8" w:right="3079" w:firstLine="358"/>
        <w:spacing w:after="0" w:line="254" w:lineRule="auto"/>
        <w:rPr>
          <w:sz w:val="20"/>
          <w:szCs w:val="20"/>
          <w:color w:val="auto"/>
        </w:rPr>
      </w:pPr>
      <w:r>
        <w:rPr>
          <w:rFonts w:ascii="Courier New" w:cs="Courier New" w:eastAsia="Courier New" w:hAnsi="Courier New"/>
          <w:sz w:val="15"/>
          <w:szCs w:val="15"/>
          <w:color w:val="auto"/>
        </w:rPr>
        <w:t>In 1997, the Company completed construction of a new headquarters and laboratory facility. In November 1997, the Company entered into sale and leaseback agreements with a real estate investment trust. Under the terms of these agreements, the Company sold its new facility for $8,000,000, incurring a $342,000 loss on the sale. The Company simultaneously entered into a fifteen-year lease for the facility. The lease agreement calls for minimum rent of $750,000 for the first five years, $937,500 for years six to ten, $1,171,900 for years eleven to fourteen and $1,465,000 in year fifteen, with a $750,000 security deposit held for the term of the lease. The Company is recognizing rent expense on a straight line basis. At December 31, 1999, the Company had incurred $426,790 in deferred rent expense.</w:t>
      </w:r>
    </w:p>
    <w:p>
      <w:pPr>
        <w:spacing w:after="0" w:line="8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7"/>
          </w:cols>
          <w:pgMar w:left="232" w:top="435" w:right="1440" w:bottom="1440" w:gutter="0" w:footer="0" w:header="0"/>
        </w:sectPr>
      </w:pPr>
    </w:p>
    <w:bookmarkStart w:id="75" w:name="page76"/>
    <w:bookmarkEnd w:id="75"/>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174" w:lineRule="exact"/>
        <w:rPr>
          <w:sz w:val="20"/>
          <w:szCs w:val="20"/>
          <w:color w:val="auto"/>
        </w:rPr>
      </w:pPr>
    </w:p>
    <w:p>
      <w:pPr>
        <w:ind w:left="8" w:right="3339" w:firstLine="358"/>
        <w:spacing w:after="0" w:line="359" w:lineRule="auto"/>
        <w:rPr>
          <w:sz w:val="20"/>
          <w:szCs w:val="20"/>
          <w:color w:val="auto"/>
        </w:rPr>
      </w:pPr>
      <w:r>
        <w:rPr>
          <w:rFonts w:ascii="Courier New" w:cs="Courier New" w:eastAsia="Courier New" w:hAnsi="Courier New"/>
          <w:sz w:val="15"/>
          <w:szCs w:val="15"/>
          <w:color w:val="auto"/>
        </w:rPr>
        <w:t>Future minimum capitalized lease obligations with non-cancelable terms in excess of one year at December 31, 1999, are as follows:</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606,268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589,217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519,719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436,909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425,713</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2,577,826</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5,302,407</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amounts representing interest..........................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2,041,157</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3,261,250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324,167</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Capitalized lease obligations, less current maturities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$2,937,083</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599" w:firstLine="358"/>
        <w:spacing w:after="0" w:line="359" w:lineRule="auto"/>
        <w:rPr>
          <w:sz w:val="20"/>
          <w:szCs w:val="20"/>
          <w:color w:val="auto"/>
        </w:rPr>
      </w:pPr>
      <w:r>
        <w:rPr>
          <w:rFonts w:ascii="Courier New" w:cs="Courier New" w:eastAsia="Courier New" w:hAnsi="Courier New"/>
          <w:sz w:val="15"/>
          <w:szCs w:val="15"/>
          <w:color w:val="auto"/>
        </w:rPr>
        <w:t>Rent expense for the years ended December 31, 1999, 1998 and 1997, was $947,000, $1,052,000 and $499,000, respectively.</w:t>
      </w:r>
    </w:p>
    <w:p>
      <w:pPr>
        <w:spacing w:after="0" w:line="8" w:lineRule="exact"/>
        <w:rPr>
          <w:sz w:val="20"/>
          <w:szCs w:val="20"/>
          <w:color w:val="auto"/>
        </w:rPr>
      </w:pPr>
    </w:p>
    <w:p>
      <w:pPr>
        <w:ind w:left="448" w:hanging="448"/>
        <w:spacing w:after="0"/>
        <w:tabs>
          <w:tab w:leader="none" w:pos="4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Long-term debt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1999</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Term note payable, interest at the prime rate plus 1/2%</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(8.75% at December 31, 1998), principal payments commence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 August 1998, due ratably through May 2000; secured by</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$1,500,000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certain equipment (prepaid during 1999)...................</w:t>
            </w:r>
          </w:p>
        </w:tc>
        <w:tc>
          <w:tcPr>
            <w:tcW w:w="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Current maturities of long-term debt........................</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7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500,000</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448" w:hanging="448"/>
        <w:spacing w:after="0"/>
        <w:tabs>
          <w:tab w:leader="none" w:pos="4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COMMON STOCK</w:t>
      </w:r>
    </w:p>
    <w:p>
      <w:pPr>
        <w:spacing w:after="0" w:line="174" w:lineRule="exact"/>
        <w:rPr>
          <w:sz w:val="20"/>
          <w:szCs w:val="20"/>
          <w:color w:val="auto"/>
        </w:rPr>
      </w:pPr>
    </w:p>
    <w:p>
      <w:pPr>
        <w:ind w:left="8" w:right="3259" w:firstLine="358"/>
        <w:spacing w:after="0" w:line="246" w:lineRule="auto"/>
        <w:rPr>
          <w:sz w:val="20"/>
          <w:szCs w:val="20"/>
          <w:color w:val="auto"/>
        </w:rPr>
      </w:pPr>
      <w:r>
        <w:rPr>
          <w:rFonts w:ascii="Courier New" w:cs="Courier New" w:eastAsia="Courier New" w:hAnsi="Courier New"/>
          <w:sz w:val="15"/>
          <w:szCs w:val="15"/>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program by more than</w:t>
      </w:r>
    </w:p>
    <w:p>
      <w:pPr>
        <w:spacing w:after="0" w:line="6" w:lineRule="exact"/>
        <w:rPr>
          <w:sz w:val="20"/>
          <w:szCs w:val="20"/>
          <w:color w:val="auto"/>
        </w:rPr>
      </w:pPr>
    </w:p>
    <w:p>
      <w:pPr>
        <w:ind w:left="8" w:right="3159"/>
        <w:spacing w:after="0" w:line="293"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w:t>
      </w:r>
    </w:p>
    <w:p>
      <w:pPr>
        <w:spacing w:after="0" w:line="5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7"/>
          </w:cols>
          <w:pgMar w:left="232" w:top="435" w:right="1440" w:bottom="1440" w:gutter="0" w:footer="0" w:header="0"/>
        </w:sectPr>
      </w:pPr>
    </w:p>
    <w:bookmarkStart w:id="76" w:name="page77"/>
    <w:bookmarkEnd w:id="76"/>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COMMON STOCK (CONTINUED)</w:t>
      </w:r>
    </w:p>
    <w:p>
      <w:pPr>
        <w:spacing w:after="0" w:line="30" w:lineRule="exact"/>
        <w:rPr>
          <w:sz w:val="20"/>
          <w:szCs w:val="20"/>
          <w:color w:val="auto"/>
        </w:rPr>
      </w:pPr>
    </w:p>
    <w:p>
      <w:pPr>
        <w:ind w:left="8" w:right="3320"/>
        <w:spacing w:after="0" w:line="270" w:lineRule="auto"/>
        <w:rPr>
          <w:sz w:val="20"/>
          <w:szCs w:val="20"/>
          <w:color w:val="auto"/>
        </w:rPr>
      </w:pPr>
      <w:r>
        <w:rPr>
          <w:rFonts w:ascii="Courier New" w:cs="Courier New" w:eastAsia="Courier New" w:hAnsi="Courier New"/>
          <w:sz w:val="14"/>
          <w:szCs w:val="14"/>
          <w:color w:val="auto"/>
        </w:rPr>
        <w:t>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recorded at December 31, 1999 as Redeemable Common Stock ($5,248,000) to Stockholders' Equity in March 2000. The Company and Genentech also agreed that all of the agreements between them were terminated and that neither had any claim to the intellectual property of the other.</w:t>
      </w:r>
    </w:p>
    <w:p>
      <w:pPr>
        <w:spacing w:after="0" w:line="73" w:lineRule="exact"/>
        <w:rPr>
          <w:sz w:val="20"/>
          <w:szCs w:val="20"/>
          <w:color w:val="auto"/>
        </w:rPr>
      </w:pPr>
    </w:p>
    <w:p>
      <w:pPr>
        <w:ind w:left="448" w:hanging="448"/>
        <w:spacing w:after="0"/>
        <w:tabs>
          <w:tab w:leader="none" w:pos="44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TO BE ISSUED</w:t>
      </w:r>
    </w:p>
    <w:p>
      <w:pPr>
        <w:spacing w:after="0" w:line="174" w:lineRule="exact"/>
        <w:rPr>
          <w:sz w:val="20"/>
          <w:szCs w:val="20"/>
          <w:color w:val="auto"/>
        </w:rPr>
      </w:pPr>
    </w:p>
    <w:p>
      <w:pPr>
        <w:ind w:left="8" w:right="3320" w:firstLine="358"/>
        <w:spacing w:after="0" w:line="272" w:lineRule="auto"/>
        <w:rPr>
          <w:sz w:val="20"/>
          <w:szCs w:val="20"/>
          <w:color w:val="auto"/>
        </w:rPr>
      </w:pPr>
      <w:r>
        <w:rPr>
          <w:rFonts w:ascii="Courier New" w:cs="Courier New" w:eastAsia="Courier New" w:hAnsi="Courier New"/>
          <w:sz w:val="15"/>
          <w:szCs w:val="15"/>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69" w:lineRule="exact"/>
        <w:rPr>
          <w:sz w:val="20"/>
          <w:szCs w:val="20"/>
          <w:color w:val="auto"/>
        </w:rPr>
      </w:pPr>
    </w:p>
    <w:p>
      <w:pPr>
        <w:ind w:left="448" w:hanging="448"/>
        <w:spacing w:after="0"/>
        <w:tabs>
          <w:tab w:leader="none" w:pos="4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4" w:lineRule="exact"/>
        <w:rPr>
          <w:sz w:val="20"/>
          <w:szCs w:val="20"/>
          <w:color w:val="auto"/>
        </w:rPr>
      </w:pPr>
    </w:p>
    <w:p>
      <w:pPr>
        <w:ind w:left="8" w:right="3320" w:firstLine="358"/>
        <w:spacing w:after="0" w:line="255" w:lineRule="auto"/>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1999, the Company had reserved 2,603,736 shares of common stock for the exercise of stock options.</w:t>
      </w:r>
    </w:p>
    <w:p>
      <w:pPr>
        <w:spacing w:after="0" w:line="87" w:lineRule="exact"/>
        <w:rPr>
          <w:sz w:val="20"/>
          <w:szCs w:val="20"/>
          <w:color w:val="auto"/>
        </w:rPr>
      </w:pPr>
    </w:p>
    <w:p>
      <w:pPr>
        <w:ind w:left="8" w:right="3580" w:firstLine="358"/>
        <w:spacing w:after="0" w:line="301"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right"/>
              <w:ind w:right="1045"/>
              <w:spacing w:after="0"/>
              <w:rPr>
                <w:sz w:val="20"/>
                <w:szCs w:val="20"/>
                <w:color w:val="auto"/>
              </w:rPr>
            </w:pPr>
            <w:r>
              <w:rPr>
                <w:rFonts w:ascii="Courier New" w:cs="Courier New" w:eastAsia="Courier New" w:hAnsi="Courier New"/>
                <w:sz w:val="15"/>
                <w:szCs w:val="15"/>
                <w:color w:val="auto"/>
                <w:w w:val="94"/>
              </w:rPr>
              <w:t>1999</w:t>
            </w:r>
          </w:p>
        </w:tc>
        <w:tc>
          <w:tcPr>
            <w:tcW w:w="1120" w:type="dxa"/>
            <w:vAlign w:val="bottom"/>
          </w:tcPr>
          <w:p>
            <w:pPr>
              <w:spacing w:after="0"/>
              <w:rPr>
                <w:sz w:val="14"/>
                <w:szCs w:val="14"/>
                <w:color w:val="auto"/>
              </w:rPr>
            </w:pPr>
          </w:p>
        </w:tc>
        <w:tc>
          <w:tcPr>
            <w:tcW w:w="156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88"/>
              </w:rPr>
              <w:t>1998</w:t>
            </w:r>
          </w:p>
        </w:tc>
        <w:tc>
          <w:tcPr>
            <w:tcW w:w="1080" w:type="dxa"/>
            <w:vAlign w:val="bottom"/>
          </w:tcPr>
          <w:p>
            <w:pPr>
              <w:spacing w:after="0"/>
              <w:rPr>
                <w:sz w:val="14"/>
                <w:szCs w:val="14"/>
                <w:color w:val="auto"/>
              </w:rPr>
            </w:pPr>
          </w:p>
        </w:tc>
        <w:tc>
          <w:tcPr>
            <w:tcW w:w="1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9"/>
                <w:szCs w:val="9"/>
                <w:color w:val="auto"/>
                <w:w w:val="75"/>
              </w:rPr>
              <w:t>--------------------------</w:t>
            </w:r>
          </w:p>
        </w:tc>
        <w:tc>
          <w:tcPr>
            <w:tcW w:w="14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WEIGHTED</w:t>
            </w:r>
          </w:p>
        </w:tc>
        <w:tc>
          <w:tcPr>
            <w:tcW w:w="26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c>
          <w:tcPr>
            <w:tcW w:w="108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1080" w:type="dxa"/>
            <w:vAlign w:val="bottom"/>
            <w:vMerge w:val="restart"/>
          </w:tcPr>
          <w:p>
            <w:pPr>
              <w:jc w:val="right"/>
              <w:ind w:right="209"/>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11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c>
          <w:tcPr>
            <w:tcW w:w="10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PRICE</w:t>
            </w:r>
          </w:p>
        </w:tc>
        <w:tc>
          <w:tcPr>
            <w:tcW w:w="1120" w:type="dxa"/>
            <w:vAlign w:val="bottom"/>
            <w:vMerge w:val="continue"/>
          </w:tcPr>
          <w:p>
            <w:pPr>
              <w:spacing w:after="0"/>
              <w:rPr>
                <w:sz w:val="14"/>
                <w:szCs w:val="14"/>
                <w:color w:val="auto"/>
              </w:rPr>
            </w:pP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PRICE</w:t>
            </w:r>
          </w:p>
        </w:tc>
        <w:tc>
          <w:tcPr>
            <w:tcW w:w="1080" w:type="dxa"/>
            <w:vAlign w:val="bottom"/>
            <w:vMerge w:val="continue"/>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1,654,126</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2,446,573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$7.48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2,423,025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$8.34</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536,078</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1,174,118</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679,074</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5.33</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(604,362)</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(82,737)</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2.96</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(646,507)</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7.08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(572,789)</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9.21</w:t>
            </w:r>
          </w:p>
        </w:tc>
        <w:tc>
          <w:tcPr>
            <w:tcW w:w="0" w:type="dxa"/>
            <w:vAlign w:val="bottom"/>
          </w:tcPr>
          <w:p>
            <w:pPr>
              <w:spacing w:after="0"/>
              <w:rPr>
                <w:sz w:val="1"/>
                <w:szCs w:val="1"/>
                <w:color w:val="auto"/>
              </w:rPr>
            </w:pPr>
          </w:p>
        </w:tc>
      </w:tr>
      <w:tr>
        <w:trPr>
          <w:trHeight w:val="172"/>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80" w:type="dxa"/>
            <w:vAlign w:val="bottom"/>
            <w:vMerge w:val="restart"/>
          </w:tcPr>
          <w:p>
            <w:pPr>
              <w:jc w:val="right"/>
              <w:ind w:right="10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939,335</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760" w:type="dxa"/>
            <w:vAlign w:val="bottom"/>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80" w:type="dxa"/>
            <w:vAlign w:val="bottom"/>
            <w:vMerge w:val="continue"/>
          </w:tcPr>
          <w:p>
            <w:pPr>
              <w:spacing w:after="0"/>
              <w:rPr>
                <w:sz w:val="14"/>
                <w:szCs w:val="14"/>
                <w:color w:val="auto"/>
              </w:rPr>
            </w:pP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1,654,126</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2,446,573</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$7.48</w:t>
            </w:r>
          </w:p>
        </w:tc>
        <w:tc>
          <w:tcPr>
            <w:tcW w:w="0" w:type="dxa"/>
            <w:vAlign w:val="bottom"/>
          </w:tcPr>
          <w:p>
            <w:pPr>
              <w:spacing w:after="0"/>
              <w:rPr>
                <w:sz w:val="1"/>
                <w:szCs w:val="1"/>
                <w:color w:val="auto"/>
              </w:rPr>
            </w:pPr>
          </w:p>
        </w:tc>
      </w:tr>
      <w:tr>
        <w:trPr>
          <w:trHeight w:val="252"/>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Options exercisable at</w:t>
            </w:r>
          </w:p>
        </w:tc>
        <w:tc>
          <w:tcPr>
            <w:tcW w:w="10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760" w:type="dxa"/>
            <w:vAlign w:val="bottom"/>
            <w:vMerge w:val="continue"/>
          </w:tcPr>
          <w:p>
            <w:pPr>
              <w:spacing w:after="0"/>
              <w:rPr>
                <w:sz w:val="7"/>
                <w:szCs w:val="7"/>
                <w:color w:val="auto"/>
              </w:rPr>
            </w:pPr>
          </w:p>
        </w:tc>
        <w:tc>
          <w:tcPr>
            <w:tcW w:w="108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rPr>
              <w:t>594,216</w:t>
            </w:r>
          </w:p>
        </w:tc>
        <w:tc>
          <w:tcPr>
            <w:tcW w:w="14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$3.44</w:t>
            </w:r>
          </w:p>
        </w:tc>
        <w:tc>
          <w:tcPr>
            <w:tcW w:w="11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1,108,936</w:t>
            </w:r>
          </w:p>
        </w:tc>
        <w:tc>
          <w:tcPr>
            <w:tcW w:w="156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$4.33</w:t>
            </w:r>
          </w:p>
        </w:tc>
        <w:tc>
          <w:tcPr>
            <w:tcW w:w="10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1,338,163</w:t>
            </w:r>
          </w:p>
        </w:tc>
        <w:tc>
          <w:tcPr>
            <w:tcW w:w="13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$7.79</w:t>
            </w:r>
          </w:p>
        </w:tc>
        <w:tc>
          <w:tcPr>
            <w:tcW w:w="0" w:type="dxa"/>
            <w:vAlign w:val="bottom"/>
          </w:tcPr>
          <w:p>
            <w:pPr>
              <w:spacing w:after="0"/>
              <w:rPr>
                <w:sz w:val="1"/>
                <w:szCs w:val="1"/>
                <w:color w:val="auto"/>
              </w:rPr>
            </w:pP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2760" w:type="dxa"/>
            <w:vAlign w:val="bottom"/>
          </w:tcPr>
          <w:p>
            <w:pPr>
              <w:spacing w:after="0"/>
              <w:rPr>
                <w:sz w:val="24"/>
                <w:szCs w:val="2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5"/>
                <w:szCs w:val="15"/>
                <w:color w:val="auto"/>
              </w:rPr>
              <w:t>F-18</w:t>
            </w: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8"/>
          </w:cols>
          <w:pgMar w:left="232" w:top="434" w:right="1199" w:bottom="1440" w:gutter="0" w:footer="0" w:header="0"/>
        </w:sectPr>
      </w:pPr>
    </w:p>
    <w:bookmarkStart w:id="77" w:name="page78"/>
    <w:bookmarkEnd w:id="77"/>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174" w:lineRule="exact"/>
        <w:rPr>
          <w:sz w:val="20"/>
          <w:szCs w:val="20"/>
          <w:color w:val="auto"/>
        </w:rPr>
      </w:pPr>
    </w:p>
    <w:p>
      <w:pPr>
        <w:ind w:left="8" w:right="3259" w:firstLine="358"/>
        <w:spacing w:after="0" w:line="281" w:lineRule="auto"/>
        <w:rPr>
          <w:sz w:val="20"/>
          <w:szCs w:val="20"/>
          <w:color w:val="auto"/>
        </w:rPr>
      </w:pPr>
      <w:r>
        <w:rPr>
          <w:rFonts w:ascii="Courier New" w:cs="Courier New" w:eastAsia="Courier New" w:hAnsi="Courier New"/>
          <w:sz w:val="15"/>
          <w:szCs w:val="15"/>
          <w:color w:val="auto"/>
        </w:rPr>
        <w:t>On July 10, 1998, the Company re-priced 751,018 outstanding stock options. No compensation expense was recorded since the re-priced options carried an exercise price equal to the market price of the Company's common stock on the date of the re-pricing.</w:t>
      </w:r>
    </w:p>
    <w:p>
      <w:pPr>
        <w:spacing w:after="0" w:line="200" w:lineRule="exact"/>
        <w:rPr>
          <w:sz w:val="20"/>
          <w:szCs w:val="20"/>
          <w:color w:val="auto"/>
        </w:rPr>
      </w:pPr>
    </w:p>
    <w:p>
      <w:pPr>
        <w:spacing w:after="0" w:line="208" w:lineRule="exact"/>
        <w:rPr>
          <w:sz w:val="20"/>
          <w:szCs w:val="20"/>
          <w:color w:val="auto"/>
        </w:rPr>
      </w:pPr>
    </w:p>
    <w:p>
      <w:pPr>
        <w:ind w:left="8" w:right="3079" w:firstLine="358"/>
        <w:spacing w:after="0" w:line="266" w:lineRule="auto"/>
        <w:rPr>
          <w:sz w:val="20"/>
          <w:szCs w:val="20"/>
          <w:color w:val="auto"/>
        </w:rPr>
      </w:pPr>
      <w:r>
        <w:rPr>
          <w:rFonts w:ascii="Courier New" w:cs="Courier New" w:eastAsia="Courier New" w:hAnsi="Courier New"/>
          <w:sz w:val="14"/>
          <w:szCs w:val="14"/>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75,384 of these options are exercisable at December 31, 1997, 96,750 of these options vest and become exercisable only upon achievement of specified milestones, and the remaining 78,210 options vest over three years from the date of grant. The value of such options utilizing the intrinsic method, which approximated the value determined using the Black-Scholes method, was accounted for as part of the StemCells California acquisition price. Additionally, the Company adopted the 1997 CytoTherapeutics, Inc. StemCells California Research Stock Option Plan (the StemCells California Research Plan) whereby an additional 2,000,000 shares of Common Stock have been reserved. During 1997, the Company awarded options under the StemCells Research Plan to purchase 1.6 million shares of the Company's common stock to the Chief Executive Officer and scientific founders of StemCells at an exercise price of $5.25 per share. Under the original grants, approximately 100,000 of these options were exercisable immediately on the date of grant, 1,031,000 of these options would vest and become exercisable only upon achievement of specified milestones and the remaining 469,000 options would vest over eight years. Options granted to Dr. Rose, in his capacity as Chief Executive Officer, were valued using the intrinsic value method, in accordance with the provisions of APB 25, ACCOUNTING FOR STOCK ISSUED TO EMPLOYEES. Options granted to non-employees Drs. Weissman, Gage and Anderson were accounted for using the fair value method in accordance with the provisions of Statement of Financial Accounting Standards No. 123, ACCOUNTING FOR STOCK-BASED COMPENSATION.</w:t>
      </w:r>
    </w:p>
    <w:p>
      <w:pPr>
        <w:spacing w:after="0" w:line="2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FAS 123 DISCLOSURES</w:t>
      </w:r>
    </w:p>
    <w:p>
      <w:pPr>
        <w:spacing w:after="0" w:line="174" w:lineRule="exact"/>
        <w:rPr>
          <w:sz w:val="20"/>
          <w:szCs w:val="20"/>
          <w:color w:val="auto"/>
        </w:rPr>
      </w:pPr>
    </w:p>
    <w:p>
      <w:pPr>
        <w:ind w:left="8" w:right="3159" w:firstLine="358"/>
        <w:spacing w:after="0" w:line="281" w:lineRule="auto"/>
        <w:rPr>
          <w:sz w:val="20"/>
          <w:szCs w:val="20"/>
          <w:color w:val="auto"/>
        </w:rPr>
      </w:pPr>
      <w:r>
        <w:rPr>
          <w:rFonts w:ascii="Courier New" w:cs="Courier New" w:eastAsia="Courier New" w:hAnsi="Courier New"/>
          <w:sz w:val="15"/>
          <w:szCs w:val="15"/>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64" w:lineRule="exact"/>
        <w:rPr>
          <w:sz w:val="20"/>
          <w:szCs w:val="20"/>
          <w:color w:val="auto"/>
        </w:rPr>
      </w:pPr>
    </w:p>
    <w:p>
      <w:pPr>
        <w:ind w:left="8" w:right="3439" w:firstLine="358"/>
        <w:spacing w:after="0" w:line="401"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1999:</w:t>
      </w:r>
    </w:p>
    <w:p>
      <w:pPr>
        <w:spacing w:after="0" w:line="33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1000" w:type="dxa"/>
            <w:vAlign w:val="bottom"/>
          </w:tcPr>
          <w:p>
            <w:pPr>
              <w:spacing w:after="0"/>
              <w:rPr>
                <w:sz w:val="14"/>
                <w:szCs w:val="14"/>
                <w:color w:val="auto"/>
              </w:rPr>
            </w:pPr>
          </w:p>
        </w:tc>
        <w:tc>
          <w:tcPr>
            <w:tcW w:w="21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OPTIONS EXERCISABLE</w:t>
            </w: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1"/>
                <w:szCs w:val="11"/>
                <w:color w:val="auto"/>
                <w:w w:val="74"/>
              </w:rPr>
              <w:t>------------------------------------</w:t>
            </w:r>
          </w:p>
        </w:tc>
        <w:tc>
          <w:tcPr>
            <w:tcW w:w="120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WEIGHTED</w:t>
            </w:r>
          </w:p>
        </w:tc>
        <w:tc>
          <w:tcPr>
            <w:tcW w:w="1000" w:type="dxa"/>
            <w:vAlign w:val="bottom"/>
          </w:tcPr>
          <w:p>
            <w:pPr>
              <w:spacing w:after="0"/>
              <w:rPr>
                <w:sz w:val="21"/>
                <w:szCs w:val="21"/>
                <w:color w:val="auto"/>
              </w:rPr>
            </w:pPr>
          </w:p>
        </w:tc>
        <w:tc>
          <w:tcPr>
            <w:tcW w:w="2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2"/>
        </w:trPr>
        <w:tc>
          <w:tcPr>
            <w:tcW w:w="34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7"/>
                <w:szCs w:val="7"/>
                <w:color w:val="auto"/>
              </w:rPr>
            </w:pPr>
          </w:p>
        </w:tc>
        <w:tc>
          <w:tcPr>
            <w:tcW w:w="9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AVERAGE</w:t>
            </w:r>
          </w:p>
        </w:tc>
        <w:tc>
          <w:tcPr>
            <w:tcW w:w="10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vMerge w:val="restart"/>
          </w:tcPr>
          <w:p>
            <w:pPr>
              <w:ind w:left="1520"/>
              <w:spacing w:after="0"/>
              <w:rPr>
                <w:sz w:val="20"/>
                <w:szCs w:val="20"/>
                <w:color w:val="auto"/>
              </w:rPr>
            </w:pPr>
            <w:r>
              <w:rPr>
                <w:rFonts w:ascii="Courier New" w:cs="Courier New" w:eastAsia="Courier New" w:hAnsi="Courier New"/>
                <w:sz w:val="15"/>
                <w:szCs w:val="15"/>
                <w:color w:val="auto"/>
              </w:rPr>
              <w:t>RANGE OF</w:t>
            </w:r>
          </w:p>
        </w:tc>
        <w:tc>
          <w:tcPr>
            <w:tcW w:w="17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REMAINING</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2"/>
        </w:trPr>
        <w:tc>
          <w:tcPr>
            <w:tcW w:w="340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CONTRACTUAL</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vMerge w:val="continue"/>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72"/>
        </w:trPr>
        <w:tc>
          <w:tcPr>
            <w:tcW w:w="3400" w:type="dxa"/>
            <w:vAlign w:val="bottom"/>
          </w:tcPr>
          <w:p>
            <w:pPr>
              <w:ind w:left="1160"/>
              <w:spacing w:after="0"/>
              <w:rPr>
                <w:sz w:val="20"/>
                <w:szCs w:val="20"/>
                <w:color w:val="auto"/>
              </w:rPr>
            </w:pPr>
            <w:r>
              <w:rPr>
                <w:rFonts w:ascii="Courier New" w:cs="Courier New" w:eastAsia="Courier New" w:hAnsi="Courier New"/>
                <w:sz w:val="15"/>
                <w:szCs w:val="15"/>
                <w:color w:val="auto"/>
              </w:rPr>
              <w:t>EXERCISE PRICES</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LIFE (YRS.)</w:t>
            </w:r>
          </w:p>
        </w:tc>
        <w:tc>
          <w:tcPr>
            <w:tcW w:w="10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EXERCISABLE</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5"/>
              </w:rPr>
              <w:t>- ------------------------------------------</w:t>
            </w:r>
          </w:p>
        </w:tc>
        <w:tc>
          <w:tcPr>
            <w:tcW w:w="1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400" w:type="dxa"/>
            <w:vAlign w:val="bottom"/>
          </w:tcPr>
          <w:p>
            <w:pPr>
              <w:spacing w:after="0"/>
              <w:rPr>
                <w:sz w:val="20"/>
                <w:szCs w:val="20"/>
                <w:color w:val="auto"/>
              </w:rPr>
            </w:pPr>
            <w:r>
              <w:rPr>
                <w:rFonts w:ascii="Courier New" w:cs="Courier New" w:eastAsia="Courier New" w:hAnsi="Courier New"/>
                <w:sz w:val="15"/>
                <w:szCs w:val="15"/>
                <w:color w:val="auto"/>
                <w:w w:val="89"/>
              </w:rPr>
              <w:t>Less than $5.00...........................</w:t>
            </w:r>
          </w:p>
        </w:tc>
        <w:tc>
          <w:tcPr>
            <w:tcW w:w="1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755,398</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8.50</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$ 1.12</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411,945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$ 1.02</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9"/>
              </w:rPr>
              <w:t>$5.01-$10.00..............................</w:t>
            </w:r>
          </w:p>
        </w:tc>
        <w:tc>
          <w:tcPr>
            <w:tcW w:w="1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90,687</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4.56</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6.55</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89,021</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6.55</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9"/>
              </w:rPr>
              <w:t>Greater than $10.00.......................</w:t>
            </w:r>
          </w:p>
        </w:tc>
        <w:tc>
          <w:tcPr>
            <w:tcW w:w="1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93,250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2.54</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11.18</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93,250</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11.18</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780" w:type="dxa"/>
            <w:vAlign w:val="bottom"/>
            <w:vMerge w:val="restart"/>
          </w:tcPr>
          <w:p>
            <w:pPr>
              <w:jc w:val="right"/>
              <w:ind w:right="367"/>
              <w:spacing w:after="0"/>
              <w:rPr>
                <w:sz w:val="20"/>
                <w:szCs w:val="20"/>
                <w:color w:val="auto"/>
              </w:rPr>
            </w:pPr>
            <w:r>
              <w:rPr>
                <w:rFonts w:ascii="Courier New" w:cs="Courier New" w:eastAsia="Courier New" w:hAnsi="Courier New"/>
                <w:sz w:val="29"/>
                <w:szCs w:val="29"/>
                <w:color w:val="auto"/>
                <w:w w:val="91"/>
                <w:vertAlign w:val="subscript"/>
              </w:rPr>
              <w:t>939,335</w:t>
            </w:r>
            <w:r>
              <w:rPr>
                <w:rFonts w:ascii="Courier New" w:cs="Courier New" w:eastAsia="Courier New" w:hAnsi="Courier New"/>
                <w:sz w:val="15"/>
                <w:szCs w:val="15"/>
                <w:color w:val="auto"/>
                <w:w w:val="91"/>
              </w:rPr>
              <w: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594,216</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1"/>
                <w:szCs w:val="21"/>
                <w:color w:val="auto"/>
              </w:rPr>
            </w:pPr>
          </w:p>
        </w:tc>
        <w:tc>
          <w:tcPr>
            <w:tcW w:w="1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3400" w:type="dxa"/>
            <w:vAlign w:val="bottom"/>
          </w:tcPr>
          <w:p>
            <w:pPr>
              <w:spacing w:after="0"/>
              <w:rPr>
                <w:sz w:val="24"/>
                <w:szCs w:val="24"/>
                <w:color w:val="auto"/>
              </w:rPr>
            </w:pPr>
          </w:p>
        </w:tc>
        <w:tc>
          <w:tcPr>
            <w:tcW w:w="1780" w:type="dxa"/>
            <w:vAlign w:val="bottom"/>
          </w:tcPr>
          <w:p>
            <w:pPr>
              <w:jc w:val="right"/>
              <w:ind w:right="1367"/>
              <w:spacing w:after="0"/>
              <w:rPr>
                <w:sz w:val="20"/>
                <w:szCs w:val="20"/>
                <w:color w:val="auto"/>
              </w:rPr>
            </w:pPr>
            <w:r>
              <w:rPr>
                <w:rFonts w:ascii="Courier New" w:cs="Courier New" w:eastAsia="Courier New" w:hAnsi="Courier New"/>
                <w:sz w:val="15"/>
                <w:szCs w:val="15"/>
                <w:color w:val="auto"/>
                <w:w w:val="88"/>
              </w:rPr>
              <w:t>F-19</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7"/>
          </w:cols>
          <w:pgMar w:left="232" w:top="435" w:right="1440" w:bottom="1440" w:gutter="0" w:footer="0" w:header="0"/>
        </w:sectPr>
      </w:pPr>
    </w:p>
    <w:bookmarkStart w:id="78" w:name="page79"/>
    <w:bookmarkEnd w:id="78"/>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403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0" w:lineRule="exact"/>
        <w:rPr>
          <w:sz w:val="20"/>
          <w:szCs w:val="20"/>
          <w:color w:val="auto"/>
        </w:rPr>
      </w:pPr>
    </w:p>
    <w:p>
      <w:pPr>
        <w:ind w:left="8" w:right="4040" w:firstLine="358"/>
        <w:spacing w:after="0" w:line="262" w:lineRule="auto"/>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1999, 1998, and 1997, as if the compensation cost for the option plans and the stock purchase plan had been determined based on the fair value at the grant date for grants in 1999, 1998, and 1997, consistent with the provisions of FAS 123:</w:t>
      </w:r>
    </w:p>
    <w:p>
      <w:pPr>
        <w:spacing w:after="0" w:line="200" w:lineRule="exact"/>
        <w:rPr>
          <w:sz w:val="20"/>
          <w:szCs w:val="20"/>
          <w:color w:val="auto"/>
        </w:rPr>
      </w:pPr>
    </w:p>
    <w:p>
      <w:pPr>
        <w:spacing w:after="0" w:line="221"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19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1"/>
                <w:vertAlign w:val="subscript"/>
              </w:rPr>
              <w:t>AS</w:t>
            </w:r>
            <w:r>
              <w:rPr>
                <w:rFonts w:ascii="Courier New" w:cs="Courier New" w:eastAsia="Courier New" w:hAnsi="Courier New"/>
                <w:sz w:val="9"/>
                <w:szCs w:val="9"/>
                <w:color w:val="auto"/>
                <w:w w:val="71"/>
              </w:rPr>
              <w:t>---------------------------</w:t>
            </w:r>
            <w:r>
              <w:rPr>
                <w:rFonts w:ascii="Courier New" w:cs="Courier New" w:eastAsia="Courier New" w:hAnsi="Courier New"/>
                <w:sz w:val="13"/>
                <w:szCs w:val="13"/>
                <w:color w:val="auto"/>
                <w:w w:val="71"/>
                <w:vertAlign w:val="subscript"/>
              </w:rPr>
              <w:t>REPORTED</w:t>
            </w:r>
          </w:p>
        </w:tc>
        <w:tc>
          <w:tcPr>
            <w:tcW w:w="12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26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252"/>
        </w:trPr>
        <w:tc>
          <w:tcPr>
            <w:tcW w:w="1960" w:type="dxa"/>
            <w:vAlign w:val="bottom"/>
          </w:tcPr>
          <w:p>
            <w:pPr>
              <w:spacing w:after="0"/>
              <w:rPr>
                <w:sz w:val="21"/>
                <w:szCs w:val="21"/>
                <w:color w:val="auto"/>
              </w:rPr>
            </w:pPr>
          </w:p>
        </w:tc>
        <w:tc>
          <w:tcPr>
            <w:tcW w:w="144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$(15,764,569)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$(14,919,389)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$(18,113,580)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$(19,924,437)</w:t>
            </w:r>
          </w:p>
        </w:tc>
        <w:tc>
          <w:tcPr>
            <w:tcW w:w="0" w:type="dxa"/>
            <w:vAlign w:val="bottom"/>
          </w:tcPr>
          <w:p>
            <w:pPr>
              <w:spacing w:after="0"/>
              <w:rPr>
                <w:sz w:val="1"/>
                <w:szCs w:val="1"/>
                <w:color w:val="auto"/>
              </w:rPr>
            </w:pPr>
          </w:p>
        </w:tc>
      </w:tr>
      <w:tr>
        <w:trPr>
          <w:trHeight w:val="252"/>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44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$(.84)</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4120" w:firstLine="358"/>
        <w:spacing w:after="0" w:line="272" w:lineRule="auto"/>
        <w:rPr>
          <w:sz w:val="20"/>
          <w:szCs w:val="20"/>
          <w:color w:val="auto"/>
        </w:rPr>
      </w:pPr>
      <w:r>
        <w:rPr>
          <w:rFonts w:ascii="Courier New" w:cs="Courier New" w:eastAsia="Courier New" w:hAnsi="Courier New"/>
          <w:sz w:val="15"/>
          <w:szCs w:val="15"/>
          <w:color w:val="auto"/>
        </w:rPr>
        <w:t>The weighted average fair value per share of options granted during 1999, 1998 and 1997 was $.88, $.82 and $3.40, respectively. The fair value of options and shares issued pursuant to the stock purchase plan at the date of grant were estimated using the Black-Scholes model with the following weighted average assumptions:</w:t>
      </w:r>
    </w:p>
    <w:p>
      <w:pPr>
        <w:spacing w:after="0" w:line="200" w:lineRule="exact"/>
        <w:rPr>
          <w:sz w:val="20"/>
          <w:szCs w:val="20"/>
          <w:color w:val="auto"/>
        </w:rPr>
      </w:pPr>
    </w:p>
    <w:p>
      <w:pPr>
        <w:spacing w:after="0" w:line="21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spacing w:after="0"/>
              <w:rPr>
                <w:sz w:val="14"/>
                <w:szCs w:val="14"/>
                <w:color w:val="auto"/>
              </w:rPr>
            </w:pPr>
          </w:p>
        </w:tc>
        <w:tc>
          <w:tcPr>
            <w:tcW w:w="282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STOCK PURCHASE PLAN</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134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75"/>
              </w:rPr>
              <w:t>------------------------------------</w:t>
            </w:r>
            <w:r>
              <w:rPr>
                <w:rFonts w:ascii="Courier New" w:cs="Courier New" w:eastAsia="Courier New" w:hAnsi="Courier New"/>
                <w:sz w:val="8"/>
                <w:szCs w:val="8"/>
                <w:color w:val="auto"/>
                <w:w w:val="75"/>
                <w:vertAlign w:val="subscript"/>
              </w:rPr>
              <w:t>1999</w:t>
            </w:r>
          </w:p>
        </w:tc>
        <w:tc>
          <w:tcPr>
            <w:tcW w:w="98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11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1"/>
                <w:szCs w:val="21"/>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340" w:type="dxa"/>
            <w:vAlign w:val="bottom"/>
          </w:tcPr>
          <w:p>
            <w:pPr>
              <w:jc w:val="right"/>
              <w:ind w:right="653"/>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1340" w:type="dxa"/>
            <w:vAlign w:val="bottom"/>
          </w:tcPr>
          <w:p>
            <w:pPr>
              <w:jc w:val="right"/>
              <w:ind w:right="573"/>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1340" w:type="dxa"/>
            <w:vAlign w:val="bottom"/>
          </w:tcPr>
          <w:p>
            <w:pPr>
              <w:jc w:val="right"/>
              <w:ind w:right="573"/>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59.0%</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4480" w:firstLine="358"/>
        <w:spacing w:after="0" w:line="359" w:lineRule="auto"/>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w:t>
      </w:r>
    </w:p>
    <w:p>
      <w:pPr>
        <w:spacing w:after="0" w:line="8" w:lineRule="exact"/>
        <w:rPr>
          <w:sz w:val="20"/>
          <w:szCs w:val="20"/>
          <w:color w:val="auto"/>
        </w:rPr>
      </w:pPr>
    </w:p>
    <w:p>
      <w:pPr>
        <w:ind w:left="8" w:right="4040" w:firstLine="358"/>
        <w:spacing w:after="0" w:line="259" w:lineRule="auto"/>
        <w:rPr>
          <w:sz w:val="20"/>
          <w:szCs w:val="20"/>
          <w:color w:val="auto"/>
        </w:rPr>
      </w:pPr>
      <w:r>
        <w:rPr>
          <w:rFonts w:ascii="Courier New" w:cs="Courier New" w:eastAsia="Courier New" w:hAnsi="Courier New"/>
          <w:sz w:val="15"/>
          <w:szCs w:val="15"/>
          <w:color w:val="auto"/>
        </w:rPr>
        <w:t>The effects on 1999, 1998 and 1997 pro forma net loss and net loss per share of expensing the estimated fair value of stock options and shares issued pursuant to the stock purchase plan are not necessarily representative of the effects on reporting the results of operations for future years as the period presented includes only four, three or two years, respectively, of option grants under the Company's plans. As required by FAS 123, the Company has used the Black-Scholes model for option valuation, which method may not accurately value the options described.</w:t>
      </w:r>
    </w:p>
    <w:p>
      <w:pPr>
        <w:spacing w:after="0" w:line="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WARRANTS</w:t>
      </w:r>
    </w:p>
    <w:p>
      <w:pPr>
        <w:spacing w:after="0" w:line="346" w:lineRule="exact"/>
        <w:rPr>
          <w:sz w:val="20"/>
          <w:szCs w:val="20"/>
          <w:color w:val="auto"/>
        </w:rPr>
      </w:pPr>
    </w:p>
    <w:p>
      <w:pPr>
        <w:ind w:left="8" w:right="4040" w:firstLine="358"/>
        <w:spacing w:after="0" w:line="259" w:lineRule="auto"/>
        <w:rPr>
          <w:sz w:val="20"/>
          <w:szCs w:val="20"/>
          <w:color w:val="auto"/>
        </w:rPr>
      </w:pPr>
      <w:r>
        <w:rPr>
          <w:rFonts w:ascii="Courier New" w:cs="Courier New" w:eastAsia="Courier New" w:hAnsi="Courier New"/>
          <w:sz w:val="15"/>
          <w:szCs w:val="15"/>
          <w:color w:val="auto"/>
        </w:rPr>
        <w:t>In conjunction with the StemCells California merger, the Company exchanged StemCells California warrants for warrants to purchase 8,952 shares of Company common stock at $4.71 per share; such warrants were valued using the intrinsic value method which approximated the value determined using the Black-Scholes method and were accounted for as part of the purchase price. In conjunction with various equipment leasing agreements, the Company had outstanding warrants to purchase 31,545 shares of common stock at prices ranging from $4.00 to $9.00 per share. The warrants expired in October 2000.</w:t>
      </w:r>
    </w:p>
    <w:p>
      <w:pPr>
        <w:spacing w:after="0" w:line="253" w:lineRule="exact"/>
        <w:rPr>
          <w:sz w:val="20"/>
          <w:szCs w:val="20"/>
          <w:color w:val="auto"/>
        </w:rPr>
      </w:pPr>
    </w:p>
    <w:p>
      <w:pPr>
        <w:ind w:left="8" w:right="4220" w:firstLine="358"/>
        <w:spacing w:after="0" w:line="262" w:lineRule="auto"/>
        <w:rPr>
          <w:sz w:val="20"/>
          <w:szCs w:val="20"/>
          <w:color w:val="auto"/>
        </w:rPr>
      </w:pPr>
      <w:r>
        <w:rPr>
          <w:rFonts w:ascii="Courier New" w:cs="Courier New" w:eastAsia="Courier New" w:hAnsi="Courier New"/>
          <w:sz w:val="15"/>
          <w:szCs w:val="15"/>
          <w:color w:val="auto"/>
        </w:rPr>
        <w:t>In connection with a public offering of common stock in April 1995, the Company issued warrants to purchase 434,500 shares of common stock at $8 per share. The warrants are nontransferable and expired in April 2000, subject to certain required exercise provisions. In addition to the foregoing rights, the holder of such warrants has the right, in the event the Company issues additional shares of common stock or other securities convertible into common stock, to purchase at the then market price</w:t>
      </w:r>
    </w:p>
    <w:p>
      <w:pPr>
        <w:spacing w:after="0" w:line="7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1188"/>
          </w:cols>
          <w:pgMar w:left="232" w:top="435" w:right="479" w:bottom="1440" w:gutter="0" w:footer="0" w:header="0"/>
        </w:sectPr>
      </w:pPr>
    </w:p>
    <w:bookmarkStart w:id="79" w:name="page80"/>
    <w:bookmarkEnd w:id="79"/>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0" w:lineRule="exact"/>
        <w:rPr>
          <w:sz w:val="20"/>
          <w:szCs w:val="20"/>
          <w:color w:val="auto"/>
        </w:rPr>
      </w:pPr>
    </w:p>
    <w:p>
      <w:pPr>
        <w:ind w:left="8" w:right="3159"/>
        <w:spacing w:after="0" w:line="268" w:lineRule="auto"/>
        <w:rPr>
          <w:sz w:val="20"/>
          <w:szCs w:val="20"/>
          <w:color w:val="auto"/>
        </w:rPr>
      </w:pPr>
      <w:r>
        <w:rPr>
          <w:rFonts w:ascii="Courier New" w:cs="Courier New" w:eastAsia="Courier New" w:hAnsi="Courier New"/>
          <w:sz w:val="15"/>
          <w:szCs w:val="15"/>
          <w:color w:val="auto"/>
        </w:rPr>
        <w:t>of such common stock, sufficient additional shares of common stock to maintain the warrant holder's percentage ownership of the Company's common stock at 15%. This right, subject to certain conditions and limitations, expired in April 2000.</w:t>
      </w:r>
    </w:p>
    <w:p>
      <w:pPr>
        <w:spacing w:after="0" w:line="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RESERVED</w:t>
      </w:r>
    </w:p>
    <w:p>
      <w:pPr>
        <w:spacing w:after="0" w:line="174" w:lineRule="exact"/>
        <w:rPr>
          <w:sz w:val="20"/>
          <w:szCs w:val="20"/>
          <w:color w:val="auto"/>
        </w:rPr>
      </w:pPr>
    </w:p>
    <w:p>
      <w:pPr>
        <w:ind w:left="8" w:right="3259" w:firstLine="358"/>
        <w:spacing w:after="0" w:line="359" w:lineRule="auto"/>
        <w:rPr>
          <w:sz w:val="20"/>
          <w:szCs w:val="20"/>
          <w:color w:val="auto"/>
        </w:rPr>
      </w:pPr>
      <w:r>
        <w:rPr>
          <w:rFonts w:ascii="Courier New" w:cs="Courier New" w:eastAsia="Courier New" w:hAnsi="Courier New"/>
          <w:sz w:val="15"/>
          <w:szCs w:val="15"/>
          <w:color w:val="auto"/>
        </w:rPr>
        <w:t>The Company has reserved 6,461,846 shares of common stock for the exercise of options, warrants and other contingent issuances of common stock.</w:t>
      </w:r>
    </w:p>
    <w:p>
      <w:pPr>
        <w:spacing w:after="0" w:line="8" w:lineRule="exact"/>
        <w:rPr>
          <w:sz w:val="20"/>
          <w:szCs w:val="20"/>
          <w:color w:val="auto"/>
        </w:rPr>
      </w:pPr>
    </w:p>
    <w:p>
      <w:pPr>
        <w:ind w:left="448" w:hanging="448"/>
        <w:spacing w:after="0"/>
        <w:tabs>
          <w:tab w:leader="none" w:pos="4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4" w:lineRule="exact"/>
        <w:rPr>
          <w:sz w:val="20"/>
          <w:szCs w:val="20"/>
          <w:color w:val="auto"/>
        </w:rPr>
      </w:pPr>
    </w:p>
    <w:p>
      <w:pPr>
        <w:ind w:left="8" w:right="3079" w:firstLine="358"/>
        <w:spacing w:after="0" w:line="251" w:lineRule="auto"/>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$77,000 in 1997, $307,000 in 1998, and $309,000 in 1999.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92" w:lineRule="exact"/>
        <w:rPr>
          <w:sz w:val="20"/>
          <w:szCs w:val="20"/>
          <w:color w:val="auto"/>
        </w:rPr>
      </w:pPr>
    </w:p>
    <w:p>
      <w:pPr>
        <w:ind w:left="8" w:right="3339" w:firstLine="358"/>
        <w:spacing w:after="0" w:line="250" w:lineRule="auto"/>
        <w:rPr>
          <w:sz w:val="20"/>
          <w:szCs w:val="20"/>
          <w:color w:val="auto"/>
        </w:rPr>
      </w:pPr>
      <w:r>
        <w:rPr>
          <w:rFonts w:ascii="Courier New" w:cs="Courier New" w:eastAsia="Courier New" w:hAnsi="Courier New"/>
          <w:sz w:val="15"/>
          <w:szCs w:val="15"/>
          <w:color w:val="auto"/>
        </w:rPr>
        <w:t>In April 1997, the Company entered into an agreement with Neurospheres, Ltd., which superseded all previous licensing agreements and settled a dispute with Neurospheres. Under the terms of the settlement, the Company has an exclusive royalty bearing license for growth-factor responsive stem cells for transplantation. Neurospheres had an option to acquire</w:t>
      </w:r>
    </w:p>
    <w:p>
      <w:pPr>
        <w:spacing w:after="0" w:line="3" w:lineRule="exact"/>
        <w:rPr>
          <w:sz w:val="20"/>
          <w:szCs w:val="20"/>
          <w:color w:val="auto"/>
        </w:rPr>
      </w:pPr>
    </w:p>
    <w:p>
      <w:pPr>
        <w:ind w:left="8" w:right="3079"/>
        <w:spacing w:after="0" w:line="268" w:lineRule="auto"/>
        <w:rPr>
          <w:sz w:val="20"/>
          <w:szCs w:val="20"/>
          <w:color w:val="auto"/>
        </w:rPr>
      </w:pPr>
      <w:r>
        <w:rPr>
          <w:rFonts w:ascii="Courier New" w:cs="Courier New" w:eastAsia="Courier New" w:hAnsi="Courier New"/>
          <w:sz w:val="15"/>
          <w:szCs w:val="15"/>
          <w:color w:val="auto"/>
        </w:rPr>
        <w:t>co-exclusive rights but did not exercise by the April 1998 deadline. The Company retains exclusive rights for transplantation. The parties have no further research obligations to each other, and the Company is under no obligation to provide additional funding.</w:t>
      </w:r>
    </w:p>
    <w:p>
      <w:pPr>
        <w:spacing w:after="0" w:line="73" w:lineRule="exact"/>
        <w:rPr>
          <w:sz w:val="20"/>
          <w:szCs w:val="20"/>
          <w:color w:val="auto"/>
        </w:rPr>
      </w:pPr>
    </w:p>
    <w:p>
      <w:pPr>
        <w:ind w:left="8" w:right="3159" w:firstLine="358"/>
        <w:spacing w:after="0" w:line="278" w:lineRule="auto"/>
        <w:rPr>
          <w:sz w:val="20"/>
          <w:szCs w:val="20"/>
          <w:color w:val="auto"/>
        </w:rPr>
      </w:pPr>
      <w:r>
        <w:rPr>
          <w:rFonts w:ascii="Courier New" w:cs="Courier New" w:eastAsia="Courier New" w:hAnsi="Courier New"/>
          <w:sz w:val="14"/>
          <w:szCs w:val="14"/>
          <w:color w:val="auto"/>
        </w:rPr>
        <w:t>In February 1997, the Company and Cognetix, Inc. entered into a Collaboration and Development Agreement related to the Company's former encapsulated cell technology. As part of the agreement with Cognetix, the Company purchased $250,000 of Cognetix preferred stock and, subject to certain milestones, was obligated to purchase as much as $1,500,000 of additional Cognetix stock over the next year. In July 1997, the Company loaned $250,000 to Cognetix which was repaid with interest in October 1997. In October 1998, the Company sold the $250,000 of preferred stock back to Cognetix for $298,914. The Company is under no obligation to provide funding under this agreement.</w:t>
      </w:r>
    </w:p>
    <w:p>
      <w:pPr>
        <w:spacing w:after="0" w:line="67" w:lineRule="exact"/>
        <w:rPr>
          <w:sz w:val="20"/>
          <w:szCs w:val="20"/>
          <w:color w:val="auto"/>
        </w:rPr>
      </w:pPr>
    </w:p>
    <w:p>
      <w:pPr>
        <w:ind w:left="8" w:right="3159" w:firstLine="358"/>
        <w:spacing w:after="0" w:line="265" w:lineRule="auto"/>
        <w:rPr>
          <w:sz w:val="20"/>
          <w:szCs w:val="20"/>
          <w:color w:val="auto"/>
        </w:rPr>
      </w:pPr>
      <w:r>
        <w:rPr>
          <w:rFonts w:ascii="Courier New" w:cs="Courier New" w:eastAsia="Courier New" w:hAnsi="Courier New"/>
          <w:sz w:val="14"/>
          <w:szCs w:val="14"/>
          <w:color w:val="auto"/>
        </w:rPr>
        <w:t>In 1996, the Company signed certain collaborative development and licensing agreements with Genentech, Inc. Under the terms of one of those agreements, Genentech purchased 829,171 shares of redeemable common stock for $8.3 million to fund development of products to treat Parkinson's disease. Genentech had the right, at its discretion, to terminate the Parkinson's program at specified milestones in the program. The Agreement also provided that if the Parkinson's program were terminated and the funds the Company received from the sale of stock to Genentech pursuant to the Parkinson's agreement exceeded the expenses incurred by the Company in connection with such program by more than</w:t>
      </w:r>
    </w:p>
    <w:p>
      <w:pPr>
        <w:jc w:val="center"/>
        <w:ind w:right="3331"/>
        <w:spacing w:after="0"/>
        <w:rPr>
          <w:sz w:val="20"/>
          <w:szCs w:val="20"/>
          <w:color w:val="auto"/>
        </w:rPr>
      </w:pPr>
      <w:r>
        <w:rPr>
          <w:rFonts w:ascii="Courier New" w:cs="Courier New" w:eastAsia="Courier New" w:hAnsi="Courier New"/>
          <w:sz w:val="14"/>
          <w:szCs w:val="14"/>
          <w:color w:val="auto"/>
        </w:rPr>
        <w:t>$1 million, Genentech had the right to require the Company to repurchase from</w:t>
      </w:r>
    </w:p>
    <w:p>
      <w:pPr>
        <w:spacing w:after="0" w:line="15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435" w:right="1440" w:bottom="1440" w:gutter="0" w:footer="0" w:header="0"/>
        </w:sectPr>
      </w:pPr>
    </w:p>
    <w:bookmarkStart w:id="80" w:name="page81"/>
    <w:bookmarkEnd w:id="80"/>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30" w:lineRule="exact"/>
        <w:rPr>
          <w:sz w:val="20"/>
          <w:szCs w:val="20"/>
          <w:color w:val="auto"/>
        </w:rPr>
      </w:pPr>
    </w:p>
    <w:p>
      <w:pPr>
        <w:ind w:left="8" w:right="3079"/>
        <w:spacing w:after="0" w:line="251" w:lineRule="auto"/>
        <w:rPr>
          <w:sz w:val="20"/>
          <w:szCs w:val="20"/>
          <w:color w:val="auto"/>
        </w:rPr>
      </w:pPr>
      <w:r>
        <w:rPr>
          <w:rFonts w:ascii="Courier New" w:cs="Courier New" w:eastAsia="Courier New" w:hAnsi="Courier New"/>
          <w:sz w:val="15"/>
          <w:szCs w:val="15"/>
          <w:color w:val="auto"/>
        </w:rPr>
        <w:t>Genentech shares of the Company's common stock having a value equal to the over funding, based upon the share price paid by Genentech. As such, the common stock purchased by Genentech has been classified as redeemable common stock until the funds are expended on the program. On May 21, 1998, Genentech exercised its right to terminate the collaboration and negotiations ensued with respect to the amount of redeemable common stock to be redeemed in accordance with the agreement and the method of such redemption. In March 2000 the Company announced the settlement of this matter with Genentech and at that time the redeemable common stock was reclassified to common stock. The Company is under no obligation to provide additional funding to Genentech, Inc.</w:t>
      </w:r>
    </w:p>
    <w:p>
      <w:pPr>
        <w:spacing w:after="0" w:line="87" w:lineRule="exact"/>
        <w:rPr>
          <w:sz w:val="20"/>
          <w:szCs w:val="20"/>
          <w:color w:val="auto"/>
        </w:rPr>
      </w:pPr>
    </w:p>
    <w:p>
      <w:pPr>
        <w:ind w:left="8" w:right="3079" w:firstLine="358"/>
        <w:spacing w:after="0" w:line="246" w:lineRule="auto"/>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 The Company has no additional funding obligations with AstraZeneca.</w:t>
      </w:r>
    </w:p>
    <w:p>
      <w:pPr>
        <w:spacing w:after="0" w:line="105" w:lineRule="exact"/>
        <w:rPr>
          <w:sz w:val="20"/>
          <w:szCs w:val="20"/>
          <w:color w:val="auto"/>
        </w:rPr>
      </w:pPr>
    </w:p>
    <w:p>
      <w:pPr>
        <w:ind w:left="8" w:right="3079" w:firstLine="358"/>
        <w:spacing w:after="0" w:line="267"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1" w:lineRule="exact"/>
        <w:rPr>
          <w:sz w:val="20"/>
          <w:szCs w:val="20"/>
          <w:color w:val="auto"/>
        </w:rPr>
      </w:pPr>
    </w:p>
    <w:p>
      <w:pPr>
        <w:ind w:left="8" w:right="3159"/>
        <w:spacing w:after="0" w:line="253" w:lineRule="auto"/>
        <w:rPr>
          <w:sz w:val="20"/>
          <w:szCs w:val="20"/>
          <w:color w:val="auto"/>
        </w:rPr>
      </w:pPr>
      <w:r>
        <w:rPr>
          <w:rFonts w:ascii="Courier New" w:cs="Courier New" w:eastAsia="Courier New" w:hAnsi="Courier New"/>
          <w:sz w:val="15"/>
          <w:szCs w:val="15"/>
          <w:color w:val="auto"/>
        </w:rPr>
        <w:t>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$868,000, $1,259,000, and $1,326,000 for the years ended December 31, 1999, 1998 and 1997, respectively. The Company has no other significant collaborative research funding obligations.</w:t>
      </w:r>
    </w:p>
    <w:p>
      <w:pPr>
        <w:spacing w:after="0" w:line="8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7"/>
          </w:cols>
          <w:pgMar w:left="232" w:top="435" w:right="1440" w:bottom="1440" w:gutter="0" w:footer="0" w:header="0"/>
        </w:sectPr>
      </w:pPr>
    </w:p>
    <w:bookmarkStart w:id="81" w:name="page82"/>
    <w:bookmarkEnd w:id="81"/>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8" w:right="3159" w:firstLine="358"/>
        <w:spacing w:after="0" w:line="283" w:lineRule="auto"/>
        <w:rPr>
          <w:sz w:val="20"/>
          <w:szCs w:val="20"/>
          <w:color w:val="auto"/>
        </w:rPr>
      </w:pPr>
      <w:r>
        <w:rPr>
          <w:rFonts w:ascii="Courier New" w:cs="Courier New" w:eastAsia="Courier New" w:hAnsi="Courier New"/>
          <w:sz w:val="14"/>
          <w:szCs w:val="14"/>
          <w:color w:val="auto"/>
        </w:rPr>
        <w:t>Due to net losses incurred by the Company in each year since inception, no provision for income taxes has been recorded. At December 31, 1999, the Company had tax net operating loss carry forwards of $96,195,000 and research and development tax credit carry forwards of $4,035,000 which expire at various times through 2019. Due to the "change in ownership" provisions of the Tax Reform Act of 1986, the Company's utilization of its net operating loss carry forwards and tax credits may be subject to annual limitation in future periods.</w:t>
      </w:r>
    </w:p>
    <w:p>
      <w:pPr>
        <w:spacing w:after="0" w:line="67" w:lineRule="exact"/>
        <w:rPr>
          <w:sz w:val="20"/>
          <w:szCs w:val="20"/>
          <w:color w:val="auto"/>
        </w:rPr>
      </w:pPr>
    </w:p>
    <w:p>
      <w:pPr>
        <w:ind w:left="8" w:right="3159" w:firstLine="358"/>
        <w:spacing w:after="0" w:line="359" w:lineRule="auto"/>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6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4,331,000</w:t>
            </w:r>
          </w:p>
        </w:tc>
        <w:tc>
          <w:tcPr>
            <w:tcW w:w="1260" w:type="dxa"/>
            <w:vAlign w:val="bottom"/>
            <w:gridSpan w:val="2"/>
            <w:vMerge w:val="restart"/>
          </w:tcPr>
          <w:p>
            <w:pPr>
              <w:jc w:val="right"/>
              <w:ind w:right="5"/>
              <w:spacing w:after="0"/>
              <w:rPr>
                <w:sz w:val="20"/>
                <w:szCs w:val="20"/>
                <w:color w:val="auto"/>
              </w:rPr>
            </w:pPr>
            <w:r>
              <w:rPr>
                <w:rFonts w:ascii="Courier New" w:cs="Courier New" w:eastAsia="Courier New" w:hAnsi="Courier New"/>
                <w:sz w:val="15"/>
                <w:szCs w:val="15"/>
                <w:color w:val="auto"/>
              </w:rPr>
              <w:t>$ 28,124,000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38,478,000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10,786,000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4,035,000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3,646,000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928,000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235,000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47,772,000</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42,791,000</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2"/>
                <w:szCs w:val="22"/>
                <w:color w:val="auto"/>
              </w:rPr>
            </w:pP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(246,000)</w:t>
            </w:r>
          </w:p>
        </w:tc>
        <w:tc>
          <w:tcPr>
            <w:tcW w:w="18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(1,537,000)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3"/>
                <w:szCs w:val="3"/>
                <w:color w:val="auto"/>
                <w:w w:val="73"/>
              </w:rPr>
              <w:t>------------</w:t>
            </w: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47,526,000</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41,254,000</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(47,526,000)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(41,254,000)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deferred tax assets.....................................</w:t>
            </w:r>
          </w:p>
        </w:tc>
        <w:tc>
          <w:tcPr>
            <w:tcW w:w="1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259" w:firstLine="358"/>
        <w:spacing w:after="0" w:line="266" w:lineRule="auto"/>
        <w:rPr>
          <w:sz w:val="20"/>
          <w:szCs w:val="20"/>
          <w:color w:val="auto"/>
        </w:rPr>
      </w:pPr>
      <w:r>
        <w:rPr>
          <w:rFonts w:ascii="Courier New" w:cs="Courier New" w:eastAsia="Courier New" w:hAnsi="Courier New"/>
          <w:sz w:val="15"/>
          <w:szCs w:val="15"/>
          <w:color w:val="auto"/>
        </w:rPr>
        <w:t>Since there is uncertainty relating to the ultimate use of the loss carry forwards and tax credits, a valuation allowance has been recognized at December 31, 1999 and 1998, to fully offset the Company's deferred tax assets. The valuation allowance increased $6,272,000 in 1999, due primarily to the increases in net operating loss carry forwards and tax credits offset by reduction in capitalized research and development costs.</w:t>
      </w:r>
    </w:p>
    <w:p>
      <w:pPr>
        <w:spacing w:after="0" w:line="74" w:lineRule="exact"/>
        <w:rPr>
          <w:sz w:val="20"/>
          <w:szCs w:val="20"/>
          <w:color w:val="auto"/>
        </w:rPr>
      </w:pPr>
    </w:p>
    <w:p>
      <w:pPr>
        <w:ind w:left="448" w:hanging="448"/>
        <w:spacing w:after="0"/>
        <w:tabs>
          <w:tab w:leader="none" w:pos="4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4" w:lineRule="exact"/>
        <w:rPr>
          <w:sz w:val="20"/>
          <w:szCs w:val="20"/>
          <w:color w:val="auto"/>
        </w:rPr>
      </w:pPr>
    </w:p>
    <w:p>
      <w:pPr>
        <w:ind w:left="8" w:right="3079" w:firstLine="358"/>
        <w:spacing w:after="0" w:line="262"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$103,000, $146,000, and $169,000 for the years ended December 31, 1999, 1998 and 1997, respectively.</w:t>
      </w:r>
    </w:p>
    <w:p>
      <w:pPr>
        <w:spacing w:after="0" w:line="78" w:lineRule="exact"/>
        <w:rPr>
          <w:sz w:val="20"/>
          <w:szCs w:val="20"/>
          <w:color w:val="auto"/>
        </w:rPr>
      </w:pPr>
    </w:p>
    <w:p>
      <w:pPr>
        <w:ind w:left="448" w:hanging="448"/>
        <w:spacing w:after="0"/>
        <w:tabs>
          <w:tab w:leader="none" w:pos="4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4" w:lineRule="exact"/>
        <w:rPr>
          <w:sz w:val="20"/>
          <w:szCs w:val="20"/>
          <w:color w:val="auto"/>
        </w:rPr>
      </w:pPr>
    </w:p>
    <w:p>
      <w:pPr>
        <w:ind w:left="8" w:right="3159" w:firstLine="358"/>
        <w:spacing w:after="0" w:line="281" w:lineRule="auto"/>
        <w:rPr>
          <w:sz w:val="20"/>
          <w:szCs w:val="20"/>
          <w:color w:val="auto"/>
        </w:rPr>
      </w:pPr>
      <w:r>
        <w:rPr>
          <w:rFonts w:ascii="Courier New" w:cs="Courier New" w:eastAsia="Courier New" w:hAnsi="Courier New"/>
          <w:sz w:val="15"/>
          <w:szCs w:val="15"/>
          <w:color w:val="auto"/>
        </w:rPr>
        <w:t>The Company is routinely involved in arbitration, litigation and other matters as part of the ordinary course of its business. While the resolution of any matter may have an impact on the Company's financial results for a particular reporting period, management believes the ultimate</w:t>
      </w:r>
    </w:p>
    <w:p>
      <w:pPr>
        <w:spacing w:after="0" w:line="6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7"/>
          </w:cols>
          <w:pgMar w:left="232" w:top="435" w:right="1440" w:bottom="1440" w:gutter="0" w:footer="0" w:header="0"/>
        </w:sectPr>
      </w:pPr>
    </w:p>
    <w:bookmarkStart w:id="82" w:name="page83"/>
    <w:bookmarkEnd w:id="82"/>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 (CONTINUED)</w:t>
      </w:r>
    </w:p>
    <w:p>
      <w:pPr>
        <w:spacing w:after="0" w:line="30" w:lineRule="exact"/>
        <w:rPr>
          <w:sz w:val="20"/>
          <w:szCs w:val="20"/>
          <w:color w:val="auto"/>
        </w:rPr>
      </w:pPr>
    </w:p>
    <w:p>
      <w:pPr>
        <w:ind w:left="8" w:right="3339"/>
        <w:spacing w:after="0" w:line="319" w:lineRule="auto"/>
        <w:rPr>
          <w:sz w:val="20"/>
          <w:szCs w:val="20"/>
          <w:color w:val="auto"/>
        </w:rPr>
      </w:pPr>
      <w:r>
        <w:rPr>
          <w:rFonts w:ascii="Courier New" w:cs="Courier New" w:eastAsia="Courier New" w:hAnsi="Courier New"/>
          <w:sz w:val="15"/>
          <w:szCs w:val="15"/>
          <w:color w:val="auto"/>
        </w:rPr>
        <w:t>disposition of these matters will not have a materially adverse effect on the Company's consolidated financial position or results of operations.</w:t>
      </w:r>
    </w:p>
    <w:p>
      <w:pPr>
        <w:spacing w:after="0" w:line="36" w:lineRule="exact"/>
        <w:rPr>
          <w:sz w:val="20"/>
          <w:szCs w:val="20"/>
          <w:color w:val="auto"/>
        </w:rPr>
      </w:pPr>
    </w:p>
    <w:p>
      <w:pPr>
        <w:ind w:left="448" w:hanging="448"/>
        <w:spacing w:after="0"/>
        <w:tabs>
          <w:tab w:leader="none" w:pos="4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$1,500,000, on terms more favorable than it was then able to obtain from outside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investors. (SEE NOTE 3--"SALE OF 6% CUMULATIVE CONVERTIBLE PREFERRED STOCK.")</w:t>
      </w:r>
    </w:p>
    <w:p>
      <w:pPr>
        <w:spacing w:after="0" w:line="1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7"/>
          </w:cols>
          <w:pgMar w:left="232" w:top="434" w:right="1440" w:bottom="1440" w:gutter="0" w:footer="0" w:header="0"/>
        </w:sectPr>
      </w:pPr>
    </w:p>
    <w:bookmarkStart w:id="83" w:name="page84"/>
    <w:bookmarkEnd w:id="83"/>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SEPTEMBER 30, 2000</w:t>
            </w:r>
          </w:p>
        </w:tc>
        <w:tc>
          <w:tcPr>
            <w:tcW w:w="1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1999</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(UNAUDITED)</w:t>
            </w:r>
          </w:p>
        </w:tc>
        <w:tc>
          <w:tcPr>
            <w:tcW w:w="5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(NOTE 1)</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7,247,077</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4,760,064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4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sale receivable................................</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768,521</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1,210,791</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460" w:type="dxa"/>
            <w:vAlign w:val="bottom"/>
          </w:tcPr>
          <w:p>
            <w:pPr>
              <w:jc w:val="right"/>
              <w:spacing w:after="0"/>
              <w:rPr>
                <w:sz w:val="20"/>
                <w:szCs w:val="20"/>
                <w:color w:val="auto"/>
              </w:rPr>
            </w:pPr>
            <w:r>
              <w:rPr>
                <w:rFonts w:ascii="Courier New" w:cs="Courier New" w:eastAsia="Courier New" w:hAnsi="Courier New"/>
                <w:sz w:val="7"/>
                <w:szCs w:val="7"/>
                <w:color w:val="auto"/>
                <w:w w:val="80"/>
              </w:rPr>
              <w:t>-------------</w:t>
            </w:r>
          </w:p>
        </w:tc>
        <w:tc>
          <w:tcPr>
            <w:tcW w:w="14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8,215,598</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8,970,855</w:t>
            </w:r>
          </w:p>
        </w:tc>
        <w:tc>
          <w:tcPr>
            <w:tcW w:w="0" w:type="dxa"/>
            <w:vAlign w:val="bottom"/>
          </w:tcPr>
          <w:p>
            <w:pPr>
              <w:spacing w:after="0"/>
              <w:rPr>
                <w:sz w:val="1"/>
                <w:szCs w:val="1"/>
                <w:color w:val="auto"/>
              </w:rPr>
            </w:pPr>
          </w:p>
        </w:tc>
      </w:tr>
      <w:tr>
        <w:trPr>
          <w:trHeight w:val="26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Investments....................................</w:t>
            </w:r>
          </w:p>
        </w:tc>
        <w:tc>
          <w:tcPr>
            <w:tcW w:w="460" w:type="dxa"/>
            <w:vAlign w:val="bottom"/>
          </w:tcPr>
          <w:p>
            <w:pPr>
              <w:spacing w:after="0"/>
              <w:rPr>
                <w:sz w:val="22"/>
                <w:szCs w:val="22"/>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27,204,333</w:t>
            </w:r>
          </w:p>
        </w:tc>
        <w:tc>
          <w:tcPr>
            <w:tcW w:w="540" w:type="dxa"/>
            <w:vAlign w:val="bottom"/>
          </w:tcPr>
          <w:p>
            <w:pPr>
              <w:spacing w:after="0"/>
              <w:rPr>
                <w:sz w:val="22"/>
                <w:szCs w:val="22"/>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held for sale....................................</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3,203,491</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3,203,491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plant and equipment, net........................</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1,517,564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1,747,885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Intangible assets, net....................................</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740,543</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1,108,768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750,000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750,000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4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6"/>
                <w:vertAlign w:val="subscript"/>
              </w:rPr>
              <w:t>$</w:t>
            </w:r>
            <w:r>
              <w:rPr>
                <w:rFonts w:ascii="Courier New" w:cs="Courier New" w:eastAsia="Courier New" w:hAnsi="Courier New"/>
                <w:sz w:val="7"/>
                <w:szCs w:val="7"/>
                <w:color w:val="auto"/>
                <w:w w:val="76"/>
              </w:rPr>
              <w:t>-------------</w:t>
            </w:r>
          </w:p>
        </w:tc>
        <w:tc>
          <w:tcPr>
            <w:tcW w:w="14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41,631,529</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234,444</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631,315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4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574,267</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2,605,068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327,083</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324,167</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Total current liabilities...................................</w:t>
            </w:r>
          </w:p>
        </w:tc>
        <w:tc>
          <w:tcPr>
            <w:tcW w:w="460" w:type="dxa"/>
            <w:vAlign w:val="bottom"/>
          </w:tcPr>
          <w:p>
            <w:pPr>
              <w:jc w:val="right"/>
              <w:spacing w:after="0"/>
              <w:rPr>
                <w:sz w:val="20"/>
                <w:szCs w:val="20"/>
                <w:color w:val="auto"/>
              </w:rPr>
            </w:pPr>
            <w:r>
              <w:rPr>
                <w:rFonts w:ascii="Courier New" w:cs="Courier New" w:eastAsia="Courier New" w:hAnsi="Courier New"/>
                <w:sz w:val="7"/>
                <w:szCs w:val="7"/>
                <w:color w:val="auto"/>
                <w:w w:val="80"/>
              </w:rPr>
              <w:t>-------------</w:t>
            </w:r>
          </w:p>
        </w:tc>
        <w:tc>
          <w:tcPr>
            <w:tcW w:w="14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1,135,794</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3,560,550</w:t>
            </w:r>
          </w:p>
        </w:tc>
        <w:tc>
          <w:tcPr>
            <w:tcW w:w="0" w:type="dxa"/>
            <w:vAlign w:val="bottom"/>
          </w:tcPr>
          <w:p>
            <w:pPr>
              <w:spacing w:after="0"/>
              <w:rPr>
                <w:sz w:val="1"/>
                <w:szCs w:val="1"/>
                <w:color w:val="auto"/>
              </w:rPr>
            </w:pPr>
          </w:p>
        </w:tc>
      </w:tr>
      <w:tr>
        <w:trPr>
          <w:trHeight w:val="26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460" w:type="dxa"/>
            <w:vAlign w:val="bottom"/>
          </w:tcPr>
          <w:p>
            <w:pPr>
              <w:spacing w:after="0"/>
              <w:rPr>
                <w:sz w:val="22"/>
                <w:szCs w:val="22"/>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2,692,500</w:t>
            </w:r>
          </w:p>
        </w:tc>
        <w:tc>
          <w:tcPr>
            <w:tcW w:w="540" w:type="dxa"/>
            <w:vAlign w:val="bottom"/>
          </w:tcPr>
          <w:p>
            <w:pPr>
              <w:spacing w:after="0"/>
              <w:rPr>
                <w:sz w:val="22"/>
                <w:szCs w:val="22"/>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2,937,083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rent...............................................</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650,984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502,353</w:t>
            </w: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Redeemable stock............................................</w:t>
            </w:r>
          </w:p>
        </w:tc>
        <w:tc>
          <w:tcPr>
            <w:tcW w:w="460" w:type="dxa"/>
            <w:vAlign w:val="bottom"/>
          </w:tcPr>
          <w:p>
            <w:pPr>
              <w:spacing w:after="0"/>
              <w:rPr>
                <w:sz w:val="21"/>
                <w:szCs w:val="21"/>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1"/>
                <w:szCs w:val="21"/>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5,248,610</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60" w:type="dxa"/>
            <w:vAlign w:val="bottom"/>
          </w:tcPr>
          <w:p>
            <w:pPr>
              <w:spacing w:after="0"/>
              <w:rPr>
                <w:sz w:val="22"/>
                <w:szCs w:val="22"/>
                <w:color w:val="auto"/>
              </w:rPr>
            </w:pPr>
          </w:p>
        </w:tc>
        <w:tc>
          <w:tcPr>
            <w:tcW w:w="14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1,500,000</w:t>
            </w:r>
          </w:p>
        </w:tc>
        <w:tc>
          <w:tcPr>
            <w:tcW w:w="540" w:type="dxa"/>
            <w:vAlign w:val="bottom"/>
          </w:tcPr>
          <w:p>
            <w:pPr>
              <w:spacing w:after="0"/>
              <w:rPr>
                <w:sz w:val="22"/>
                <w:szCs w:val="22"/>
                <w:color w:val="auto"/>
              </w:rPr>
            </w:pP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Convertible Preferred Stock...............................</w:t>
            </w:r>
          </w:p>
        </w:tc>
        <w:tc>
          <w:tcPr>
            <w:tcW w:w="4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208,818</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186,355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 in capital................................</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134,698,668</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123,917,758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46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(1,250,004)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46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(124,237,900)</w:t>
            </w:r>
          </w:p>
        </w:tc>
        <w:tc>
          <w:tcPr>
            <w:tcW w:w="5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27,204,333</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46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(997,664)</w:t>
            </w:r>
          </w:p>
        </w:tc>
        <w:tc>
          <w:tcPr>
            <w:tcW w:w="5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(1,225,000)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460" w:type="dxa"/>
            <w:vAlign w:val="bottom"/>
          </w:tcPr>
          <w:p>
            <w:pPr>
              <w:jc w:val="right"/>
              <w:spacing w:after="0"/>
              <w:rPr>
                <w:sz w:val="20"/>
                <w:szCs w:val="20"/>
                <w:color w:val="auto"/>
              </w:rPr>
            </w:pPr>
            <w:r>
              <w:rPr>
                <w:rFonts w:ascii="Courier New" w:cs="Courier New" w:eastAsia="Courier New" w:hAnsi="Courier New"/>
                <w:sz w:val="7"/>
                <w:szCs w:val="7"/>
                <w:color w:val="auto"/>
                <w:w w:val="80"/>
              </w:rPr>
              <w:t>-------------</w:t>
            </w:r>
          </w:p>
        </w:tc>
        <w:tc>
          <w:tcPr>
            <w:tcW w:w="14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37,126,251</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3,506,403</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4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6"/>
                <w:vertAlign w:val="subscript"/>
              </w:rPr>
              <w:t>$</w:t>
            </w:r>
            <w:r>
              <w:rPr>
                <w:rFonts w:ascii="Courier New" w:cs="Courier New" w:eastAsia="Courier New" w:hAnsi="Courier New"/>
                <w:sz w:val="7"/>
                <w:szCs w:val="7"/>
                <w:color w:val="auto"/>
                <w:w w:val="76"/>
              </w:rPr>
              <w:t>-------------</w:t>
            </w:r>
          </w:p>
        </w:tc>
        <w:tc>
          <w:tcPr>
            <w:tcW w:w="14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41,631,529</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435" w:right="1440" w:bottom="1440" w:gutter="0" w:footer="0" w:header="0"/>
        </w:sectPr>
      </w:pPr>
    </w:p>
    <w:bookmarkStart w:id="84" w:name="page85"/>
    <w:bookmarkEnd w:id="84"/>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29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NINE MONTHS ENDED SEPTEMBER 30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arrangements.....................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5,021,707</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3,350,101</w:t>
            </w:r>
          </w:p>
        </w:tc>
        <w:tc>
          <w:tcPr>
            <w:tcW w:w="3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8,432,262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2,172,137</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3,195,672</w:t>
            </w:r>
          </w:p>
        </w:tc>
        <w:tc>
          <w:tcPr>
            <w:tcW w:w="0" w:type="dxa"/>
            <w:vAlign w:val="bottom"/>
          </w:tcPr>
          <w:p>
            <w:pPr>
              <w:spacing w:after="0"/>
              <w:rPr>
                <w:sz w:val="1"/>
                <w:szCs w:val="1"/>
                <w:color w:val="auto"/>
              </w:rPr>
            </w:pPr>
          </w:p>
        </w:tc>
      </w:tr>
      <w:tr>
        <w:trPr>
          <w:trHeight w:val="172"/>
        </w:trPr>
        <w:tc>
          <w:tcPr>
            <w:tcW w:w="54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360" w:type="dxa"/>
            <w:vAlign w:val="bottom"/>
          </w:tcPr>
          <w:p>
            <w:pPr>
              <w:spacing w:after="0"/>
              <w:rPr>
                <w:sz w:val="14"/>
                <w:szCs w:val="14"/>
                <w:color w:val="auto"/>
              </w:rPr>
            </w:pP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768,733</w:t>
            </w:r>
          </w:p>
        </w:tc>
        <w:tc>
          <w:tcPr>
            <w:tcW w:w="3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4,078,034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relocation..............................................</w:t>
            </w: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3"/>
                <w:szCs w:val="3"/>
                <w:color w:val="auto"/>
                <w:w w:val="73"/>
              </w:rPr>
              <w:t>------------</w:t>
            </w: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6,290,971</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Loss from operations........................................</w:t>
            </w: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15,705,968</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(6,290,971)</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(10,684,261)</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4"/>
                <w:szCs w:val="14"/>
                <w:color w:val="auto"/>
              </w:rPr>
            </w:pP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218,480</w:t>
            </w:r>
          </w:p>
        </w:tc>
        <w:tc>
          <w:tcPr>
            <w:tcW w:w="36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504,114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 income.........................................</w:t>
            </w: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(209,287)</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(236,836)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1,427,686</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disposal of fixed assets..........................</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(11,098)</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(66,777)</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3"/>
                <w:szCs w:val="3"/>
                <w:color w:val="auto"/>
                <w:w w:val="73"/>
              </w:rPr>
              <w:t>------------</w:t>
            </w: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1,425,781</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200,501</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loss....................................................</w:t>
            </w:r>
          </w:p>
        </w:tc>
        <w:tc>
          <w:tcPr>
            <w:tcW w:w="1480" w:type="dxa"/>
            <w:vAlign w:val="bottom"/>
            <w:gridSpan w:val="2"/>
            <w:vMerge w:val="restart"/>
          </w:tcPr>
          <w:p>
            <w:pPr>
              <w:ind w:left="180"/>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perscript"/>
              </w:rPr>
              <w:t>------------</w:t>
            </w:r>
            <w:r>
              <w:rPr>
                <w:rFonts w:ascii="Courier New" w:cs="Courier New" w:eastAsia="Courier New" w:hAnsi="Courier New"/>
                <w:sz w:val="12"/>
                <w:szCs w:val="12"/>
                <w:color w:val="auto"/>
                <w:w w:val="70"/>
              </w:rPr>
              <w:t>(4,865,190)</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(10,483,760)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Deemed dividend (Note 2)..................................</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(265,000)</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loss applicable to common shareholders..................</w:t>
            </w:r>
          </w:p>
        </w:tc>
        <w:tc>
          <w:tcPr>
            <w:tcW w:w="1480" w:type="dxa"/>
            <w:vAlign w:val="bottom"/>
            <w:gridSpan w:val="2"/>
            <w:vMerge w:val="restart"/>
          </w:tcPr>
          <w:p>
            <w:pPr>
              <w:ind w:left="180"/>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perscript"/>
              </w:rPr>
              <w:t>------------</w:t>
            </w:r>
            <w:r>
              <w:rPr>
                <w:rFonts w:ascii="Courier New" w:cs="Courier New" w:eastAsia="Courier New" w:hAnsi="Courier New"/>
                <w:sz w:val="12"/>
                <w:szCs w:val="12"/>
                <w:color w:val="auto"/>
                <w:w w:val="70"/>
              </w:rPr>
              <w:t>(5,130,190)</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(10,483,760)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Basic and diluted net loss per common share.................</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7"/>
              </w:rPr>
              <w:t>19,682,590</w:t>
            </w:r>
          </w:p>
        </w:tc>
        <w:tc>
          <w:tcPr>
            <w:tcW w:w="360" w:type="dxa"/>
            <w:vAlign w:val="bottom"/>
          </w:tcPr>
          <w:p>
            <w:pPr>
              <w:spacing w:after="0"/>
              <w:rPr>
                <w:sz w:val="7"/>
                <w:szCs w:val="7"/>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18,560,675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share..............................................</w:t>
            </w: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435" w:right="1440" w:bottom="1440" w:gutter="0" w:footer="0" w:header="0"/>
        </w:sectPr>
      </w:pPr>
    </w:p>
    <w:bookmarkStart w:id="85" w:name="page86"/>
    <w:bookmarkEnd w:id="85"/>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4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(UNAUDITED)</w:t>
            </w:r>
          </w:p>
        </w:tc>
        <w:tc>
          <w:tcPr>
            <w:tcW w:w="1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5440" w:type="dxa"/>
            <w:vAlign w:val="bottom"/>
          </w:tcPr>
          <w:p>
            <w:pPr>
              <w:spacing w:after="0"/>
              <w:rPr>
                <w:sz w:val="24"/>
                <w:szCs w:val="24"/>
                <w:color w:val="auto"/>
              </w:rPr>
            </w:pPr>
          </w:p>
        </w:tc>
        <w:tc>
          <w:tcPr>
            <w:tcW w:w="2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5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26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vMerge w:val="restart"/>
          </w:tcPr>
          <w:p>
            <w:pPr>
              <w:jc w:val="right"/>
              <w:ind w:right="8"/>
              <w:spacing w:after="0"/>
              <w:rPr>
                <w:sz w:val="20"/>
                <w:szCs w:val="20"/>
                <w:color w:val="auto"/>
              </w:rPr>
            </w:pPr>
            <w:r>
              <w:rPr>
                <w:rFonts w:ascii="Courier New" w:cs="Courier New" w:eastAsia="Courier New" w:hAnsi="Courier New"/>
                <w:sz w:val="15"/>
                <w:szCs w:val="15"/>
                <w:color w:val="auto"/>
              </w:rPr>
              <w:t>$(4,865,190)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$(10,483,760)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1260" w:type="dxa"/>
            <w:vAlign w:val="bottom"/>
          </w:tcPr>
          <w:p>
            <w:pPr>
              <w:jc w:val="right"/>
              <w:ind w:right="8"/>
              <w:spacing w:after="0"/>
              <w:rPr>
                <w:sz w:val="20"/>
                <w:szCs w:val="20"/>
                <w:color w:val="auto"/>
              </w:rPr>
            </w:pPr>
            <w:r>
              <w:rPr>
                <w:rFonts w:ascii="Courier New" w:cs="Courier New" w:eastAsia="Courier New" w:hAnsi="Courier New"/>
                <w:sz w:val="15"/>
                <w:szCs w:val="15"/>
                <w:color w:val="auto"/>
              </w:rPr>
              <w:t>(1,427,686)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Adjustments to reconcile net loss to net cash used for</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operating activities:</w:t>
            </w: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617,447</w:t>
            </w:r>
          </w:p>
        </w:tc>
        <w:tc>
          <w:tcPr>
            <w:tcW w:w="12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1,603,691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 down of fixed assets..............................</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stock compensation.............................</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464,363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244,337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fixed assets............................</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66,777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260" w:type="dxa"/>
            <w:vAlign w:val="bottom"/>
          </w:tcPr>
          <w:p>
            <w:pPr>
              <w:jc w:val="right"/>
              <w:ind w:right="8"/>
              <w:spacing w:after="0"/>
              <w:rPr>
                <w:sz w:val="20"/>
                <w:szCs w:val="20"/>
                <w:color w:val="auto"/>
              </w:rPr>
            </w:pPr>
            <w:r>
              <w:rPr>
                <w:rFonts w:ascii="Courier New" w:cs="Courier New" w:eastAsia="Courier New" w:hAnsi="Courier New"/>
                <w:sz w:val="15"/>
                <w:szCs w:val="15"/>
                <w:color w:val="auto"/>
              </w:rPr>
              <w:t>(3,086,775)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(1,978,807)</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Net cash used in operating activities.....................</w:t>
            </w:r>
          </w:p>
        </w:tc>
        <w:tc>
          <w:tcPr>
            <w:tcW w:w="1260" w:type="dxa"/>
            <w:vAlign w:val="bottom"/>
            <w:vMerge w:val="restart"/>
          </w:tcPr>
          <w:p>
            <w:pPr>
              <w:jc w:val="right"/>
              <w:ind w:right="8"/>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(8,297,841)</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(9,747,762)</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11,317,482</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marketable securities.......................</w:t>
            </w:r>
          </w:p>
        </w:tc>
        <w:tc>
          <w:tcPr>
            <w:tcW w:w="12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marketable securities........................</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(4,397,676)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encapsulated cell technology........</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2,800,000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 of property, plant and equipment, net............</w:t>
            </w:r>
          </w:p>
        </w:tc>
        <w:tc>
          <w:tcPr>
            <w:tcW w:w="1260" w:type="dxa"/>
            <w:vAlign w:val="bottom"/>
          </w:tcPr>
          <w:p>
            <w:pPr>
              <w:jc w:val="right"/>
              <w:ind w:right="8"/>
              <w:spacing w:after="0"/>
              <w:rPr>
                <w:sz w:val="20"/>
                <w:szCs w:val="20"/>
                <w:color w:val="auto"/>
              </w:rPr>
            </w:pPr>
            <w:r>
              <w:rPr>
                <w:rFonts w:ascii="Courier New" w:cs="Courier New" w:eastAsia="Courier New" w:hAnsi="Courier New"/>
                <w:sz w:val="15"/>
                <w:szCs w:val="15"/>
                <w:color w:val="auto"/>
              </w:rPr>
              <w:t>(18,901)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(47,210)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Modex shares........................</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1,427,686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 of other assets...............................</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(138,090)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4,208,785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6,734,505</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553,586</w:t>
            </w:r>
          </w:p>
        </w:tc>
        <w:tc>
          <w:tcPr>
            <w:tcW w:w="12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548,225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the exercise of stock options...............</w:t>
            </w:r>
          </w:p>
        </w:tc>
        <w:tc>
          <w:tcPr>
            <w:tcW w:w="12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common stock....................</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4,764,150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preferred stock.................</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1,500,000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Principal payments under capitalized lease obligations and</w:t>
            </w:r>
          </w:p>
        </w:tc>
        <w:tc>
          <w:tcPr>
            <w:tcW w:w="1260" w:type="dxa"/>
            <w:vAlign w:val="bottom"/>
            <w:vMerge w:val="restart"/>
          </w:tcPr>
          <w:p>
            <w:pPr>
              <w:jc w:val="right"/>
              <w:ind w:right="8"/>
              <w:spacing w:after="0"/>
              <w:rPr>
                <w:sz w:val="20"/>
                <w:szCs w:val="20"/>
                <w:color w:val="auto"/>
              </w:rPr>
            </w:pPr>
            <w:r>
              <w:rPr>
                <w:rFonts w:ascii="Courier New" w:cs="Courier New" w:eastAsia="Courier New" w:hAnsi="Courier New"/>
                <w:sz w:val="15"/>
                <w:szCs w:val="15"/>
                <w:color w:val="auto"/>
              </w:rPr>
              <w:t>(241,667)</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(1,710,833)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mortgage payable........................................</w:t>
            </w:r>
          </w:p>
        </w:tc>
        <w:tc>
          <w:tcPr>
            <w:tcW w:w="12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Net cash provided by (used by) financing activities.......</w:t>
            </w: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6,576,069</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(1,162,608)</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2,487,013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(4,175,865)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4,760,064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7,864,788</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9"/>
                <w:szCs w:val="19"/>
                <w:color w:val="auto"/>
                <w:w w:val="71"/>
                <w:vertAlign w:val="subscript"/>
              </w:rPr>
              <w:t>$</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7,247,077</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3,688,923</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Non-cash item:</w:t>
            </w:r>
          </w:p>
        </w:tc>
        <w:tc>
          <w:tcPr>
            <w:tcW w:w="12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26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$ 1,250,004</w:t>
            </w:r>
          </w:p>
        </w:tc>
        <w:tc>
          <w:tcPr>
            <w:tcW w:w="12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126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435" w:right="1440" w:bottom="1440" w:gutter="0" w:footer="0" w:header="0"/>
        </w:sectPr>
      </w:pPr>
    </w:p>
    <w:bookmarkStart w:id="86" w:name="page87"/>
    <w:bookmarkEnd w:id="86"/>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4" w:lineRule="exact"/>
        <w:rPr>
          <w:sz w:val="20"/>
          <w:szCs w:val="20"/>
          <w:color w:val="auto"/>
        </w:rPr>
      </w:pPr>
    </w:p>
    <w:p>
      <w:pPr>
        <w:ind w:right="3259" w:firstLine="358"/>
        <w:spacing w:after="0" w:line="250" w:lineRule="auto"/>
        <w:rPr>
          <w:sz w:val="20"/>
          <w:szCs w:val="20"/>
          <w:color w:val="auto"/>
        </w:rPr>
      </w:pPr>
      <w:r>
        <w:rPr>
          <w:rFonts w:ascii="Courier New" w:cs="Courier New" w:eastAsia="Courier New" w:hAnsi="Courier New"/>
          <w:sz w:val="15"/>
          <w:szCs w:val="15"/>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w:t>
      </w:r>
    </w:p>
    <w:p>
      <w:pPr>
        <w:spacing w:after="0" w:line="3"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5"/>
          <w:szCs w:val="15"/>
          <w:color w:val="auto"/>
        </w:rPr>
        <w:t>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nine months ended September 30, 2000 are not necessarily indicative of the results that may be expected for the entire fiscal year ending December 31, 2000.</w:t>
      </w:r>
    </w:p>
    <w:p>
      <w:pPr>
        <w:spacing w:after="0" w:line="86" w:lineRule="exact"/>
        <w:rPr>
          <w:sz w:val="20"/>
          <w:szCs w:val="20"/>
          <w:color w:val="auto"/>
        </w:rPr>
      </w:pPr>
    </w:p>
    <w:p>
      <w:pPr>
        <w:ind w:right="3159" w:firstLine="358"/>
        <w:spacing w:after="0" w:line="266" w:lineRule="auto"/>
        <w:rPr>
          <w:sz w:val="20"/>
          <w:szCs w:val="20"/>
          <w:color w:val="auto"/>
        </w:rPr>
      </w:pPr>
      <w:r>
        <w:rPr>
          <w:rFonts w:ascii="Courier New" w:cs="Courier New" w:eastAsia="Courier New" w:hAnsi="Courier New"/>
          <w:sz w:val="15"/>
          <w:szCs w:val="15"/>
          <w:color w:val="auto"/>
        </w:rPr>
        <w:t>The balance sheet at December 31, 1999 has been derived from the audited financial statements at that date but does not include all of the information and footnotes required for complete financial statements in accordance with generally accepted accounting principles in the United States. For the complete financial statements, refer to the audited financial statements and footnotes thereto as of December 31, 1999.</w:t>
      </w:r>
    </w:p>
    <w:p>
      <w:pPr>
        <w:spacing w:after="0" w:line="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NET LOSS PER SHARE</w:t>
      </w:r>
    </w:p>
    <w:p>
      <w:pPr>
        <w:spacing w:after="0" w:line="346" w:lineRule="exact"/>
        <w:rPr>
          <w:sz w:val="20"/>
          <w:szCs w:val="20"/>
          <w:color w:val="auto"/>
        </w:rPr>
      </w:pPr>
    </w:p>
    <w:p>
      <w:pPr>
        <w:ind w:right="3079" w:firstLine="358"/>
        <w:spacing w:after="0" w:line="288" w:lineRule="auto"/>
        <w:rPr>
          <w:sz w:val="20"/>
          <w:szCs w:val="20"/>
          <w:color w:val="auto"/>
        </w:rPr>
      </w:pPr>
      <w:r>
        <w:rPr>
          <w:rFonts w:ascii="Courier New" w:cs="Courier New" w:eastAsia="Courier New" w:hAnsi="Courier New"/>
          <w:sz w:val="14"/>
          <w:szCs w:val="14"/>
          <w:color w:val="auto"/>
        </w:rPr>
        <w:t>Net loss-per-share is computed using the weighted-average number of shares of common stock outstanding. The value associated with the beneficial conversion feature of certain preferred stock has been treated as a deemed dividend in the computation of earnings per share (see Note 6 "Beneficial Conversion Value of 6% Cumulative Convertible Preferred Stock.) Common equivalent shares from stock options and warrants are excluded, as their effect is antidilutive.</w:t>
      </w:r>
    </w:p>
    <w:p>
      <w:pPr>
        <w:spacing w:after="0" w:line="23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INCOME</w:t>
      </w:r>
    </w:p>
    <w:p>
      <w:pPr>
        <w:spacing w:after="0" w:line="174" w:lineRule="exact"/>
        <w:rPr>
          <w:sz w:val="20"/>
          <w:szCs w:val="20"/>
          <w:color w:val="auto"/>
        </w:rPr>
      </w:pPr>
    </w:p>
    <w:p>
      <w:pPr>
        <w:ind w:right="3259" w:firstLine="358"/>
        <w:spacing w:after="0" w:line="281" w:lineRule="auto"/>
        <w:rPr>
          <w:sz w:val="20"/>
          <w:szCs w:val="20"/>
          <w:color w:val="auto"/>
        </w:rPr>
      </w:pPr>
      <w:r>
        <w:rPr>
          <w:rFonts w:ascii="Courier New" w:cs="Courier New" w:eastAsia="Courier New" w:hAnsi="Courier New"/>
          <w:sz w:val="15"/>
          <w:szCs w:val="15"/>
          <w:color w:val="auto"/>
        </w:rPr>
        <w:t>For the nine months ended September 30, 2000 and 1999, total comprehensive income/(loss) was $22,339,143 and ($10,483,760) respectively. The reported net loss for the nine months ended September 30, 2000 and 1999 was $4,865,190 and $10,483,760.</w:t>
      </w:r>
    </w:p>
    <w:p>
      <w:pPr>
        <w:spacing w:after="0" w:line="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INVESTMENTS</w:t>
      </w:r>
    </w:p>
    <w:p>
      <w:pPr>
        <w:spacing w:after="0" w:line="174" w:lineRule="exact"/>
        <w:rPr>
          <w:sz w:val="20"/>
          <w:szCs w:val="20"/>
          <w:color w:val="auto"/>
        </w:rPr>
      </w:pPr>
    </w:p>
    <w:p>
      <w:pPr>
        <w:ind w:right="3159" w:firstLine="358"/>
        <w:spacing w:after="0" w:line="254" w:lineRule="auto"/>
        <w:rPr>
          <w:sz w:val="20"/>
          <w:szCs w:val="20"/>
          <w:color w:val="auto"/>
        </w:rPr>
      </w:pPr>
      <w:r>
        <w:rPr>
          <w:rFonts w:ascii="Courier New" w:cs="Courier New" w:eastAsia="Courier New" w:hAnsi="Courier New"/>
          <w:sz w:val="15"/>
          <w:szCs w:val="15"/>
          <w:color w:val="auto"/>
        </w:rPr>
        <w:t>At September 30, 2000, the Company owned 126,193 shares of Modex Therapeutics Ltd. ("Modex"). This Swiss biotechnology company made an initial public offering of shares on the Swiss Exchange on June 23, 2000. Accordingly, with an established market value, the investment is recorded as available-for-sale at an estimated fair market value The market price of Modex shares was 372 Swiss Francs per share on September 30, 2000, which converts to $215.58 per share and results in an estimated fair value of $27,204,333 for the Company's holdings. The unrealized gain was reported in other comprehensive income. On October 31, 2000 the market price of Modex shares was 329.50 Swiss Francs per share, which converts to $183.28 per share and results in an estimated fair value of $23,128,598 for the Company's holdings.</w:t>
      </w:r>
    </w:p>
    <w:p>
      <w:pPr>
        <w:sectPr>
          <w:pgSz w:w="11900" w:h="16838" w:orient="portrait"/>
          <w:cols w:equalWidth="0" w:num="1">
            <w:col w:w="10219"/>
          </w:cols>
          <w:pgMar w:left="240" w:top="435"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COST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UNREALIZED GAIN</w:t>
      </w:r>
    </w:p>
    <w:p>
      <w:pPr>
        <w:spacing w:after="0" w:line="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SEPTEMBER 30, 2000</w:t>
      </w:r>
    </w:p>
    <w:p>
      <w:pPr>
        <w:spacing w:after="0" w:line="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sectPr>
          <w:pgSz w:w="11900" w:h="16838" w:orient="portrait"/>
          <w:cols w:equalWidth="0" w:num="3">
            <w:col w:w="2040" w:space="100"/>
            <w:col w:w="2060" w:space="80"/>
            <w:col w:w="5939"/>
          </w:cols>
          <w:pgMar w:left="240" w:top="435" w:right="1440" w:bottom="1440" w:gutter="0" w:footer="0" w:header="0"/>
          <w:type w:val="continuous"/>
        </w:sectPr>
      </w:pPr>
    </w:p>
    <w:p>
      <w:pPr>
        <w:ind w:left="700"/>
        <w:spacing w:after="0"/>
        <w:tabs>
          <w:tab w:leader="none" w:pos="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Courier New" w:cs="Courier New" w:eastAsia="Courier New" w:hAnsi="Courier New"/>
          <w:sz w:val="14"/>
          <w:szCs w:val="14"/>
          <w:color w:val="auto"/>
        </w:rPr>
        <w:t>$27,204,333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$27,204,333</w:t>
      </w:r>
    </w:p>
    <w:p>
      <w:pPr>
        <w:spacing w:after="0" w:line="211" w:lineRule="exact"/>
        <w:rPr>
          <w:sz w:val="20"/>
          <w:szCs w:val="20"/>
          <w:color w:val="auto"/>
        </w:rPr>
      </w:pPr>
    </w:p>
    <w:p>
      <w:pPr>
        <w:sectPr>
          <w:pgSz w:w="11900" w:h="16838" w:orient="portrait"/>
          <w:cols w:equalWidth="0" w:num="3">
            <w:col w:w="1860" w:space="720"/>
            <w:col w:w="1880" w:space="720"/>
            <w:col w:w="5039"/>
          </w:cols>
          <w:pgMar w:left="240" w:top="435" w:right="1440" w:bottom="1440" w:gutter="0" w:footer="0" w:header="0"/>
          <w:type w:val="continuous"/>
        </w:sectPr>
      </w:pPr>
    </w:p>
    <w:p>
      <w:pPr>
        <w:spacing w:after="0" w:line="14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19"/>
          </w:cols>
          <w:pgMar w:left="240" w:top="435" w:right="1440" w:bottom="1440" w:gutter="0" w:footer="0" w:header="0"/>
          <w:type w:val="continuous"/>
        </w:sectPr>
      </w:pPr>
    </w:p>
    <w:bookmarkStart w:id="87" w:name="page88"/>
    <w:bookmarkEnd w:id="87"/>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346" w:lineRule="exact"/>
        <w:rPr>
          <w:sz w:val="20"/>
          <w:szCs w:val="20"/>
          <w:color w:val="auto"/>
        </w:rPr>
      </w:pPr>
    </w:p>
    <w:p>
      <w:pPr>
        <w:ind w:right="3519"/>
        <w:spacing w:after="0" w:line="359" w:lineRule="auto"/>
        <w:rPr>
          <w:sz w:val="20"/>
          <w:szCs w:val="20"/>
          <w:color w:val="auto"/>
        </w:rPr>
      </w:pPr>
      <w:r>
        <w:rPr>
          <w:rFonts w:ascii="Courier New" w:cs="Courier New" w:eastAsia="Courier New" w:hAnsi="Courier New"/>
          <w:sz w:val="15"/>
          <w:szCs w:val="15"/>
          <w:color w:val="auto"/>
        </w:rPr>
        <w:t>NOTE 5. WIND-DOWN OF ENCAPSULATED CELL TECHNOLOGY RESEARCH AND DEVELOPMENT PROGRAM</w:t>
      </w:r>
    </w:p>
    <w:p>
      <w:pPr>
        <w:spacing w:after="0" w:line="352"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5"/>
          <w:szCs w:val="15"/>
          <w:color w:val="auto"/>
        </w:rPr>
        <w:t>As previously reported, in 1999 the Company restructured its operations to abandon all further encapsulated cell technology research and concentrate its resources on the research and development of its proprietary platform of stem cell technologies. The Company relocated its remaining research and development activities and its corporate headquarters to California, and has been seeking to dispose of its former science and administrative and pilot manufacturing facilities in Rhode Island.</w:t>
      </w:r>
    </w:p>
    <w:p>
      <w:pPr>
        <w:spacing w:after="0" w:line="200" w:lineRule="exact"/>
        <w:rPr>
          <w:sz w:val="20"/>
          <w:szCs w:val="20"/>
          <w:color w:val="auto"/>
        </w:rPr>
      </w:pPr>
    </w:p>
    <w:p>
      <w:pPr>
        <w:spacing w:after="0" w:line="222" w:lineRule="exact"/>
        <w:rPr>
          <w:sz w:val="20"/>
          <w:szCs w:val="20"/>
          <w:color w:val="auto"/>
        </w:rPr>
      </w:pPr>
    </w:p>
    <w:p>
      <w:pPr>
        <w:ind w:right="3079" w:firstLine="358"/>
        <w:spacing w:after="0" w:line="251" w:lineRule="auto"/>
        <w:rPr>
          <w:sz w:val="20"/>
          <w:szCs w:val="20"/>
          <w:color w:val="auto"/>
        </w:rPr>
      </w:pPr>
      <w:r>
        <w:rPr>
          <w:rFonts w:ascii="Courier New" w:cs="Courier New" w:eastAsia="Courier New" w:hAnsi="Courier New"/>
          <w:sz w:val="15"/>
          <w:szCs w:val="15"/>
          <w:color w:val="auto"/>
        </w:rPr>
        <w:t>During the first six months of 2000 we incurred $288,646 of costs in excess of the amounts reserved as of December 31, 1999 for the carrying costs of the Rhode Island facilities. During the third quarter we incurred an additional $480,087 in carrying costs, including lease payments, property taxes and utilities, for the Rhode Island facilities, as we were unable to dispose of them by June 30, 2000, as expected. These amounts were previously included in general and administrative expense, and have been reclassified to be separately disclosed as encapsulated cell therapy wind down and corporate relocation expense because they were directly related to the wind down and relocation. We anticipate that we will incur a similar amount in the fourth quarter of 2000 and in every quarter thereafter until we dispose of these facilities. We do not currently have a projected date for such disposal and there can be no assurance that we will be able to dispose of these facilities in a reasonable time, if at all.</w:t>
      </w:r>
    </w:p>
    <w:p>
      <w:pPr>
        <w:spacing w:after="0" w:line="200" w:lineRule="exact"/>
        <w:rPr>
          <w:sz w:val="20"/>
          <w:szCs w:val="20"/>
          <w:color w:val="auto"/>
        </w:rPr>
      </w:pPr>
    </w:p>
    <w:p>
      <w:pPr>
        <w:spacing w:after="0" w:line="236" w:lineRule="exact"/>
        <w:rPr>
          <w:sz w:val="20"/>
          <w:szCs w:val="20"/>
          <w:color w:val="auto"/>
        </w:rPr>
      </w:pPr>
    </w:p>
    <w:p>
      <w:pPr>
        <w:ind w:right="3339" w:firstLine="358"/>
        <w:spacing w:after="0" w:line="281" w:lineRule="auto"/>
        <w:rPr>
          <w:sz w:val="20"/>
          <w:szCs w:val="20"/>
          <w:color w:val="auto"/>
        </w:rPr>
      </w:pPr>
      <w:r>
        <w:rPr>
          <w:rFonts w:ascii="Courier New" w:cs="Courier New" w:eastAsia="Courier New" w:hAnsi="Courier New"/>
          <w:sz w:val="15"/>
          <w:szCs w:val="15"/>
          <w:color w:val="auto"/>
        </w:rPr>
        <w:t>Some additional items that were more properly included in research and development were also reclassified out of general and administrative expense, and facilities costs were more accurately spread between research and development and general and administrative expense.</w:t>
      </w:r>
    </w:p>
    <w:p>
      <w:pPr>
        <w:spacing w:after="0" w:line="200" w:lineRule="exact"/>
        <w:rPr>
          <w:sz w:val="20"/>
          <w:szCs w:val="20"/>
          <w:color w:val="auto"/>
        </w:rPr>
      </w:pPr>
    </w:p>
    <w:p>
      <w:pPr>
        <w:spacing w:after="0" w:line="208" w:lineRule="exact"/>
        <w:rPr>
          <w:sz w:val="20"/>
          <w:szCs w:val="20"/>
          <w:color w:val="auto"/>
        </w:rPr>
      </w:pPr>
    </w:p>
    <w:p>
      <w:pPr>
        <w:ind w:right="3519"/>
        <w:spacing w:after="0" w:line="359" w:lineRule="auto"/>
        <w:rPr>
          <w:sz w:val="20"/>
          <w:szCs w:val="20"/>
          <w:color w:val="auto"/>
        </w:rPr>
      </w:pPr>
      <w:r>
        <w:rPr>
          <w:rFonts w:ascii="Courier New" w:cs="Courier New" w:eastAsia="Courier New" w:hAnsi="Courier New"/>
          <w:sz w:val="15"/>
          <w:szCs w:val="15"/>
          <w:color w:val="auto"/>
        </w:rPr>
        <w:t>NOTE 6. BENEFICIAL CONVERSION VALUE OF 6% CUMULATIVE CONVERTIBLE PREFERRED STOCK</w:t>
      </w:r>
    </w:p>
    <w:p>
      <w:pPr>
        <w:spacing w:after="0" w:line="180" w:lineRule="exact"/>
        <w:rPr>
          <w:sz w:val="20"/>
          <w:szCs w:val="20"/>
          <w:color w:val="auto"/>
        </w:rPr>
      </w:pPr>
    </w:p>
    <w:p>
      <w:pPr>
        <w:ind w:right="3079" w:firstLine="358"/>
        <w:spacing w:after="0" w:line="255" w:lineRule="auto"/>
        <w:rPr>
          <w:sz w:val="20"/>
          <w:szCs w:val="20"/>
          <w:color w:val="auto"/>
        </w:rPr>
      </w:pPr>
      <w:r>
        <w:rPr>
          <w:rFonts w:ascii="Courier New" w:cs="Courier New" w:eastAsia="Courier New" w:hAnsi="Courier New"/>
          <w:sz w:val="15"/>
          <w:szCs w:val="15"/>
          <w:color w:val="auto"/>
        </w:rPr>
        <w:t>As previously reported, the Company sold 1,500 shares of its 6% cumulative convertible preferred stock plus a warrant for 75,000 shares of the Company's common stock to two members of its Board of Directors for $1,500,000 on terms more favorable to the Company than it was then able to obtain from outside investors. The face value of the shares are convertible at the option of the holders into common stock at $3.77 per share. The Company has valued the beneficial conversion feature reflecting the April 13, 2000 commitment date and the most beneficial per share discount available to the preferred shareholders. Such value was $265,000 and is treated as a deemed dividend as of the commitment date.</w:t>
      </w:r>
    </w:p>
    <w:p>
      <w:pPr>
        <w:spacing w:after="0" w:line="2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SALE OF SECURITIES</w:t>
      </w:r>
    </w:p>
    <w:p>
      <w:pPr>
        <w:spacing w:after="0" w:line="346" w:lineRule="exact"/>
        <w:rPr>
          <w:sz w:val="20"/>
          <w:szCs w:val="20"/>
          <w:color w:val="auto"/>
        </w:rPr>
      </w:pPr>
    </w:p>
    <w:p>
      <w:pPr>
        <w:ind w:right="3079" w:firstLine="358"/>
        <w:spacing w:after="0" w:line="281" w:lineRule="auto"/>
        <w:rPr>
          <w:sz w:val="20"/>
          <w:szCs w:val="20"/>
          <w:color w:val="auto"/>
        </w:rPr>
      </w:pPr>
      <w:r>
        <w:rPr>
          <w:rFonts w:ascii="Courier New" w:cs="Courier New" w:eastAsia="Courier New" w:hAnsi="Courier New"/>
          <w:sz w:val="14"/>
          <w:szCs w:val="14"/>
          <w:color w:val="auto"/>
        </w:rPr>
        <w:t>On August 3, 2000, the Company completed a $4 million common stock financing transaction with Millennium Partners, LP (the "Fund"). StemCells received</w:t>
      </w:r>
    </w:p>
    <w:p>
      <w:pPr>
        <w:spacing w:after="0" w:line="1"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$3 million of the purchase price at the closing and will receive the remaining $1 million upon effectiveness of a registration statement covering the shares owned by the Fund. The Fund purchased the Company's common stock and warrants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w:t>
      </w:r>
    </w:p>
    <w:p>
      <w:pPr>
        <w:spacing w:after="0" w:line="8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435" w:right="1440" w:bottom="1440" w:gutter="0" w:footer="0" w:header="0"/>
        </w:sectPr>
      </w:pPr>
    </w:p>
    <w:bookmarkStart w:id="88" w:name="page89"/>
    <w:bookmarkEnd w:id="88"/>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SALE OF SECURITIES (CONTINUED)</w:t>
      </w:r>
    </w:p>
    <w:p>
      <w:pPr>
        <w:spacing w:after="0" w:line="174"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No portion of the sale proceeds was assigned to the adjustable warrants, as the ultimate number of shares issuable upon exercise of the warrants was not determinable and the net impact on the Company's equity from any such allocation of proceeds would have been zero.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was treated as a credit to paid in capital stockholders' equity. The Company accounts for the sale of the stock and warrants or the exercise of warrants by adding that portion of the proceeds equal to the par value of the new shares to common stock and the balance, including the value of the warrants, to paid in capital. In addition, any repurchase of the shares or warrants by the Company would also be accounted for through paid in capital.</w:t>
      </w:r>
    </w:p>
    <w:p>
      <w:pPr>
        <w:spacing w:after="0" w:line="91" w:lineRule="exact"/>
        <w:rPr>
          <w:sz w:val="20"/>
          <w:szCs w:val="20"/>
          <w:color w:val="auto"/>
        </w:rPr>
      </w:pPr>
    </w:p>
    <w:p>
      <w:pPr>
        <w:jc w:val="both"/>
        <w:ind w:right="3079" w:firstLine="358"/>
        <w:spacing w:after="0" w:line="270"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w:t>
      </w:r>
    </w:p>
    <w:p>
      <w:pPr>
        <w:spacing w:after="0" w:line="2"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will pay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w:t>
      </w:r>
    </w:p>
    <w:p>
      <w:pPr>
        <w:spacing w:after="0" w:line="2"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 underlying share. The calculated value of this callable warrant using the Black-Scholes method is $139,897, which the Company accounted for as a credit to paid in capital.</w:t>
      </w:r>
    </w:p>
    <w:p>
      <w:pPr>
        <w:spacing w:after="0" w:line="84" w:lineRule="exact"/>
        <w:rPr>
          <w:sz w:val="20"/>
          <w:szCs w:val="20"/>
          <w:color w:val="auto"/>
        </w:rPr>
      </w:pPr>
    </w:p>
    <w:p>
      <w:pPr>
        <w:ind w:right="3079" w:firstLine="358"/>
        <w:spacing w:after="0" w:line="272"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24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SUBSEQUENT EVENTS</w:t>
      </w:r>
    </w:p>
    <w:p>
      <w:pPr>
        <w:spacing w:after="0" w:line="200" w:lineRule="exact"/>
        <w:rPr>
          <w:sz w:val="20"/>
          <w:szCs w:val="20"/>
          <w:color w:val="auto"/>
        </w:rPr>
      </w:pPr>
    </w:p>
    <w:p>
      <w:pPr>
        <w:spacing w:after="0" w:line="318" w:lineRule="exact"/>
        <w:rPr>
          <w:sz w:val="20"/>
          <w:szCs w:val="20"/>
          <w:color w:val="auto"/>
        </w:rPr>
      </w:pPr>
    </w:p>
    <w:p>
      <w:pPr>
        <w:ind w:right="3079" w:firstLine="358"/>
        <w:spacing w:after="0" w:line="295" w:lineRule="auto"/>
        <w:rPr>
          <w:sz w:val="20"/>
          <w:szCs w:val="20"/>
          <w:color w:val="auto"/>
        </w:rPr>
      </w:pPr>
      <w:r>
        <w:rPr>
          <w:rFonts w:ascii="Courier New" w:cs="Courier New" w:eastAsia="Courier New" w:hAnsi="Courier New"/>
          <w:sz w:val="14"/>
          <w:szCs w:val="14"/>
          <w:color w:val="auto"/>
        </w:rPr>
        <w:t>As previously reported, in conjunction with the StemCells California merger, the Company adopted the 1997 CytoTherapeutics, Inc. StemCells California Research Stock Option Plan whereby an additional 2,000,000 shares of Common Stock have been reserved. During 1997, the Company awarded options under this plan to purchase 1.6 million shares of the Company's common stock to the Chief</w:t>
      </w:r>
    </w:p>
    <w:p>
      <w:pPr>
        <w:spacing w:after="0" w:line="22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434" w:right="1440" w:bottom="1440" w:gutter="0" w:footer="0" w:header="0"/>
        </w:sectPr>
      </w:pPr>
    </w:p>
    <w:bookmarkStart w:id="89" w:name="page90"/>
    <w:bookmarkEnd w:id="89"/>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SUBSEQUENT EVENTS (CONTINUED)</w:t>
      </w:r>
    </w:p>
    <w:p>
      <w:pPr>
        <w:spacing w:after="0" w:line="346"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5"/>
          <w:szCs w:val="15"/>
          <w:color w:val="auto"/>
        </w:rPr>
        <w:t>Executive Officer and scientific founders of StemCells California, Inc. at an exercise price of $5.25 per share. Under the original grants, approximately 100,000 of these options were exercisable immediately on the date of the grant, 1,031,000 of these options would vest and become exercisable only upon achievement of specified milestones and the remaining 469,000 options would vest over eight years. The Company agreed on October 27, 2000 with Irving Weissman, M.D. and Fred H. Gage, Ph.D., two of the grant recipients, to amend their options. In exchange for the revision of the options, Dr. Weissman and Dr. Gage agreed to rescind their Conduct of Research Agreement with the Company, in all respects, including their right under the Agreement to reacquire certain technology under certain circumstances. Instead of vesting based on performance milestones, Dr. Weissman's and Dr. Gage's options will vest over eight years from the date of the original grant, on the same schedule as the option granted to the third founder, Dr. David Anderson. 168,750 shares vested upon the revision and the remaining 300,000 shares will vest at 50,000 shares on each September 25 until September 25, 2005, when the final 100,000 shares will vest. The exercise price for the revised options remains $5.25 per share. We expect to incur a charge of approximately $1,600,000 during the fourth quarter of 2000 relating to the vested portion of the options. The deferred compensation expense associated with the unvested portion of the grants was determined to be approximately $2.8 million. The Company plans to revalue the options using the Black-Scholes method on a quarterly basis and recognize additional compensation expense, accordingly.</w:t>
      </w:r>
    </w:p>
    <w:p>
      <w:pPr>
        <w:spacing w:after="0" w:line="262" w:lineRule="exact"/>
        <w:rPr>
          <w:sz w:val="20"/>
          <w:szCs w:val="20"/>
          <w:color w:val="auto"/>
        </w:rPr>
      </w:pPr>
    </w:p>
    <w:p>
      <w:pPr>
        <w:ind w:right="3079" w:firstLine="358"/>
        <w:spacing w:after="0" w:line="254" w:lineRule="auto"/>
        <w:rPr>
          <w:sz w:val="20"/>
          <w:szCs w:val="20"/>
          <w:color w:val="auto"/>
        </w:rPr>
      </w:pPr>
      <w:r>
        <w:rPr>
          <w:rFonts w:ascii="Courier New" w:cs="Courier New" w:eastAsia="Courier New" w:hAnsi="Courier New"/>
          <w:sz w:val="15"/>
          <w:szCs w:val="15"/>
          <w:color w:val="auto"/>
        </w:rPr>
        <w:t>Under a 1997 License Agreement with NeuroSpheres, Ltd., we obtained an exclusive patent license in the field of transplantation. We entered into an additional license agreement with NeuroSpheres as of October 31, 2000, under which we obtained an exclusive license in the field of non-transplant uses, such as drug discovery and drug testing, so that together the licenses are exclusive for all uses of the technology. We will make up-front payments to NeuroSpheres of 65,000 shares of our common stock and $50,000, and additional cash payments when milestones are achieved in the non-transplant field, or in any products employing NeuroSpheres patents for generating cells of the blood and immune system from neural stem cells. Milestone payments would total $500,000 for each product that is approved for market.</w:t>
      </w:r>
    </w:p>
    <w:p>
      <w:pPr>
        <w:spacing w:after="0" w:line="2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RECENT ACCOUNTING PRONOUNCEMENTS</w:t>
      </w:r>
    </w:p>
    <w:p>
      <w:pPr>
        <w:spacing w:after="0" w:line="346" w:lineRule="exact"/>
        <w:rPr>
          <w:sz w:val="20"/>
          <w:szCs w:val="20"/>
          <w:color w:val="auto"/>
        </w:rPr>
      </w:pPr>
    </w:p>
    <w:p>
      <w:pPr>
        <w:ind w:right="3259" w:firstLine="358"/>
        <w:spacing w:after="0" w:line="257"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Financial Instruments and for Hedging Activities" ("SFAS 133"), which provides a comprehensive and consistent standard for the recognition and measurement of derivatives and hedging activities. SFAS 133 is effective for fiscal years beginning after June 15, 2000 and is not anticipated to have an impact on results of operations or financial condition when adopted as we hold no derivative financial and instruments and do not currently engage in hedging activities.</w:t>
      </w:r>
    </w:p>
    <w:p>
      <w:pPr>
        <w:spacing w:after="0" w:line="83" w:lineRule="exact"/>
        <w:rPr>
          <w:sz w:val="20"/>
          <w:szCs w:val="20"/>
          <w:color w:val="auto"/>
        </w:rPr>
      </w:pPr>
    </w:p>
    <w:p>
      <w:pPr>
        <w:ind w:right="3159" w:firstLine="358"/>
        <w:spacing w:after="0" w:line="272"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("SAB101"). SAB 101 summarizes the SEC's views in applying generally accepted accounting principles to revenue recognition. The adoption of SAB 101 had no significant impact on our revenue recognition policy or results of operations.</w:t>
      </w:r>
    </w:p>
    <w:p>
      <w:pPr>
        <w:spacing w:after="0" w:line="69" w:lineRule="exact"/>
        <w:rPr>
          <w:sz w:val="20"/>
          <w:szCs w:val="20"/>
          <w:color w:val="auto"/>
        </w:rPr>
      </w:pPr>
    </w:p>
    <w:p>
      <w:pPr>
        <w:jc w:val="both"/>
        <w:ind w:right="3079" w:firstLine="358"/>
        <w:spacing w:after="0" w:line="301" w:lineRule="auto"/>
        <w:rPr>
          <w:sz w:val="20"/>
          <w:szCs w:val="20"/>
          <w:color w:val="auto"/>
        </w:rPr>
      </w:pPr>
      <w:r>
        <w:rPr>
          <w:rFonts w:ascii="Courier New" w:cs="Courier New" w:eastAsia="Courier New" w:hAnsi="Courier New"/>
          <w:sz w:val="15"/>
          <w:szCs w:val="15"/>
          <w:color w:val="auto"/>
        </w:rPr>
        <w:t>In March 2000, the FASB issued interpretation No. 44, ("FIN44"), "Accounting for Certain Transactions Involving Stock Compensation - an Interpretation of APB 25. "This interpretation clarifies</w:t>
      </w:r>
    </w:p>
    <w:p>
      <w:pPr>
        <w:spacing w:after="0" w:line="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435" w:right="1440" w:bottom="1440" w:gutter="0" w:footer="0" w:header="0"/>
        </w:sectPr>
      </w:pPr>
    </w:p>
    <w:bookmarkStart w:id="90" w:name="page91"/>
    <w:bookmarkEnd w:id="90"/>
    <w:p>
      <w:pPr>
        <w:jc w:val="center"/>
        <w:ind w:right="3071"/>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SEPTEMBER 30, 2000 AND 1999</w:t>
      </w:r>
    </w:p>
    <w:p>
      <w:pPr>
        <w:spacing w:after="0" w:line="346"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RECENT ACCOUNTING PRONOUNCEMENTS (CONTINUED)</w:t>
      </w:r>
    </w:p>
    <w:p>
      <w:pPr>
        <w:spacing w:after="0" w:line="174" w:lineRule="exact"/>
        <w:rPr>
          <w:sz w:val="20"/>
          <w:szCs w:val="20"/>
          <w:color w:val="auto"/>
        </w:rPr>
      </w:pPr>
    </w:p>
    <w:p>
      <w:pPr>
        <w:ind w:left="8" w:right="3439" w:hanging="8"/>
        <w:spacing w:after="0" w:line="281" w:lineRule="auto"/>
        <w:tabs>
          <w:tab w:leader="none" w:pos="36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employee for purposes of applying Opinion 25, (b) the criteria for determining whether a plan qualifies as a noncompensatory plan,</w:t>
      </w:r>
    </w:p>
    <w:p>
      <w:pPr>
        <w:ind w:left="8" w:right="3079" w:hanging="8"/>
        <w:spacing w:after="0" w:line="251" w:lineRule="auto"/>
        <w:tabs>
          <w:tab w:leader="none" w:pos="366"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consequence of various modifications to the terms of a previously fixed stock option or award and (d) the accounting for an exchange of stock compensation awards in a business combination. This interpretation is effective July 1, 2000, but certain conclusions in this Interpretation cover specific events that occur after either December 15, 1998, or January 12, 2000. To the extent that this Interpretation covers events occurring during the period after December 15, 1998, or January 12, 2000, but before the effective date of July 1, 2000, the effects of applying this interpretation are recognized on a prospective basis from July 1, 2000. The adoption of FIN 44 does not have a material impact on our financial statements.</w:t>
      </w:r>
    </w:p>
    <w:p>
      <w:pPr>
        <w:spacing w:after="0" w:line="8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27"/>
          </w:cols>
          <w:pgMar w:left="232" w:top="435" w:right="1440" w:bottom="1440" w:gutter="0" w:footer="0" w:header="0"/>
        </w:sectPr>
      </w:pPr>
    </w:p>
    <w:bookmarkStart w:id="91" w:name="page92"/>
    <w:bookmarkEnd w:id="91"/>
    <w:p>
      <w:pPr>
        <w:ind w:left="2140"/>
        <w:spacing w:after="0"/>
        <w:rPr>
          <w:sz w:val="20"/>
          <w:szCs w:val="20"/>
          <w:color w:val="auto"/>
        </w:rPr>
      </w:pPr>
      <w:r>
        <w:rPr>
          <w:rFonts w:ascii="Courier New" w:cs="Courier New" w:eastAsia="Courier New" w:hAnsi="Courier New"/>
          <w:sz w:val="15"/>
          <w:szCs w:val="15"/>
          <w:color w:val="auto"/>
        </w:rPr>
        <w:t>PRO FORMA FINANCIAL INFORMATION</w:t>
      </w:r>
    </w:p>
    <w:p>
      <w:pPr>
        <w:spacing w:after="0" w:line="346" w:lineRule="exact"/>
        <w:rPr>
          <w:sz w:val="20"/>
          <w:szCs w:val="20"/>
          <w:color w:val="auto"/>
        </w:rPr>
      </w:pPr>
    </w:p>
    <w:p>
      <w:pPr>
        <w:ind w:right="3079" w:firstLine="358"/>
        <w:spacing w:after="0" w:line="246" w:lineRule="auto"/>
        <w:rPr>
          <w:sz w:val="20"/>
          <w:szCs w:val="20"/>
          <w:color w:val="auto"/>
        </w:rPr>
      </w:pPr>
      <w:r>
        <w:rPr>
          <w:rFonts w:ascii="Courier New" w:cs="Courier New" w:eastAsia="Courier New" w:hAnsi="Courier New"/>
          <w:sz w:val="15"/>
          <w:szCs w:val="15"/>
          <w:color w:val="auto"/>
        </w:rPr>
        <w:t>During the third quarter of 1999, management reached a decision to exit the Company's Encapsulated Cell Therapy (ECT) activities, dispose of the related intellectual property, facilities and equipment and relocate the Lincoln, RI corporate headquarters to Sunnyvale, CA.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At the same time, the Company accrued various estimated expenses associated with the exit and wind-down of the ECT activities, disposal of the related property and relocation of the corporate headquarters. Additional accruals were provided in December 1999 for expenses relating to settlement of a 1989 funding arrangement with the Rhode Island Partnership for Science and Technology resulting from the Company's move out of Rhode Island, further adjustment to asset carrying values and estimated carrying costs associated with the Rhode Island facilities through the expected disposition date. In addition, during December 1999, the Company liquidated certain ECT equipment and sold its ECT intellectual property to Neurotech, S.A. for $3,000,000. The tabular unaudited pro forma consolidated statement of operations presents the effects of the sale, wind-down and relocation, as if they had occurred at January 1, 1999. The pro forma effects and adjustments were determined based on available information and certain allocations that management believes are reasonable. The pro forma financial information does not purport to represent what the Company's operating results would have been had the sale occurred at January 1, 1999 and may not be indicative of the Company's financial position or operating results for any future date or period.</w:t>
      </w:r>
    </w:p>
    <w:p>
      <w:pPr>
        <w:spacing w:after="0" w:line="27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435"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52"/>
        </w:trPr>
        <w:tc>
          <w:tcPr>
            <w:tcW w:w="6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PRO FORMA CONSOLIDATED STATEMENT OF OPERATIONS (UNAUDITED)</w:t>
            </w: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HISTORICAL</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PRO FORMA</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CONSOLIDATED</w:t>
            </w:r>
          </w:p>
        </w:tc>
        <w:tc>
          <w:tcPr>
            <w:tcW w:w="13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ADJUSTMENTS(A)</w:t>
            </w:r>
          </w:p>
        </w:tc>
        <w:tc>
          <w:tcPr>
            <w:tcW w:w="4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12/31/1999</w:t>
            </w:r>
          </w:p>
        </w:tc>
        <w:tc>
          <w:tcPr>
            <w:tcW w:w="13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12/31/1999</w:t>
            </w:r>
          </w:p>
        </w:tc>
        <w:tc>
          <w:tcPr>
            <w:tcW w:w="0" w:type="dxa"/>
            <w:vAlign w:val="bottom"/>
          </w:tcPr>
          <w:p>
            <w:pPr>
              <w:spacing w:after="0"/>
              <w:rPr>
                <w:sz w:val="1"/>
                <w:szCs w:val="1"/>
                <w:color w:val="auto"/>
              </w:rPr>
            </w:pPr>
          </w:p>
        </w:tc>
      </w:tr>
      <w:tr>
        <w:trPr>
          <w:trHeight w:val="252"/>
        </w:trPr>
        <w:tc>
          <w:tcPr>
            <w:tcW w:w="4560" w:type="dxa"/>
            <w:vAlign w:val="bottom"/>
          </w:tcPr>
          <w:p>
            <w:pPr>
              <w:spacing w:after="0"/>
              <w:rPr>
                <w:sz w:val="21"/>
                <w:szCs w:val="21"/>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5,021,707</w:t>
            </w:r>
          </w:p>
        </w:tc>
        <w:tc>
          <w:tcPr>
            <w:tcW w:w="174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 (5,021,707)(1)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9,984,027</w:t>
            </w:r>
          </w:p>
        </w:tc>
        <w:tc>
          <w:tcPr>
            <w:tcW w:w="260" w:type="dxa"/>
            <w:vAlign w:val="bottom"/>
          </w:tcPr>
          <w:p>
            <w:pPr>
              <w:spacing w:after="0"/>
              <w:rPr>
                <w:sz w:val="14"/>
                <w:szCs w:val="14"/>
                <w:color w:val="auto"/>
              </w:rPr>
            </w:pPr>
          </w:p>
        </w:tc>
        <w:tc>
          <w:tcPr>
            <w:tcW w:w="1480" w:type="dxa"/>
            <w:vAlign w:val="bottom"/>
            <w:gridSpan w:val="2"/>
            <w:vMerge w:val="restart"/>
          </w:tcPr>
          <w:p>
            <w:pPr>
              <w:jc w:val="right"/>
              <w:ind w:right="65"/>
              <w:spacing w:after="0"/>
              <w:rPr>
                <w:sz w:val="20"/>
                <w:szCs w:val="20"/>
                <w:color w:val="auto"/>
              </w:rPr>
            </w:pPr>
            <w:r>
              <w:rPr>
                <w:rFonts w:ascii="Courier New" w:cs="Courier New" w:eastAsia="Courier New" w:hAnsi="Courier New"/>
                <w:sz w:val="15"/>
                <w:szCs w:val="15"/>
                <w:color w:val="auto"/>
              </w:rPr>
              <w:t>(5,332,331)(2)</w:t>
            </w:r>
          </w:p>
        </w:tc>
        <w:tc>
          <w:tcPr>
            <w:tcW w:w="220" w:type="dxa"/>
            <w:vAlign w:val="bottom"/>
          </w:tcPr>
          <w:p>
            <w:pPr>
              <w:spacing w:after="0"/>
              <w:rPr>
                <w:sz w:val="14"/>
                <w:szCs w:val="14"/>
                <w:color w:val="auto"/>
              </w:rPr>
            </w:pP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4,571,696</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4,927,303</w:t>
            </w: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(80,000)(5)</w:t>
            </w:r>
          </w:p>
        </w:tc>
        <w:tc>
          <w:tcPr>
            <w:tcW w:w="220" w:type="dxa"/>
            <w:vAlign w:val="bottom"/>
          </w:tcPr>
          <w:p>
            <w:pPr>
              <w:spacing w:after="0"/>
              <w:rPr>
                <w:sz w:val="14"/>
                <w:szCs w:val="14"/>
                <w:color w:val="auto"/>
              </w:rPr>
            </w:pP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2,697,988</w:t>
            </w:r>
          </w:p>
        </w:tc>
        <w:tc>
          <w:tcPr>
            <w:tcW w:w="0" w:type="dxa"/>
            <w:vAlign w:val="bottom"/>
          </w:tcPr>
          <w:p>
            <w:pPr>
              <w:spacing w:after="0"/>
              <w:rPr>
                <w:sz w:val="1"/>
                <w:szCs w:val="1"/>
                <w:color w:val="auto"/>
              </w:rPr>
            </w:pPr>
          </w:p>
        </w:tc>
      </w:tr>
      <w:tr>
        <w:trPr>
          <w:trHeight w:val="172"/>
        </w:trPr>
        <w:tc>
          <w:tcPr>
            <w:tcW w:w="4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(2,309,315)(3)</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Encapsulated Cell Therapy wind down and</w:t>
            </w:r>
          </w:p>
        </w:tc>
        <w:tc>
          <w:tcPr>
            <w:tcW w:w="180" w:type="dxa"/>
            <w:vAlign w:val="bottom"/>
          </w:tcPr>
          <w:p>
            <w:pPr>
              <w:spacing w:after="0"/>
              <w:rPr>
                <w:sz w:val="14"/>
                <w:szCs w:val="14"/>
                <w:color w:val="auto"/>
              </w:rPr>
            </w:pP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6,047,806</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80,000</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(5)</w:t>
            </w:r>
          </w:p>
        </w:tc>
        <w:tc>
          <w:tcPr>
            <w:tcW w:w="220" w:type="dxa"/>
            <w:vAlign w:val="bottom"/>
          </w:tcPr>
          <w:p>
            <w:pPr>
              <w:spacing w:after="0"/>
              <w:rPr>
                <w:sz w:val="14"/>
                <w:szCs w:val="14"/>
                <w:color w:val="auto"/>
              </w:rPr>
            </w:pP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(6,047,806)(4)</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 relocation..........................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20,959,136</w:t>
            </w:r>
          </w:p>
        </w:tc>
        <w:tc>
          <w:tcPr>
            <w:tcW w:w="13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(13,689,452)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7,269,684</w:t>
            </w:r>
          </w:p>
        </w:tc>
        <w:tc>
          <w:tcPr>
            <w:tcW w:w="0" w:type="dxa"/>
            <w:vAlign w:val="bottom"/>
          </w:tcPr>
          <w:p>
            <w:pPr>
              <w:spacing w:after="0"/>
              <w:rPr>
                <w:sz w:val="1"/>
                <w:szCs w:val="1"/>
                <w:color w:val="auto"/>
              </w:rPr>
            </w:pPr>
          </w:p>
        </w:tc>
      </w:tr>
      <w:tr>
        <w:trPr>
          <w:trHeight w:val="172"/>
        </w:trPr>
        <w:tc>
          <w:tcPr>
            <w:tcW w:w="45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1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6"/>
              </w:rPr>
              <w:t>(15,937,429)</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8,667,745</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(7,269,684)</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564,006</w:t>
            </w:r>
          </w:p>
        </w:tc>
        <w:tc>
          <w:tcPr>
            <w:tcW w:w="260" w:type="dxa"/>
            <w:vAlign w:val="bottom"/>
          </w:tcPr>
          <w:p>
            <w:pPr>
              <w:spacing w:after="0"/>
              <w:rPr>
                <w:sz w:val="14"/>
                <w:szCs w:val="14"/>
                <w:color w:val="auto"/>
              </w:rPr>
            </w:pPr>
          </w:p>
        </w:tc>
        <w:tc>
          <w:tcPr>
            <w:tcW w:w="10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564,006</w:t>
            </w: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(335,203)</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(335,203)</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rPr>
              <w:t>------------</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228,803</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228,803</w:t>
            </w:r>
          </w:p>
        </w:tc>
        <w:tc>
          <w:tcPr>
            <w:tcW w:w="0" w:type="dxa"/>
            <w:vAlign w:val="bottom"/>
          </w:tcPr>
          <w:p>
            <w:pPr>
              <w:spacing w:after="0"/>
              <w:rPr>
                <w:sz w:val="1"/>
                <w:szCs w:val="1"/>
                <w:color w:val="auto"/>
              </w:rPr>
            </w:pPr>
          </w:p>
        </w:tc>
      </w:tr>
      <w:tr>
        <w:trPr>
          <w:trHeight w:val="172"/>
        </w:trPr>
        <w:tc>
          <w:tcPr>
            <w:tcW w:w="45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560" w:type="dxa"/>
            <w:vAlign w:val="bottom"/>
            <w:vMerge w:val="continue"/>
          </w:tcPr>
          <w:p>
            <w:pPr>
              <w:spacing w:after="0"/>
              <w:rPr>
                <w:sz w:val="14"/>
                <w:szCs w:val="14"/>
                <w:color w:val="auto"/>
              </w:rPr>
            </w:pP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$(15,708,626)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8,667,745</w:t>
            </w:r>
          </w:p>
        </w:tc>
        <w:tc>
          <w:tcPr>
            <w:tcW w:w="4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$(7,040,881)</w:t>
            </w:r>
          </w:p>
        </w:tc>
        <w:tc>
          <w:tcPr>
            <w:tcW w:w="0" w:type="dxa"/>
            <w:vAlign w:val="bottom"/>
          </w:tcPr>
          <w:p>
            <w:pPr>
              <w:spacing w:after="0"/>
              <w:rPr>
                <w:sz w:val="1"/>
                <w:szCs w:val="1"/>
                <w:color w:val="auto"/>
              </w:rPr>
            </w:pPr>
          </w:p>
        </w:tc>
      </w:tr>
      <w:tr>
        <w:trPr>
          <w:trHeight w:val="172"/>
        </w:trPr>
        <w:tc>
          <w:tcPr>
            <w:tcW w:w="45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560" w:type="dxa"/>
            <w:vAlign w:val="bottom"/>
            <w:vMerge w:val="continue"/>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c>
          <w:tcPr>
            <w:tcW w:w="40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(0.38)</w:t>
            </w:r>
          </w:p>
        </w:tc>
        <w:tc>
          <w:tcPr>
            <w:tcW w:w="0" w:type="dxa"/>
            <w:vAlign w:val="bottom"/>
          </w:tcPr>
          <w:p>
            <w:pPr>
              <w:spacing w:after="0"/>
              <w:rPr>
                <w:sz w:val="1"/>
                <w:szCs w:val="1"/>
                <w:color w:val="auto"/>
              </w:rPr>
            </w:pPr>
          </w:p>
        </w:tc>
      </w:tr>
      <w:tr>
        <w:trPr>
          <w:trHeight w:val="172"/>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rPr>
              <w:t>Shares used in computing basic and diluted net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18,705,838</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18,705,838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18,705,838</w:t>
            </w:r>
          </w:p>
        </w:tc>
        <w:tc>
          <w:tcPr>
            <w:tcW w:w="0" w:type="dxa"/>
            <w:vAlign w:val="bottom"/>
          </w:tcPr>
          <w:p>
            <w:pPr>
              <w:spacing w:after="0"/>
              <w:rPr>
                <w:sz w:val="1"/>
                <w:szCs w:val="1"/>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 share.......................................</w:t>
            </w:r>
          </w:p>
        </w:tc>
        <w:tc>
          <w:tcPr>
            <w:tcW w:w="134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1200" w:type="dxa"/>
            <w:vAlign w:val="bottom"/>
            <w:gridSpan w:val="2"/>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16"/>
        </w:trPr>
        <w:tc>
          <w:tcPr>
            <w:tcW w:w="45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F-34</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35" w:right="1440" w:bottom="1440" w:gutter="0" w:footer="0" w:header="0"/>
        </w:sectPr>
      </w:pPr>
    </w:p>
    <w:bookmarkStart w:id="93" w:name="page94"/>
    <w:bookmarkEnd w:id="93"/>
    <w:p>
      <w:pPr>
        <w:ind w:left="8"/>
        <w:spacing w:after="0"/>
        <w:rPr>
          <w:sz w:val="20"/>
          <w:szCs w:val="20"/>
          <w:color w:val="auto"/>
        </w:rPr>
      </w:pPr>
      <w:r>
        <w:rPr>
          <w:rFonts w:ascii="Courier New" w:cs="Courier New" w:eastAsia="Courier New" w:hAnsi="Courier New"/>
          <w:sz w:val="15"/>
          <w:szCs w:val="15"/>
          <w:color w:val="auto"/>
        </w:rPr>
        <w:t>NOTES TO PRO FORMA CONSOLIDATED STATEMENT OF OPERATIONS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A--PRO FORMA ADJUSTMENTS</w:t>
      </w:r>
    </w:p>
    <w:p>
      <w:pPr>
        <w:spacing w:after="0" w:line="174" w:lineRule="exact"/>
        <w:rPr>
          <w:sz w:val="20"/>
          <w:szCs w:val="20"/>
          <w:color w:val="auto"/>
        </w:rPr>
      </w:pPr>
    </w:p>
    <w:p>
      <w:pPr>
        <w:ind w:left="348" w:hanging="348"/>
        <w:spacing w:after="0"/>
        <w:tabs>
          <w:tab w:leader="none" w:pos="3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Encapsulated Cell Therapy collaborative revenue arrangements.</w:t>
      </w:r>
    </w:p>
    <w:p>
      <w:pPr>
        <w:spacing w:after="0" w:line="174" w:lineRule="exact"/>
        <w:rPr>
          <w:rFonts w:ascii="Courier New" w:cs="Courier New" w:eastAsia="Courier New" w:hAnsi="Courier New"/>
          <w:sz w:val="15"/>
          <w:szCs w:val="15"/>
          <w:color w:val="auto"/>
        </w:rPr>
      </w:pPr>
    </w:p>
    <w:p>
      <w:pPr>
        <w:ind w:left="348" w:right="3339" w:hanging="348"/>
        <w:spacing w:after="0" w:line="266" w:lineRule="auto"/>
        <w:tabs>
          <w:tab w:leader="none" w:pos="3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research and development expenses, including employee compensation ($1,566,479), external professional services ($875,818) facilities and other supplies ($2,890,035) and various other expenses directly relating to encapsulated cell therapy activities. These expenses were determined based on an individual account analysis and internal employee tracking records.</w:t>
      </w:r>
    </w:p>
    <w:p>
      <w:pPr>
        <w:spacing w:after="0" w:line="74" w:lineRule="exact"/>
        <w:rPr>
          <w:rFonts w:ascii="Courier New" w:cs="Courier New" w:eastAsia="Courier New" w:hAnsi="Courier New"/>
          <w:sz w:val="15"/>
          <w:szCs w:val="15"/>
          <w:color w:val="auto"/>
        </w:rPr>
      </w:pPr>
    </w:p>
    <w:p>
      <w:pPr>
        <w:ind w:left="348" w:right="3079" w:hanging="348"/>
        <w:spacing w:after="0" w:line="295" w:lineRule="auto"/>
        <w:tabs>
          <w:tab w:leader="none" w:pos="34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general and administrative expenses, including employee compensation ($761,000), legal, professional and consulting fees ($963,000), facilities costs ($306,000), amortization ($158,000) and various other expenses ($121,000), directly relating to encapsulated cell therapy. The expenses were determined based on an individual account analysis.</w:t>
      </w:r>
    </w:p>
    <w:p>
      <w:pPr>
        <w:spacing w:after="0" w:line="57" w:lineRule="exact"/>
        <w:rPr>
          <w:rFonts w:ascii="Courier New" w:cs="Courier New" w:eastAsia="Courier New" w:hAnsi="Courier New"/>
          <w:sz w:val="14"/>
          <w:szCs w:val="14"/>
          <w:color w:val="auto"/>
        </w:rPr>
      </w:pPr>
    </w:p>
    <w:p>
      <w:pPr>
        <w:ind w:left="348" w:right="3079" w:hanging="348"/>
        <w:spacing w:after="0" w:line="266" w:lineRule="auto"/>
        <w:tabs>
          <w:tab w:leader="none" w:pos="34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Encapsulated Cell Therapy wind-down and corporate relocation expenses, including Rhode Island facility carrying costs, employee severance arrangements and the related settlement of a 1989 funding arrangement with the Rhode Island Partnership for Science and Technology. These expenses related to the Company's decision to eliminate 68 employees, relocate all remaining research and development and the Company's headquarters to Sunnyvale, California as a result of a decision to exit Encapsulated Cell Technology, and were included in wind-down expenses. The wind-down expenses include employee severance costs of approximately $1,554,000, losses and reserves for the write-down of related patents and fixed assets of approximately $1,858,000, an accrual of approximately $1,172,000 of costs relating to settlement of a 1989 funding agreement with the Rhode Island Partnership for Science and Technology ("RIPSAT") associated with the Company's pilot manufacturing facility, approximately $1,264,000 relating to carrying costs, including lease payments, interest, utilities, taxes and other related expenses associated with resolving the disposition of the Rhode Island facilities and $200,000 of employee outplacement fees. The RIPSAT claim related directly to funding the Company had received from RIPSAT. When the Company reached the decision to exit its Encapsulated Cell Technology and relocate all remaining research and the Company's corporate headquarter's from Rhode Island to Sunnyvale, California. RIPSAT claimed the Company had violated terms of the funding arrangement. The Company did not agree with this claim, however, management determined it was in the Company's best interest to settle the issue. As a result, the costs associated with the settlement were included in the wind-down amount.</w:t>
      </w:r>
    </w:p>
    <w:p>
      <w:pPr>
        <w:spacing w:after="0" w:line="253" w:lineRule="exact"/>
        <w:rPr>
          <w:rFonts w:ascii="Courier New" w:cs="Courier New" w:eastAsia="Courier New" w:hAnsi="Courier New"/>
          <w:sz w:val="14"/>
          <w:szCs w:val="14"/>
          <w:color w:val="auto"/>
        </w:rPr>
      </w:pPr>
    </w:p>
    <w:p>
      <w:pPr>
        <w:ind w:left="348" w:right="3159" w:hanging="348"/>
        <w:spacing w:after="0" w:line="301" w:lineRule="auto"/>
        <w:tabs>
          <w:tab w:leader="none" w:pos="3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allocate facilities cost to general and administrative expense from conversion of the former research and development facility in Sunnyvale, CA to the Company's Corporate headquarters.</w:t>
      </w:r>
    </w:p>
    <w:p>
      <w:pPr>
        <w:spacing w:after="0" w:line="4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27"/>
          </w:cols>
          <w:pgMar w:left="232" w:top="435" w:right="1440" w:bottom="1440" w:gutter="0" w:footer="0" w:header="0"/>
        </w:sectPr>
      </w:pPr>
    </w:p>
    <w:bookmarkStart w:id="94" w:name="page95"/>
    <w:bookmarkEnd w:id="94"/>
    <w:p>
      <w:pPr>
        <w:jc w:val="center"/>
        <w:ind w:right="3151"/>
        <w:spacing w:after="0"/>
        <w:rPr>
          <w:sz w:val="20"/>
          <w:szCs w:val="20"/>
          <w:color w:val="auto"/>
        </w:rPr>
      </w:pPr>
      <w:r>
        <w:rPr>
          <w:rFonts w:ascii="Courier New" w:cs="Courier New" w:eastAsia="Courier New" w:hAnsi="Courier New"/>
          <w:sz w:val="15"/>
          <w:szCs w:val="15"/>
          <w:color w:val="auto"/>
        </w:rPr>
        <w:t>PART II</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4" w:lineRule="exact"/>
        <w:rPr>
          <w:sz w:val="20"/>
          <w:szCs w:val="20"/>
          <w:color w:val="auto"/>
        </w:rPr>
      </w:pPr>
    </w:p>
    <w:p>
      <w:pPr>
        <w:ind w:left="8" w:right="3259" w:firstLine="358"/>
        <w:spacing w:after="0" w:line="281" w:lineRule="auto"/>
        <w:rPr>
          <w:sz w:val="20"/>
          <w:szCs w:val="20"/>
          <w:color w:val="auto"/>
        </w:rPr>
      </w:pPr>
      <w:r>
        <w:rPr>
          <w:rFonts w:ascii="Courier New" w:cs="Courier New" w:eastAsia="Courier New" w:hAnsi="Courier New"/>
          <w:sz w:val="15"/>
          <w:szCs w:val="15"/>
          <w:color w:val="auto"/>
        </w:rPr>
        <w:t>The following table sets forth the costs and expenses payable by the Registrant in connection with the sale of the securities being registered. All amounts shown are estimates except the SEC registration fee and the NASDAQ listing fee.</w:t>
      </w:r>
    </w:p>
    <w:p>
      <w:pPr>
        <w:spacing w:after="0" w:line="200" w:lineRule="exact"/>
        <w:rPr>
          <w:sz w:val="20"/>
          <w:szCs w:val="20"/>
          <w:color w:val="auto"/>
        </w:rPr>
      </w:pPr>
    </w:p>
    <w:p>
      <w:pPr>
        <w:spacing w:after="0" w:line="38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 registration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$ 6,956.16</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NASDAQ listing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17,500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Printing and engraving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140,000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Blue sky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Transfer agent and registrar fees...........................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377,706</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provided by amendment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74" w:lineRule="exact"/>
        <w:rPr>
          <w:sz w:val="20"/>
          <w:szCs w:val="20"/>
          <w:color w:val="auto"/>
        </w:rPr>
      </w:pPr>
    </w:p>
    <w:p>
      <w:pPr>
        <w:ind w:left="8" w:right="3079" w:firstLine="358"/>
        <w:spacing w:after="0" w:line="248" w:lineRule="auto"/>
        <w:rPr>
          <w:sz w:val="20"/>
          <w:szCs w:val="20"/>
          <w:color w:val="auto"/>
        </w:rPr>
      </w:pPr>
      <w:r>
        <w:rPr>
          <w:rFonts w:ascii="Courier New" w:cs="Courier New" w:eastAsia="Courier New" w:hAnsi="Courier New"/>
          <w:sz w:val="15"/>
          <w:szCs w:val="15"/>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90" w:lineRule="exact"/>
        <w:rPr>
          <w:sz w:val="20"/>
          <w:szCs w:val="20"/>
          <w:color w:val="auto"/>
        </w:rPr>
      </w:pPr>
    </w:p>
    <w:p>
      <w:pPr>
        <w:ind w:left="8" w:right="3079" w:firstLine="358"/>
        <w:spacing w:after="0" w:line="251" w:lineRule="auto"/>
        <w:rPr>
          <w:sz w:val="20"/>
          <w:szCs w:val="20"/>
          <w:color w:val="auto"/>
        </w:rPr>
      </w:pPr>
      <w:r>
        <w:rPr>
          <w:rFonts w:ascii="Courier New" w:cs="Courier New" w:eastAsia="Courier New" w:hAnsi="Courier New"/>
          <w:sz w:val="15"/>
          <w:szCs w:val="15"/>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w:t>
      </w:r>
    </w:p>
    <w:p>
      <w:pPr>
        <w:spacing w:after="0" w:line="9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7"/>
          </w:cols>
          <w:pgMar w:left="232" w:top="434" w:right="1440" w:bottom="1440" w:gutter="0" w:footer="0" w:header="0"/>
        </w:sectPr>
      </w:pPr>
    </w:p>
    <w:bookmarkStart w:id="95" w:name="page96"/>
    <w:bookmarkEnd w:id="95"/>
    <w:p>
      <w:pPr>
        <w:ind w:left="8" w:right="3159"/>
        <w:spacing w:after="0" w:line="301" w:lineRule="auto"/>
        <w:rPr>
          <w:sz w:val="20"/>
          <w:szCs w:val="20"/>
          <w:color w:val="auto"/>
        </w:rPr>
      </w:pPr>
      <w:r>
        <w:rPr>
          <w:rFonts w:ascii="Courier New" w:cs="Courier New" w:eastAsia="Courier New" w:hAnsi="Courier New"/>
          <w:sz w:val="15"/>
          <w:szCs w:val="15"/>
          <w:color w:val="auto"/>
        </w:rPr>
        <w:t>which those seeking indemnification may be entitled under any by-law, agreement or vote of directors or stockholders or otherwise, and shall inure to the benefit of the heirs and legal representatives of such persons.</w:t>
      </w:r>
    </w:p>
    <w:p>
      <w:pPr>
        <w:spacing w:after="0" w:line="49" w:lineRule="exact"/>
        <w:rPr>
          <w:sz w:val="20"/>
          <w:szCs w:val="20"/>
          <w:color w:val="auto"/>
        </w:rPr>
      </w:pPr>
    </w:p>
    <w:p>
      <w:pPr>
        <w:ind w:left="8" w:right="3079" w:firstLine="358"/>
        <w:spacing w:after="0" w:line="281" w:lineRule="auto"/>
        <w:rPr>
          <w:sz w:val="20"/>
          <w:szCs w:val="20"/>
          <w:color w:val="auto"/>
        </w:rPr>
      </w:pPr>
      <w:r>
        <w:rPr>
          <w:rFonts w:ascii="Courier New" w:cs="Courier New" w:eastAsia="Courier New" w:hAnsi="Courier New"/>
          <w:sz w:val="15"/>
          <w:szCs w:val="15"/>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64" w:lineRule="exact"/>
        <w:rPr>
          <w:sz w:val="20"/>
          <w:szCs w:val="20"/>
          <w:color w:val="auto"/>
        </w:rPr>
      </w:pPr>
    </w:p>
    <w:p>
      <w:pPr>
        <w:ind w:left="8" w:right="3599" w:firstLine="358"/>
        <w:spacing w:after="0" w:line="359" w:lineRule="auto"/>
        <w:rPr>
          <w:sz w:val="20"/>
          <w:szCs w:val="20"/>
          <w:color w:val="auto"/>
        </w:rPr>
      </w:pPr>
      <w:r>
        <w:rPr>
          <w:rFonts w:ascii="Courier New" w:cs="Courier New" w:eastAsia="Courier New" w:hAnsi="Courier New"/>
          <w:sz w:val="15"/>
          <w:szCs w:val="15"/>
          <w:color w:val="auto"/>
        </w:rPr>
        <w:t>We have obtained insurance covering our directors and officers against certain liabilities.</w:t>
      </w:r>
    </w:p>
    <w:p>
      <w:pPr>
        <w:spacing w:after="0" w:line="8" w:lineRule="exact"/>
        <w:rPr>
          <w:sz w:val="20"/>
          <w:szCs w:val="20"/>
          <w:color w:val="auto"/>
        </w:rPr>
      </w:pPr>
    </w:p>
    <w:p>
      <w:pPr>
        <w:ind w:left="8" w:right="3079" w:firstLine="358"/>
        <w:spacing w:after="0" w:line="253" w:lineRule="auto"/>
        <w:rPr>
          <w:sz w:val="20"/>
          <w:szCs w:val="20"/>
          <w:color w:val="auto"/>
        </w:rPr>
      </w:pPr>
      <w:r>
        <w:rPr>
          <w:rFonts w:ascii="Courier New" w:cs="Courier New" w:eastAsia="Courier New" w:hAnsi="Courier New"/>
          <w:sz w:val="15"/>
          <w:szCs w:val="15"/>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87" w:lineRule="exact"/>
        <w:rPr>
          <w:sz w:val="20"/>
          <w:szCs w:val="20"/>
          <w:color w:val="auto"/>
        </w:rPr>
      </w:pPr>
    </w:p>
    <w:p>
      <w:pPr>
        <w:ind w:left="8" w:right="3079" w:firstLine="358"/>
        <w:spacing w:after="0" w:line="262" w:lineRule="auto"/>
        <w:rPr>
          <w:sz w:val="20"/>
          <w:szCs w:val="20"/>
          <w:color w:val="auto"/>
        </w:rPr>
      </w:pPr>
      <w:r>
        <w:rPr>
          <w:rFonts w:ascii="Courier New" w:cs="Courier New" w:eastAsia="Courier New" w:hAnsi="Courier New"/>
          <w:sz w:val="15"/>
          <w:szCs w:val="15"/>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4" w:lineRule="exact"/>
        <w:rPr>
          <w:sz w:val="20"/>
          <w:szCs w:val="20"/>
          <w:color w:val="auto"/>
        </w:rPr>
      </w:pPr>
    </w:p>
    <w:p>
      <w:pPr>
        <w:ind w:left="8" w:right="3339" w:firstLine="358"/>
        <w:spacing w:after="0" w:line="281" w:lineRule="auto"/>
        <w:rPr>
          <w:sz w:val="20"/>
          <w:szCs w:val="20"/>
          <w:color w:val="auto"/>
        </w:rPr>
      </w:pPr>
      <w:r>
        <w:rPr>
          <w:rFonts w:ascii="Courier New" w:cs="Courier New" w:eastAsia="Courier New" w:hAnsi="Courier New"/>
          <w:sz w:val="14"/>
          <w:szCs w:val="14"/>
          <w:color w:val="auto"/>
        </w:rPr>
        <w:t>The shares of capital stock and other securities issued in the following transactions were offered and sold in reliance upon the following exemptions:</w:t>
      </w:r>
    </w:p>
    <w:p>
      <w:pPr>
        <w:spacing w:after="0" w:line="1" w:lineRule="exact"/>
        <w:rPr>
          <w:sz w:val="20"/>
          <w:szCs w:val="20"/>
          <w:color w:val="auto"/>
        </w:rPr>
      </w:pPr>
    </w:p>
    <w:p>
      <w:pPr>
        <w:ind w:left="8" w:right="3259" w:hanging="8"/>
        <w:spacing w:after="0" w:line="258" w:lineRule="auto"/>
        <w:tabs>
          <w:tab w:leader="none" w:pos="36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transactions described in (a) below, Section 4(2) of a the Securities Act or Regulation D promulgated thereunder relative to sales by an issuer not involving a public offering; and (ii) in the case of the transactions (b) below, Section 3(b) of the Securities Act and Rule 701 promulgated thereunder relative to sales pursuant to certain compensatory benefits plans.</w:t>
      </w:r>
    </w:p>
    <w:p>
      <w:pPr>
        <w:spacing w:after="0" w:line="252" w:lineRule="exact"/>
        <w:rPr>
          <w:rFonts w:ascii="Courier New" w:cs="Courier New" w:eastAsia="Courier New" w:hAnsi="Courier New"/>
          <w:sz w:val="15"/>
          <w:szCs w:val="15"/>
          <w:color w:val="auto"/>
        </w:rPr>
      </w:pPr>
    </w:p>
    <w:p>
      <w:pPr>
        <w:ind w:left="8" w:right="3079" w:firstLine="350"/>
        <w:spacing w:after="0" w:line="248" w:lineRule="auto"/>
        <w:tabs>
          <w:tab w:leader="none" w:pos="724"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13, 2000, the Registrant sold 1,500 shares of 6% cumulative convertible preferred stock plus warrants for a total of 75,000 shares of the Registrant's common stock to two members of its Board of Directors for $1,500,000, on terms more favorable than it was then able to obtain from outside investors. The sale was made in reliance on Rule 506 of Regulation D promulgated under the Securities Act of 1933, as amended. The shares of preferred stock are convertible at the option of the holders into common stock at $3.77 per share (based on the face value of the shares). The holders of the preferred stock have liquidation rights equal to their original investments plus accrued but unpaid dividends. The investors would be entitled to make additional investments in the Company on the same terms as those on which the Registrant completes offerings of its securities with third parties within 6 months, if any such offerings are completed. They have waived that right with respect to the common stock transactions described in Note 8, Subsequent Events. If offerings totaling at least $6 million are not completed during the 6 months, the investors have the right to acquire up to a total of 1,126 additional shares of convertible preferred stock, the face value of which is convertible to common stock at $6.33 per share. Any unconverted preferred stock is converted, at the applicable conversion price, on April 13, 2002 in the case of the original stock and two years after the first acquisition of any of the additional 1,126 shares, if any are acquired. The warrants, which are exercisable at $6.58 per share, expire on April 13, 2005.</w:t>
      </w:r>
    </w:p>
    <w:p>
      <w:pPr>
        <w:spacing w:after="0" w:line="26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435" w:right="1440" w:bottom="1440" w:gutter="0" w:footer="0" w:header="0"/>
        </w:sectPr>
      </w:pPr>
    </w:p>
    <w:bookmarkStart w:id="96" w:name="page97"/>
    <w:bookmarkEnd w:id="96"/>
    <w:p>
      <w:pPr>
        <w:ind w:right="3079" w:firstLine="358"/>
        <w:spacing w:after="0" w:line="268" w:lineRule="auto"/>
        <w:rPr>
          <w:sz w:val="20"/>
          <w:szCs w:val="20"/>
          <w:color w:val="auto"/>
        </w:rPr>
      </w:pPr>
      <w:r>
        <w:rPr>
          <w:rFonts w:ascii="Courier New" w:cs="Courier New" w:eastAsia="Courier New" w:hAnsi="Courier New"/>
          <w:sz w:val="14"/>
          <w:szCs w:val="14"/>
          <w:color w:val="auto"/>
        </w:rPr>
        <w:t>On August 3, 2000, the Registrant completed a $4 million common stock financing transaction with Millennium Partners, LP, or the Fund. The sale was made in reliance on Rule 506 of Regulation D promulgated under the Securities Act of 1933, as amended. The Registrant received $3 million of the purchase price at the closing and will receive the remaining $1 million upon effectiveness of a registration statement covering the shares owned by the Fund. The Fund purchased the Registrant's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the Registrant's common stock over a period prior to each date. The Registrant will have the right, under certain circumstances, to cap the number of additional shares by purchasing part of the entitlement from the Fund. The Fund also received a warrant to purchase up to 101,587 shares of common stock at $4.725 per share. This warrant is callable by the Registrant at $7.875 per underlying share.</w:t>
      </w:r>
    </w:p>
    <w:p>
      <w:pPr>
        <w:spacing w:after="0" w:line="258" w:lineRule="exact"/>
        <w:rPr>
          <w:sz w:val="20"/>
          <w:szCs w:val="20"/>
          <w:color w:val="auto"/>
        </w:rPr>
      </w:pPr>
    </w:p>
    <w:p>
      <w:pPr>
        <w:ind w:right="3079" w:firstLine="358"/>
        <w:spacing w:after="0" w:line="253" w:lineRule="auto"/>
        <w:rPr>
          <w:sz w:val="20"/>
          <w:szCs w:val="20"/>
          <w:color w:val="auto"/>
        </w:rPr>
      </w:pPr>
      <w:r>
        <w:rPr>
          <w:rFonts w:ascii="Courier New" w:cs="Courier New" w:eastAsia="Courier New" w:hAnsi="Courier New"/>
          <w:sz w:val="15"/>
          <w:szCs w:val="15"/>
          <w:color w:val="auto"/>
        </w:rPr>
        <w:t>The Fund also has the option for twelve months to purchase up to $3 million of additional common stock. On August 23, 2000, the Fund exercised $1,000,000 of that option to purchase Registrant's common stock at $5.53 per share. The Registrant received $750,000 of the purchase price in connection with the closing on August 30, 2000 and will receive the remaining $250,000 upon effectiveness of a registration statement covering the shares owned by the Fund. At the closing on August 30, 2000, the Fund also received an adjustable warrant similar to the one issued on August 3, 2000. This adjustable warrant was canceled by agreement of the Registrant and the Fund on November 1, 2000. The Fund also received a five year warrant to purchase up to 19,900 shares of the Registrant's common stock at $6.03 per share. This warrant is callable by the Registrant at any time at $10.05 per underlying share.</w:t>
      </w:r>
    </w:p>
    <w:p>
      <w:pPr>
        <w:spacing w:after="0" w:line="87" w:lineRule="exact"/>
        <w:rPr>
          <w:sz w:val="20"/>
          <w:szCs w:val="20"/>
          <w:color w:val="auto"/>
        </w:rPr>
      </w:pPr>
    </w:p>
    <w:p>
      <w:pPr>
        <w:ind w:right="3159" w:firstLine="350"/>
        <w:spacing w:after="0" w:line="359" w:lineRule="auto"/>
        <w:tabs>
          <w:tab w:leader="none" w:pos="80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25, 2000 we issued 2,800 shares of unregistered Rule 144 common stock to the California Institute of Technology.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4" w:lineRule="exact"/>
        <w:rPr>
          <w:sz w:val="20"/>
          <w:szCs w:val="20"/>
          <w:color w:val="auto"/>
        </w:rPr>
      </w:pPr>
    </w:p>
    <w:p>
      <w:pPr>
        <w:ind w:left="620" w:right="3159" w:hanging="270"/>
        <w:spacing w:after="0" w:line="359" w:lineRule="auto"/>
        <w:tabs>
          <w:tab w:leader="none" w:pos="71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filed as part of this registration statement: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25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26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4.3X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4.4X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4.5X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4.6X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4.7X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bl>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435"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2"/>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25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bl>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951" w:right="1440" w:bottom="1440" w:gutter="0" w:footer="0" w:header="0"/>
        </w:sectPr>
      </w:pPr>
    </w:p>
    <w:bookmarkStart w:id="98" w:name="page99"/>
    <w:bookmarkEnd w:id="98"/>
    <w:p>
      <w:pPr>
        <w:ind w:left="628"/>
        <w:spacing w:after="0"/>
        <w:rPr>
          <w:sz w:val="20"/>
          <w:szCs w:val="20"/>
          <w:color w:val="auto"/>
        </w:rPr>
      </w:pPr>
      <w:r>
        <w:rPr>
          <w:rFonts w:ascii="Courier New" w:cs="Courier New" w:eastAsia="Courier New" w:hAnsi="Courier New"/>
          <w:sz w:val="15"/>
          <w:szCs w:val="15"/>
          <w:color w:val="auto"/>
        </w:rPr>
        <w:t>NUMBER</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sectPr>
          <w:pgSz w:w="11900" w:h="16838" w:orient="portrait"/>
          <w:cols w:equalWidth="0" w:num="2">
            <w:col w:w="2048" w:space="280"/>
            <w:col w:w="7899"/>
          </w:cols>
          <w:pgMar w:left="232" w:top="951" w:right="1440" w:bottom="1440" w:gutter="0" w:footer="0" w:header="0"/>
        </w:sectPr>
      </w:pPr>
    </w:p>
    <w:p>
      <w:pPr>
        <w:ind w:left="448"/>
        <w:spacing w:after="0"/>
        <w:rPr>
          <w:sz w:val="20"/>
          <w:szCs w:val="20"/>
          <w:color w:val="auto"/>
        </w:rPr>
      </w:pPr>
      <w:r>
        <w:rPr>
          <w:rFonts w:ascii="Courier New" w:cs="Courier New" w:eastAsia="Courier New" w:hAnsi="Courier New"/>
          <w:sz w:val="15"/>
          <w:szCs w:val="15"/>
          <w:color w:val="auto"/>
        </w:rPr>
        <w:t>10.29###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Letter Agreement among each of Dr. Irving Weissman and Dr.</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H. Gage and the Registrant.</w:t>
      </w:r>
    </w:p>
    <w:p>
      <w:pPr>
        <w:spacing w:after="0" w:line="146" w:lineRule="exact"/>
        <w:rPr>
          <w:sz w:val="20"/>
          <w:szCs w:val="20"/>
          <w:color w:val="auto"/>
        </w:rPr>
      </w:pPr>
    </w:p>
    <w:p>
      <w:pPr>
        <w:sectPr>
          <w:pgSz w:w="11900" w:h="16838" w:orient="portrait"/>
          <w:cols w:equalWidth="0" w:num="2">
            <w:col w:w="1428" w:space="720"/>
            <w:col w:w="8079"/>
          </w:cols>
          <w:pgMar w:left="232" w:top="951"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StemCells, Inc. 1996 Stock Option Plan.</w:t>
      </w:r>
    </w:p>
    <w:p>
      <w:pPr>
        <w:spacing w:after="0" w:line="185" w:lineRule="exact"/>
        <w:rPr>
          <w:sz w:val="20"/>
          <w:szCs w:val="20"/>
          <w:color w:val="auto"/>
        </w:rPr>
      </w:pPr>
    </w:p>
    <w:p>
      <w:pPr>
        <w:sectPr>
          <w:pgSz w:w="11900" w:h="16838" w:orient="portrait"/>
          <w:cols w:equalWidth="0" w:num="2">
            <w:col w:w="1428" w:space="720"/>
            <w:col w:w="8079"/>
          </w:cols>
          <w:pgMar w:left="232" w:top="951"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1997 StemCells Research Stock Option Plan (the "1997 Plan")</w:t>
      </w:r>
    </w:p>
    <w:p>
      <w:pPr>
        <w:spacing w:after="0" w:line="185" w:lineRule="exact"/>
        <w:rPr>
          <w:sz w:val="20"/>
          <w:szCs w:val="20"/>
          <w:color w:val="auto"/>
        </w:rPr>
      </w:pPr>
    </w:p>
    <w:p>
      <w:pPr>
        <w:sectPr>
          <w:pgSz w:w="11900" w:h="16838" w:orient="portrait"/>
          <w:cols w:equalWidth="0" w:num="2">
            <w:col w:w="1428" w:space="720"/>
            <w:col w:w="8079"/>
          </w:cols>
          <w:pgMar w:left="232" w:top="951"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10.34****</w:t>
      </w:r>
    </w:p>
    <w:p>
      <w:pPr>
        <w:spacing w:after="0" w:line="20" w:lineRule="exact"/>
        <w:rPr>
          <w:sz w:val="20"/>
          <w:szCs w:val="20"/>
          <w:color w:val="auto"/>
        </w:rPr>
      </w:pPr>
      <w:r>
        <w:rPr>
          <w:sz w:val="20"/>
          <w:szCs w:val="20"/>
          <w:color w:val="auto"/>
        </w:rPr>
        <w:br w:type="column"/>
      </w:r>
    </w:p>
    <w:p>
      <w:pPr>
        <w:ind w:right="2799"/>
        <w:spacing w:after="0" w:line="359" w:lineRule="auto"/>
        <w:rPr>
          <w:sz w:val="20"/>
          <w:szCs w:val="20"/>
          <w:color w:val="auto"/>
        </w:rPr>
      </w:pPr>
      <w:r>
        <w:rPr>
          <w:rFonts w:ascii="Courier New" w:cs="Courier New" w:eastAsia="Courier New" w:hAnsi="Courier New"/>
          <w:sz w:val="15"/>
          <w:szCs w:val="15"/>
          <w:color w:val="auto"/>
        </w:rPr>
        <w:t>Form of Performance-Based Incentive Option Agreement issued under the 1997 Plan.</w:t>
      </w:r>
    </w:p>
    <w:p>
      <w:pPr>
        <w:spacing w:after="0" w:line="8" w:lineRule="exact"/>
        <w:rPr>
          <w:sz w:val="20"/>
          <w:szCs w:val="20"/>
          <w:color w:val="auto"/>
        </w:rPr>
      </w:pPr>
    </w:p>
    <w:p>
      <w:pPr>
        <w:sectPr>
          <w:pgSz w:w="11900" w:h="16838" w:orient="portrait"/>
          <w:cols w:equalWidth="0" w:num="2">
            <w:col w:w="1428" w:space="720"/>
            <w:col w:w="8079"/>
          </w:cols>
          <w:pgMar w:left="232" w:top="951"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10.35###</w:t>
      </w:r>
    </w:p>
    <w:p>
      <w:pPr>
        <w:spacing w:after="0" w:line="20" w:lineRule="exact"/>
        <w:rPr>
          <w:sz w:val="20"/>
          <w:szCs w:val="20"/>
          <w:color w:val="auto"/>
        </w:rPr>
      </w:pPr>
      <w:r>
        <w:rPr>
          <w:sz w:val="20"/>
          <w:szCs w:val="20"/>
          <w:color w:val="auto"/>
        </w:rPr>
        <w:br w:type="column"/>
      </w:r>
    </w:p>
    <w:p>
      <w:pPr>
        <w:ind w:right="2799"/>
        <w:spacing w:after="0" w:line="359" w:lineRule="auto"/>
        <w:rPr>
          <w:sz w:val="20"/>
          <w:szCs w:val="20"/>
          <w:color w:val="auto"/>
        </w:rPr>
      </w:pPr>
      <w:r>
        <w:rPr>
          <w:rFonts w:ascii="Courier New" w:cs="Courier New" w:eastAsia="Courier New" w:hAnsi="Courier New"/>
          <w:sz w:val="15"/>
          <w:szCs w:val="15"/>
          <w:color w:val="auto"/>
        </w:rPr>
        <w:t>Employment Agreement dated as of September 25, 1997 between Dr. Richard M. Rose and the Registrant.</w:t>
      </w:r>
    </w:p>
    <w:p>
      <w:pPr>
        <w:spacing w:after="0" w:line="8" w:lineRule="exact"/>
        <w:rPr>
          <w:sz w:val="20"/>
          <w:szCs w:val="20"/>
          <w:color w:val="auto"/>
        </w:rPr>
      </w:pPr>
    </w:p>
    <w:p>
      <w:pPr>
        <w:sectPr>
          <w:pgSz w:w="11900" w:h="16838" w:orient="portrait"/>
          <w:cols w:equalWidth="0" w:num="2">
            <w:col w:w="1428" w:space="720"/>
            <w:col w:w="8079"/>
          </w:cols>
          <w:pgMar w:left="232" w:top="951"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10.38[*]</w:t>
      </w:r>
    </w:p>
    <w:p>
      <w:pPr>
        <w:spacing w:after="0" w:line="20" w:lineRule="exact"/>
        <w:rPr>
          <w:sz w:val="20"/>
          <w:szCs w:val="20"/>
          <w:color w:val="auto"/>
        </w:rPr>
      </w:pPr>
      <w:r>
        <w:rPr>
          <w:sz w:val="20"/>
          <w:szCs w:val="20"/>
          <w:color w:val="auto"/>
        </w:rPr>
        <w:br w:type="column"/>
      </w:r>
    </w:p>
    <w:p>
      <w:pPr>
        <w:ind w:right="3079"/>
        <w:spacing w:after="0" w:line="359" w:lineRule="auto"/>
        <w:rPr>
          <w:sz w:val="20"/>
          <w:szCs w:val="20"/>
          <w:color w:val="auto"/>
        </w:rPr>
      </w:pPr>
      <w:r>
        <w:rPr>
          <w:rFonts w:ascii="Courier New" w:cs="Courier New" w:eastAsia="Courier New" w:hAnsi="Courier New"/>
          <w:sz w:val="15"/>
          <w:szCs w:val="15"/>
          <w:color w:val="auto"/>
        </w:rPr>
        <w:t>Rights Agreement, dated as of July 27, 1998 between Bank Boston, N.A. as Rights Agent and the Registrant.</w:t>
      </w:r>
    </w:p>
    <w:p>
      <w:pPr>
        <w:spacing w:after="0" w:line="8" w:lineRule="exact"/>
        <w:rPr>
          <w:sz w:val="20"/>
          <w:szCs w:val="20"/>
          <w:color w:val="auto"/>
        </w:rPr>
      </w:pPr>
    </w:p>
    <w:p>
      <w:pPr>
        <w:sectPr>
          <w:pgSz w:w="11900" w:h="16838" w:orient="portrait"/>
          <w:cols w:equalWidth="0" w:num="2">
            <w:col w:w="1428" w:space="720"/>
            <w:col w:w="8079"/>
          </w:cols>
          <w:pgMar w:left="232" w:top="951"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10.40Section**</w:t>
      </w:r>
    </w:p>
    <w:p>
      <w:pPr>
        <w:spacing w:after="0" w:line="20" w:lineRule="exact"/>
        <w:rPr>
          <w:sz w:val="20"/>
          <w:szCs w:val="20"/>
          <w:color w:val="auto"/>
        </w:rPr>
      </w:pPr>
      <w:r>
        <w:rPr>
          <w:sz w:val="20"/>
          <w:szCs w:val="20"/>
          <w:color w:val="auto"/>
        </w:rPr>
        <w:br w:type="column"/>
      </w:r>
    </w:p>
    <w:p>
      <w:pPr>
        <w:jc w:val="both"/>
        <w:ind w:right="2799"/>
        <w:spacing w:after="0" w:line="301" w:lineRule="auto"/>
        <w:rPr>
          <w:sz w:val="20"/>
          <w:szCs w:val="20"/>
          <w:color w:val="auto"/>
        </w:rPr>
      </w:pPr>
      <w:r>
        <w:rPr>
          <w:rFonts w:ascii="Courier New" w:cs="Courier New" w:eastAsia="Courier New" w:hAnsi="Courier New"/>
          <w:sz w:val="15"/>
          <w:szCs w:val="15"/>
          <w:color w:val="auto"/>
        </w:rPr>
        <w:t>Consulting Services Agreement dated as of July 27, 1998, as amended December 19, 1998 between Dr. John J. Schwartz and the Registrant.</w:t>
      </w:r>
    </w:p>
    <w:p>
      <w:pPr>
        <w:spacing w:after="0" w:line="49" w:lineRule="exact"/>
        <w:rPr>
          <w:sz w:val="20"/>
          <w:szCs w:val="20"/>
          <w:color w:val="auto"/>
        </w:rPr>
      </w:pPr>
    </w:p>
    <w:p>
      <w:pPr>
        <w:sectPr>
          <w:pgSz w:w="11900" w:h="16838" w:orient="portrait"/>
          <w:cols w:equalWidth="0" w:num="2">
            <w:col w:w="1708" w:space="440"/>
            <w:col w:w="8079"/>
          </w:cols>
          <w:pgMar w:left="232" w:top="951"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10.41Section**</w:t>
      </w:r>
    </w:p>
    <w:p>
      <w:pPr>
        <w:spacing w:after="0" w:line="20" w:lineRule="exact"/>
        <w:rPr>
          <w:sz w:val="20"/>
          <w:szCs w:val="20"/>
          <w:color w:val="auto"/>
        </w:rPr>
      </w:pPr>
      <w:r>
        <w:rPr>
          <w:sz w:val="20"/>
          <w:szCs w:val="20"/>
          <w:color w:val="auto"/>
        </w:rPr>
        <w:br w:type="column"/>
      </w:r>
    </w:p>
    <w:p>
      <w:pPr>
        <w:ind w:right="2799"/>
        <w:spacing w:after="0" w:line="359" w:lineRule="auto"/>
        <w:rPr>
          <w:sz w:val="20"/>
          <w:szCs w:val="20"/>
          <w:color w:val="auto"/>
        </w:rPr>
      </w:pPr>
      <w:r>
        <w:rPr>
          <w:rFonts w:ascii="Courier New" w:cs="Courier New" w:eastAsia="Courier New" w:hAnsi="Courier New"/>
          <w:sz w:val="15"/>
          <w:szCs w:val="15"/>
          <w:color w:val="auto"/>
        </w:rPr>
        <w:t>Letter Agreement dated as of December 19, 1998 between John J. Schwartz and the Registrant.</w:t>
      </w:r>
    </w:p>
    <w:p>
      <w:pPr>
        <w:spacing w:after="0" w:line="8" w:lineRule="exact"/>
        <w:rPr>
          <w:sz w:val="20"/>
          <w:szCs w:val="20"/>
          <w:color w:val="auto"/>
        </w:rPr>
      </w:pPr>
    </w:p>
    <w:p>
      <w:pPr>
        <w:sectPr>
          <w:pgSz w:w="11900" w:h="16838" w:orient="portrait"/>
          <w:cols w:equalWidth="0" w:num="2">
            <w:col w:w="1708" w:space="440"/>
            <w:col w:w="8079"/>
          </w:cols>
          <w:pgMar w:left="232" w:top="951"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10.42Section**</w:t>
      </w:r>
    </w:p>
    <w:p>
      <w:pPr>
        <w:spacing w:after="0" w:line="20" w:lineRule="exact"/>
        <w:rPr>
          <w:sz w:val="20"/>
          <w:szCs w:val="20"/>
          <w:color w:val="auto"/>
        </w:rPr>
      </w:pPr>
      <w:r>
        <w:rPr>
          <w:sz w:val="20"/>
          <w:szCs w:val="20"/>
          <w:color w:val="auto"/>
        </w:rPr>
        <w:br w:type="column"/>
      </w:r>
    </w:p>
    <w:p>
      <w:pPr>
        <w:ind w:right="2899"/>
        <w:spacing w:after="0" w:line="359" w:lineRule="auto"/>
        <w:rPr>
          <w:sz w:val="20"/>
          <w:szCs w:val="20"/>
          <w:color w:val="auto"/>
        </w:rPr>
      </w:pPr>
      <w:r>
        <w:rPr>
          <w:rFonts w:ascii="Courier New" w:cs="Courier New" w:eastAsia="Courier New" w:hAnsi="Courier New"/>
          <w:sz w:val="15"/>
          <w:szCs w:val="15"/>
          <w:color w:val="auto"/>
        </w:rPr>
        <w:t>License Agreement dated as of October 27, 1998 between The Scripps Research Institute and the Registrant.</w:t>
      </w:r>
    </w:p>
    <w:p>
      <w:pPr>
        <w:spacing w:after="0" w:line="8" w:lineRule="exact"/>
        <w:rPr>
          <w:sz w:val="20"/>
          <w:szCs w:val="20"/>
          <w:color w:val="auto"/>
        </w:rPr>
      </w:pPr>
    </w:p>
    <w:p>
      <w:pPr>
        <w:sectPr>
          <w:pgSz w:w="11900" w:h="16838" w:orient="portrait"/>
          <w:cols w:equalWidth="0" w:num="2">
            <w:col w:w="1708" w:space="440"/>
            <w:col w:w="8079"/>
          </w:cols>
          <w:pgMar w:left="232" w:top="951"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10.43Section**</w:t>
      </w:r>
    </w:p>
    <w:p>
      <w:pPr>
        <w:spacing w:after="0" w:line="20" w:lineRule="exact"/>
        <w:rPr>
          <w:sz w:val="20"/>
          <w:szCs w:val="20"/>
          <w:color w:val="auto"/>
        </w:rPr>
      </w:pPr>
      <w:r>
        <w:rPr>
          <w:sz w:val="20"/>
          <w:szCs w:val="20"/>
          <w:color w:val="auto"/>
        </w:rPr>
        <w:br w:type="column"/>
      </w:r>
    </w:p>
    <w:p>
      <w:pPr>
        <w:ind w:right="2899"/>
        <w:spacing w:after="0" w:line="359" w:lineRule="auto"/>
        <w:rPr>
          <w:sz w:val="20"/>
          <w:szCs w:val="20"/>
          <w:color w:val="auto"/>
        </w:rPr>
      </w:pPr>
      <w:r>
        <w:rPr>
          <w:rFonts w:ascii="Courier New" w:cs="Courier New" w:eastAsia="Courier New" w:hAnsi="Courier New"/>
          <w:sz w:val="15"/>
          <w:szCs w:val="15"/>
          <w:color w:val="auto"/>
        </w:rPr>
        <w:t>License Agreement dated as of October 27, 1998 between The Scripps Research Institute and the Registrant.</w:t>
      </w:r>
    </w:p>
    <w:p>
      <w:pPr>
        <w:spacing w:after="0" w:line="8" w:lineRule="exact"/>
        <w:rPr>
          <w:sz w:val="20"/>
          <w:szCs w:val="20"/>
          <w:color w:val="auto"/>
        </w:rPr>
      </w:pPr>
    </w:p>
    <w:p>
      <w:pPr>
        <w:sectPr>
          <w:pgSz w:w="11900" w:h="16838" w:orient="portrait"/>
          <w:cols w:equalWidth="0" w:num="2">
            <w:col w:w="1708" w:space="440"/>
            <w:col w:w="8079"/>
          </w:cols>
          <w:pgMar w:left="232" w:top="951"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10.44Section**</w:t>
      </w:r>
    </w:p>
    <w:p>
      <w:pPr>
        <w:spacing w:after="0" w:line="20" w:lineRule="exact"/>
        <w:rPr>
          <w:sz w:val="20"/>
          <w:szCs w:val="20"/>
          <w:color w:val="auto"/>
        </w:rPr>
      </w:pPr>
      <w:r>
        <w:rPr>
          <w:sz w:val="20"/>
          <w:szCs w:val="20"/>
          <w:color w:val="auto"/>
        </w:rPr>
        <w:br w:type="column"/>
      </w:r>
    </w:p>
    <w:p>
      <w:pPr>
        <w:ind w:right="2799"/>
        <w:spacing w:after="0" w:line="359" w:lineRule="auto"/>
        <w:rPr>
          <w:sz w:val="20"/>
          <w:szCs w:val="20"/>
          <w:color w:val="auto"/>
        </w:rPr>
      </w:pPr>
      <w:r>
        <w:rPr>
          <w:rFonts w:ascii="Courier New" w:cs="Courier New" w:eastAsia="Courier New" w:hAnsi="Courier New"/>
          <w:sz w:val="15"/>
          <w:szCs w:val="15"/>
          <w:color w:val="auto"/>
        </w:rPr>
        <w:t>License Agreement dated as of November 20, 1998 between The Scripps Research Institute and the Registrant.</w:t>
      </w:r>
    </w:p>
    <w:p>
      <w:pPr>
        <w:spacing w:after="0" w:line="8" w:lineRule="exact"/>
        <w:rPr>
          <w:sz w:val="20"/>
          <w:szCs w:val="20"/>
          <w:color w:val="auto"/>
        </w:rPr>
      </w:pPr>
    </w:p>
    <w:p>
      <w:pPr>
        <w:sectPr>
          <w:pgSz w:w="11900" w:h="16838" w:orient="portrait"/>
          <w:cols w:equalWidth="0" w:num="2">
            <w:col w:w="1708" w:space="440"/>
            <w:col w:w="8079"/>
          </w:cols>
          <w:pgMar w:left="232" w:top="951"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10.45SectionSection**</w:t>
      </w:r>
    </w:p>
    <w:p>
      <w:pPr>
        <w:spacing w:after="0" w:line="20" w:lineRule="exact"/>
        <w:rPr>
          <w:sz w:val="20"/>
          <w:szCs w:val="20"/>
          <w:color w:val="auto"/>
        </w:rPr>
      </w:pPr>
      <w:r>
        <w:rPr>
          <w:sz w:val="20"/>
          <w:szCs w:val="20"/>
          <w:color w:val="auto"/>
        </w:rPr>
        <w:br w:type="column"/>
      </w:r>
    </w:p>
    <w:p>
      <w:pPr>
        <w:ind w:right="2719"/>
        <w:spacing w:after="0" w:line="390" w:lineRule="auto"/>
        <w:rPr>
          <w:sz w:val="20"/>
          <w:szCs w:val="20"/>
          <w:color w:val="auto"/>
        </w:rPr>
      </w:pPr>
      <w:r>
        <w:rPr>
          <w:rFonts w:ascii="Courier New" w:cs="Courier New" w:eastAsia="Courier New" w:hAnsi="Courier New"/>
          <w:sz w:val="14"/>
          <w:szCs w:val="14"/>
          <w:color w:val="auto"/>
        </w:rPr>
        <w:t>Purchase Agreement and License Agreement dated as of December 29, 1999 between Neurotech S.A. and the Registrant.</w:t>
      </w:r>
    </w:p>
    <w:p>
      <w:pPr>
        <w:spacing w:after="0" w:line="1" w:lineRule="exact"/>
        <w:rPr>
          <w:sz w:val="20"/>
          <w:szCs w:val="20"/>
          <w:color w:val="auto"/>
        </w:rPr>
      </w:pPr>
    </w:p>
    <w:p>
      <w:pPr>
        <w:sectPr>
          <w:pgSz w:w="11900" w:h="16838" w:orient="portrait"/>
          <w:cols w:equalWidth="0" w:num="2">
            <w:col w:w="1888" w:space="260"/>
            <w:col w:w="8079"/>
          </w:cols>
          <w:pgMar w:left="232" w:top="951"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10.46**</w:t>
      </w:r>
    </w:p>
    <w:p>
      <w:pPr>
        <w:spacing w:after="0" w:line="20" w:lineRule="exact"/>
        <w:rPr>
          <w:sz w:val="20"/>
          <w:szCs w:val="20"/>
          <w:color w:val="auto"/>
        </w:rPr>
      </w:pPr>
      <w:r>
        <w:rPr>
          <w:sz w:val="20"/>
          <w:szCs w:val="20"/>
          <w:color w:val="auto"/>
        </w:rPr>
        <w:br w:type="column"/>
      </w:r>
    </w:p>
    <w:p>
      <w:pPr>
        <w:ind w:right="2799"/>
        <w:spacing w:after="0" w:line="359" w:lineRule="auto"/>
        <w:rPr>
          <w:sz w:val="20"/>
          <w:szCs w:val="20"/>
          <w:color w:val="auto"/>
        </w:rPr>
      </w:pPr>
      <w:r>
        <w:rPr>
          <w:rFonts w:ascii="Courier New" w:cs="Courier New" w:eastAsia="Courier New" w:hAnsi="Courier New"/>
          <w:sz w:val="15"/>
          <w:szCs w:val="15"/>
          <w:color w:val="auto"/>
        </w:rPr>
        <w:t>License Agreement dated as of June 1999 between The Scripps Research Institute and the Registrant.</w:t>
      </w:r>
    </w:p>
    <w:p>
      <w:pPr>
        <w:spacing w:after="0" w:line="8" w:lineRule="exact"/>
        <w:rPr>
          <w:sz w:val="20"/>
          <w:szCs w:val="20"/>
          <w:color w:val="auto"/>
        </w:rPr>
      </w:pPr>
    </w:p>
    <w:p>
      <w:pPr>
        <w:sectPr>
          <w:pgSz w:w="11900" w:h="16838" w:orient="portrait"/>
          <w:cols w:equalWidth="0" w:num="2">
            <w:col w:w="1428" w:space="720"/>
            <w:col w:w="8079"/>
          </w:cols>
          <w:pgMar w:left="232" w:top="951"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10.47**</w:t>
      </w:r>
    </w:p>
    <w:p>
      <w:pPr>
        <w:spacing w:after="0" w:line="20" w:lineRule="exact"/>
        <w:rPr>
          <w:sz w:val="20"/>
          <w:szCs w:val="20"/>
          <w:color w:val="auto"/>
        </w:rPr>
      </w:pPr>
      <w:r>
        <w:rPr>
          <w:sz w:val="20"/>
          <w:szCs w:val="20"/>
          <w:color w:val="auto"/>
        </w:rPr>
        <w:br w:type="column"/>
      </w:r>
    </w:p>
    <w:p>
      <w:pPr>
        <w:ind w:right="2799"/>
        <w:spacing w:after="0" w:line="359" w:lineRule="auto"/>
        <w:rPr>
          <w:sz w:val="20"/>
          <w:szCs w:val="20"/>
          <w:color w:val="auto"/>
        </w:rPr>
      </w:pPr>
      <w:r>
        <w:rPr>
          <w:rFonts w:ascii="Courier New" w:cs="Courier New" w:eastAsia="Courier New" w:hAnsi="Courier New"/>
          <w:sz w:val="15"/>
          <w:szCs w:val="15"/>
          <w:color w:val="auto"/>
        </w:rPr>
        <w:t>License Agreement dated as of June 1999 between The Scripps Research Institute and the Registrant.</w:t>
      </w:r>
    </w:p>
    <w:p>
      <w:pPr>
        <w:spacing w:after="0" w:line="8" w:lineRule="exact"/>
        <w:rPr>
          <w:sz w:val="20"/>
          <w:szCs w:val="20"/>
          <w:color w:val="auto"/>
        </w:rPr>
      </w:pPr>
    </w:p>
    <w:p>
      <w:pPr>
        <w:sectPr>
          <w:pgSz w:w="11900" w:h="16838" w:orient="portrait"/>
          <w:cols w:equalWidth="0" w:num="2">
            <w:col w:w="1428" w:space="720"/>
            <w:col w:w="8079"/>
          </w:cols>
          <w:pgMar w:left="232" w:top="951"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10.48X</w:t>
      </w:r>
    </w:p>
    <w:p>
      <w:pPr>
        <w:spacing w:after="0" w:line="20" w:lineRule="exact"/>
        <w:rPr>
          <w:sz w:val="20"/>
          <w:szCs w:val="20"/>
          <w:color w:val="auto"/>
        </w:rPr>
      </w:pPr>
      <w:r>
        <w:rPr>
          <w:sz w:val="20"/>
          <w:szCs w:val="20"/>
          <w:color w:val="auto"/>
        </w:rPr>
        <w:br w:type="column"/>
      </w:r>
    </w:p>
    <w:p>
      <w:pPr>
        <w:ind w:right="2899"/>
        <w:spacing w:after="0" w:line="359" w:lineRule="auto"/>
        <w:rPr>
          <w:sz w:val="20"/>
          <w:szCs w:val="20"/>
          <w:color w:val="auto"/>
        </w:rPr>
      </w:pPr>
      <w:r>
        <w:rPr>
          <w:rFonts w:ascii="Courier New" w:cs="Courier New" w:eastAsia="Courier New" w:hAnsi="Courier New"/>
          <w:sz w:val="15"/>
          <w:szCs w:val="15"/>
          <w:color w:val="auto"/>
        </w:rPr>
        <w:t>Form of Registration Rights Agreement dated as of July 31, 2000 between StemCells, Inc. and investors.</w:t>
      </w:r>
    </w:p>
    <w:p>
      <w:pPr>
        <w:spacing w:after="0" w:line="8" w:lineRule="exact"/>
        <w:rPr>
          <w:sz w:val="20"/>
          <w:szCs w:val="20"/>
          <w:color w:val="auto"/>
        </w:rPr>
      </w:pPr>
    </w:p>
    <w:p>
      <w:pPr>
        <w:sectPr>
          <w:pgSz w:w="11900" w:h="16838" w:orient="portrait"/>
          <w:cols w:equalWidth="0" w:num="2">
            <w:col w:w="1428" w:space="720"/>
            <w:col w:w="8079"/>
          </w:cols>
          <w:pgMar w:left="232" w:top="951"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10.49X</w:t>
      </w:r>
    </w:p>
    <w:p>
      <w:pPr>
        <w:spacing w:after="0" w:line="20" w:lineRule="exact"/>
        <w:rPr>
          <w:sz w:val="20"/>
          <w:szCs w:val="20"/>
          <w:color w:val="auto"/>
        </w:rPr>
      </w:pPr>
      <w:r>
        <w:rPr>
          <w:sz w:val="20"/>
          <w:szCs w:val="20"/>
          <w:color w:val="auto"/>
        </w:rPr>
        <w:br w:type="column"/>
      </w:r>
    </w:p>
    <w:p>
      <w:pPr>
        <w:ind w:right="3079"/>
        <w:spacing w:after="0" w:line="359" w:lineRule="auto"/>
        <w:rPr>
          <w:sz w:val="20"/>
          <w:szCs w:val="20"/>
          <w:color w:val="auto"/>
        </w:rPr>
      </w:pPr>
      <w:r>
        <w:rPr>
          <w:rFonts w:ascii="Courier New" w:cs="Courier New" w:eastAsia="Courier New" w:hAnsi="Courier New"/>
          <w:sz w:val="15"/>
          <w:szCs w:val="15"/>
          <w:color w:val="auto"/>
        </w:rPr>
        <w:t>Subscription Agreement dated as of July 31, 2000 between StemCells, Inc. and Millennium Partners, L.P.</w:t>
      </w:r>
    </w:p>
    <w:p>
      <w:pPr>
        <w:spacing w:after="0" w:line="8" w:lineRule="exact"/>
        <w:rPr>
          <w:sz w:val="20"/>
          <w:szCs w:val="20"/>
          <w:color w:val="auto"/>
        </w:rPr>
      </w:pPr>
    </w:p>
    <w:p>
      <w:pPr>
        <w:sectPr>
          <w:pgSz w:w="11900" w:h="16838" w:orient="portrait"/>
          <w:cols w:equalWidth="0" w:num="2">
            <w:col w:w="1428" w:space="720"/>
            <w:col w:w="8079"/>
          </w:cols>
          <w:pgMar w:left="232" w:top="951" w:right="1440" w:bottom="1440" w:gutter="0" w:footer="0" w:header="0"/>
          <w:type w:val="continuous"/>
        </w:sectPr>
      </w:pPr>
    </w:p>
    <w:p>
      <w:pPr>
        <w:ind w:left="348"/>
        <w:spacing w:after="0"/>
        <w:rPr>
          <w:sz w:val="20"/>
          <w:szCs w:val="20"/>
          <w:color w:val="auto"/>
        </w:rPr>
      </w:pPr>
      <w:r>
        <w:rPr>
          <w:rFonts w:ascii="Courier New" w:cs="Courier New" w:eastAsia="Courier New" w:hAnsi="Courier New"/>
          <w:sz w:val="15"/>
          <w:szCs w:val="15"/>
          <w:color w:val="auto"/>
        </w:rPr>
        <w:t>21X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Subsidiaries of the Registrant.</w:t>
      </w:r>
    </w:p>
    <w:p>
      <w:pPr>
        <w:spacing w:after="0" w:line="185" w:lineRule="exact"/>
        <w:rPr>
          <w:sz w:val="20"/>
          <w:szCs w:val="20"/>
          <w:color w:val="auto"/>
        </w:rPr>
      </w:pPr>
    </w:p>
    <w:p>
      <w:pPr>
        <w:sectPr>
          <w:pgSz w:w="11900" w:h="16838" w:orient="portrait"/>
          <w:cols w:equalWidth="0" w:num="2">
            <w:col w:w="1428" w:space="720"/>
            <w:col w:w="8079"/>
          </w:cols>
          <w:pgMar w:left="232" w:top="951"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211" w:lineRule="exact"/>
        <w:rPr>
          <w:sz w:val="20"/>
          <w:szCs w:val="20"/>
          <w:color w:val="auto"/>
        </w:rPr>
      </w:pPr>
    </w:p>
    <w:p>
      <w:pPr>
        <w:sectPr>
          <w:pgSz w:w="11900" w:h="16838" w:orient="portrait"/>
          <w:cols w:equalWidth="0" w:num="2">
            <w:col w:w="1428" w:space="720"/>
            <w:col w:w="8079"/>
          </w:cols>
          <w:pgMar w:left="232" w:top="951" w:right="1440" w:bottom="144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528" w:right="3599" w:hanging="528"/>
        <w:spacing w:after="0" w:line="301" w:lineRule="auto"/>
        <w:tabs>
          <w:tab w:leader="none" w:pos="43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49" w:lineRule="exact"/>
        <w:rPr>
          <w:sz w:val="20"/>
          <w:szCs w:val="20"/>
          <w:color w:val="auto"/>
        </w:rPr>
      </w:pPr>
    </w:p>
    <w:p>
      <w:pPr>
        <w:ind w:left="528" w:right="3599" w:hanging="528"/>
        <w:spacing w:after="0" w:line="301" w:lineRule="auto"/>
        <w:tabs>
          <w:tab w:leader="none" w:pos="43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49" w:lineRule="exact"/>
        <w:rPr>
          <w:sz w:val="20"/>
          <w:szCs w:val="20"/>
          <w:color w:val="auto"/>
        </w:rPr>
      </w:pPr>
    </w:p>
    <w:p>
      <w:pPr>
        <w:ind w:left="528" w:right="3599" w:hanging="528"/>
        <w:spacing w:after="0" w:line="301" w:lineRule="auto"/>
        <w:tabs>
          <w:tab w:leader="none" w:pos="43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49" w:lineRule="exact"/>
        <w:rPr>
          <w:sz w:val="20"/>
          <w:szCs w:val="20"/>
          <w:color w:val="auto"/>
        </w:rPr>
      </w:pPr>
    </w:p>
    <w:p>
      <w:pPr>
        <w:ind w:left="528" w:right="3439" w:hanging="528"/>
        <w:spacing w:after="0" w:line="281" w:lineRule="auto"/>
        <w:tabs>
          <w:tab w:leader="none" w:pos="61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7"/>
          </w:cols>
          <w:pgMar w:left="232" w:top="951" w:right="1440" w:bottom="1440" w:gutter="0" w:footer="0" w:header="0"/>
          <w:type w:val="continuous"/>
        </w:sectPr>
      </w:pPr>
    </w:p>
    <w:bookmarkStart w:id="99" w:name="page100"/>
    <w:bookmarkEnd w:id="99"/>
    <w:p>
      <w:pPr>
        <w:ind w:left="528" w:right="3339" w:hanging="528"/>
        <w:spacing w:after="0" w:line="301" w:lineRule="auto"/>
        <w:tabs>
          <w:tab w:leader="none" w:pos="52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49" w:lineRule="exact"/>
        <w:rPr>
          <w:sz w:val="20"/>
          <w:szCs w:val="20"/>
          <w:color w:val="auto"/>
        </w:rPr>
      </w:pPr>
    </w:p>
    <w:p>
      <w:pPr>
        <w:ind w:left="528" w:right="3519" w:hanging="528"/>
        <w:spacing w:after="0" w:line="281" w:lineRule="auto"/>
        <w:tabs>
          <w:tab w:leader="none" w:pos="61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64" w:lineRule="exact"/>
        <w:rPr>
          <w:sz w:val="20"/>
          <w:szCs w:val="20"/>
          <w:color w:val="auto"/>
        </w:rPr>
      </w:pPr>
    </w:p>
    <w:p>
      <w:pPr>
        <w:ind w:left="528" w:right="3079" w:hanging="528"/>
        <w:spacing w:after="0" w:line="301" w:lineRule="auto"/>
        <w:tabs>
          <w:tab w:leader="none" w:pos="43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49" w:lineRule="exact"/>
        <w:rPr>
          <w:sz w:val="20"/>
          <w:szCs w:val="20"/>
          <w:color w:val="auto"/>
        </w:rPr>
      </w:pPr>
    </w:p>
    <w:p>
      <w:pPr>
        <w:ind w:left="528" w:right="3339" w:hanging="528"/>
        <w:spacing w:after="0" w:line="331" w:lineRule="auto"/>
        <w:tabs>
          <w:tab w:leader="none" w:pos="52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32" w:lineRule="exact"/>
        <w:rPr>
          <w:sz w:val="20"/>
          <w:szCs w:val="20"/>
          <w:color w:val="auto"/>
        </w:rPr>
      </w:pPr>
    </w:p>
    <w:p>
      <w:pPr>
        <w:ind w:left="528" w:right="3079" w:hanging="528"/>
        <w:spacing w:after="0" w:line="301" w:lineRule="auto"/>
        <w:tabs>
          <w:tab w:leader="none" w:pos="61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49" w:lineRule="exact"/>
        <w:rPr>
          <w:sz w:val="20"/>
          <w:szCs w:val="20"/>
          <w:color w:val="auto"/>
        </w:rPr>
      </w:pPr>
    </w:p>
    <w:p>
      <w:pPr>
        <w:ind w:left="528" w:right="3079" w:hanging="528"/>
        <w:spacing w:after="0" w:line="301" w:lineRule="auto"/>
        <w:tabs>
          <w:tab w:leader="none" w:pos="61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49" w:lineRule="exact"/>
        <w:rPr>
          <w:sz w:val="20"/>
          <w:szCs w:val="20"/>
          <w:color w:val="auto"/>
        </w:rPr>
      </w:pPr>
    </w:p>
    <w:p>
      <w:pPr>
        <w:ind w:left="528" w:right="3159" w:hanging="528"/>
        <w:spacing w:after="0" w:line="331" w:lineRule="auto"/>
        <w:tabs>
          <w:tab w:leader="none" w:pos="70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32" w:lineRule="exact"/>
        <w:rPr>
          <w:sz w:val="20"/>
          <w:szCs w:val="20"/>
          <w:color w:val="auto"/>
        </w:rPr>
      </w:pPr>
    </w:p>
    <w:p>
      <w:pPr>
        <w:ind w:left="528" w:right="3159" w:hanging="528"/>
        <w:spacing w:after="0" w:line="301" w:lineRule="auto"/>
        <w:tabs>
          <w:tab w:leader="none" w:pos="70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49" w:lineRule="exact"/>
        <w:rPr>
          <w:sz w:val="20"/>
          <w:szCs w:val="20"/>
          <w:color w:val="auto"/>
        </w:rPr>
      </w:pPr>
    </w:p>
    <w:p>
      <w:pPr>
        <w:ind w:left="528" w:right="3079" w:hanging="528"/>
        <w:spacing w:after="0" w:line="301" w:lineRule="auto"/>
        <w:tabs>
          <w:tab w:leader="none" w:pos="61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48" w:lineRule="exact"/>
        <w:rPr>
          <w:rFonts w:ascii="Courier New" w:cs="Courier New" w:eastAsia="Courier New" w:hAnsi="Courier New"/>
          <w:sz w:val="15"/>
          <w:szCs w:val="15"/>
          <w:color w:val="auto"/>
        </w:rPr>
      </w:pPr>
    </w:p>
    <w:p>
      <w:pPr>
        <w:ind w:left="528" w:right="3439" w:hanging="528"/>
        <w:spacing w:after="0" w:line="301" w:lineRule="auto"/>
        <w:tabs>
          <w:tab w:leader="none" w:pos="61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49" w:lineRule="exact"/>
        <w:rPr>
          <w:sz w:val="20"/>
          <w:szCs w:val="20"/>
          <w:color w:val="auto"/>
        </w:rPr>
      </w:pPr>
    </w:p>
    <w:p>
      <w:pPr>
        <w:ind w:left="528" w:right="3339" w:hanging="528"/>
        <w:spacing w:after="0" w:line="331" w:lineRule="auto"/>
        <w:tabs>
          <w:tab w:leader="none" w:pos="439"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32" w:lineRule="exact"/>
        <w:rPr>
          <w:sz w:val="20"/>
          <w:szCs w:val="20"/>
          <w:color w:val="auto"/>
        </w:rPr>
      </w:pPr>
    </w:p>
    <w:p>
      <w:pPr>
        <w:ind w:left="528" w:right="3159" w:hanging="528"/>
        <w:spacing w:after="0" w:line="301" w:lineRule="auto"/>
        <w:tabs>
          <w:tab w:leader="none" w:pos="6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49" w:lineRule="exact"/>
        <w:rPr>
          <w:sz w:val="20"/>
          <w:szCs w:val="20"/>
          <w:color w:val="auto"/>
        </w:rPr>
      </w:pPr>
    </w:p>
    <w:p>
      <w:pPr>
        <w:ind w:left="528" w:right="3439" w:hanging="536"/>
        <w:spacing w:after="0" w:line="281"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64" w:lineRule="exact"/>
        <w:rPr>
          <w:sz w:val="20"/>
          <w:szCs w:val="20"/>
          <w:color w:val="auto"/>
        </w:rPr>
      </w:pPr>
    </w:p>
    <w:p>
      <w:pPr>
        <w:jc w:val="both"/>
        <w:ind w:left="528" w:right="3339" w:hanging="536"/>
        <w:spacing w:after="0" w:line="301"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49" w:lineRule="exact"/>
        <w:rPr>
          <w:sz w:val="20"/>
          <w:szCs w:val="20"/>
          <w:color w:val="auto"/>
        </w:rPr>
      </w:pPr>
    </w:p>
    <w:p>
      <w:pPr>
        <w:jc w:val="both"/>
        <w:ind w:left="528" w:right="3339" w:hanging="528"/>
        <w:spacing w:after="0" w:line="301" w:lineRule="auto"/>
        <w:tabs>
          <w:tab w:leader="none" w:pos="52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pacing w:after="0" w:line="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17. UNDERTAKINGS.</w:t>
      </w:r>
    </w:p>
    <w:p>
      <w:pPr>
        <w:spacing w:after="0" w:line="174" w:lineRule="exact"/>
        <w:rPr>
          <w:sz w:val="20"/>
          <w:szCs w:val="20"/>
          <w:color w:val="auto"/>
        </w:rPr>
      </w:pPr>
    </w:p>
    <w:p>
      <w:pPr>
        <w:ind w:left="8" w:right="3079" w:firstLine="358"/>
        <w:spacing w:after="0" w:line="27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w:t>
      </w:r>
    </w:p>
    <w:p>
      <w:pPr>
        <w:spacing w:after="0" w:line="6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7"/>
          </w:cols>
          <w:pgMar w:left="232" w:top="435" w:right="1440" w:bottom="1440" w:gutter="0" w:footer="0" w:header="0"/>
        </w:sectPr>
      </w:pPr>
    </w:p>
    <w:bookmarkStart w:id="100" w:name="page101"/>
    <w:bookmarkEnd w:id="100"/>
    <w:p>
      <w:pPr>
        <w:ind w:right="3159"/>
        <w:spacing w:after="0" w:line="274" w:lineRule="auto"/>
        <w:rPr>
          <w:sz w:val="20"/>
          <w:szCs w:val="20"/>
          <w:color w:val="auto"/>
        </w:rPr>
      </w:pPr>
      <w:r>
        <w:rPr>
          <w:rFonts w:ascii="Courier New" w:cs="Courier New" w:eastAsia="Courier New" w:hAnsi="Courier New"/>
          <w:sz w:val="14"/>
          <w:szCs w:val="14"/>
          <w:color w:val="auto"/>
        </w:rPr>
        <w:t>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4" w:lineRule="exact"/>
        <w:rPr>
          <w:sz w:val="20"/>
          <w:szCs w:val="20"/>
          <w:color w:val="auto"/>
        </w:rPr>
      </w:pPr>
    </w:p>
    <w:p>
      <w:pPr>
        <w:ind w:left="620" w:right="3339" w:hanging="270"/>
        <w:spacing w:after="0" w:line="359" w:lineRule="auto"/>
        <w:tabs>
          <w:tab w:leader="none" w:pos="7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7" w:lineRule="exact"/>
        <w:rPr>
          <w:rFonts w:ascii="Courier New" w:cs="Courier New" w:eastAsia="Courier New" w:hAnsi="Courier New"/>
          <w:sz w:val="15"/>
          <w:szCs w:val="15"/>
          <w:color w:val="auto"/>
        </w:rPr>
      </w:pPr>
    </w:p>
    <w:p>
      <w:pPr>
        <w:ind w:left="1060" w:right="3699" w:hanging="353"/>
        <w:spacing w:after="0" w:line="359" w:lineRule="auto"/>
        <w:tabs>
          <w:tab w:leader="none" w:pos="1060" w:val="left"/>
        </w:tabs>
        <w:numPr>
          <w:ilvl w:val="2"/>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7" w:lineRule="exact"/>
        <w:rPr>
          <w:rFonts w:ascii="Courier New" w:cs="Courier New" w:eastAsia="Courier New" w:hAnsi="Courier New"/>
          <w:sz w:val="15"/>
          <w:szCs w:val="15"/>
          <w:color w:val="auto"/>
        </w:rPr>
      </w:pPr>
    </w:p>
    <w:p>
      <w:pPr>
        <w:ind w:left="1160" w:right="3079" w:hanging="453"/>
        <w:spacing w:after="0" w:line="251" w:lineRule="auto"/>
        <w:tabs>
          <w:tab w:leader="none" w:pos="1160" w:val="left"/>
        </w:tabs>
        <w:numPr>
          <w:ilvl w:val="2"/>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92" w:lineRule="exact"/>
        <w:rPr>
          <w:rFonts w:ascii="Courier New" w:cs="Courier New" w:eastAsia="Courier New" w:hAnsi="Courier New"/>
          <w:sz w:val="15"/>
          <w:szCs w:val="15"/>
          <w:color w:val="auto"/>
        </w:rPr>
      </w:pPr>
    </w:p>
    <w:p>
      <w:pPr>
        <w:ind w:left="1160" w:right="3079" w:hanging="542"/>
        <w:spacing w:after="0" w:line="281" w:lineRule="auto"/>
        <w:tabs>
          <w:tab w:leader="none" w:pos="116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64" w:lineRule="exact"/>
        <w:rPr>
          <w:rFonts w:ascii="Courier New" w:cs="Courier New" w:eastAsia="Courier New" w:hAnsi="Courier New"/>
          <w:sz w:val="15"/>
          <w:szCs w:val="15"/>
          <w:color w:val="auto"/>
        </w:rPr>
      </w:pPr>
    </w:p>
    <w:p>
      <w:pPr>
        <w:ind w:left="620" w:right="3079" w:hanging="270"/>
        <w:spacing w:after="0" w:line="272" w:lineRule="auto"/>
        <w:tabs>
          <w:tab w:leader="none" w:pos="7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69" w:lineRule="exact"/>
        <w:rPr>
          <w:rFonts w:ascii="Courier New" w:cs="Courier New" w:eastAsia="Courier New" w:hAnsi="Courier New"/>
          <w:sz w:val="15"/>
          <w:szCs w:val="15"/>
          <w:color w:val="auto"/>
        </w:rPr>
      </w:pPr>
    </w:p>
    <w:p>
      <w:pPr>
        <w:ind w:left="620" w:right="3079" w:hanging="270"/>
        <w:spacing w:after="0" w:line="301" w:lineRule="auto"/>
        <w:tabs>
          <w:tab w:leader="none" w:pos="7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48" w:lineRule="exact"/>
        <w:rPr>
          <w:rFonts w:ascii="Courier New" w:cs="Courier New" w:eastAsia="Courier New" w:hAnsi="Courier New"/>
          <w:sz w:val="15"/>
          <w:szCs w:val="15"/>
          <w:color w:val="auto"/>
        </w:rPr>
      </w:pPr>
    </w:p>
    <w:p>
      <w:pPr>
        <w:jc w:val="both"/>
        <w:ind w:left="620" w:right="3519" w:hanging="270"/>
        <w:spacing w:after="0" w:line="301" w:lineRule="auto"/>
        <w:tabs>
          <w:tab w:leader="none" w:pos="7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post-effective amendment to the Registration Statement to include any financial statements required by section 10(a)(3) of the Securities Act.</w:t>
      </w:r>
    </w:p>
    <w:p>
      <w:pPr>
        <w:spacing w:after="0" w:line="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435" w:right="1440" w:bottom="1440" w:gutter="0" w:footer="0" w:header="0"/>
        </w:sectPr>
      </w:pPr>
    </w:p>
    <w:bookmarkStart w:id="101" w:name="page102"/>
    <w:bookmarkEnd w:id="101"/>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346" w:lineRule="exact"/>
        <w:rPr>
          <w:sz w:val="20"/>
          <w:szCs w:val="20"/>
          <w:color w:val="auto"/>
        </w:rPr>
      </w:pPr>
    </w:p>
    <w:p>
      <w:pPr>
        <w:ind w:right="3259" w:firstLine="358"/>
        <w:spacing w:after="0" w:line="281"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Sunnyvale, State of California, on the 1st day of December, 2000.</w:t>
      </w:r>
    </w:p>
    <w:p>
      <w:pPr>
        <w:spacing w:after="0" w:line="200" w:lineRule="exact"/>
        <w:rPr>
          <w:sz w:val="20"/>
          <w:szCs w:val="20"/>
          <w:color w:val="auto"/>
        </w:rPr>
      </w:pPr>
    </w:p>
    <w:p>
      <w:pPr>
        <w:spacing w:after="0" w:line="380"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left="4920"/>
        <w:spacing w:after="0"/>
        <w:tabs>
          <w:tab w:leader="none" w:pos="5340" w:val="left"/>
        </w:tabs>
        <w:rPr>
          <w:sz w:val="20"/>
          <w:szCs w:val="20"/>
          <w:color w:val="auto"/>
        </w:rPr>
      </w:pPr>
      <w:r>
        <w:rPr>
          <w:rFonts w:ascii="Courier New" w:cs="Courier New" w:eastAsia="Courier New" w:hAnsi="Courier New"/>
          <w:sz w:val="15"/>
          <w:szCs w:val="15"/>
          <w:color w:val="auto"/>
        </w:rPr>
        <w:t>BY:</w:t>
        <w:tab/>
        <w:t>/S/ IRIS BREST*</w:t>
      </w:r>
    </w:p>
    <w:p>
      <w:pPr>
        <w:spacing w:after="0" w:line="30" w:lineRule="exact"/>
        <w:rPr>
          <w:sz w:val="20"/>
          <w:szCs w:val="20"/>
          <w:color w:val="auto"/>
        </w:rPr>
      </w:pPr>
    </w:p>
    <w:p>
      <w:pPr>
        <w:ind w:left="536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George W. Dunbar, Jr.</w:t>
      </w:r>
    </w:p>
    <w:p>
      <w:pPr>
        <w:spacing w:after="0" w:line="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Acting Chief Executive Officer and</w:t>
      </w:r>
    </w:p>
    <w:p>
      <w:pPr>
        <w:spacing w:after="0" w:line="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Acting Chief Financial Officer</w:t>
      </w:r>
    </w:p>
    <w:p>
      <w:pPr>
        <w:spacing w:after="0" w:line="200" w:lineRule="exact"/>
        <w:rPr>
          <w:sz w:val="20"/>
          <w:szCs w:val="20"/>
          <w:color w:val="auto"/>
        </w:rPr>
      </w:pPr>
    </w:p>
    <w:p>
      <w:pPr>
        <w:spacing w:after="0" w:line="290" w:lineRule="exact"/>
        <w:rPr>
          <w:sz w:val="20"/>
          <w:szCs w:val="20"/>
          <w:color w:val="auto"/>
        </w:rPr>
      </w:pPr>
    </w:p>
    <w:p>
      <w:pPr>
        <w:ind w:right="3959" w:firstLine="358"/>
        <w:spacing w:after="0" w:line="30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December 1, 2000.</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8"/>
              </w:rPr>
              <w:t>SIGNATURE</w:t>
            </w:r>
          </w:p>
        </w:tc>
        <w:tc>
          <w:tcPr>
            <w:tcW w:w="4160" w:type="dxa"/>
            <w:vAlign w:val="bottom"/>
          </w:tcPr>
          <w:p>
            <w:pPr>
              <w:ind w:left="210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5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8"/>
              </w:rPr>
              <w:t>---------</w:t>
            </w:r>
          </w:p>
        </w:tc>
        <w:tc>
          <w:tcPr>
            <w:tcW w:w="4160" w:type="dxa"/>
            <w:vAlign w:val="bottom"/>
          </w:tcPr>
          <w:p>
            <w:pPr>
              <w:ind w:left="2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600" w:type="dxa"/>
            <w:vAlign w:val="bottom"/>
          </w:tcPr>
          <w:p>
            <w:pPr>
              <w:spacing w:after="0"/>
              <w:rPr>
                <w:sz w:val="22"/>
                <w:szCs w:val="22"/>
                <w:color w:val="auto"/>
              </w:rPr>
            </w:pP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George W. Dunbar, Jr.,</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w w:val="98"/>
              </w:rPr>
              <w:t>Acting President, Chief Executive Officer</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(Principal Executive Officer) and Chief</w:t>
            </w:r>
          </w:p>
        </w:tc>
        <w:tc>
          <w:tcPr>
            <w:tcW w:w="0" w:type="dxa"/>
            <w:vAlign w:val="bottom"/>
          </w:tcPr>
          <w:p>
            <w:pPr>
              <w:spacing w:after="0"/>
              <w:rPr>
                <w:sz w:val="1"/>
                <w:szCs w:val="1"/>
                <w:color w:val="auto"/>
              </w:rPr>
            </w:pPr>
          </w:p>
        </w:tc>
      </w:tr>
      <w:tr>
        <w:trPr>
          <w:trHeight w:val="172"/>
        </w:trPr>
        <w:tc>
          <w:tcPr>
            <w:tcW w:w="460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Financial Officer (Principal Financial</w:t>
            </w:r>
          </w:p>
        </w:tc>
        <w:tc>
          <w:tcPr>
            <w:tcW w:w="0" w:type="dxa"/>
            <w:vAlign w:val="bottom"/>
          </w:tcPr>
          <w:p>
            <w:pPr>
              <w:spacing w:after="0"/>
              <w:rPr>
                <w:sz w:val="1"/>
                <w:szCs w:val="1"/>
                <w:color w:val="auto"/>
              </w:rPr>
            </w:pPr>
          </w:p>
        </w:tc>
      </w:tr>
      <w:tr>
        <w:trPr>
          <w:trHeight w:val="172"/>
        </w:trPr>
        <w:tc>
          <w:tcPr>
            <w:tcW w:w="4600" w:type="dxa"/>
            <w:vAlign w:val="bottom"/>
            <w:vMerge w:val="continue"/>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Officer)</w:t>
            </w:r>
          </w:p>
        </w:tc>
        <w:tc>
          <w:tcPr>
            <w:tcW w:w="0" w:type="dxa"/>
            <w:vAlign w:val="bottom"/>
          </w:tcPr>
          <w:p>
            <w:pPr>
              <w:spacing w:after="0"/>
              <w:rPr>
                <w:sz w:val="1"/>
                <w:szCs w:val="1"/>
                <w:color w:val="auto"/>
              </w:rPr>
            </w:pPr>
          </w:p>
        </w:tc>
      </w:tr>
      <w:tr>
        <w:trPr>
          <w:trHeight w:val="25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60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John J. Schwartz, Ph. D.</w:t>
            </w:r>
          </w:p>
        </w:tc>
        <w:tc>
          <w:tcPr>
            <w:tcW w:w="0" w:type="dxa"/>
            <w:vAlign w:val="bottom"/>
          </w:tcPr>
          <w:p>
            <w:pPr>
              <w:spacing w:after="0"/>
              <w:rPr>
                <w:sz w:val="1"/>
                <w:szCs w:val="1"/>
                <w:color w:val="auto"/>
              </w:rPr>
            </w:pPr>
          </w:p>
        </w:tc>
      </w:tr>
      <w:tr>
        <w:trPr>
          <w:trHeight w:val="172"/>
        </w:trPr>
        <w:tc>
          <w:tcPr>
            <w:tcW w:w="4600" w:type="dxa"/>
            <w:vAlign w:val="bottom"/>
            <w:vMerge w:val="continue"/>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60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Donald Kennedy, Ph. D.</w:t>
            </w:r>
          </w:p>
        </w:tc>
        <w:tc>
          <w:tcPr>
            <w:tcW w:w="0" w:type="dxa"/>
            <w:vAlign w:val="bottom"/>
          </w:tcPr>
          <w:p>
            <w:pPr>
              <w:spacing w:after="0"/>
              <w:rPr>
                <w:sz w:val="1"/>
                <w:szCs w:val="1"/>
                <w:color w:val="auto"/>
              </w:rPr>
            </w:pPr>
          </w:p>
        </w:tc>
      </w:tr>
      <w:tr>
        <w:trPr>
          <w:trHeight w:val="172"/>
        </w:trPr>
        <w:tc>
          <w:tcPr>
            <w:tcW w:w="4600" w:type="dxa"/>
            <w:vAlign w:val="bottom"/>
            <w:vMerge w:val="continue"/>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60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Mark J. Levin</w:t>
            </w:r>
          </w:p>
        </w:tc>
        <w:tc>
          <w:tcPr>
            <w:tcW w:w="0" w:type="dxa"/>
            <w:vAlign w:val="bottom"/>
          </w:tcPr>
          <w:p>
            <w:pPr>
              <w:spacing w:after="0"/>
              <w:rPr>
                <w:sz w:val="1"/>
                <w:szCs w:val="1"/>
                <w:color w:val="auto"/>
              </w:rPr>
            </w:pPr>
          </w:p>
        </w:tc>
      </w:tr>
      <w:tr>
        <w:trPr>
          <w:trHeight w:val="172"/>
        </w:trPr>
        <w:tc>
          <w:tcPr>
            <w:tcW w:w="4600" w:type="dxa"/>
            <w:vAlign w:val="bottom"/>
            <w:vMerge w:val="continue"/>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60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Irving Weissman, M.D.</w:t>
            </w:r>
          </w:p>
        </w:tc>
        <w:tc>
          <w:tcPr>
            <w:tcW w:w="0" w:type="dxa"/>
            <w:vAlign w:val="bottom"/>
          </w:tcPr>
          <w:p>
            <w:pPr>
              <w:spacing w:after="0"/>
              <w:rPr>
                <w:sz w:val="1"/>
                <w:szCs w:val="1"/>
                <w:color w:val="auto"/>
              </w:rPr>
            </w:pPr>
          </w:p>
        </w:tc>
      </w:tr>
      <w:tr>
        <w:trPr>
          <w:trHeight w:val="172"/>
        </w:trPr>
        <w:tc>
          <w:tcPr>
            <w:tcW w:w="4600" w:type="dxa"/>
            <w:vAlign w:val="bottom"/>
            <w:vMerge w:val="continue"/>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0"/>
        </w:trPr>
        <w:tc>
          <w:tcPr>
            <w:tcW w:w="4600" w:type="dxa"/>
            <w:vAlign w:val="bottom"/>
          </w:tcPr>
          <w:p>
            <w:pPr>
              <w:spacing w:after="0"/>
              <w:rPr>
                <w:sz w:val="20"/>
                <w:szCs w:val="20"/>
                <w:color w:val="auto"/>
              </w:rPr>
            </w:pPr>
            <w:r>
              <w:rPr>
                <w:rFonts w:ascii="Courier New" w:cs="Courier New" w:eastAsia="Courier New" w:hAnsi="Courier New"/>
                <w:sz w:val="15"/>
                <w:szCs w:val="15"/>
                <w:color w:val="auto"/>
              </w:rPr>
              <w:t>* As attorney-in-fact</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4600" w:type="dxa"/>
            <w:vAlign w:val="bottom"/>
          </w:tcPr>
          <w:p>
            <w:pPr>
              <w:ind w:left="3400"/>
              <w:spacing w:after="0"/>
              <w:rPr>
                <w:sz w:val="20"/>
                <w:szCs w:val="20"/>
                <w:color w:val="auto"/>
              </w:rPr>
            </w:pPr>
            <w:r>
              <w:rPr>
                <w:rFonts w:ascii="Courier New" w:cs="Courier New" w:eastAsia="Courier New" w:hAnsi="Courier New"/>
                <w:sz w:val="15"/>
                <w:szCs w:val="15"/>
                <w:color w:val="auto"/>
              </w:rPr>
              <w:t>II-8</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35" w:right="1440"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100" w:type="dxa"/>
            <w:vAlign w:val="bottom"/>
          </w:tcPr>
          <w:p>
            <w:pPr>
              <w:spacing w:after="0"/>
              <w:rPr>
                <w:sz w:val="21"/>
                <w:szCs w:val="21"/>
                <w:color w:val="auto"/>
              </w:rPr>
            </w:pPr>
          </w:p>
        </w:tc>
        <w:tc>
          <w:tcPr>
            <w:tcW w:w="5580" w:type="dxa"/>
            <w:vAlign w:val="bottom"/>
          </w:tcPr>
          <w:p>
            <w:pPr>
              <w:ind w:left="840"/>
              <w:spacing w:after="0"/>
              <w:rPr>
                <w:sz w:val="20"/>
                <w:szCs w:val="20"/>
                <w:color w:val="auto"/>
              </w:rPr>
            </w:pPr>
            <w:r>
              <w:rPr>
                <w:rFonts w:ascii="Courier New" w:cs="Courier New" w:eastAsia="Courier New" w:hAnsi="Courier New"/>
                <w:sz w:val="15"/>
                <w:szCs w:val="15"/>
                <w:color w:val="auto"/>
              </w:rPr>
              <w:t>EXHIBIT INDEX</w:t>
            </w:r>
          </w:p>
        </w:tc>
      </w:tr>
      <w:tr>
        <w:trPr>
          <w:trHeight w:val="608"/>
        </w:trPr>
        <w:tc>
          <w:tcPr>
            <w:tcW w:w="21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252"/>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26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4.3X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4.4X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4.5X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4.6X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4.7X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r>
        <w:trPr>
          <w:trHeight w:val="26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26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26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26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26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4"/>
        </w:trPr>
        <w:tc>
          <w:tcPr>
            <w:tcW w:w="21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10.9**!!!!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264"/>
        </w:trPr>
        <w:tc>
          <w:tcPr>
            <w:tcW w:w="21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10.17**++++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bl>
    <w:p>
      <w:pPr>
        <w:sectPr>
          <w:pgSz w:w="11900" w:h="16838" w:orient="portrait"/>
          <w:cols w:equalWidth="0" w:num="1">
            <w:col w:w="10219"/>
          </w:cols>
          <w:pgMar w:left="240" w:top="435" w:right="1440"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25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 Schwartz and the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 The</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264"/>
        </w:trPr>
        <w:tc>
          <w:tcPr>
            <w:tcW w:w="210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26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252"/>
        </w:trPr>
        <w:tc>
          <w:tcPr>
            <w:tcW w:w="210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4"/>
        </w:trPr>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rPr>
              <w:t>21X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bl>
    <w:p>
      <w:pPr>
        <w:sectPr>
          <w:pgSz w:w="11900" w:h="16838" w:orient="portrait"/>
          <w:cols w:equalWidth="0" w:num="1">
            <w:col w:w="10219"/>
          </w:cols>
          <w:pgMar w:left="240" w:top="951" w:right="1440" w:bottom="1440" w:gutter="0" w:footer="0" w:header="0"/>
        </w:sectPr>
      </w:pPr>
    </w:p>
    <w:bookmarkStart w:id="104" w:name="page105"/>
    <w:bookmarkEnd w:id="104"/>
    <w:p>
      <w:pPr>
        <w:ind w:left="628"/>
        <w:spacing w:after="0"/>
        <w:rPr>
          <w:sz w:val="20"/>
          <w:szCs w:val="20"/>
          <w:color w:val="auto"/>
        </w:rPr>
      </w:pPr>
      <w:r>
        <w:rPr>
          <w:rFonts w:ascii="Courier New" w:cs="Courier New" w:eastAsia="Courier New" w:hAnsi="Courier New"/>
          <w:sz w:val="15"/>
          <w:szCs w:val="15"/>
          <w:color w:val="auto"/>
        </w:rPr>
        <w:t>NUMBER</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sectPr>
          <w:pgSz w:w="11900" w:h="16838" w:orient="portrait"/>
          <w:cols w:equalWidth="0" w:num="2">
            <w:col w:w="2048" w:space="280"/>
            <w:col w:w="7899"/>
          </w:cols>
          <w:pgMar w:left="232" w:top="951" w:right="1440" w:bottom="578" w:gutter="0" w:footer="0" w:header="0"/>
        </w:sectPr>
      </w:pPr>
    </w:p>
    <w:p>
      <w:pPr>
        <w:ind w:left="448"/>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211" w:lineRule="exact"/>
        <w:rPr>
          <w:sz w:val="20"/>
          <w:szCs w:val="20"/>
          <w:color w:val="auto"/>
        </w:rPr>
      </w:pPr>
    </w:p>
    <w:p>
      <w:pPr>
        <w:sectPr>
          <w:pgSz w:w="11900" w:h="16838" w:orient="portrait"/>
          <w:cols w:equalWidth="0" w:num="2">
            <w:col w:w="1428" w:space="720"/>
            <w:col w:w="8079"/>
          </w:cols>
          <w:pgMar w:left="232" w:top="951" w:right="1440" w:bottom="578"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528" w:right="3599" w:hanging="528"/>
        <w:spacing w:after="0" w:line="301" w:lineRule="auto"/>
        <w:tabs>
          <w:tab w:leader="none" w:pos="43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49" w:lineRule="exact"/>
        <w:rPr>
          <w:sz w:val="20"/>
          <w:szCs w:val="20"/>
          <w:color w:val="auto"/>
        </w:rPr>
      </w:pPr>
    </w:p>
    <w:p>
      <w:pPr>
        <w:ind w:left="528" w:right="3599" w:hanging="528"/>
        <w:spacing w:after="0" w:line="301" w:lineRule="auto"/>
        <w:tabs>
          <w:tab w:leader="none" w:pos="43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49" w:lineRule="exact"/>
        <w:rPr>
          <w:sz w:val="20"/>
          <w:szCs w:val="20"/>
          <w:color w:val="auto"/>
        </w:rPr>
      </w:pPr>
    </w:p>
    <w:p>
      <w:pPr>
        <w:ind w:left="528" w:right="3599" w:hanging="528"/>
        <w:spacing w:after="0" w:line="301" w:lineRule="auto"/>
        <w:tabs>
          <w:tab w:leader="none" w:pos="43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49" w:lineRule="exact"/>
        <w:rPr>
          <w:sz w:val="20"/>
          <w:szCs w:val="20"/>
          <w:color w:val="auto"/>
        </w:rPr>
      </w:pPr>
    </w:p>
    <w:p>
      <w:pPr>
        <w:ind w:left="528" w:right="3439" w:hanging="528"/>
        <w:spacing w:after="0" w:line="281" w:lineRule="auto"/>
        <w:tabs>
          <w:tab w:leader="none" w:pos="61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46" w:lineRule="exact"/>
        <w:rPr>
          <w:sz w:val="20"/>
          <w:szCs w:val="20"/>
          <w:color w:val="auto"/>
        </w:rPr>
      </w:pPr>
    </w:p>
    <w:p>
      <w:pPr>
        <w:ind w:left="528" w:right="3339" w:hanging="528"/>
        <w:spacing w:after="0" w:line="301" w:lineRule="auto"/>
        <w:tabs>
          <w:tab w:leader="none" w:pos="52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49" w:lineRule="exact"/>
        <w:rPr>
          <w:sz w:val="20"/>
          <w:szCs w:val="20"/>
          <w:color w:val="auto"/>
        </w:rPr>
      </w:pPr>
    </w:p>
    <w:p>
      <w:pPr>
        <w:ind w:left="528" w:right="3519" w:hanging="528"/>
        <w:spacing w:after="0" w:line="281" w:lineRule="auto"/>
        <w:tabs>
          <w:tab w:leader="none" w:pos="61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64" w:lineRule="exact"/>
        <w:rPr>
          <w:sz w:val="20"/>
          <w:szCs w:val="20"/>
          <w:color w:val="auto"/>
        </w:rPr>
      </w:pPr>
    </w:p>
    <w:p>
      <w:pPr>
        <w:ind w:left="528" w:right="3079" w:hanging="528"/>
        <w:spacing w:after="0" w:line="301" w:lineRule="auto"/>
        <w:tabs>
          <w:tab w:leader="none" w:pos="43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49" w:lineRule="exact"/>
        <w:rPr>
          <w:sz w:val="20"/>
          <w:szCs w:val="20"/>
          <w:color w:val="auto"/>
        </w:rPr>
      </w:pPr>
    </w:p>
    <w:p>
      <w:pPr>
        <w:ind w:left="528" w:right="3339" w:hanging="528"/>
        <w:spacing w:after="0" w:line="331" w:lineRule="auto"/>
        <w:tabs>
          <w:tab w:leader="none" w:pos="528"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32" w:lineRule="exact"/>
        <w:rPr>
          <w:sz w:val="20"/>
          <w:szCs w:val="20"/>
          <w:color w:val="auto"/>
        </w:rPr>
      </w:pPr>
    </w:p>
    <w:p>
      <w:pPr>
        <w:ind w:left="528" w:right="3079" w:hanging="528"/>
        <w:spacing w:after="0" w:line="301" w:lineRule="auto"/>
        <w:tabs>
          <w:tab w:leader="none" w:pos="61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49" w:lineRule="exact"/>
        <w:rPr>
          <w:sz w:val="20"/>
          <w:szCs w:val="20"/>
          <w:color w:val="auto"/>
        </w:rPr>
      </w:pPr>
    </w:p>
    <w:p>
      <w:pPr>
        <w:ind w:left="528" w:right="3079" w:hanging="528"/>
        <w:spacing w:after="0" w:line="301" w:lineRule="auto"/>
        <w:tabs>
          <w:tab w:leader="none" w:pos="61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49" w:lineRule="exact"/>
        <w:rPr>
          <w:sz w:val="20"/>
          <w:szCs w:val="20"/>
          <w:color w:val="auto"/>
        </w:rPr>
      </w:pPr>
    </w:p>
    <w:p>
      <w:pPr>
        <w:ind w:left="528" w:right="3159" w:hanging="528"/>
        <w:spacing w:after="0" w:line="331" w:lineRule="auto"/>
        <w:tabs>
          <w:tab w:leader="none" w:pos="70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32" w:lineRule="exact"/>
        <w:rPr>
          <w:sz w:val="20"/>
          <w:szCs w:val="20"/>
          <w:color w:val="auto"/>
        </w:rPr>
      </w:pPr>
    </w:p>
    <w:p>
      <w:pPr>
        <w:ind w:left="528" w:right="3159" w:hanging="528"/>
        <w:spacing w:after="0" w:line="301" w:lineRule="auto"/>
        <w:tabs>
          <w:tab w:leader="none" w:pos="70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49" w:lineRule="exact"/>
        <w:rPr>
          <w:sz w:val="20"/>
          <w:szCs w:val="20"/>
          <w:color w:val="auto"/>
        </w:rPr>
      </w:pPr>
    </w:p>
    <w:p>
      <w:pPr>
        <w:ind w:left="528" w:right="3079" w:hanging="528"/>
        <w:spacing w:after="0" w:line="301" w:lineRule="auto"/>
        <w:tabs>
          <w:tab w:leader="none" w:pos="61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48" w:lineRule="exact"/>
        <w:rPr>
          <w:rFonts w:ascii="Courier New" w:cs="Courier New" w:eastAsia="Courier New" w:hAnsi="Courier New"/>
          <w:sz w:val="15"/>
          <w:szCs w:val="15"/>
          <w:color w:val="auto"/>
        </w:rPr>
      </w:pPr>
    </w:p>
    <w:p>
      <w:pPr>
        <w:ind w:left="528" w:right="3439" w:hanging="528"/>
        <w:spacing w:after="0" w:line="301" w:lineRule="auto"/>
        <w:tabs>
          <w:tab w:leader="none" w:pos="61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49" w:lineRule="exact"/>
        <w:rPr>
          <w:sz w:val="20"/>
          <w:szCs w:val="20"/>
          <w:color w:val="auto"/>
        </w:rPr>
      </w:pPr>
    </w:p>
    <w:p>
      <w:pPr>
        <w:ind w:left="528" w:right="3339" w:hanging="528"/>
        <w:spacing w:after="0" w:line="331" w:lineRule="auto"/>
        <w:tabs>
          <w:tab w:leader="none" w:pos="43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32" w:lineRule="exact"/>
        <w:rPr>
          <w:sz w:val="20"/>
          <w:szCs w:val="20"/>
          <w:color w:val="auto"/>
        </w:rPr>
      </w:pPr>
    </w:p>
    <w:p>
      <w:pPr>
        <w:ind w:left="528" w:right="3159" w:hanging="528"/>
        <w:spacing w:after="0" w:line="301" w:lineRule="auto"/>
        <w:tabs>
          <w:tab w:leader="none" w:pos="61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49" w:lineRule="exact"/>
        <w:rPr>
          <w:sz w:val="20"/>
          <w:szCs w:val="20"/>
          <w:color w:val="auto"/>
        </w:rPr>
      </w:pPr>
    </w:p>
    <w:p>
      <w:pPr>
        <w:ind w:left="528" w:right="3439" w:hanging="536"/>
        <w:spacing w:after="0" w:line="281"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64" w:lineRule="exact"/>
        <w:rPr>
          <w:sz w:val="20"/>
          <w:szCs w:val="20"/>
          <w:color w:val="auto"/>
        </w:rPr>
      </w:pPr>
    </w:p>
    <w:p>
      <w:pPr>
        <w:jc w:val="both"/>
        <w:ind w:left="528" w:right="3339" w:hanging="536"/>
        <w:spacing w:after="0" w:line="301"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49" w:lineRule="exact"/>
        <w:rPr>
          <w:sz w:val="20"/>
          <w:szCs w:val="20"/>
          <w:color w:val="auto"/>
        </w:rPr>
      </w:pPr>
    </w:p>
    <w:p>
      <w:pPr>
        <w:jc w:val="both"/>
        <w:ind w:left="528" w:right="3339" w:hanging="528"/>
        <w:spacing w:after="0" w:line="301" w:lineRule="auto"/>
        <w:tabs>
          <w:tab w:leader="none" w:pos="52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ectPr>
          <w:pgSz w:w="11900" w:h="16838" w:orient="portrait"/>
          <w:cols w:equalWidth="0" w:num="1">
            <w:col w:w="10227"/>
          </w:cols>
          <w:pgMar w:left="232" w:top="951" w:right="1440" w:bottom="578" w:gutter="0" w:footer="0" w:header="0"/>
          <w:type w:val="continuous"/>
        </w:sectPr>
      </w:pPr>
    </w:p>
    <w:bookmarkStart w:id="105" w:name="page106"/>
    <w:bookmarkEnd w:id="105"/>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4" w:lineRule="exact"/>
        <w:rPr>
          <w:sz w:val="20"/>
          <w:szCs w:val="20"/>
          <w:color w:val="auto"/>
        </w:rPr>
      </w:pPr>
    </w:p>
    <w:p>
      <w:pPr>
        <w:ind w:right="3259" w:firstLine="358"/>
        <w:spacing w:after="0" w:line="272" w:lineRule="auto"/>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April 14, 2000 in Amendment No. 4 to the Registration Statement (Form S-1 No. 333-45496) and related Prospectus of StemCells, Inc. (formerly CytoTherapeutics, Inc.) for the registration of 3,205,486 shares of its common stock.</w:t>
      </w:r>
    </w:p>
    <w:p>
      <w:pPr>
        <w:spacing w:after="0" w:line="69"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 2000</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1)"/>
      <w:numFmt w:val="decimal"/>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lowerRoman"/>
      <w:start w:val="3"/>
    </w:lvl>
  </w:abstractNum>
  <w:abstractNum w:abstractNumId="4">
    <w:nsid w:val="1CF10FD8"/>
    <w:multiLevelType w:val="hybridMultilevel"/>
    <w:lvl w:ilvl="0">
      <w:lvlJc w:val="left"/>
      <w:lvlText w:val="-"/>
      <w:numFmt w:val="bullet"/>
      <w:start w:val="1"/>
    </w:lvl>
    <w:lvl w:ilvl="1">
      <w:lvlJc w:val="left"/>
      <w:lvlText w:val="%2)"/>
      <w:numFmt w:val="lowerLetter"/>
      <w:start w:val="1"/>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1)"/>
      <w:numFmt w:val="decimal"/>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1."/>
      <w:numFmt w:val="decimal"/>
      <w:start w:val="2"/>
    </w:lvl>
  </w:abstractNum>
  <w:abstractNum w:abstractNumId="14">
    <w:nsid w:val="61574095"/>
    <w:multiLevelType w:val="hybridMultilevel"/>
    <w:lvl w:ilvl="0">
      <w:lvlJc w:val="left"/>
      <w:lvlText w:val="%1."/>
      <w:numFmt w:val="decimal"/>
      <w:start w:val="3"/>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1."/>
      <w:numFmt w:val="decimal"/>
      <w:start w:val="4"/>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1."/>
      <w:numFmt w:val="decimal"/>
      <w:start w:val="5"/>
    </w:lvl>
  </w:abstractNum>
  <w:abstractNum w:abstractNumId="19">
    <w:nsid w:val="5FF87E05"/>
    <w:multiLevelType w:val="hybridMultilevel"/>
    <w:lvl w:ilvl="0">
      <w:lvlJc w:val="left"/>
      <w:lvlText w:val="(%1)"/>
      <w:numFmt w:val="decimal"/>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1)"/>
      <w:numFmt w:val="decimal"/>
      <w:start w:val="1"/>
    </w:lvl>
  </w:abstractNum>
  <w:abstractNum w:abstractNumId="24">
    <w:nsid w:val="1F48EAA1"/>
    <w:multiLevelType w:val="hybridMultilevel"/>
    <w:lvl w:ilvl="0">
      <w:lvlJc w:val="left"/>
      <w:lvlText w:val="(%1)"/>
      <w:numFmt w:val="decimal"/>
      <w:start w:val="8"/>
    </w:lvl>
  </w:abstractNum>
  <w:abstractNum w:abstractNumId="25">
    <w:nsid w:val="1381823A"/>
    <w:multiLevelType w:val="hybridMultilevel"/>
    <w:lvl w:ilvl="0">
      <w:lvlJc w:val="left"/>
      <w:lvlText w:val="(%1)"/>
      <w:numFmt w:val="decimal"/>
      <w:start w:val="5"/>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1)"/>
      <w:numFmt w:val="decimal"/>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1."/>
      <w:numFmt w:val="decimal"/>
      <w:start w:val="1"/>
    </w:lvl>
  </w:abstractNum>
  <w:abstractNum w:abstractNumId="33">
    <w:nsid w:val="6B94764"/>
    <w:multiLevelType w:val="hybridMultilevel"/>
    <w:lvl w:ilvl="0">
      <w:lvlJc w:val="left"/>
      <w:lvlText w:val="%1."/>
      <w:numFmt w:val="decimal"/>
      <w:start w:val="2"/>
    </w:lvl>
  </w:abstractNum>
  <w:abstractNum w:abstractNumId="34">
    <w:nsid w:val="42C296BD"/>
    <w:multiLevelType w:val="hybridMultilevel"/>
    <w:lvl w:ilvl="0">
      <w:lvlJc w:val="left"/>
      <w:lvlText w:val="%1."/>
      <w:numFmt w:val="decimal"/>
      <w:start w:val="2"/>
    </w:lvl>
  </w:abstractNum>
  <w:abstractNum w:abstractNumId="35">
    <w:nsid w:val="168E121F"/>
    <w:multiLevelType w:val="hybridMultilevel"/>
    <w:lvl w:ilvl="0">
      <w:lvlJc w:val="left"/>
      <w:lvlText w:val="%1."/>
      <w:numFmt w:val="decimal"/>
      <w:start w:val="2"/>
    </w:lvl>
  </w:abstractNum>
  <w:abstractNum w:abstractNumId="36">
    <w:nsid w:val="1EBA5D23"/>
    <w:multiLevelType w:val="hybridMultilevel"/>
    <w:lvl w:ilvl="0">
      <w:lvlJc w:val="left"/>
      <w:lvlText w:val="%1."/>
      <w:numFmt w:val="decimal"/>
      <w:start w:val="3"/>
    </w:lvl>
  </w:abstractNum>
  <w:abstractNum w:abstractNumId="37">
    <w:nsid w:val="661E3F1E"/>
    <w:multiLevelType w:val="hybridMultilevel"/>
    <w:lvl w:ilvl="0">
      <w:lvlJc w:val="left"/>
      <w:lvlText w:val="%1."/>
      <w:numFmt w:val="decimal"/>
      <w:start w:val="3"/>
    </w:lvl>
  </w:abstractNum>
  <w:abstractNum w:abstractNumId="38">
    <w:nsid w:val="5DC79EA8"/>
    <w:multiLevelType w:val="hybridMultilevel"/>
    <w:lvl w:ilvl="0">
      <w:lvlJc w:val="left"/>
      <w:lvlText w:val="%1."/>
      <w:numFmt w:val="decimal"/>
      <w:start w:val="4"/>
    </w:lvl>
  </w:abstractNum>
  <w:abstractNum w:abstractNumId="39">
    <w:nsid w:val="540A471C"/>
    <w:multiLevelType w:val="hybridMultilevel"/>
    <w:lvl w:ilvl="0">
      <w:lvlJc w:val="left"/>
      <w:lvlText w:val="%1."/>
      <w:numFmt w:val="decimal"/>
      <w:start w:val="4"/>
    </w:lvl>
  </w:abstractNum>
  <w:abstractNum w:abstractNumId="40">
    <w:nsid w:val="7BD3EE7B"/>
    <w:multiLevelType w:val="hybridMultilevel"/>
    <w:lvl w:ilvl="0">
      <w:lvlJc w:val="left"/>
      <w:lvlText w:val="(%1)"/>
      <w:numFmt w:val="decimal"/>
      <w:start w:val="1"/>
    </w:lvl>
  </w:abstractNum>
  <w:abstractNum w:abstractNumId="41">
    <w:nsid w:val="51D9C564"/>
    <w:multiLevelType w:val="hybridMultilevel"/>
    <w:lvl w:ilvl="0">
      <w:lvlJc w:val="left"/>
      <w:lvlText w:val="%1."/>
      <w:numFmt w:val="decimal"/>
      <w:start w:val="4"/>
    </w:lvl>
  </w:abstractNum>
  <w:abstractNum w:abstractNumId="42">
    <w:nsid w:val="613EFDC5"/>
    <w:multiLevelType w:val="hybridMultilevel"/>
    <w:lvl w:ilvl="0">
      <w:lvlJc w:val="left"/>
      <w:lvlText w:val="%1."/>
      <w:numFmt w:val="decimal"/>
      <w:start w:val="5"/>
    </w:lvl>
  </w:abstractNum>
  <w:abstractNum w:abstractNumId="43">
    <w:nsid w:val="BF72B14"/>
    <w:multiLevelType w:val="hybridMultilevel"/>
    <w:lvl w:ilvl="0">
      <w:lvlJc w:val="left"/>
      <w:lvlText w:val="%1."/>
      <w:numFmt w:val="decimal"/>
      <w:start w:val="5"/>
    </w:lvl>
  </w:abstractNum>
  <w:abstractNum w:abstractNumId="44">
    <w:nsid w:val="11447B73"/>
    <w:multiLevelType w:val="hybridMultilevel"/>
    <w:lvl w:ilvl="0">
      <w:lvlJc w:val="left"/>
      <w:lvlText w:val="%1."/>
      <w:numFmt w:val="decimal"/>
      <w:start w:val="6"/>
    </w:lvl>
  </w:abstractNum>
  <w:abstractNum w:abstractNumId="45">
    <w:nsid w:val="42963E5A"/>
    <w:multiLevelType w:val="hybridMultilevel"/>
    <w:lvl w:ilvl="0">
      <w:lvlJc w:val="left"/>
      <w:lvlText w:val="%1."/>
      <w:numFmt w:val="decimal"/>
      <w:start w:val="7"/>
    </w:lvl>
  </w:abstractNum>
  <w:abstractNum w:abstractNumId="46">
    <w:nsid w:val="A0382C5"/>
    <w:multiLevelType w:val="hybridMultilevel"/>
    <w:lvl w:ilvl="0">
      <w:lvlJc w:val="left"/>
      <w:lvlText w:val="%1."/>
      <w:numFmt w:val="decimal"/>
      <w:start w:val="8"/>
    </w:lvl>
  </w:abstractNum>
  <w:abstractNum w:abstractNumId="47">
    <w:nsid w:val="8F2B15E"/>
    <w:multiLevelType w:val="hybridMultilevel"/>
    <w:lvl w:ilvl="0">
      <w:lvlJc w:val="left"/>
      <w:lvlText w:val="%1."/>
      <w:numFmt w:val="decimal"/>
      <w:start w:val="8"/>
    </w:lvl>
  </w:abstractNum>
  <w:abstractNum w:abstractNumId="48">
    <w:nsid w:val="1A32234B"/>
    <w:multiLevelType w:val="hybridMultilevel"/>
    <w:lvl w:ilvl="0">
      <w:lvlJc w:val="left"/>
      <w:lvlText w:val="%1."/>
      <w:numFmt w:val="decimal"/>
      <w:start w:val="9"/>
    </w:lvl>
  </w:abstractNum>
  <w:abstractNum w:abstractNumId="49">
    <w:nsid w:val="3B0FD379"/>
    <w:multiLevelType w:val="hybridMultilevel"/>
    <w:lvl w:ilvl="0">
      <w:lvlJc w:val="left"/>
      <w:lvlText w:val="%1."/>
      <w:numFmt w:val="decimal"/>
      <w:start w:val="10"/>
    </w:lvl>
  </w:abstractNum>
  <w:abstractNum w:abstractNumId="50">
    <w:nsid w:val="68EB2F63"/>
    <w:multiLevelType w:val="hybridMultilevel"/>
    <w:lvl w:ilvl="0">
      <w:lvlJc w:val="left"/>
      <w:lvlText w:val="%1."/>
      <w:numFmt w:val="decimal"/>
      <w:start w:val="11"/>
    </w:lvl>
  </w:abstractNum>
  <w:abstractNum w:abstractNumId="51">
    <w:nsid w:val="4962813B"/>
    <w:multiLevelType w:val="hybridMultilevel"/>
    <w:lvl w:ilvl="0">
      <w:lvlJc w:val="left"/>
      <w:lvlText w:val="%1."/>
      <w:numFmt w:val="decimal"/>
      <w:start w:val="11"/>
    </w:lvl>
  </w:abstractNum>
  <w:abstractNum w:abstractNumId="52">
    <w:nsid w:val="60B6DF70"/>
    <w:multiLevelType w:val="hybridMultilevel"/>
    <w:lvl w:ilvl="0">
      <w:lvlJc w:val="left"/>
      <w:lvlText w:val="%1."/>
      <w:numFmt w:val="decimal"/>
      <w:start w:val="12"/>
    </w:lvl>
  </w:abstractNum>
  <w:abstractNum w:abstractNumId="53">
    <w:nsid w:val="6A5EE64"/>
    <w:multiLevelType w:val="hybridMultilevel"/>
    <w:lvl w:ilvl="0">
      <w:lvlJc w:val="left"/>
      <w:lvlText w:val="%1."/>
      <w:numFmt w:val="decimal"/>
      <w:start w:val="13"/>
    </w:lvl>
  </w:abstractNum>
  <w:abstractNum w:abstractNumId="54">
    <w:nsid w:val="14330624"/>
    <w:multiLevelType w:val="hybridMultilevel"/>
    <w:lvl w:ilvl="0">
      <w:lvlJc w:val="left"/>
      <w:lvlText w:val="%1."/>
      <w:numFmt w:val="decimal"/>
      <w:start w:val="13"/>
    </w:lvl>
  </w:abstractNum>
  <w:abstractNum w:abstractNumId="55">
    <w:nsid w:val="7FFFCA11"/>
    <w:multiLevelType w:val="hybridMultilevel"/>
    <w:lvl w:ilvl="0">
      <w:lvlJc w:val="left"/>
      <w:lvlText w:val="%1."/>
      <w:numFmt w:val="decimal"/>
      <w:start w:val="14"/>
    </w:lvl>
  </w:abstractNum>
  <w:abstractNum w:abstractNumId="56">
    <w:nsid w:val="1A27709E"/>
    <w:multiLevelType w:val="hybridMultilevel"/>
    <w:lvl w:ilvl="0">
      <w:lvlJc w:val="left"/>
      <w:lvlText w:val="%1."/>
      <w:numFmt w:val="decimal"/>
      <w:start w:val="15"/>
    </w:lvl>
  </w:abstractNum>
  <w:abstractNum w:abstractNumId="57">
    <w:nsid w:val="71EA1109"/>
    <w:multiLevelType w:val="hybridMultilevel"/>
    <w:lvl w:ilvl="0">
      <w:lvlJc w:val="left"/>
      <w:lvlText w:val="%1."/>
      <w:numFmt w:val="decimal"/>
      <w:start w:val="15"/>
    </w:lvl>
  </w:abstractNum>
  <w:abstractNum w:abstractNumId="58">
    <w:nsid w:val="100F59DC"/>
    <w:multiLevelType w:val="hybridMultilevel"/>
    <w:lvl w:ilvl="0">
      <w:lvlJc w:val="left"/>
      <w:lvlText w:val="%1."/>
      <w:numFmt w:val="decimal"/>
      <w:start w:val="15"/>
    </w:lvl>
  </w:abstractNum>
  <w:abstractNum w:abstractNumId="59">
    <w:nsid w:val="7FB7E0AA"/>
    <w:multiLevelType w:val="hybridMultilevel"/>
    <w:lvl w:ilvl="0">
      <w:lvlJc w:val="left"/>
      <w:lvlText w:val="%1."/>
      <w:numFmt w:val="decimal"/>
      <w:start w:val="15"/>
    </w:lvl>
  </w:abstractNum>
  <w:abstractNum w:abstractNumId="60">
    <w:nsid w:val="6EB5BD4"/>
    <w:multiLevelType w:val="hybridMultilevel"/>
    <w:lvl w:ilvl="0">
      <w:lvlJc w:val="left"/>
      <w:lvlText w:val="%1."/>
      <w:numFmt w:val="decimal"/>
      <w:start w:val="16"/>
    </w:lvl>
  </w:abstractNum>
  <w:abstractNum w:abstractNumId="61">
    <w:nsid w:val="6F6DD9AC"/>
    <w:multiLevelType w:val="hybridMultilevel"/>
    <w:lvl w:ilvl="0">
      <w:lvlJc w:val="left"/>
      <w:lvlText w:val="%1."/>
      <w:numFmt w:val="decimal"/>
      <w:start w:val="16"/>
    </w:lvl>
  </w:abstractNum>
  <w:abstractNum w:abstractNumId="62">
    <w:nsid w:val="94211F2"/>
    <w:multiLevelType w:val="hybridMultilevel"/>
    <w:lvl w:ilvl="0">
      <w:lvlJc w:val="left"/>
      <w:lvlText w:val="%1."/>
      <w:numFmt w:val="decimal"/>
      <w:start w:val="17"/>
    </w:lvl>
  </w:abstractNum>
  <w:abstractNum w:abstractNumId="63">
    <w:nsid w:val="885E1B"/>
    <w:multiLevelType w:val="hybridMultilevel"/>
    <w:lvl w:ilvl="0">
      <w:lvlJc w:val="left"/>
      <w:lvlText w:val="%1."/>
      <w:numFmt w:val="decimal"/>
      <w:start w:val="18"/>
    </w:lvl>
  </w:abstractNum>
  <w:abstractNum w:abstractNumId="64">
    <w:nsid w:val="76272110"/>
    <w:multiLevelType w:val="hybridMultilevel"/>
    <w:lvl w:ilvl="0">
      <w:lvlJc w:val="left"/>
      <w:lvlText w:val="%1."/>
      <w:numFmt w:val="decimal"/>
      <w:start w:val="19"/>
    </w:lvl>
  </w:abstractNum>
  <w:abstractNum w:abstractNumId="65">
    <w:nsid w:val="4C04A8AF"/>
    <w:multiLevelType w:val="hybridMultilevel"/>
    <w:lvl w:ilvl="0">
      <w:lvlJc w:val="left"/>
      <w:lvlText w:val="%1."/>
      <w:numFmt w:val="decimal"/>
      <w:start w:val="19"/>
    </w:lvl>
  </w:abstractNum>
  <w:abstractNum w:abstractNumId="66">
    <w:nsid w:val="1716703B"/>
    <w:multiLevelType w:val="hybridMultilevel"/>
    <w:lvl w:ilvl="0">
      <w:lvlJc w:val="left"/>
      <w:lvlText w:val="%1."/>
      <w:numFmt w:val="decimal"/>
      <w:start w:val="20"/>
    </w:lvl>
  </w:abstractNum>
  <w:abstractNum w:abstractNumId="67">
    <w:nsid w:val="14E17E33"/>
    <w:multiLevelType w:val="hybridMultilevel"/>
    <w:lvl w:ilvl="0">
      <w:lvlJc w:val="left"/>
      <w:lvlText w:val="(%1)"/>
      <w:numFmt w:val="lowerLetter"/>
      <w:start w:val="1"/>
    </w:lvl>
  </w:abstractNum>
  <w:abstractNum w:abstractNumId="68">
    <w:nsid w:val="3222E7CD"/>
    <w:multiLevelType w:val="hybridMultilevel"/>
    <w:lvl w:ilvl="0">
      <w:lvlJc w:val="left"/>
      <w:lvlText w:val="(%1)"/>
      <w:numFmt w:val="lowerLetter"/>
      <w:start w:val="3"/>
    </w:lvl>
  </w:abstractNum>
  <w:abstractNum w:abstractNumId="69">
    <w:nsid w:val="74DE0EE3"/>
    <w:multiLevelType w:val="hybridMultilevel"/>
    <w:lvl w:ilvl="0">
      <w:lvlJc w:val="left"/>
      <w:lvlText w:val="(%1)"/>
      <w:numFmt w:val="decimal"/>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1)"/>
      <w:numFmt w:val="lowerLetter"/>
      <w:start w:val="9"/>
    </w:lvl>
    <w:lvl w:ilvl="1">
      <w:lvlJc w:val="left"/>
      <w:lvlText w:val="(%2)"/>
      <w:numFmt w:val="lowerLetter"/>
      <w:start w:val="1"/>
    </w:lvl>
  </w:abstractNum>
  <w:abstractNum w:abstractNumId="72">
    <w:nsid w:val="46B7D447"/>
    <w:multiLevelType w:val="hybridMultilevel"/>
    <w:lvl w:ilvl="0">
      <w:lvlJc w:val="left"/>
      <w:lvlText w:val="(%1)"/>
      <w:numFmt w:val="lowerLetter"/>
      <w:start w:val="2"/>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
      <w:numFmt w:val="bullet"/>
      <w:start w:val="1"/>
    </w:lvl>
  </w:abstractNum>
  <w:abstractNum w:abstractNumId="76">
    <w:nsid w:val="CC1016F"/>
    <w:multiLevelType w:val="hybridMultilevel"/>
    <w:lvl w:ilvl="0">
      <w:lvlJc w:val="left"/>
      <w:lvlText w:val="++++"/>
      <w:numFmt w:val="bullet"/>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
      <w:numFmt w:val="bullet"/>
      <w:start w:val="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
      <w:numFmt w:val="bullet"/>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
      <w:numFmt w:val="bullet"/>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
      <w:numFmt w:val="bullet"/>
      <w:start w:val="1"/>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X"/>
      <w:numFmt w:val="bullet"/>
      <w:start w:val="1"/>
    </w:lvl>
  </w:abstractNum>
  <w:abstractNum w:abstractNumId="91">
    <w:nsid w:val="7D5E18F8"/>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92">
    <w:nsid w:val="5F3534A4"/>
    <w:multiLevelType w:val="hybridMultilevel"/>
    <w:lvl w:ilvl="0">
      <w:lvlJc w:val="left"/>
      <w:lvlText w:val="++"/>
      <w:numFmt w:val="bullet"/>
      <w:start w:val="1"/>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
      <w:numFmt w:val="bullet"/>
      <w:start w:val="1"/>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
      <w:numFmt w:val="bullet"/>
      <w:start w:val="1"/>
    </w:lvl>
  </w:abstractNum>
  <w:abstractNum w:abstractNumId="100">
    <w:nsid w:val="9DAF632"/>
    <w:multiLevelType w:val="hybridMultilevel"/>
    <w:lvl w:ilvl="0">
      <w:lvlJc w:val="left"/>
      <w:lvlText w:val="!"/>
      <w:numFmt w:val="bullet"/>
      <w:start w:val="1"/>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
      <w:numFmt w:val="bullet"/>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
      <w:numFmt w:val="bullet"/>
      <w:start w:val="1"/>
    </w:lvl>
  </w:abstractNum>
  <w:abstractNum w:abstractNumId="105">
    <w:nsid w:val="59ADEA3D"/>
    <w:multiLevelType w:val="hybridMultilevel"/>
    <w:lvl w:ilvl="0">
      <w:lvlJc w:val="left"/>
      <w:lvlText w:val="****"/>
      <w:numFmt w:val="bullet"/>
      <w:start w:val="1"/>
    </w:lvl>
  </w:abstractNum>
  <w:abstractNum w:abstractNumId="106">
    <w:nsid w:val="288F1A34"/>
    <w:multiLevelType w:val="hybridMultilevel"/>
    <w:lvl w:ilvl="0">
      <w:lvlJc w:val="left"/>
      <w:lvlText w:val="###"/>
      <w:numFmt w:val="bullet"/>
      <w:start w:val="1"/>
    </w:lvl>
  </w:abstractNum>
  <w:abstractNum w:abstractNumId="107">
    <w:nsid w:val="2A155DBC"/>
    <w:multiLevelType w:val="hybridMultilevel"/>
    <w:lvl w:ilvl="0">
      <w:lvlJc w:val="left"/>
      <w:lvlText w:val="[*]"/>
      <w:numFmt w:val="bullet"/>
      <w:start w:val="1"/>
    </w:lvl>
  </w:abstractNum>
  <w:abstractNum w:abstractNumId="108">
    <w:nsid w:val="1D9F6E5F"/>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2019-12-13T21:02:05Z</dcterms:created>
  <dcterms:modified xsi:type="dcterms:W3CDTF">2019-12-13T21:02:05Z</dcterms:modified>
</cp:coreProperties>
</file>