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3879"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Commissions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21,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2022 Annual Meeting of Shareholders (the “Annual Meeting”) of Microbot Medical Inc. (the “Company”) will be held at 11:00 A.M., Eastern Time on September 21, 2022 at the offices of the Company, located at 25 Recreation Park Drive, Unit 108, Hingham, MA 02043. At the Annual Meeting, you will be asked to vote on:</w:t>
      </w:r>
    </w:p>
    <w:p>
      <w:pPr>
        <w:spacing w:after="0" w:line="18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election of three Class I directors to the Board of Directors of the Company to serve until the 2025 Annual Meeting of Shareholders;</w:t>
      </w:r>
    </w:p>
    <w:p>
      <w:pPr>
        <w:spacing w:after="0" w:line="34" w:lineRule="exact"/>
        <w:rPr>
          <w:rFonts w:ascii="Arial" w:cs="Arial" w:eastAsia="Arial" w:hAnsi="Arial"/>
          <w:sz w:val="17"/>
          <w:szCs w:val="17"/>
          <w:color w:val="auto"/>
        </w:rPr>
      </w:pPr>
    </w:p>
    <w:p>
      <w:pPr>
        <w:ind w:left="660" w:right="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2022;</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has fixed the close of business on July 25, 2022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8, 2022</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2022 Annual Meeting of Shareholders (the “Annual Meeting”) to be held at the offices of the Company, located at 25 Recreation Park Drive, Unit 108, Hingham, MA 02043, at 11:00 A.M., Eastern Time, on September 21, 2022, or at any adjournment or postponement thereof, for the purposes set forth in this proxy statement and the accompanying Notice of Annual Meeting of Shareholders.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making available to you over the Internet or delivering paper copies of this proxy statement, a proxy card and the Company’s 2022 Annual Report on Form 10-K for the fiscal year ended December 31, 2021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August 9, 2022 to all shareholders of the Company entitled to vote at the Annual Meeting (the “Shareholders”).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bear the cost of solicitation of proxies. Directors, officers and employees of the Company may solicit proxies by telephone, email, facsimile, in person or otherwise for no additional compensation.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fixed the close of business on July 25, 2022, as the record date for determining stockholders entitled to notice of, and to vote at, the Annual Meeting or at any postponement or adjournment thereof. There were 7,108,133 shares of our common stock, $.01 par value, outstanding on July 25, 2022, each of which is entitled to one vote for each share on the matters to be voted upon.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being asked to vote on two proposals at the Company’s 2022 Annual Meeting. The proposals to be voted on and related recommendations from the Board of Directors are as follows:</w:t>
      </w:r>
    </w:p>
    <w:p>
      <w:pPr>
        <w:spacing w:after="0" w:line="170" w:lineRule="exact"/>
        <w:rPr>
          <w:sz w:val="20"/>
          <w:szCs w:val="20"/>
          <w:color w:val="auto"/>
        </w:rPr>
      </w:pPr>
    </w:p>
    <w:p>
      <w:pPr>
        <w:jc w:val="both"/>
        <w:ind w:left="1960" w:hanging="1943"/>
        <w:spacing w:after="0" w:line="277" w:lineRule="auto"/>
        <w:tabs>
          <w:tab w:leader="none" w:pos="194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8"/>
          <w:szCs w:val="18"/>
          <w:color w:val="auto"/>
        </w:rPr>
        <w:t>The election of three Class I directors to the Board of the Company to serve until the 2025 Annual Meeting of Shareholders. The Board recommends that you vote “FOR” each of the nominees.</w:t>
      </w:r>
    </w:p>
    <w:p>
      <w:pPr>
        <w:spacing w:after="0" w:line="170" w:lineRule="exact"/>
        <w:rPr>
          <w:sz w:val="20"/>
          <w:szCs w:val="20"/>
          <w:color w:val="auto"/>
        </w:rPr>
      </w:pPr>
    </w:p>
    <w:p>
      <w:pPr>
        <w:jc w:val="both"/>
        <w:ind w:left="1960" w:hanging="1943"/>
        <w:spacing w:after="0" w:line="263" w:lineRule="auto"/>
        <w:tabs>
          <w:tab w:leader="none" w:pos="194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2022. The Board recommends that you vote “FOR” this proposal.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you may vote “FOR,” vote “AGAINST” or “ABSTAIN.” If you “ABSTAIN” as to Proposal Number 2, the abstention will have no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election of three Class I directors to the Board of the Company to serve until the 2025 Annual Meeting of Shareholders.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2022.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2022 Annual Meeting.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Delaware law and the Company’s amended and restated by-laws, a majority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Proposal Number 2, the affirmative “FOR” vote is required by the holders of a majority of the votes cast by the stockholders entitled to vote at the Annual Meeting in person or by proxy and voting. Abstentions and broker non-votes will have no effect on the outcome of this proposal as they are not considered to be “votes cast” for purposes of this proposal.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August 5, 2022,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August 5, 2022. We calculated percentage ownership in accordance with the rules of the SEC. the percentage of common stock beneficially owned is based on 7,108,133 shares outstanding as of August 5, 2022. In addition, shares issuable pursuant to options or other convertible securities that may be acquired within 60 days of August 5, 2022 are deemed to be issued and outstanding and have been treated as outstanding in calculating and determining the beneficial ownership and percentage ownership of those persons possessing those securities, but not for any other persons.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 Shares</w:t>
            </w: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7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610,657</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669,706</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257,708</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Rachel Vaknin</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15,680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15,680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15,680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9,973</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30,420</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25,625</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8,859</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1,054,331</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287"/>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455,013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242,028 shares of our common stock owned by LSA - Life Science Accelerator Ltd. and (ii) 15,680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Ben Naim resigned from his position as Chief Financial Officer as of April 1,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(2), (3) and (4).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August 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Pr>
          <w:p>
            <w:pPr>
              <w:ind w:left="334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7"/>
                <w:szCs w:val="17"/>
                <w:color w:val="auto"/>
              </w:rPr>
            </w:pPr>
          </w:p>
        </w:tc>
        <w:tc>
          <w:tcPr>
            <w:tcW w:w="73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Aileen Stockburger(3)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Tal Wenderow(2)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 Directors are standing for election at our 2022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Aileen Stockburger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members of our Board, as determined by the Board in accordance with the existing Nasdaq Listing rules, are Messrs. Bornstein, Burell, Madden, Laxminarain and Wenderow, and Ms. Stockburger.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held approximately seven regular and special meetings during the fiscal year ended December 31, 2021 and acted by unanimous written consent four times. Each of our then-directors attended all such meetings of the Board, except on three occasions when one director was absent and one occasion when two directors were absent. While we encourage our directors to attend the Company’s annual shareholder meeting, we do not have a policy requiring that they do so. All of our then-directors attended in person or by telephone the Company’s 2021 annual stockholder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Board Diversity Matrix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August 5,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20" w:type="dxa"/>
            <w:vAlign w:val="bottom"/>
            <w:tcBorders>
              <w:top w:val="single" w:sz="8" w:color="auto"/>
            </w:tcBorders>
          </w:tcPr>
          <w:p>
            <w:pPr>
              <w:jc w:val="center"/>
              <w:ind w:right="130"/>
              <w:spacing w:after="0" w:line="205" w:lineRule="exact"/>
              <w:rPr>
                <w:sz w:val="20"/>
                <w:szCs w:val="20"/>
                <w:color w:val="auto"/>
              </w:rPr>
            </w:pPr>
            <w:r>
              <w:rPr>
                <w:rFonts w:ascii="Arial" w:cs="Arial" w:eastAsia="Arial" w:hAnsi="Arial"/>
                <w:sz w:val="18"/>
                <w:szCs w:val="18"/>
                <w:b w:val="1"/>
                <w:bCs w:val="1"/>
                <w:color w:val="auto"/>
                <w:w w:val="90"/>
              </w:rPr>
              <w:t>Total Number of Directors</w:t>
            </w: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010"/>
              <w:spacing w:after="0" w:line="205" w:lineRule="exact"/>
              <w:rPr>
                <w:sz w:val="20"/>
                <w:szCs w:val="20"/>
                <w:color w:val="auto"/>
              </w:rPr>
            </w:pPr>
            <w:r>
              <w:rPr>
                <w:rFonts w:ascii="Arial" w:cs="Arial" w:eastAsia="Arial" w:hAnsi="Arial"/>
                <w:sz w:val="18"/>
                <w:szCs w:val="18"/>
                <w:b w:val="1"/>
                <w:bCs w:val="1"/>
                <w:color w:val="auto"/>
              </w:rPr>
              <w:t>7</w:t>
            </w:r>
          </w:p>
        </w:tc>
        <w:tc>
          <w:tcPr>
            <w:tcW w:w="20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r>
      <w:tr>
        <w:trPr>
          <w:trHeight w:val="261"/>
        </w:trPr>
        <w:tc>
          <w:tcPr>
            <w:tcW w:w="4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Gender Identity:</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Male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Female</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Non-Binary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Gender Undisclosed</w:t>
            </w:r>
          </w:p>
        </w:tc>
      </w:tr>
      <w:tr>
        <w:trPr>
          <w:trHeight w:val="209"/>
        </w:trPr>
        <w:tc>
          <w:tcPr>
            <w:tcW w:w="4520" w:type="dxa"/>
            <w:vAlign w:val="bottom"/>
            <w:tcBorders>
              <w:top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1"/>
              </w:rPr>
              <w:t>Directors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African American or Black</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Alaskan Native or Native American</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Asian</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Hispanic or Latinx</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Native Hawaiian or Pacific Islander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White</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Two or More Races or Ethnicities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LGBTQ+</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1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Did Not Disclose Demographic Background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2021 and acted by unanimous written consent one time.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Messrs. Madden (Chairman) and Bornstein and Ms.Stockburger.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2021 and acted by unanimous written consent one time.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 of the Class I directors standing for election or reelection, as the case may be, at our 2022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Executive Chairman and President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which supplies the medical device industry, since April 2012, and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was nominated in August 2021 to be an external director in Can-fit BioPharma Ltd. (Nasdaq:CANF). The Company believes that Mr. Bornstein is qualified to serve as a member of the Board due to his extensive experience in, and knowledge of, the life sciences industry and international business.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Since August 1, 2018, Mr. Burell has been the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AIVITA Biomedical, Inc., an Irvine California-based immuno-oncology company focused on the advancement of commercial and clinical-stage programs utilizing curative and regenerative medicines. From November 2006 until its sale to Invitae Corp. (NYSE: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7"/>
          <w:szCs w:val="17"/>
          <w:i w:val="1"/>
          <w:iCs w:val="1"/>
          <w:color w:val="auto"/>
        </w:rPr>
        <w:t>Martin Madden</w:t>
      </w:r>
      <w:r>
        <w:rPr>
          <w:rFonts w:ascii="Arial" w:cs="Arial" w:eastAsia="Arial" w:hAnsi="Arial"/>
          <w:sz w:val="17"/>
          <w:szCs w:val="17"/>
          <w:color w:val="auto"/>
        </w:rPr>
        <w:t>, has been a director of the Company since February 6, 2017. Mr. Madden has held various positions at Johnson &amp; Johnson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as of March 29, 2022.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7"/>
                <w:szCs w:val="17"/>
                <w:color w:val="auto"/>
              </w:rPr>
            </w:pPr>
          </w:p>
        </w:tc>
        <w:tc>
          <w:tcPr>
            <w:tcW w:w="7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Rachel Vaknin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Simon Sharon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Technology Officer and General Manager, Microbot Israel</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Eyal Morag</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Rachel Vaknin</w:t>
      </w:r>
      <w:r>
        <w:rPr>
          <w:rFonts w:ascii="Arial" w:cs="Arial" w:eastAsia="Arial" w:hAnsi="Arial"/>
          <w:sz w:val="17"/>
          <w:szCs w:val="17"/>
          <w:color w:val="auto"/>
        </w:rPr>
        <w:t>, became the Company’s Chief Financial Officer as of April 1, 2022. Ms. Vaknin has been the Vice President-Finance, of the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2022. Prior to that, she was the Chief Financial Officer of Imagry, an Israeli-American autonomous technologies software provider, from September 2017 through December 2021.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Simon Sharon</w:t>
      </w:r>
      <w:r>
        <w:rPr>
          <w:rFonts w:ascii="Arial" w:cs="Arial" w:eastAsia="Arial" w:hAnsi="Arial"/>
          <w:sz w:val="17"/>
          <w:szCs w:val="17"/>
          <w:color w:val="auto"/>
        </w:rPr>
        <w:t>, has served as the Company’s Chief Technology Officer since April 2018 and as the General Manager of Microbot Israel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Eyal Morag</w:t>
      </w:r>
      <w:r>
        <w:rPr>
          <w:rFonts w:ascii="Arial" w:cs="Arial" w:eastAsia="Arial" w:hAnsi="Arial"/>
          <w:sz w:val="16"/>
          <w:szCs w:val="16"/>
          <w:color w:val="auto"/>
        </w:rPr>
        <w:t>, has served as the Company’s Chief Medical Officer (“CMO”) since May 2020. As CMO, Dr. Morag leads the development and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Section 16(a) Reports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2021, with the exception of one untimely Form 4 (detailing a single transaction) for each of Messrs. Bornstein, Burell, Madden, Laxminarain and Wenderow and Ms. Stockburger, all Section 16(a) filing requirements applicable to our officers, directors and greater than 10% beneficial owners have been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Involving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legal proceedings involving the nominees to the Board.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Salary</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320" w:type="dxa"/>
            <w:vAlign w:val="bottom"/>
          </w:tcPr>
          <w:p>
            <w:pPr>
              <w:ind w:left="60"/>
              <w:spacing w:after="0"/>
              <w:rPr>
                <w:sz w:val="20"/>
                <w:szCs w:val="20"/>
                <w:color w:val="auto"/>
              </w:rPr>
            </w:pPr>
            <w:r>
              <w:rPr>
                <w:rFonts w:ascii="Arial" w:cs="Arial" w:eastAsia="Arial" w:hAnsi="Arial"/>
                <w:sz w:val="18"/>
                <w:szCs w:val="18"/>
                <w:b w:val="1"/>
                <w:bCs w:val="1"/>
                <w:color w:val="auto"/>
                <w:w w:val="92"/>
              </w:rPr>
              <w:t>Name and Principal Position</w:t>
            </w:r>
          </w:p>
        </w:tc>
        <w:tc>
          <w:tcPr>
            <w:tcW w:w="16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 xml:space="preserve">Bonus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40" w:type="dxa"/>
            <w:vAlign w:val="bottom"/>
          </w:tcPr>
          <w:p>
            <w:pPr>
              <w:spacing w:after="0"/>
              <w:rPr>
                <w:sz w:val="20"/>
                <w:szCs w:val="20"/>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300,000(2)</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959,618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1,555,800</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CEO, President &amp; Chairman</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270,000(4)</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1,622,446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2,356,246</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Simon Sharon(4)</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365,472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110,293</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26,106(5)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560,013</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CTO and General Manager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311,216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56,250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53,069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23,210(5)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443,745</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Eyal Morag(6)</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453,000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23,059(5)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613,059</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243,000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7,079(5)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271,701</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81,754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82,242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102,550</w:t>
            </w:r>
          </w:p>
        </w:tc>
      </w:tr>
      <w:tr>
        <w:trPr>
          <w:trHeight w:val="439"/>
        </w:trPr>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 w:name="page14"/>
    <w:bookmarkEnd w:id="13"/>
    <w:p>
      <w:pPr>
        <w:jc w:val="both"/>
        <w:ind w:left="340" w:hanging="332"/>
        <w:spacing w:after="0" w:line="28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10712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8890"/>
                    </a:xfrm>
                    <a:prstGeom prst="rect">
                      <a:avLst/>
                    </a:prstGeom>
                    <a:noFill/>
                  </pic:spPr>
                </pic:pic>
              </a:graphicData>
            </a:graphic>
          </wp:anchor>
        </w:drawing>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2021.</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Mr. Gadot’s bonus of $300,000 for the 2021 fiscal year, which amount was actually paid in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Mr. Gadot’s bonus of $270,000 for the 2020 fiscal year, which amount was actually paid in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Sharon commenced employment in April 2018, and was promoted to General Manager of Microbot Israel in April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includes the executive’s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Dr. Morag commenced employment on May 1, 2020. Dr. Morag entered into an Employment Agreement with the Company as of February 18, 2020.</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Ben Naim resigned from his position as Chief Financial Officer as of April 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8"/>
              </w:rPr>
              <w:t>Option Awards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Incentive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Plan</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Awards: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Payout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Unearned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Market</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value of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Units or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Underlying</w:t>
            </w: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or Units of</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Units of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Rights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Rights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Stock That</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Stock That</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That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That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Expiration</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Have</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Have</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Have Not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Not Vested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 Vested</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r>
      <w:tr>
        <w:trPr>
          <w:trHeight w:val="216"/>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77,846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1/01/2025</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114,497</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9/14/2027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166,666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2/25/2030</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02/01/2031</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Simon Sharon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08/13/2028</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10,981</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08/12/2029</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Eyal Morag</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13,750</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7/14/2030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2"/>
        </w:trPr>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David Ben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Naim</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12/28/2027</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Mr. Gadot’s annual base salary for 2021 was $500,000, and has been increased to $515,000 for 2022. The salary is reviewed on an annual basis by the Compensation Committee of the Company to determine potential increases taking into account such performance metrics and criteria as established by Mr. Gadot and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Effective as of January 1, 2020, Mr. Gadot shall also be entitled to receive a target annual cash bonus of up to a maximum amount of 60% of base salary, which maximum amount was paid for the 2021 fiscal 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Rachel Vaknin Employment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an employment agreement (the “Agreement”), dated November 22, 2021, with Ms. Vaknin, to serve as the Company’s Vice President of Finance, on an indefinite basis subject to the termination provisions described in the Agreement. There were no changes or revisions to the Agreement as a result of Ms. Vaknin’s elevation and promotion to Chief Financial Officer.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Agreement, Ms. Vaknin receives a base salary of NIS32,000 per month plus “global compensation” of NIS8,000 per month for overtime. Ms. Vaknin is also entitled to receive an annual cash bonus of up to 20% of annual salary, contingent on meeting targets as shall be determined from time to time by the Company at its sole discretion.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Ms. Vaknin shall be further entitled to reimbursement of commuting expenses in the amount of NIS1,000 per month or, alternatively, a leased motor vehicle. In the event Ms. Vaknin elects to receive the motor vehicle, her base salary shall be adjusted to NIS29,600 per month and her global compensation shall be reduced to NIS7,400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Ms. Vaknin was initially granted options in January 2022 to purchase 20,000 shares of common stock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 the Company pays to an insurance company or a pension fund, for Ms. Vaknin, an amount equal to 8.33% of the salary, which shall be allocated to a fund for severance pay, and an additional amount equal to 6.5% of the salary, which shall be allocated to a provident fund or pension plan. The Company also pays an additional sum for disability insurance to insure Ms. Vaknin for up to 75% of the salary, and 7.5% of each monthly payment to be allocated to a “study fund.”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Either the Company or Ms. Vaknin may terminate the Agreement without cause (as determined pursuant to the Agreement) by providing the other party with sixty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Agreement for cause at any time by written notice without any advance notice.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Agreement contains customary non-competition and non-solicit provisions pursuant to which Ms. Vaknin agrees not to compete with, or solicit third parties with respect to business activities relating to, the Company. Ms. Vaknin also agreed to customary terms regarding confidentiality and ownership of intellectual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$7,097 per month based on an exchange rate of $.32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2022, Mr. Ben Naim resigned from his position as Chief Financial Officer and the Services Agreement terminated. The non-competition and non-solicitation provisions of the Services Agreement survived the termination of the Services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Simon Sharon Employment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an employment agreement, dated as of March 31, 2018 and amended pursuant to a First Amendment to Employment Agreement dated as of April 19, 2021 (as so amended, the “Sharon Agreement”), with Mr. Sharon, to serve as the Company’s Chief Technology Officer and the General Manager of Microbot Israel, on an indefinite basis subject to the termination provisions described in the Sharon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Sharon Agreement, Mr. Sharon will receive in 2022 a combined base salary and overtime payment of NIS72,000 per month. Mr. Sharon is also entitled to receive an annual cash bonus of up to 35% of the annual combined salary and overtime payment, based on certain performance factors established and assessed by the Compensation Committee of the Board of Directors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342" w:lineRule="auto"/>
        <w:rPr>
          <w:sz w:val="20"/>
          <w:szCs w:val="20"/>
          <w:color w:val="auto"/>
        </w:rPr>
      </w:pPr>
      <w:r>
        <w:rPr>
          <w:rFonts w:ascii="Arial" w:cs="Arial" w:eastAsia="Arial" w:hAnsi="Arial"/>
          <w:sz w:val="16"/>
          <w:szCs w:val="16"/>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Eyal Morag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“Morag Agreement”), as of February 18, 2020, with Dr. Morag, to serve as the Company’s Chief Medical Officer, on an indefinite basis subject to the termination provisions described in the Morag Agreement. The salary is reviewed on an annual basis by the Compensation Committee of the Company to determine potential increases taking into account such performance metrics and criteria as established by the Company. Pursuant to the terms of the Morag Agreement, Dr. Morag shall receive a base salary in 2022 of NIS64,000 per month plus Global Overtime (as defined in the Morag Agreement) of NIS16,000 per month.</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his annual salary.</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Dr. Morag may terminate the Morag Agreement at its discretion at any time by providing the other party with six months prior written notice of termination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cash and equity-based compensation information for our outside directors, for the year ended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or paid</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Incentive Plan</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20" w:type="dxa"/>
            <w:vAlign w:val="bottom"/>
          </w:tcPr>
          <w:p>
            <w:pPr>
              <w:ind w:left="14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in cash</w:t>
            </w: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Awards</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(1)</w:t>
            </w:r>
          </w:p>
        </w:tc>
        <w:tc>
          <w:tcPr>
            <w:tcW w:w="14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Compensation</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Compensation</w:t>
            </w:r>
          </w:p>
        </w:tc>
        <w:tc>
          <w:tcPr>
            <w:tcW w:w="16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$ 52,500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$ 12,767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$ 65,267</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Scott Burell</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$ 60,000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$ 12,767</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4"/>
              </w:rPr>
              <w:t>$ 72,767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$ 60,000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$ 12,767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$ 72,767</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$ 45,000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$ 14,233</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4"/>
              </w:rPr>
              <w:t>$ 59,233</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$ 42,500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$ 18,788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$ 61,288</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Tal Wenderow</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$ 40,000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1"/>
              </w:rPr>
              <w:t>$ 19,412</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4"/>
              </w:rPr>
              <w:t>$ 59,412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the Annual Report on Form 10-K for the fiscal year ended December 31,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2021.</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2021 and 2020, has considered whether the provision of these services is compatible with independence of the independent accountants, and concluded that it is:</w:t>
      </w:r>
    </w:p>
    <w:p>
      <w:pPr>
        <w:spacing w:after="0" w:line="12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Tax Fees</w:t>
            </w: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10,250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All Other Fees (2)</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right="2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represents fees for the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fees related to issuing a comfort letter and Auditor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2021,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2021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 xml:space="preserve">Communication with Audit Committees Concerning Independence </w:t>
      </w:r>
      <w:r>
        <w:rPr>
          <w:rFonts w:ascii="Arial" w:cs="Arial" w:eastAsia="Arial" w:hAnsi="Arial"/>
          <w:sz w:val="17"/>
          <w:szCs w:val="17"/>
          <w:color w:val="auto"/>
        </w:rPr>
        <w:t>(Rule 3526), and has discussed with Deloitte its independence.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2021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1: NOMINEES FOR ELECTION OF CLASS III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otherwise instructed, the enclosed proxy will be voted to elect the nominees named below as Class I directors for a term of three years expiring at the 2025 Annual Meeting of Shareholders and until their successors are duly elected and qualified. All three Class 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Harel Gadot, Tal Wenderow,</w:t>
      </w:r>
      <w:r>
        <w:rPr>
          <w:rFonts w:ascii="Arial" w:cs="Arial" w:eastAsia="Arial" w:hAnsi="Arial"/>
          <w:sz w:val="18"/>
          <w:szCs w:val="18"/>
          <w:color w:val="auto"/>
        </w:rPr>
        <w:t xml:space="preserve"> and </w:t>
      </w:r>
      <w:r>
        <w:rPr>
          <w:rFonts w:ascii="Arial" w:cs="Arial" w:eastAsia="Arial" w:hAnsi="Arial"/>
          <w:sz w:val="18"/>
          <w:szCs w:val="18"/>
          <w:b w:val="1"/>
          <w:bCs w:val="1"/>
          <w:color w:val="auto"/>
        </w:rPr>
        <w:t>Martin Madden</w:t>
      </w:r>
      <w:r>
        <w:rPr>
          <w:rFonts w:ascii="Arial" w:cs="Arial" w:eastAsia="Arial" w:hAnsi="Arial"/>
          <w:sz w:val="18"/>
          <w:szCs w:val="18"/>
          <w:color w:val="auto"/>
        </w:rPr>
        <w:t xml:space="preserve"> for election as the Company’s Class I directors to serve as Class I Directors until the 2025 Annual Meeting of Shareholders.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THREE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2022. The affirmative vote of the holders of a majority of the shares represented and voting at the Annual Meeting will be required to ratify the selection of Deloitte or its U.S. affiliate.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2023 Annual Meeting of Shareholders may do so by following the procedures prescribed in Rule 14a-8 under the Exchange Act. To be eligible, the Shareholder proposals must be received by our corporate secretary on or before April 10, 2023.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2023 Annual Meeting of Shareholders, other than one that will be included in our proxy materials, must notify us in a timely manner, but no later than June 24, 2023. If a Shareholder who wishes to present a proposal at the 2023 Annual Meeting of Shareholders fails to notify us by June 24, 2022, the proxies that management solicits for the meeting will confer discretionary authority to vote on the Shareholder’s proposal if it is properly brought before the meeting.</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comply with the universal proxy rules, shareholders who intend to solicit proxies in support of director nominees other than the Company’s nominees must provide notice that sets for the information required by Rule 14a-19 under the Exchange Act no later than July 23,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2023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Annual Report on Form 10-K for the fiscal year ended December 31, 2021,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w:t>
      </w:r>
    </w:p>
    <w:p>
      <w:pPr>
        <w:spacing w:after="0" w:line="1" w:lineRule="exact"/>
        <w:rPr>
          <w:sz w:val="20"/>
          <w:szCs w:val="20"/>
          <w:color w:val="auto"/>
        </w:rPr>
      </w:pPr>
    </w:p>
    <w:p>
      <w:pPr>
        <w:jc w:val="both"/>
        <w:ind w:firstLine="8"/>
        <w:spacing w:after="0" w:line="273" w:lineRule="auto"/>
        <w:tabs>
          <w:tab w:leader="none" w:pos="4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875-3605. In addition, copies of both documents may be obtained from our website (www.microbotmedical.com, click on the button “Investors” and then “Presentation + Resources”).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2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63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2022-08-09T03:15:32Z</dcterms:created>
  <dcterms:modified xsi:type="dcterms:W3CDTF">2022-08-09T03:15:32Z</dcterms:modified>
</cp:coreProperties>
</file>