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8, 2009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StemCells,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2449195</wp:posOffset>
            </wp:positionH>
            <wp:positionV relativeFrom="paragraph">
              <wp:posOffset>31115</wp:posOffset>
            </wp:positionV>
            <wp:extent cx="2358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3"/>
          </w:tcPr>
          <w:p>
            <w:pPr>
              <w:jc w:val="center"/>
              <w:ind w:right="1300"/>
              <w:spacing w:after="0"/>
              <w:rPr>
                <w:sz w:val="20"/>
                <w:szCs w:val="20"/>
                <w:color w:val="auto"/>
              </w:rPr>
            </w:pPr>
            <w:r>
              <w:rPr>
                <w:rFonts w:ascii="Arial" w:cs="Arial" w:eastAsia="Arial" w:hAnsi="Arial"/>
                <w:sz w:val="18"/>
                <w:szCs w:val="18"/>
                <w:b w:val="1"/>
                <w:bCs w:val="1"/>
                <w:color w:val="auto"/>
                <w:w w:val="91"/>
              </w:rPr>
              <w:t>Delaware</w:t>
            </w:r>
          </w:p>
        </w:tc>
        <w:tc>
          <w:tcPr>
            <w:tcW w:w="270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90"/>
              </w:rPr>
              <w:t>000-19871</w:t>
            </w:r>
          </w:p>
        </w:tc>
        <w:tc>
          <w:tcPr>
            <w:tcW w:w="398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9"/>
              </w:rPr>
              <w:t>94-3078125</w:t>
            </w:r>
          </w:p>
        </w:tc>
      </w:tr>
      <w:tr>
        <w:trPr>
          <w:trHeight w:val="209"/>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5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gridSpan w:val="3"/>
          </w:tcPr>
          <w:p>
            <w:pPr>
              <w:jc w:val="center"/>
              <w:ind w:right="720"/>
              <w:spacing w:after="0"/>
              <w:rPr>
                <w:sz w:val="20"/>
                <w:szCs w:val="20"/>
                <w:color w:val="auto"/>
              </w:rPr>
            </w:pPr>
            <w:r>
              <w:rPr>
                <w:rFonts w:ascii="Arial" w:cs="Arial" w:eastAsia="Arial" w:hAnsi="Arial"/>
                <w:sz w:val="18"/>
                <w:szCs w:val="18"/>
                <w:color w:val="auto"/>
                <w:w w:val="93"/>
              </w:rPr>
              <w:t>(Commission</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740" w:type="dxa"/>
            <w:vAlign w:val="bottom"/>
            <w:gridSpan w:val="3"/>
          </w:tcPr>
          <w:p>
            <w:pPr>
              <w:jc w:val="center"/>
              <w:ind w:right="1280"/>
              <w:spacing w:after="0"/>
              <w:rPr>
                <w:sz w:val="20"/>
                <w:szCs w:val="20"/>
                <w:color w:val="auto"/>
              </w:rPr>
            </w:pPr>
            <w:r>
              <w:rPr>
                <w:rFonts w:ascii="Arial" w:cs="Arial" w:eastAsia="Arial" w:hAnsi="Arial"/>
                <w:sz w:val="18"/>
                <w:szCs w:val="18"/>
                <w:color w:val="auto"/>
                <w:w w:val="93"/>
              </w:rPr>
              <w:t>of incorporation)</w:t>
            </w:r>
          </w:p>
        </w:tc>
        <w:tc>
          <w:tcPr>
            <w:tcW w:w="2700" w:type="dxa"/>
            <w:vAlign w:val="bottom"/>
            <w:gridSpan w:val="3"/>
          </w:tcPr>
          <w:p>
            <w:pPr>
              <w:jc w:val="center"/>
              <w:ind w:right="720"/>
              <w:spacing w:after="0"/>
              <w:rPr>
                <w:sz w:val="20"/>
                <w:szCs w:val="20"/>
                <w:color w:val="auto"/>
              </w:rPr>
            </w:pPr>
            <w:r>
              <w:rPr>
                <w:rFonts w:ascii="Arial" w:cs="Arial" w:eastAsia="Arial" w:hAnsi="Arial"/>
                <w:sz w:val="18"/>
                <w:szCs w:val="18"/>
                <w:color w:val="auto"/>
                <w:w w:val="94"/>
              </w:rPr>
              <w:t>File Number)</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474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92"/>
              </w:rPr>
              <w:t>3155 Porter Drive, Palo Alto, California</w:t>
            </w:r>
          </w:p>
        </w:tc>
        <w:tc>
          <w:tcPr>
            <w:tcW w:w="6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jc w:val="right"/>
              <w:ind w:right="2390"/>
              <w:spacing w:after="0"/>
              <w:rPr>
                <w:sz w:val="20"/>
                <w:szCs w:val="20"/>
                <w:color w:val="auto"/>
              </w:rPr>
            </w:pPr>
            <w:r>
              <w:rPr>
                <w:rFonts w:ascii="Arial" w:cs="Arial" w:eastAsia="Arial" w:hAnsi="Arial"/>
                <w:sz w:val="18"/>
                <w:szCs w:val="18"/>
                <w:b w:val="1"/>
                <w:bCs w:val="1"/>
                <w:color w:val="auto"/>
              </w:rPr>
              <w:t>94304</w:t>
            </w:r>
          </w:p>
        </w:tc>
      </w:tr>
      <w:tr>
        <w:trPr>
          <w:trHeight w:val="224"/>
        </w:trPr>
        <w:tc>
          <w:tcPr>
            <w:tcW w:w="4740" w:type="dxa"/>
            <w:vAlign w:val="bottom"/>
            <w:gridSpan w:val="3"/>
          </w:tcPr>
          <w:p>
            <w:pPr>
              <w:jc w:val="center"/>
              <w:ind w:left="590"/>
              <w:spacing w:after="0"/>
              <w:rPr>
                <w:sz w:val="20"/>
                <w:szCs w:val="20"/>
                <w:color w:val="auto"/>
              </w:rPr>
            </w:pPr>
            <w:r>
              <w:rPr>
                <w:rFonts w:ascii="Arial" w:cs="Arial" w:eastAsia="Arial" w:hAnsi="Arial"/>
                <w:sz w:val="18"/>
                <w:szCs w:val="18"/>
                <w:color w:val="auto"/>
                <w:w w:val="92"/>
              </w:rPr>
              <w:t>(Address of principal executive offices)</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jc w:val="center"/>
              <w:ind w:right="1930"/>
              <w:spacing w:after="0"/>
              <w:rPr>
                <w:sz w:val="20"/>
                <w:szCs w:val="20"/>
                <w:color w:val="auto"/>
              </w:rPr>
            </w:pPr>
            <w:r>
              <w:rPr>
                <w:rFonts w:ascii="Arial" w:cs="Arial" w:eastAsia="Arial" w:hAnsi="Arial"/>
                <w:sz w:val="18"/>
                <w:szCs w:val="18"/>
                <w:color w:val="auto"/>
                <w:w w:val="94"/>
              </w:rPr>
              <w:t>(Zip Code)</w:t>
            </w: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650.475.3100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2260600</wp:posOffset>
            </wp:positionH>
            <wp:positionV relativeFrom="paragraph">
              <wp:posOffset>-130810</wp:posOffset>
            </wp:positionV>
            <wp:extent cx="27355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96"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July 18, 2008, the Securities and Exchange Commission declared effective the Registration Statement on Form S-3 of StemCells, Inc. (the “Company”) (Registration No. 333-151891) (the “Registration Statement”). The Registration Statement permits the issuance, from time to time, by the Company of shares of the Company’s common stock, preferred stock and debt securities up to a combined amount of $100,000,000.</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 prospectus supplement dated June 8, 2009 to be filed with the Securities Exchange Commission contemplates the sale of up to $30,000,000 of shares of the Company’s common stock, par value $0.01 per share from time to time in at-the-market offerings pursuant to a Sales Agreement (the “Agreement”) with Cantor Fitzgerald &amp; Co.</w:t>
      </w:r>
    </w:p>
    <w:p>
      <w:pPr>
        <w:spacing w:after="0" w:line="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order to furnish certain exhibits for incorporation by reference into the Registration Statement, the Company is filing the Agreement and an opinion the Company received from its counsel regarding the validity of the shares to be sold pursuant to the Agreement.</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June 8, 2009, the Company issued a press release announcing results from the Phase I clinical trial of its proprietary HuCNS-SC</w:t>
      </w:r>
      <w:r>
        <w:rPr>
          <w:rFonts w:ascii="Arial" w:cs="Arial" w:eastAsia="Arial" w:hAnsi="Arial"/>
          <w:sz w:val="15"/>
          <w:szCs w:val="15"/>
          <w:color w:val="auto"/>
        </w:rPr>
        <w:t>®</w:t>
      </w:r>
      <w:r>
        <w:rPr>
          <w:rFonts w:ascii="Arial" w:cs="Arial" w:eastAsia="Arial" w:hAnsi="Arial"/>
          <w:sz w:val="18"/>
          <w:szCs w:val="18"/>
          <w:color w:val="auto"/>
        </w:rPr>
        <w:t xml:space="preserve"> product candidate (purified human neural stem cells). The full text of the Company’s press release regarding the announcement is filed as Exhibit 99.1 to this Current Report on Form 8-K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10500" w:type="dxa"/>
            <w:vAlign w:val="bottom"/>
            <w:gridSpan w:val="2"/>
          </w:tcPr>
          <w:p>
            <w:pPr>
              <w:ind w:left="5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920" w:type="dxa"/>
            <w:vAlign w:val="bottom"/>
            <w:shd w:val="clear" w:color="auto" w:fill="000000"/>
          </w:tcPr>
          <w:p>
            <w:pPr>
              <w:spacing w:after="0" w:line="20" w:lineRule="exact"/>
              <w:rPr>
                <w:sz w:val="1"/>
                <w:szCs w:val="1"/>
                <w:color w:val="auto"/>
              </w:rPr>
            </w:pP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Sales Agreement between StemCells, Inc. and Cantor Fitzgerald &amp; Co. dated June 5, 2009.</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Opinion of Ropes &amp; Gray LLP.</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Press release of StemCells, Inc. dated June 8, 2009.</w:t>
            </w:r>
          </w:p>
        </w:tc>
      </w:tr>
      <w:tr>
        <w:trPr>
          <w:trHeight w:val="632"/>
        </w:trPr>
        <w:tc>
          <w:tcPr>
            <w:tcW w:w="9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220" w:val="left"/>
        </w:tabs>
        <w:rPr>
          <w:sz w:val="20"/>
          <w:szCs w:val="20"/>
          <w:color w:val="auto"/>
        </w:rPr>
      </w:pPr>
      <w:r>
        <w:rPr>
          <w:rFonts w:ascii="Arial" w:cs="Arial" w:eastAsia="Arial" w:hAnsi="Arial"/>
          <w:sz w:val="18"/>
          <w:szCs w:val="18"/>
          <w:color w:val="auto"/>
        </w:rPr>
        <w:t>June 8, 2009</w:t>
      </w:r>
      <w:r>
        <w:rPr>
          <w:sz w:val="20"/>
          <w:szCs w:val="20"/>
          <w:color w:val="auto"/>
        </w:rPr>
        <w:tab/>
      </w:r>
      <w:r>
        <w:rPr>
          <w:rFonts w:ascii="Arial" w:cs="Arial" w:eastAsia="Arial" w:hAnsi="Arial"/>
          <w:sz w:val="16"/>
          <w:szCs w:val="16"/>
          <w:color w:val="auto"/>
        </w:rPr>
        <w:t>StemCells, Inc.</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Ken Stratton</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Ken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-130810</wp:posOffset>
            </wp:positionV>
            <wp:extent cx="28816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3" w:lineRule="exact"/>
        <w:rPr>
          <w:sz w:val="20"/>
          <w:szCs w:val="20"/>
          <w:color w:val="auto"/>
        </w:rPr>
      </w:pPr>
    </w:p>
    <w:p>
      <w:pPr>
        <w:ind w:left="5240"/>
        <w:spacing w:after="0"/>
        <w:tabs>
          <w:tab w:leader="none" w:pos="5800" w:val="left"/>
        </w:tabs>
        <w:rPr>
          <w:sz w:val="20"/>
          <w:szCs w:val="20"/>
          <w:color w:val="auto"/>
        </w:rPr>
      </w:pPr>
      <w:r>
        <w:rPr>
          <w:rFonts w:ascii="Arial" w:cs="Arial" w:eastAsia="Arial" w:hAnsi="Arial"/>
          <w:sz w:val="18"/>
          <w:szCs w:val="18"/>
          <w:color w:val="auto"/>
        </w:rPr>
        <w:t>Title:</w:t>
        <w:tab/>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58"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20" w:type="dxa"/>
            <w:vAlign w:val="bottom"/>
          </w:tcPr>
          <w:p>
            <w:pPr>
              <w:ind w:left="36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5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0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Sales Agreement between StemCells, Inc. and Cantor Fitzgerald &amp; Co. dated June 5, 2009.</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Opinion of Ropes &amp; Gray LLP.</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Press release of StemCells, Inc. dated June 8, 2009.</w:t>
            </w:r>
          </w:p>
        </w:tc>
        <w:tc>
          <w:tcPr>
            <w:tcW w:w="0" w:type="dxa"/>
            <w:vAlign w:val="bottom"/>
          </w:tcPr>
          <w:p>
            <w:pPr>
              <w:spacing w:after="0"/>
              <w:rPr>
                <w:sz w:val="1"/>
                <w:szCs w:val="1"/>
                <w:color w:val="auto"/>
              </w:rPr>
            </w:pPr>
          </w:p>
        </w:tc>
      </w:tr>
    </w:tbl>
    <w:p>
      <w:pPr>
        <w:sectPr>
          <w:pgSz w:w="11900" w:h="16838" w:orient="portrait"/>
          <w:cols w:equalWidth="0" w:num="1">
            <w:col w:w="11420"/>
          </w:cols>
          <w:pgMar w:left="240" w:top="95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$30,000,000 COMMON STOCK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EQUITY OFFERING</w:t>
      </w:r>
      <w:r>
        <w:rPr>
          <w:rFonts w:ascii="Arial" w:cs="Arial" w:eastAsia="Arial" w:hAnsi="Arial"/>
          <w:sz w:val="15"/>
          <w:szCs w:val="15"/>
          <w:b w:val="1"/>
          <w:bCs w:val="1"/>
          <w:u w:val="single" w:color="auto"/>
          <w:color w:val="auto"/>
        </w:rPr>
        <w:t>SM</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SALES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5,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CANTOR FITZGERALD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499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20" w:firstLine="450"/>
        <w:spacing w:after="0" w:line="282" w:lineRule="auto"/>
        <w:rPr>
          <w:sz w:val="20"/>
          <w:szCs w:val="20"/>
          <w:color w:val="auto"/>
        </w:rPr>
      </w:pPr>
      <w:r>
        <w:rPr>
          <w:rFonts w:ascii="Arial" w:cs="Arial" w:eastAsia="Arial" w:hAnsi="Arial"/>
          <w:sz w:val="18"/>
          <w:szCs w:val="18"/>
          <w:color w:val="auto"/>
        </w:rPr>
        <w:t>STEMCELLS, INC.,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confirms its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with Cantor Fitzgerald &amp; Co. (“</w:t>
      </w:r>
      <w:r>
        <w:rPr>
          <w:rFonts w:ascii="Arial" w:cs="Arial" w:eastAsia="Arial" w:hAnsi="Arial"/>
          <w:sz w:val="18"/>
          <w:szCs w:val="18"/>
          <w:b w:val="1"/>
          <w:bCs w:val="1"/>
          <w:u w:val="single" w:color="auto"/>
          <w:color w:val="auto"/>
        </w:rPr>
        <w:t>CF&amp;Co</w:t>
      </w:r>
      <w:r>
        <w:rPr>
          <w:rFonts w:ascii="Arial" w:cs="Arial" w:eastAsia="Arial" w:hAnsi="Arial"/>
          <w:sz w:val="18"/>
          <w:szCs w:val="18"/>
          <w:color w:val="auto"/>
        </w:rPr>
        <w:t>”), as follows:</w:t>
      </w:r>
    </w:p>
    <w:p>
      <w:pPr>
        <w:spacing w:after="0" w:line="58" w:lineRule="exact"/>
        <w:rPr>
          <w:sz w:val="20"/>
          <w:szCs w:val="20"/>
          <w:color w:val="auto"/>
        </w:rPr>
      </w:pPr>
    </w:p>
    <w:p>
      <w:pPr>
        <w:ind w:right="60" w:firstLine="233"/>
        <w:spacing w:after="0" w:line="271" w:lineRule="auto"/>
        <w:tabs>
          <w:tab w:leader="none" w:pos="405"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Issuance and Sale of Shares</w:t>
      </w:r>
      <w:r>
        <w:rPr>
          <w:rFonts w:ascii="Arial" w:cs="Arial" w:eastAsia="Arial" w:hAnsi="Arial"/>
          <w:sz w:val="17"/>
          <w:szCs w:val="17"/>
          <w:color w:val="auto"/>
        </w:rPr>
        <w:t>. The Company agrees that, from time to time during the term of this Agreement, on the terms and subject to the conditions set forth herein, it may issue and sell through CF&amp;Co, acting as agent and/or principal, up to $30,000,000 of shares (the “</w:t>
      </w:r>
      <w:r>
        <w:rPr>
          <w:rFonts w:ascii="Arial" w:cs="Arial" w:eastAsia="Arial" w:hAnsi="Arial"/>
          <w:sz w:val="17"/>
          <w:szCs w:val="17"/>
          <w:b w:val="1"/>
          <w:bCs w:val="1"/>
          <w:i w:val="1"/>
          <w:iCs w:val="1"/>
          <w:u w:val="single" w:color="auto"/>
          <w:color w:val="auto"/>
        </w:rPr>
        <w:t>Placement Shares</w:t>
      </w:r>
      <w:r>
        <w:rPr>
          <w:rFonts w:ascii="Arial" w:cs="Arial" w:eastAsia="Arial" w:hAnsi="Arial"/>
          <w:sz w:val="17"/>
          <w:szCs w:val="17"/>
          <w:color w:val="auto"/>
        </w:rPr>
        <w:t>”) of the Company’s common stock, par value $0.01 per share (the “</w:t>
      </w:r>
      <w:r>
        <w:rPr>
          <w:rFonts w:ascii="Arial" w:cs="Arial" w:eastAsia="Arial" w:hAnsi="Arial"/>
          <w:sz w:val="17"/>
          <w:szCs w:val="17"/>
          <w:b w:val="1"/>
          <w:bCs w:val="1"/>
          <w:i w:val="1"/>
          <w:iCs w:val="1"/>
          <w:u w:val="single" w:color="auto"/>
          <w:color w:val="auto"/>
        </w:rPr>
        <w:t>Common Stock</w:t>
      </w:r>
      <w:r>
        <w:rPr>
          <w:rFonts w:ascii="Arial" w:cs="Arial" w:eastAsia="Arial" w:hAnsi="Arial"/>
          <w:sz w:val="17"/>
          <w:szCs w:val="17"/>
          <w:color w:val="auto"/>
        </w:rPr>
        <w:t xml:space="preserve">”). Notwithstanding anything to the contrary contained herein, the parties hereto agree that compliance with the limitation set forth in this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on the number of Placement Shares issued and sold under this Agreement shall be the sole responsibility of the Company, and CF&amp;Co shall have no obligation in connection with such compliance. The issuance and sale of Placement Shares through CF&amp;Co will be effected pursuant to the Registration Statement (as defined below) filed by the Company and declared effective by the Securities and Exchange Commission (the “</w:t>
      </w:r>
      <w:r>
        <w:rPr>
          <w:rFonts w:ascii="Arial" w:cs="Arial" w:eastAsia="Arial" w:hAnsi="Arial"/>
          <w:sz w:val="17"/>
          <w:szCs w:val="17"/>
          <w:b w:val="1"/>
          <w:bCs w:val="1"/>
          <w:i w:val="1"/>
          <w:iCs w:val="1"/>
          <w:u w:val="single" w:color="auto"/>
          <w:color w:val="auto"/>
        </w:rPr>
        <w:t>Commission</w:t>
      </w:r>
      <w:r>
        <w:rPr>
          <w:rFonts w:ascii="Arial" w:cs="Arial" w:eastAsia="Arial" w:hAnsi="Arial"/>
          <w:sz w:val="17"/>
          <w:szCs w:val="17"/>
          <w:color w:val="auto"/>
        </w:rPr>
        <w:t>”), although nothing in this Agreement shall be construed as requiring the Company to use the Registration Statement (as defined below) to issue Common Stock.</w:t>
      </w:r>
    </w:p>
    <w:p>
      <w:pPr>
        <w:spacing w:after="0" w:line="71" w:lineRule="exact"/>
        <w:rPr>
          <w:sz w:val="20"/>
          <w:szCs w:val="20"/>
          <w:color w:val="auto"/>
        </w:rPr>
      </w:pPr>
    </w:p>
    <w:p>
      <w:pPr>
        <w:ind w:firstLine="447"/>
        <w:spacing w:after="0" w:line="270" w:lineRule="auto"/>
        <w:rPr>
          <w:sz w:val="20"/>
          <w:szCs w:val="20"/>
          <w:color w:val="auto"/>
        </w:rPr>
      </w:pPr>
      <w:r>
        <w:rPr>
          <w:rFonts w:ascii="Arial" w:cs="Arial" w:eastAsia="Arial" w:hAnsi="Arial"/>
          <w:sz w:val="17"/>
          <w:szCs w:val="17"/>
          <w:color w:val="auto"/>
        </w:rPr>
        <w:t>The Company has filed, in accordance with the provisions of the Securities Act of 1933, as amended, and the rules and regulations thereunder (collectively, the “</w:t>
      </w:r>
      <w:r>
        <w:rPr>
          <w:rFonts w:ascii="Arial" w:cs="Arial" w:eastAsia="Arial" w:hAnsi="Arial"/>
          <w:sz w:val="17"/>
          <w:szCs w:val="17"/>
          <w:b w:val="1"/>
          <w:bCs w:val="1"/>
          <w:u w:val="single" w:color="auto"/>
          <w:color w:val="auto"/>
        </w:rPr>
        <w:t>Securities Act</w:t>
      </w:r>
      <w:r>
        <w:rPr>
          <w:rFonts w:ascii="Arial" w:cs="Arial" w:eastAsia="Arial" w:hAnsi="Arial"/>
          <w:sz w:val="17"/>
          <w:szCs w:val="17"/>
          <w:color w:val="auto"/>
        </w:rPr>
        <w:t>”), with the Commission a registration statement on Form S-3 (File No. 333-151891),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7"/>
          <w:szCs w:val="17"/>
          <w:b w:val="1"/>
          <w:bCs w:val="1"/>
          <w:u w:val="single" w:color="auto"/>
          <w:color w:val="auto"/>
        </w:rPr>
        <w:t>Exchange Act</w:t>
      </w:r>
      <w:r>
        <w:rPr>
          <w:rFonts w:ascii="Arial" w:cs="Arial" w:eastAsia="Arial" w:hAnsi="Arial"/>
          <w:sz w:val="17"/>
          <w:szCs w:val="17"/>
          <w:color w:val="auto"/>
        </w:rPr>
        <w:t>”). The Company has prepared a prospectus supplement specifically relating to the Common Stock (the “</w:t>
      </w:r>
      <w:r>
        <w:rPr>
          <w:rFonts w:ascii="Arial" w:cs="Arial" w:eastAsia="Arial" w:hAnsi="Arial"/>
          <w:sz w:val="17"/>
          <w:szCs w:val="17"/>
          <w:b w:val="1"/>
          <w:bCs w:val="1"/>
          <w:i w:val="1"/>
          <w:iCs w:val="1"/>
          <w:u w:val="single" w:color="auto"/>
          <w:color w:val="auto"/>
        </w:rPr>
        <w:t>Prospectus</w:t>
      </w:r>
      <w:r>
        <w:rPr>
          <w:rFonts w:ascii="Arial" w:cs="Arial" w:eastAsia="Arial" w:hAnsi="Arial"/>
          <w:sz w:val="17"/>
          <w:szCs w:val="17"/>
          <w:color w:val="auto"/>
        </w:rPr>
        <w:t xml:space="preserve"> </w:t>
      </w:r>
      <w:r>
        <w:rPr>
          <w:rFonts w:ascii="Arial" w:cs="Arial" w:eastAsia="Arial" w:hAnsi="Arial"/>
          <w:sz w:val="17"/>
          <w:szCs w:val="17"/>
          <w:b w:val="1"/>
          <w:bCs w:val="1"/>
          <w:i w:val="1"/>
          <w:iCs w:val="1"/>
          <w:u w:val="single" w:color="auto"/>
          <w:color w:val="auto"/>
        </w:rPr>
        <w:t>Supplement</w:t>
      </w:r>
      <w:r>
        <w:rPr>
          <w:rFonts w:ascii="Arial" w:cs="Arial" w:eastAsia="Arial" w:hAnsi="Arial"/>
          <w:sz w:val="17"/>
          <w:szCs w:val="17"/>
          <w:color w:val="auto"/>
        </w:rPr>
        <w:t>”) to the base prospectus included as part of such registration statement. The Company has furnished to CF&amp;Co, for use by CF&amp;Co, copies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prospectus included as part of such registration statement, as supplemented by the Prospectus Supplement, relating to the Placement Shares. Except where the context otherwise requires, such registration statement, as amended when it became effective, including all documents filed as part thereof or incorporated by reference therein, and including any information contained in a Prospectus (as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line="287" w:lineRule="auto"/>
        <w:rPr>
          <w:sz w:val="20"/>
          <w:szCs w:val="20"/>
          <w:color w:val="auto"/>
        </w:rPr>
      </w:pPr>
      <w:r>
        <w:rPr>
          <w:rFonts w:ascii="Arial" w:cs="Arial" w:eastAsia="Arial" w:hAnsi="Arial"/>
          <w:sz w:val="16"/>
          <w:szCs w:val="16"/>
          <w:color w:val="auto"/>
        </w:rPr>
        <w:t>defined below) subsequently filed with the Commission pursuant to Rule 424(b) under the Securities Act or deemed to be a part of such registration statement pursuant to Rule 430B or 462(b) of the Securities Act, as well as any comparable successor registration statement filed by the Company for the sale of shares of its Common Stock, including the Placement Shares, collectively are herein called the “</w:t>
      </w:r>
      <w:r>
        <w:rPr>
          <w:rFonts w:ascii="Arial" w:cs="Arial" w:eastAsia="Arial" w:hAnsi="Arial"/>
          <w:sz w:val="16"/>
          <w:szCs w:val="16"/>
          <w:b w:val="1"/>
          <w:bCs w:val="1"/>
          <w:i w:val="1"/>
          <w:iCs w:val="1"/>
          <w:u w:val="single" w:color="auto"/>
          <w:color w:val="auto"/>
        </w:rPr>
        <w:t>Registration Statement</w:t>
      </w:r>
      <w:r>
        <w:rPr>
          <w:rFonts w:ascii="Arial" w:cs="Arial" w:eastAsia="Arial" w:hAnsi="Arial"/>
          <w:sz w:val="16"/>
          <w:szCs w:val="16"/>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is herein called the “</w:t>
      </w:r>
      <w:r>
        <w:rPr>
          <w:rFonts w:ascii="Arial" w:cs="Arial" w:eastAsia="Arial" w:hAnsi="Arial"/>
          <w:sz w:val="16"/>
          <w:szCs w:val="16"/>
          <w:b w:val="1"/>
          <w:bCs w:val="1"/>
          <w:i w:val="1"/>
          <w:iCs w:val="1"/>
          <w:u w:val="single" w:color="auto"/>
          <w:color w:val="auto"/>
        </w:rPr>
        <w:t>Prospectus</w:t>
      </w:r>
      <w:r>
        <w:rPr>
          <w:rFonts w:ascii="Arial" w:cs="Arial" w:eastAsia="Arial" w:hAnsi="Arial"/>
          <w:sz w:val="16"/>
          <w:szCs w:val="16"/>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either the Electronic Data Gathering Analysis and Retrieval System or Interactive Data Electronic Applications (collectively “</w:t>
      </w:r>
      <w:r>
        <w:rPr>
          <w:rFonts w:ascii="Arial" w:cs="Arial" w:eastAsia="Arial" w:hAnsi="Arial"/>
          <w:sz w:val="16"/>
          <w:szCs w:val="16"/>
          <w:b w:val="1"/>
          <w:bCs w:val="1"/>
          <w:i w:val="1"/>
          <w:iCs w:val="1"/>
          <w:u w:val="single" w:color="auto"/>
          <w:color w:val="auto"/>
        </w:rPr>
        <w:t>IDEA</w:t>
      </w:r>
      <w:r>
        <w:rPr>
          <w:rFonts w:ascii="Arial" w:cs="Arial" w:eastAsia="Arial" w:hAnsi="Arial"/>
          <w:sz w:val="16"/>
          <w:szCs w:val="16"/>
          <w:color w:val="auto"/>
        </w:rPr>
        <w:t>”).</w:t>
      </w:r>
    </w:p>
    <w:p>
      <w:pPr>
        <w:spacing w:after="0" w:line="65" w:lineRule="exact"/>
        <w:rPr>
          <w:sz w:val="20"/>
          <w:szCs w:val="20"/>
          <w:color w:val="auto"/>
        </w:rPr>
      </w:pPr>
    </w:p>
    <w:p>
      <w:pPr>
        <w:ind w:right="40" w:firstLine="233"/>
        <w:spacing w:after="0" w:line="283" w:lineRule="auto"/>
        <w:tabs>
          <w:tab w:leader="none" w:pos="405"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Placements</w:t>
      </w:r>
      <w:r>
        <w:rPr>
          <w:rFonts w:ascii="Arial" w:cs="Arial" w:eastAsia="Arial" w:hAnsi="Arial"/>
          <w:sz w:val="16"/>
          <w:szCs w:val="16"/>
          <w:color w:val="auto"/>
        </w:rPr>
        <w:t>. Each time that the Company wishes to issue and sell the Placement Shares hereunder (each, a “</w:t>
      </w:r>
      <w:r>
        <w:rPr>
          <w:rFonts w:ascii="Arial" w:cs="Arial" w:eastAsia="Arial" w:hAnsi="Arial"/>
          <w:sz w:val="16"/>
          <w:szCs w:val="16"/>
          <w:b w:val="1"/>
          <w:bCs w:val="1"/>
          <w:i w:val="1"/>
          <w:iCs w:val="1"/>
          <w:u w:val="single" w:color="auto"/>
          <w:color w:val="auto"/>
        </w:rPr>
        <w:t>Placement</w:t>
      </w:r>
      <w:r>
        <w:rPr>
          <w:rFonts w:ascii="Arial" w:cs="Arial" w:eastAsia="Arial" w:hAnsi="Arial"/>
          <w:sz w:val="16"/>
          <w:szCs w:val="16"/>
          <w:color w:val="auto"/>
        </w:rPr>
        <w:t>”), it will notify CF&amp;Co by email notice (or other method mutually agreed to in writing by the parties) (a “</w:t>
      </w:r>
      <w:r>
        <w:rPr>
          <w:rFonts w:ascii="Arial" w:cs="Arial" w:eastAsia="Arial" w:hAnsi="Arial"/>
          <w:sz w:val="16"/>
          <w:szCs w:val="16"/>
          <w:b w:val="1"/>
          <w:bCs w:val="1"/>
          <w:i w:val="1"/>
          <w:iCs w:val="1"/>
          <w:u w:val="single" w:color="auto"/>
          <w:color w:val="auto"/>
        </w:rPr>
        <w:t>Placement Notice</w:t>
      </w:r>
      <w:r>
        <w:rPr>
          <w:rFonts w:ascii="Arial" w:cs="Arial" w:eastAsia="Arial" w:hAnsi="Arial"/>
          <w:sz w:val="16"/>
          <w:szCs w:val="16"/>
          <w:color w:val="auto"/>
        </w:rPr>
        <w:t xml:space="preserve">”) containing the parameters in accordance with which it desires the Placement Shares to be sold, which shall at a minimum include the number of Placement Shares to be issued, the time period during which sales are requested to be made, any limitation on the number of Placement Shares that may be sold in any one Trading Day (as defined in Section 3) and any minimum price below which sales may not be made, a form of which containing such minimum sales parameters necessary is attached hereto as </w:t>
      </w:r>
      <w:r>
        <w:rPr>
          <w:rFonts w:ascii="Arial" w:cs="Arial" w:eastAsia="Arial" w:hAnsi="Arial"/>
          <w:sz w:val="16"/>
          <w:szCs w:val="16"/>
          <w:b w:val="1"/>
          <w:bCs w:val="1"/>
          <w:u w:val="single" w:color="auto"/>
          <w:color w:val="auto"/>
        </w:rPr>
        <w:t>Schedule 1</w:t>
      </w:r>
      <w:r>
        <w:rPr>
          <w:rFonts w:ascii="Arial" w:cs="Arial" w:eastAsia="Arial" w:hAnsi="Arial"/>
          <w:sz w:val="16"/>
          <w:szCs w:val="16"/>
          <w:color w:val="auto"/>
        </w:rPr>
        <w:t>. The Placement Notice shall originate from any of the individuals from the Company set forth on Schedule 2 (with a copy to each of the other individuals from the Company listed on such schedule), and shall be addressed to each of the individuals from CF&amp;Co set forth on Schedule 2, as such Schedule 2 may be amended from time to time. The Placement Notice shall be effective upon receipt by CF&amp;Co unless and until (i) in accordance with the notice requirements set forth in Section 4, CF&amp;Co declines to accept the terms contained therein for any reason, in its sole discretion, (ii) the entire amount of the Placement Shares have been sold, (iii) in accordance with the notice requirements set forth in Section 4, the Company suspends or terminates the Placement Notice,</w:t>
      </w:r>
    </w:p>
    <w:p>
      <w:pPr>
        <w:spacing w:after="0" w:line="5" w:lineRule="exact"/>
        <w:rPr>
          <w:rFonts w:ascii="Arial" w:cs="Arial" w:eastAsia="Arial" w:hAnsi="Arial"/>
          <w:sz w:val="16"/>
          <w:szCs w:val="16"/>
          <w:color w:val="auto"/>
        </w:rPr>
      </w:pPr>
    </w:p>
    <w:p>
      <w:pPr>
        <w:ind w:right="20" w:firstLine="8"/>
        <w:spacing w:after="0" w:line="252" w:lineRule="auto"/>
        <w:tabs>
          <w:tab w:leader="none" w:pos="30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issues a subsequent Placement Notice with parameters superseding those on the earlier dated Placement Notice, or (iv) the Agreement has been terminated under the provisions of Section 11. The amount of any discount, commission or other compensation to be paid by the Company to CF&amp;Co in connection with the sale of the Placement Shares shall be calculated in accordance with the terms set forth in Schedule 3. It is expressly acknowledged and agreed that neither the Company nor CF&amp;Co will have any obligation whatsoever with respect to a Placement or any Placement Shares unless and until the Company delivers a Placement Notice to CF&amp;Co and CF&amp;Co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 w:name="page7"/>
    <w:bookmarkEnd w:id="6"/>
    <w:p>
      <w:pPr>
        <w:ind w:left="-20" w:firstLine="233"/>
        <w:spacing w:after="0" w:line="267" w:lineRule="auto"/>
        <w:tabs>
          <w:tab w:leader="none" w:pos="385"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Sale of Placement Shares by CF&amp;Co</w:t>
      </w:r>
      <w:r>
        <w:rPr>
          <w:rFonts w:ascii="Arial" w:cs="Arial" w:eastAsia="Arial" w:hAnsi="Arial"/>
          <w:sz w:val="17"/>
          <w:szCs w:val="17"/>
          <w:color w:val="auto"/>
        </w:rPr>
        <w:t>. Subject to the terms and conditions herein set forth, upon the Company’s issuance of a Placement Notice, and unless the sale of the Placement Shares described therein has been declined, suspended, or otherwise terminated in accordance with the terms of this Agreement, CF&amp;Co, for the period specified in the Placement Notice, will use its commercially reasonable efforts consistent with its normal trading and sales practices and applicable state and federal laws, rules and regulations and the rules of the NASDAQ Global Market (the “</w:t>
      </w:r>
      <w:r>
        <w:rPr>
          <w:rFonts w:ascii="Arial" w:cs="Arial" w:eastAsia="Arial" w:hAnsi="Arial"/>
          <w:sz w:val="17"/>
          <w:szCs w:val="17"/>
          <w:b w:val="1"/>
          <w:bCs w:val="1"/>
          <w:u w:val="single" w:color="auto"/>
          <w:color w:val="auto"/>
        </w:rPr>
        <w:t>Exchange</w:t>
      </w:r>
      <w:r>
        <w:rPr>
          <w:rFonts w:ascii="Arial" w:cs="Arial" w:eastAsia="Arial" w:hAnsi="Arial"/>
          <w:sz w:val="17"/>
          <w:szCs w:val="17"/>
          <w:color w:val="auto"/>
        </w:rPr>
        <w:t xml:space="preserve">”), to sell such Placement Shares up to the amount specified, and otherwise in accordance with the terms of such Placement Notice. CF&amp;Co will provide written confirmation to the Company (including by email correspondence) no later than the opening of the Trading Day (as defined below) next following the Trading Day on which it has made sales of Placement Shares hereunder setting forth the number of Placement Shares sold on such day, the compensation payable by the Company to CF&amp;Co with respect to such sales pursuant to Section 2, and the Net Proceeds (as defined below) payable to the Company, with an itemization of deductions made by CF&amp;Co (as set forth in Section 5(a)) from gross proceeds for the Placement Shares that it receives from such sales. CF&amp;Co may sell Placement Shares by any method permitted by law deemed to be an “at the market” offering as defined in Rule 415 of the Securities Act, including without limitation sales made directly on the Exchange, on any other existing trading market for the Common Stock or to or through a market maker. With the prior express written consent of the Company, which may be provided in its Placement Notice, CF&amp;Co may also sell Placement Shares in privately negotiated transactions. The Company acknowledges and agrees that (i) there can be no assurance that CF&amp;Co will be successful in selling Placement Shares, and (ii) CF&amp;Co will incur no liability or obligation to the Company or any other person or entity if it does not sell Placement Shares for any reason other than a failure by CF&amp;Co to use its commercially reasonable efforts consistent with its normal trading and sales practices to sell such Placement Shares as required under this </w:t>
      </w:r>
      <w:r>
        <w:rPr>
          <w:rFonts w:ascii="Arial" w:cs="Arial" w:eastAsia="Arial" w:hAnsi="Arial"/>
          <w:sz w:val="17"/>
          <w:szCs w:val="17"/>
          <w:u w:val="single" w:color="auto"/>
          <w:color w:val="auto"/>
        </w:rPr>
        <w:t>Section 3</w:t>
      </w:r>
      <w:r>
        <w:rPr>
          <w:rFonts w:ascii="Arial" w:cs="Arial" w:eastAsia="Arial" w:hAnsi="Arial"/>
          <w:sz w:val="17"/>
          <w:szCs w:val="17"/>
          <w:color w:val="auto"/>
        </w:rPr>
        <w:t>. For the purposes hereof, “</w:t>
      </w:r>
      <w:r>
        <w:rPr>
          <w:rFonts w:ascii="Arial" w:cs="Arial" w:eastAsia="Arial" w:hAnsi="Arial"/>
          <w:sz w:val="17"/>
          <w:szCs w:val="17"/>
          <w:b w:val="1"/>
          <w:bCs w:val="1"/>
          <w:i w:val="1"/>
          <w:iCs w:val="1"/>
          <w:u w:val="single" w:color="auto"/>
          <w:color w:val="auto"/>
        </w:rPr>
        <w:t>Trading Day</w:t>
      </w:r>
      <w:r>
        <w:rPr>
          <w:rFonts w:ascii="Arial" w:cs="Arial" w:eastAsia="Arial" w:hAnsi="Arial"/>
          <w:sz w:val="17"/>
          <w:szCs w:val="17"/>
          <w:color w:val="auto"/>
        </w:rPr>
        <w:t>” means any day on which the Company’s Common Stock are purchased and sold on the principal market on which the Common Stock are listed or quoted.</w:t>
      </w:r>
    </w:p>
    <w:p>
      <w:pPr>
        <w:spacing w:after="0" w:line="84" w:lineRule="exact"/>
        <w:rPr>
          <w:rFonts w:ascii="Arial" w:cs="Arial" w:eastAsia="Arial" w:hAnsi="Arial"/>
          <w:sz w:val="17"/>
          <w:szCs w:val="17"/>
          <w:color w:val="auto"/>
        </w:rPr>
      </w:pPr>
    </w:p>
    <w:p>
      <w:pPr>
        <w:ind w:left="-20" w:right="120" w:firstLine="233"/>
        <w:spacing w:after="0" w:line="255" w:lineRule="auto"/>
        <w:tabs>
          <w:tab w:leader="none" w:pos="385"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Suspension of Sales</w:t>
      </w:r>
      <w:r>
        <w:rPr>
          <w:rFonts w:ascii="Arial" w:cs="Arial" w:eastAsia="Arial" w:hAnsi="Arial"/>
          <w:sz w:val="18"/>
          <w:szCs w:val="18"/>
          <w:color w:val="auto"/>
        </w:rPr>
        <w:t xml:space="preserve">. The Company or CF&amp;Co may, upon notice to the other party in writing (including by email correspondence to each of the individuals of the other party set forth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suspend any sale of Placement Shares;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suspension shall not affect or impair either party’s obligations with respect to any Placement Shares sold hereunder prior to the receipt of such notice. Each of the Parties agrees that no such notice under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shall be effective against the other unless it is made to one of the individuals named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hereto, as such schedule may be amended from time to time.</w:t>
      </w:r>
    </w:p>
    <w:p>
      <w:pPr>
        <w:spacing w:after="0" w:line="81" w:lineRule="exact"/>
        <w:rPr>
          <w:rFonts w:ascii="Arial" w:cs="Arial" w:eastAsia="Arial" w:hAnsi="Arial"/>
          <w:sz w:val="18"/>
          <w:szCs w:val="18"/>
          <w:color w:val="auto"/>
        </w:rPr>
      </w:pPr>
    </w:p>
    <w:p>
      <w:pPr>
        <w:ind w:left="400" w:hanging="187"/>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20" w:right="120" w:firstLine="446"/>
        <w:spacing w:after="0" w:line="279" w:lineRule="auto"/>
        <w:tabs>
          <w:tab w:leader="none" w:pos="915" w:val="left"/>
        </w:tabs>
        <w:numPr>
          <w:ilvl w:val="1"/>
          <w:numId w:val="5"/>
        </w:numPr>
        <w:rPr>
          <w:rFonts w:ascii="Arial" w:cs="Arial" w:eastAsia="Arial" w:hAnsi="Arial"/>
          <w:sz w:val="17"/>
          <w:szCs w:val="17"/>
          <w:color w:val="auto"/>
        </w:rPr>
      </w:pPr>
      <w:r>
        <w:rPr>
          <w:rFonts w:ascii="Arial" w:cs="Arial" w:eastAsia="Arial" w:hAnsi="Arial"/>
          <w:sz w:val="17"/>
          <w:szCs w:val="17"/>
          <w:u w:val="single" w:color="auto"/>
          <w:color w:val="auto"/>
        </w:rPr>
        <w:t>Settlement of Placement Shares</w:t>
      </w:r>
      <w:r>
        <w:rPr>
          <w:rFonts w:ascii="Arial" w:cs="Arial" w:eastAsia="Arial" w:hAnsi="Arial"/>
          <w:sz w:val="17"/>
          <w:szCs w:val="17"/>
          <w:color w:val="auto"/>
        </w:rPr>
        <w:t>. Unless otherwise specified in the applicable Placement Notice, settlement for sales of Placement Shares will occur on the third (3</w:t>
      </w:r>
      <w:r>
        <w:rPr>
          <w:rFonts w:ascii="Arial" w:cs="Arial" w:eastAsia="Arial" w:hAnsi="Arial"/>
          <w:sz w:val="14"/>
          <w:szCs w:val="14"/>
          <w:color w:val="auto"/>
        </w:rPr>
        <w:t>rd</w:t>
      </w:r>
      <w:r>
        <w:rPr>
          <w:rFonts w:ascii="Arial" w:cs="Arial" w:eastAsia="Arial" w:hAnsi="Arial"/>
          <w:sz w:val="17"/>
          <w:szCs w:val="17"/>
          <w:color w:val="auto"/>
        </w:rPr>
        <w:t>) Business Day (or such earlier day as is industry practice for regular-way trading) following the date on which such sales are made (each, a “</w:t>
      </w:r>
      <w:r>
        <w:rPr>
          <w:rFonts w:ascii="Arial" w:cs="Arial" w:eastAsia="Arial" w:hAnsi="Arial"/>
          <w:sz w:val="17"/>
          <w:szCs w:val="17"/>
          <w:b w:val="1"/>
          <w:bCs w:val="1"/>
          <w:i w:val="1"/>
          <w:iCs w:val="1"/>
          <w:u w:val="single" w:color="auto"/>
          <w:color w:val="auto"/>
        </w:rPr>
        <w:t>Settlement Date</w:t>
      </w:r>
      <w:r>
        <w:rPr>
          <w:rFonts w:ascii="Arial" w:cs="Arial" w:eastAsia="Arial" w:hAnsi="Arial"/>
          <w:sz w:val="17"/>
          <w:szCs w:val="17"/>
          <w:color w:val="auto"/>
        </w:rPr>
        <w:t>” and the first such settlement date, the “</w:t>
      </w:r>
      <w:r>
        <w:rPr>
          <w:rFonts w:ascii="Arial" w:cs="Arial" w:eastAsia="Arial" w:hAnsi="Arial"/>
          <w:sz w:val="17"/>
          <w:szCs w:val="17"/>
          <w:b w:val="1"/>
          <w:bCs w:val="1"/>
          <w:i w:val="1"/>
          <w:iCs w:val="1"/>
          <w:u w:val="single" w:color="auto"/>
          <w:color w:val="auto"/>
        </w:rPr>
        <w:t>First Delivery Date</w:t>
      </w:r>
      <w:r>
        <w:rPr>
          <w:rFonts w:ascii="Arial" w:cs="Arial" w:eastAsia="Arial" w:hAnsi="Arial"/>
          <w:sz w:val="17"/>
          <w:szCs w:val="17"/>
          <w:color w:val="auto"/>
        </w:rPr>
        <w:t>”). The amount of proceeds to be delivered to the Company on a Settlement Date against receipt of the Placement Shares sold (the “</w:t>
      </w:r>
      <w:r>
        <w:rPr>
          <w:rFonts w:ascii="Arial" w:cs="Arial" w:eastAsia="Arial" w:hAnsi="Arial"/>
          <w:sz w:val="17"/>
          <w:szCs w:val="17"/>
          <w:b w:val="1"/>
          <w:bCs w:val="1"/>
          <w:u w:val="single" w:color="auto"/>
          <w:color w:val="auto"/>
        </w:rPr>
        <w:t>Net Proceeds</w:t>
      </w:r>
      <w:r>
        <w:rPr>
          <w:rFonts w:ascii="Arial" w:cs="Arial" w:eastAsia="Arial" w:hAnsi="Arial"/>
          <w:sz w:val="17"/>
          <w:szCs w:val="17"/>
          <w:color w:val="auto"/>
        </w:rPr>
        <w:t>”) will be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7" w:name="page8"/>
    <w:bookmarkEnd w:id="7"/>
    <w:p>
      <w:pPr>
        <w:ind w:left="220" w:right="20"/>
        <w:spacing w:after="0" w:line="259" w:lineRule="auto"/>
        <w:rPr>
          <w:sz w:val="20"/>
          <w:szCs w:val="20"/>
          <w:color w:val="auto"/>
        </w:rPr>
      </w:pPr>
      <w:r>
        <w:rPr>
          <w:rFonts w:ascii="Arial" w:cs="Arial" w:eastAsia="Arial" w:hAnsi="Arial"/>
          <w:sz w:val="18"/>
          <w:szCs w:val="18"/>
          <w:color w:val="auto"/>
        </w:rPr>
        <w:t xml:space="preserve">equal to the aggregate sales price received by CF&amp;Co at which such Placement Shares were sold, after deduction for (i) CF&amp;Co’s commission, discount or other compensation for such sales payable by the Company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(ii) any other amounts due and payable by the Company to CF&amp;Co hereunder pursuant to </w:t>
      </w:r>
      <w:r>
        <w:rPr>
          <w:rFonts w:ascii="Arial" w:cs="Arial" w:eastAsia="Arial" w:hAnsi="Arial"/>
          <w:sz w:val="18"/>
          <w:szCs w:val="18"/>
          <w:u w:val="single" w:color="auto"/>
          <w:color w:val="auto"/>
        </w:rPr>
        <w:t>Section 7(g)</w:t>
      </w:r>
      <w:r>
        <w:rPr>
          <w:rFonts w:ascii="Arial" w:cs="Arial" w:eastAsia="Arial" w:hAnsi="Arial"/>
          <w:sz w:val="18"/>
          <w:szCs w:val="18"/>
          <w:color w:val="auto"/>
        </w:rPr>
        <w:t xml:space="preserve"> (Expenses) hereof, and (iii) any transaction fees imposed by any governmental or self-regulatory organization in respect of such sales.</w:t>
      </w:r>
    </w:p>
    <w:p>
      <w:pPr>
        <w:spacing w:after="0" w:line="79" w:lineRule="exact"/>
        <w:rPr>
          <w:sz w:val="20"/>
          <w:szCs w:val="20"/>
          <w:color w:val="auto"/>
        </w:rPr>
      </w:pPr>
    </w:p>
    <w:p>
      <w:pPr>
        <w:ind w:left="220" w:firstLine="446"/>
        <w:spacing w:after="0" w:line="288" w:lineRule="auto"/>
        <w:tabs>
          <w:tab w:leader="none" w:pos="925"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Delivery of Placement Shares</w:t>
      </w:r>
      <w:r>
        <w:rPr>
          <w:rFonts w:ascii="Arial" w:cs="Arial" w:eastAsia="Arial" w:hAnsi="Arial"/>
          <w:sz w:val="16"/>
          <w:szCs w:val="16"/>
          <w:color w:val="auto"/>
        </w:rPr>
        <w:t xml:space="preserve">. On or before each Settlement Date, the Company will, or will cause its transfer agent to, electronically transfer the Placement Shares being sold by crediting CF&amp;Co’s or its designee’s account (provided CF&amp;Co shall have given the Company written notice of such designee at least one Business Day prior to the Settlement Date) at The Depository Trust Company through its Deposit and Withdrawal at Custodian System or by such other means of delivery as may be mutually agreed upon by the parties hereto which in all cases shall be freely tradeable, transferable, registered shares in good deliverable form. On each Settlement Date, CF&amp;Co will deliver the related Net Proceeds in same-day funds to an account designated by the Company on, or prior to, the Settlement Date. The Company agrees that if the Company, or its transfer agent (if applicable), defaults in its obligation to deliver Placement Shares on a Settlement Date, the Company agrees that in addition to and in no way limiting the rights and obligations set forth in </w:t>
      </w:r>
      <w:r>
        <w:rPr>
          <w:rFonts w:ascii="Arial" w:cs="Arial" w:eastAsia="Arial" w:hAnsi="Arial"/>
          <w:sz w:val="16"/>
          <w:szCs w:val="16"/>
          <w:u w:val="single" w:color="auto"/>
          <w:color w:val="auto"/>
        </w:rPr>
        <w:t>Section 9(a)</w:t>
      </w:r>
      <w:r>
        <w:rPr>
          <w:rFonts w:ascii="Arial" w:cs="Arial" w:eastAsia="Arial" w:hAnsi="Arial"/>
          <w:sz w:val="16"/>
          <w:szCs w:val="16"/>
          <w:color w:val="auto"/>
        </w:rPr>
        <w:t xml:space="preserve"> (Indemnification and Contribution) hereto, it will (i) hold CF&amp;Co harmless against any loss, claim, damage, or expense (including reasonable legal fees and expenses), as incurred, arising out of or in connection with such default by the Company and (ii) pay to CF&amp;Co any commission, discount, or other compensation to which it would otherwise have been entitled absent such default.</w:t>
      </w:r>
    </w:p>
    <w:p>
      <w:pPr>
        <w:spacing w:after="0" w:line="61" w:lineRule="exact"/>
        <w:rPr>
          <w:rFonts w:ascii="Arial" w:cs="Arial" w:eastAsia="Arial" w:hAnsi="Arial"/>
          <w:sz w:val="16"/>
          <w:szCs w:val="16"/>
          <w:color w:val="auto"/>
        </w:rPr>
      </w:pPr>
    </w:p>
    <w:p>
      <w:pPr>
        <w:ind w:left="-20" w:right="20" w:firstLine="233"/>
        <w:spacing w:after="0" w:line="277" w:lineRule="auto"/>
        <w:tabs>
          <w:tab w:leader="none" w:pos="385"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xml:space="preserve">. The Company represents and warrants to, and agrees with, CF&amp;Co that as of each Applicable Time (as defined in </w:t>
      </w:r>
      <w:r>
        <w:rPr>
          <w:rFonts w:ascii="Arial" w:cs="Arial" w:eastAsia="Arial" w:hAnsi="Arial"/>
          <w:sz w:val="18"/>
          <w:szCs w:val="18"/>
          <w:u w:val="single" w:color="auto"/>
          <w:color w:val="auto"/>
        </w:rPr>
        <w:t>Section 20(a)</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220" w:right="40" w:firstLine="446"/>
        <w:spacing w:after="0" w:line="287" w:lineRule="auto"/>
        <w:tabs>
          <w:tab w:leader="none" w:pos="915"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Compliance with Registration Requirements</w:t>
      </w:r>
      <w:r>
        <w:rPr>
          <w:rFonts w:ascii="Arial" w:cs="Arial" w:eastAsia="Arial" w:hAnsi="Arial"/>
          <w:sz w:val="16"/>
          <w:szCs w:val="16"/>
          <w:color w:val="auto"/>
        </w:rPr>
        <w:t>. The Registration Statement has been filed with the Commission under the Securities Act and declared effective by the Commission under the Securities Act. The Company has complied with all requests of the Commission for additional or supplemental information. No stop order suspending the effectiveness of the Registration Statement is in effect and no proceedings for such purpose have been instituted or are pending or, to the Company’s knowledge, are contemplated or threatened by the Commission. The Company satisfied all applicable requirements for the use of Form S-3 under the Securities Act when the Registration Statement was filed. The Commission has not issued an order preventing or suspending the use of the base prospectus, any Free Writing Prospectus (as defined below) or the Prospectus relating to the proposed offering of the Placement Shares and no proceedings for such purpose have been instituted or are pending or, to the Company’s knowledge, are contemplated or threatened by the Commission. The Prospectus delivered to CF&amp;Co for use in connection with the offering of Placement Shares was, at the time of such delivery, identical to the electronically transmitted copies thereof filed with the Commission pursuant to IDEA, except to the extent permitted by Regulation S-T. At the respective times each part of the Registration Statement and each amendment thereto became effective or was deemed effective, as the case may be, the Registration Statement complied and will comply in all material respects with the Securities Act and did not and will not contain an untrue statement of a material fact or omit to state a material fact required to be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8" w:name="page9"/>
    <w:bookmarkEnd w:id="8"/>
    <w:p>
      <w:pPr>
        <w:ind w:right="40"/>
        <w:spacing w:after="0" w:line="264" w:lineRule="auto"/>
        <w:rPr>
          <w:sz w:val="20"/>
          <w:szCs w:val="20"/>
          <w:color w:val="auto"/>
        </w:rPr>
      </w:pPr>
      <w:r>
        <w:rPr>
          <w:rFonts w:ascii="Arial" w:cs="Arial" w:eastAsia="Arial" w:hAnsi="Arial"/>
          <w:sz w:val="18"/>
          <w:szCs w:val="18"/>
          <w:color w:val="auto"/>
        </w:rPr>
        <w:t>stated therein or necessary to make the statements therein not misleading. The immediately preceding sentence does not apply to statements in or omissions from the Registration Statement or any amendments or supplements thereto based upon and in conformity with written information furnished to the Company by CF&amp;Co specifically for use therein.</w:t>
      </w:r>
    </w:p>
    <w:p>
      <w:pPr>
        <w:spacing w:after="0" w:line="73" w:lineRule="exact"/>
        <w:rPr>
          <w:sz w:val="20"/>
          <w:szCs w:val="20"/>
          <w:color w:val="auto"/>
        </w:rPr>
      </w:pPr>
    </w:p>
    <w:p>
      <w:pPr>
        <w:jc w:val="both"/>
        <w:ind w:firstLine="446"/>
        <w:spacing w:after="0" w:line="264"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Delivery of Offering Materials</w:t>
      </w:r>
      <w:r>
        <w:rPr>
          <w:rFonts w:ascii="Arial" w:cs="Arial" w:eastAsia="Arial" w:hAnsi="Arial"/>
          <w:sz w:val="18"/>
          <w:szCs w:val="18"/>
          <w:color w:val="auto"/>
        </w:rPr>
        <w:t>. The Company has delivered to CF&amp;Co, or made available through IDEA, one complete copy of the Registration Statement and of each consent of experts filed as a part thereof, and conformed copies of the Registration Statement (without exhibits), and the Prospectus, as amended or supplemented, in such quantities and at such places as CF&amp;Co has reasonably requested.</w:t>
      </w:r>
    </w:p>
    <w:p>
      <w:pPr>
        <w:spacing w:after="0" w:line="73" w:lineRule="exact"/>
        <w:rPr>
          <w:rFonts w:ascii="Arial" w:cs="Arial" w:eastAsia="Arial" w:hAnsi="Arial"/>
          <w:sz w:val="18"/>
          <w:szCs w:val="18"/>
          <w:color w:val="auto"/>
        </w:rPr>
      </w:pPr>
    </w:p>
    <w:p>
      <w:pPr>
        <w:ind w:right="140" w:firstLine="446"/>
        <w:spacing w:after="0" w:line="297" w:lineRule="auto"/>
        <w:tabs>
          <w:tab w:leader="none" w:pos="695"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Prospectus</w:t>
      </w:r>
      <w:r>
        <w:rPr>
          <w:rFonts w:ascii="Arial" w:cs="Arial" w:eastAsia="Arial" w:hAnsi="Arial"/>
          <w:sz w:val="16"/>
          <w:szCs w:val="16"/>
          <w:color w:val="auto"/>
        </w:rPr>
        <w:t>. Neither the Prospectus nor any amendments or supplements thereto, at the time the Prospectus or any such amendment or supplement was issued, as of the date hereof and at each Applicable Time, as the case may be, included or will include an untrue statement of a material fact or omitted or will omit to state a material fact necessary in order to make the statements therein, in the light of the circumstances under which they were made, not misleading. The foregoing sentence does not apply to statements in or omissions from the Prospectus or any amendments or supplements thereto based upon and in conformity with written information furnished to the Company by CF&amp;Co specifically for use therein.</w:t>
      </w:r>
    </w:p>
    <w:p>
      <w:pPr>
        <w:spacing w:after="0" w:line="50" w:lineRule="exact"/>
        <w:rPr>
          <w:rFonts w:ascii="Arial" w:cs="Arial" w:eastAsia="Arial" w:hAnsi="Arial"/>
          <w:sz w:val="16"/>
          <w:szCs w:val="16"/>
          <w:color w:val="auto"/>
        </w:rPr>
      </w:pPr>
    </w:p>
    <w:p>
      <w:pPr>
        <w:ind w:right="20" w:firstLine="446"/>
        <w:spacing w:after="0" w:line="286" w:lineRule="auto"/>
        <w:tabs>
          <w:tab w:leader="none" w:pos="705"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Financial Information</w:t>
      </w:r>
      <w:r>
        <w:rPr>
          <w:rFonts w:ascii="Arial" w:cs="Arial" w:eastAsia="Arial" w:hAnsi="Arial"/>
          <w:sz w:val="16"/>
          <w:szCs w:val="16"/>
          <w:color w:val="auto"/>
        </w:rPr>
        <w:t>. The consolidated financial statements of the Company, together with the related schedules and notes thereto, set forth or included or incorporated by reference in the Registration Statement and the Prospectus fairly present, in all material respects, the financial condition of the Company as of and at the dates indicated and the results of operations, changes in financial position, stockholders’ equity and cash flows for the periods therein specified. Such financial statements, schedules, and notes are in conformity with GAAP as consistently applied in the United States throughout the periods involved (except as otherwise stated therein). The selected financial data included or incorporated by reference in the Registration Statement and the Prospectus present fairly the information shown therein and, to the extent based upon or derived from the financial statements, have been complied on a basis consistent with the financial statements presented therein. Any pro forma financial statements of the Company, and the related notes thereto, included or incorporated by reference in the Registration Statement and the Prospectus present fairly the information shown therein, have been prepared in accordance with the Commission’s rules and guidelines with respect to pro forma financial statements and have been properly compiled on the basis described therein, and the assumptions used in the preparation thereof are reasonable and the adjustments used therein are appropriate to give effect to the transactions and circumstances referred to therein. The Company does not have any material liabilities or obligations, direct or contingent (including any off-balance sheet obligations), not disclosed in the Registration Statement and the Prospectus. No other financial statements are required to be set forth or to be incorporated by reference in the Registration Statement or the Prospectus under the Securities Act.</w:t>
      </w:r>
    </w:p>
    <w:p>
      <w:pPr>
        <w:spacing w:after="0" w:line="66" w:lineRule="exact"/>
        <w:rPr>
          <w:rFonts w:ascii="Arial" w:cs="Arial" w:eastAsia="Arial" w:hAnsi="Arial"/>
          <w:sz w:val="16"/>
          <w:szCs w:val="16"/>
          <w:color w:val="auto"/>
        </w:rPr>
      </w:pPr>
    </w:p>
    <w:p>
      <w:pPr>
        <w:ind w:firstLine="446"/>
        <w:spacing w:after="0" w:line="312" w:lineRule="auto"/>
        <w:tabs>
          <w:tab w:leader="none" w:pos="695"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Each document incorporated or deemed to be incorporated by reference in the Registration Statement or the Prospectus heretofore filed, at the time it was or hereafter is filed with the Commission conformed and will conform when filed in all material respects with the requirements of the Exchange Act and the rules and regulations thereunder; no such document when it was filed (or, if an amendment with respect</w:t>
      </w:r>
    </w:p>
    <w:p>
      <w:pPr>
        <w:spacing w:after="0" w:line="12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9" w:name="page10"/>
    <w:bookmarkEnd w:id="9"/>
    <w:p>
      <w:pPr>
        <w:ind w:right="80"/>
        <w:spacing w:after="0" w:line="259" w:lineRule="auto"/>
        <w:rPr>
          <w:sz w:val="20"/>
          <w:szCs w:val="20"/>
          <w:color w:val="auto"/>
        </w:rPr>
      </w:pPr>
      <w:r>
        <w:rPr>
          <w:rFonts w:ascii="Arial" w:cs="Arial" w:eastAsia="Arial" w:hAnsi="Arial"/>
          <w:sz w:val="18"/>
          <w:szCs w:val="18"/>
          <w:color w:val="auto"/>
        </w:rPr>
        <w:t>to any such document was filed, when such amendment was filed), contained an untrue statement of a material fact or omitted to state a material fact required to be stated therein or necessary in order to make the statements therein not misleading; and no such document, when it is filed, will contain an untrue statement of a material fact or will omit to state a material fact required to be stated therein or necessary in order to make the statements therein not misleading.</w:t>
      </w:r>
    </w:p>
    <w:p>
      <w:pPr>
        <w:spacing w:after="0" w:line="79" w:lineRule="exact"/>
        <w:rPr>
          <w:sz w:val="20"/>
          <w:szCs w:val="20"/>
          <w:color w:val="auto"/>
        </w:rPr>
      </w:pPr>
    </w:p>
    <w:p>
      <w:pPr>
        <w:ind w:firstLine="446"/>
        <w:spacing w:after="0" w:line="254" w:lineRule="auto"/>
        <w:tabs>
          <w:tab w:leader="none" w:pos="67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Free Writing Prospectuses</w:t>
      </w:r>
      <w:r>
        <w:rPr>
          <w:rFonts w:ascii="Arial" w:cs="Arial" w:eastAsia="Arial" w:hAnsi="Arial"/>
          <w:sz w:val="18"/>
          <w:szCs w:val="18"/>
          <w:color w:val="auto"/>
        </w:rPr>
        <w:t>. Each “issuer free writing prospectus” (a “</w:t>
      </w:r>
      <w:r>
        <w:rPr>
          <w:rFonts w:ascii="Arial" w:cs="Arial" w:eastAsia="Arial" w:hAnsi="Arial"/>
          <w:sz w:val="18"/>
          <w:szCs w:val="18"/>
          <w:b w:val="1"/>
          <w:bCs w:val="1"/>
          <w:i w:val="1"/>
          <w:iCs w:val="1"/>
          <w:color w:val="auto"/>
        </w:rPr>
        <w:t>Free Writing Prospectus</w:t>
      </w:r>
      <w:r>
        <w:rPr>
          <w:rFonts w:ascii="Arial" w:cs="Arial" w:eastAsia="Arial" w:hAnsi="Arial"/>
          <w:sz w:val="18"/>
          <w:szCs w:val="18"/>
          <w:color w:val="auto"/>
        </w:rPr>
        <w:t>”), as defined in Rule 433 under the Securities Act (“</w:t>
      </w:r>
      <w:r>
        <w:rPr>
          <w:rFonts w:ascii="Arial" w:cs="Arial" w:eastAsia="Arial" w:hAnsi="Arial"/>
          <w:sz w:val="18"/>
          <w:szCs w:val="18"/>
          <w:b w:val="1"/>
          <w:bCs w:val="1"/>
          <w:i w:val="1"/>
          <w:iCs w:val="1"/>
          <w:color w:val="auto"/>
        </w:rPr>
        <w:t>Rule 433</w:t>
      </w:r>
      <w:r>
        <w:rPr>
          <w:rFonts w:ascii="Arial" w:cs="Arial" w:eastAsia="Arial" w:hAnsi="Arial"/>
          <w:sz w:val="18"/>
          <w:szCs w:val="18"/>
          <w:color w:val="auto"/>
        </w:rPr>
        <w:t xml:space="preserve">”), relating to the Placement Shares that (i) was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as of its issue date and as of each Applicable Time (as defined in </w:t>
      </w:r>
      <w:r>
        <w:rPr>
          <w:rFonts w:ascii="Arial" w:cs="Arial" w:eastAsia="Arial" w:hAnsi="Arial"/>
          <w:sz w:val="18"/>
          <w:szCs w:val="18"/>
          <w:u w:val="single" w:color="auto"/>
          <w:color w:val="auto"/>
        </w:rPr>
        <w:t>Section 20</w:t>
      </w:r>
      <w:r>
        <w:rPr>
          <w:rFonts w:ascii="Arial" w:cs="Arial" w:eastAsia="Arial" w:hAnsi="Arial"/>
          <w:sz w:val="18"/>
          <w:szCs w:val="18"/>
          <w:color w:val="auto"/>
        </w:rPr>
        <w:t xml:space="preserve"> below),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The foregoing sentence does not apply to statements in or omissions from any Free Writing Prospectus based upon and in conformity with written information furnished to the Company by CF&amp;Co specifically for use therein.</w:t>
      </w:r>
    </w:p>
    <w:p>
      <w:pPr>
        <w:spacing w:after="0" w:line="84" w:lineRule="exact"/>
        <w:rPr>
          <w:rFonts w:ascii="Arial" w:cs="Arial" w:eastAsia="Arial" w:hAnsi="Arial"/>
          <w:sz w:val="18"/>
          <w:szCs w:val="18"/>
          <w:color w:val="auto"/>
        </w:rPr>
      </w:pPr>
    </w:p>
    <w:p>
      <w:pPr>
        <w:ind w:firstLine="446"/>
        <w:spacing w:after="0" w:line="269" w:lineRule="auto"/>
        <w:tabs>
          <w:tab w:leader="none" w:pos="705"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Organization</w:t>
      </w:r>
      <w:r>
        <w:rPr>
          <w:rFonts w:ascii="Arial" w:cs="Arial" w:eastAsia="Arial" w:hAnsi="Arial"/>
          <w:sz w:val="17"/>
          <w:szCs w:val="17"/>
          <w:color w:val="auto"/>
        </w:rPr>
        <w:t>. The Company has been duly incorporated and is validly existing as a corporation in good standing under the laws of the state of Delaware with full corporate power and authority necessary to own, hold, lease and/or operate its assets and properties and to conduct the business in which it is engaged and as described in the Registration Statement and Prospectus; and the Company is duly qualified as a foreign entity to transact business and is in good standing in each jurisdiction in which such qualification is required, whether by reason of the ownership or leasing of property or the conduct of business, except where the failure, individually or in the aggregate, to be so qualified and be in good standing would not have a material adverse effect on (i) the consolidated business, operations, assets, properties, financial condition, reputation, prospects, or results of operations of the Company and the Subsidiary (as defined herein) taken as a whole, (ii) the transactions contemplated hereby, or (iii) the ability of the Company to perform its obligation under this Agreement (collectively, a “</w:t>
      </w:r>
      <w:r>
        <w:rPr>
          <w:rFonts w:ascii="Arial" w:cs="Arial" w:eastAsia="Arial" w:hAnsi="Arial"/>
          <w:sz w:val="17"/>
          <w:szCs w:val="17"/>
          <w:b w:val="1"/>
          <w:bCs w:val="1"/>
          <w:u w:val="single" w:color="auto"/>
          <w:color w:val="auto"/>
        </w:rPr>
        <w:t>Material Adverse Effect</w:t>
      </w:r>
      <w:r>
        <w:rPr>
          <w:rFonts w:ascii="Arial" w:cs="Arial" w:eastAsia="Arial" w:hAnsi="Arial"/>
          <w:sz w:val="17"/>
          <w:szCs w:val="17"/>
          <w:color w:val="auto"/>
        </w:rPr>
        <w:t>”). The Company has full corporate power and authority necessary to enter into and perform its obligations under this Agreement and to consummate the transactions contemplated hereby. The Company is in compliance with the laws, orders, rules, regulations and directives applicable to it, except for any noncompliance that, individually, or in the aggregate, would not reasonably be expected to have a Material Adverse Effect. Complete and correct copies of the articles of incorporation and of the bylaws of the Company and all amendments thereto have been delivered or made available to CF&amp;Co.</w:t>
      </w:r>
    </w:p>
    <w:p>
      <w:pPr>
        <w:spacing w:after="0" w:line="71" w:lineRule="exact"/>
        <w:rPr>
          <w:rFonts w:ascii="Arial" w:cs="Arial" w:eastAsia="Arial" w:hAnsi="Arial"/>
          <w:sz w:val="17"/>
          <w:szCs w:val="17"/>
          <w:color w:val="auto"/>
        </w:rPr>
      </w:pPr>
    </w:p>
    <w:p>
      <w:pPr>
        <w:ind w:right="80" w:firstLine="446"/>
        <w:spacing w:after="0" w:line="257" w:lineRule="auto"/>
        <w:tabs>
          <w:tab w:leader="none" w:pos="70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Subsidiary</w:t>
      </w:r>
      <w:r>
        <w:rPr>
          <w:rFonts w:ascii="Arial" w:cs="Arial" w:eastAsia="Arial" w:hAnsi="Arial"/>
          <w:sz w:val="18"/>
          <w:szCs w:val="18"/>
          <w:color w:val="auto"/>
        </w:rPr>
        <w:t>. (1) The Company has no “significant subsidiaries” (as such term is defined in Rule 1-02 of Regulation S-X promulgated under the Securities Act) other than StemCells California, Inc., a California Corporation (“</w:t>
      </w:r>
      <w:r>
        <w:rPr>
          <w:rFonts w:ascii="Arial" w:cs="Arial" w:eastAsia="Arial" w:hAnsi="Arial"/>
          <w:sz w:val="18"/>
          <w:szCs w:val="18"/>
          <w:b w:val="1"/>
          <w:bCs w:val="1"/>
          <w:u w:val="single" w:color="auto"/>
          <w:color w:val="auto"/>
        </w:rPr>
        <w:t>StemCells California</w:t>
      </w:r>
      <w:r>
        <w:rPr>
          <w:rFonts w:ascii="Arial" w:cs="Arial" w:eastAsia="Arial" w:hAnsi="Arial"/>
          <w:sz w:val="18"/>
          <w:szCs w:val="18"/>
          <w:color w:val="auto"/>
        </w:rPr>
        <w:t>”) and StemCell Sciences Holdings Limited, a private limited company registered in the United Kingdom (“</w:t>
      </w:r>
      <w:r>
        <w:rPr>
          <w:rFonts w:ascii="Arial" w:cs="Arial" w:eastAsia="Arial" w:hAnsi="Arial"/>
          <w:sz w:val="18"/>
          <w:szCs w:val="18"/>
          <w:b w:val="1"/>
          <w:bCs w:val="1"/>
          <w:u w:val="single" w:color="auto"/>
          <w:color w:val="auto"/>
        </w:rPr>
        <w:t>StemCell Sciences</w:t>
      </w:r>
      <w:r>
        <w:rPr>
          <w:rFonts w:ascii="Arial" w:cs="Arial" w:eastAsia="Arial" w:hAnsi="Arial"/>
          <w:sz w:val="18"/>
          <w:szCs w:val="18"/>
          <w:color w:val="auto"/>
        </w:rPr>
        <w:t>”). StemCells California, StemCell Sciences and each of the Company’s other subsidiaries (collectively, the “</w:t>
      </w:r>
      <w:r>
        <w:rPr>
          <w:rFonts w:ascii="Arial" w:cs="Arial" w:eastAsia="Arial" w:hAnsi="Arial"/>
          <w:sz w:val="18"/>
          <w:szCs w:val="18"/>
          <w:b w:val="1"/>
          <w:bCs w:val="1"/>
          <w:u w:val="single" w:color="auto"/>
          <w:color w:val="auto"/>
        </w:rPr>
        <w:t>Subsidiaries</w:t>
      </w:r>
      <w:r>
        <w:rPr>
          <w:rFonts w:ascii="Arial" w:cs="Arial" w:eastAsia="Arial" w:hAnsi="Arial"/>
          <w:sz w:val="18"/>
          <w:szCs w:val="18"/>
          <w:color w:val="auto"/>
        </w:rPr>
        <w:t>”) has been duly formed and incorporated and is validly existing as a corporation in good standing under the laws of its respective</w:t>
      </w:r>
    </w:p>
    <w:p>
      <w:pPr>
        <w:spacing w:after="0" w:line="16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0" w:name="page11"/>
    <w:bookmarkEnd w:id="10"/>
    <w:p>
      <w:pPr>
        <w:spacing w:after="0" w:line="272" w:lineRule="auto"/>
        <w:rPr>
          <w:sz w:val="20"/>
          <w:szCs w:val="20"/>
          <w:color w:val="auto"/>
        </w:rPr>
      </w:pPr>
      <w:r>
        <w:rPr>
          <w:rFonts w:ascii="Arial" w:cs="Arial" w:eastAsia="Arial" w:hAnsi="Arial"/>
          <w:sz w:val="17"/>
          <w:szCs w:val="17"/>
          <w:color w:val="auto"/>
        </w:rPr>
        <w:t>jurisdiction, is duly qualified to do business and is in good standing as a foreign corporation in each jurisdiction in which its ownership or lease of property or assets or the conduct of its business requires such qualification, except where the failure to so qualify, individually or in the aggregate, would not have a Material Adverse Effect, and has full corporate power and authority necessary to own, hold, lease and/or operate its assets and properties, to conduct the business in which it is engaged and as described in the Prospectus. Each of the Subsidiaries is in compliance with the laws, orders, rules, regulations and directives necessary to conduct its business except for any noncompliance that, individually or in the aggregate, would not reasonably be expected to have a Material Adverse Effect. A complete and correct copy of the formation documents of StemCells California and StemCell Sciences and all amendments thereto have been delivered or made available to CF&amp;Co.</w:t>
      </w:r>
    </w:p>
    <w:p>
      <w:pPr>
        <w:spacing w:after="0" w:line="70" w:lineRule="exact"/>
        <w:rPr>
          <w:sz w:val="20"/>
          <w:szCs w:val="20"/>
          <w:color w:val="auto"/>
        </w:rPr>
      </w:pPr>
    </w:p>
    <w:p>
      <w:pPr>
        <w:ind w:right="60" w:firstLine="671"/>
        <w:spacing w:after="0" w:line="254" w:lineRule="auto"/>
        <w:tabs>
          <w:tab w:leader="none" w:pos="93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than the capital stock of its Subsidiaries, the Company does not own, directly or indirectly, any shares of stock or any other equity interests or long-term debt securities of any corporation, firm, partnership, joint venture, association or other entity, other than the Company’s equity interest in ReNeuron Group plc, as disclosed in the Registration Statement and the Prospectus. All of the outstanding shares of capital stock of each of its Subsidiaries have been duly authorized and validly issued, are fully paid and non-assessable, and are wholly owned by the Company, free and clear of any security interest, mortgage, pledge, lien, encumbrance, claim or other equity or adverse claims except for any security interest, mortgage, pledge, lien, encumbrance, or claims as would not reasonably be expected to have a Material Adverse Effect. No options, warrants or other rights to purchase, agreements or other obligations to issue or other rights to convert any obligation into shares of capital stock or ownership interests in any of the Subsidiaries are outstanding.</w:t>
      </w:r>
    </w:p>
    <w:p>
      <w:pPr>
        <w:spacing w:after="0" w:line="84" w:lineRule="exact"/>
        <w:rPr>
          <w:rFonts w:ascii="Arial" w:cs="Arial" w:eastAsia="Arial" w:hAnsi="Arial"/>
          <w:sz w:val="18"/>
          <w:szCs w:val="18"/>
          <w:color w:val="auto"/>
        </w:rPr>
      </w:pPr>
    </w:p>
    <w:p>
      <w:pPr>
        <w:ind w:right="20" w:firstLine="446"/>
        <w:spacing w:after="0" w:line="268" w:lineRule="auto"/>
        <w:tabs>
          <w:tab w:leader="none" w:pos="665"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No Violation or Default</w:t>
      </w:r>
      <w:r>
        <w:rPr>
          <w:rFonts w:ascii="Arial" w:cs="Arial" w:eastAsia="Arial" w:hAnsi="Arial"/>
          <w:sz w:val="17"/>
          <w:szCs w:val="17"/>
          <w:color w:val="auto"/>
        </w:rPr>
        <w:t xml:space="preserve">. Neither the Company nor any of its Subsidiaries is (i) in violation of any provision of its charter or bylaws or similar organizational documents, (ii) is in default in any respect, and no event has occurred which, with notice or lapse of time or both, would constitute such a default, in the due performance or observance of any term, covenant, or condition of any indenture, contract, lease, mortgage, deed of trust, note agreement, loan agreement or other agreement, obligation, condition, covenant or instrument to which it is a party or by which it is bound or to which any of its property or assets is subject, (iii) is in violation in any respect of any statute, law, rule, regulation, ordinance, judgment, order or decree of any court, regulatory body, administrative agency, governmental body, arbitrator or other authority having jurisdiction over the Company, its Subsidiaries or any of its properties, as applicable (including, without limitation, those administered by the Food and Drug Administration of the U.S. Department of Health and Human Services (the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FDA</w:t>
      </w:r>
      <w:r>
        <w:rPr>
          <w:rFonts w:ascii="Arial" w:cs="Arial" w:eastAsia="Arial" w:hAnsi="Arial"/>
          <w:sz w:val="17"/>
          <w:szCs w:val="17"/>
          <w:b w:val="1"/>
          <w:bCs w:val="1"/>
          <w:color w:val="auto"/>
        </w:rPr>
        <w:t>”</w:t>
      </w:r>
      <w:r>
        <w:rPr>
          <w:rFonts w:ascii="Arial" w:cs="Arial" w:eastAsia="Arial" w:hAnsi="Arial"/>
          <w:sz w:val="17"/>
          <w:szCs w:val="17"/>
          <w:color w:val="auto"/>
        </w:rPr>
        <w:t>) or by any foreign, federal, state or local governmental or regulatory authority performing functions similar to those performed by the FDA), or (iv) any rule or regulation of any self-regulating organization or other non-governmental regulatory authority (including, without limitation, the rules and regulations of the Exchange) except, with respect to clauses (ii), (iii), and (iv), any violations or defaults which, singularly or in the aggregate, would not reasonably be expected to result in a Material Adverse Effect. To the knowledge of the Company, no other party under any contract or other agreement to which the Company or its Subsidiaries is a party is in default in any respect thereunder, except for any default that, individually or in the aggregate, would not reasonably be expected to have a Material Adverse Effect. The execution, delivery and performance of this Agreement, the issuance and sale of</w:t>
      </w:r>
    </w:p>
    <w:p>
      <w:pPr>
        <w:spacing w:after="0" w:line="15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1" w:name="page12"/>
    <w:bookmarkEnd w:id="11"/>
    <w:p>
      <w:pPr>
        <w:ind w:right="140"/>
        <w:spacing w:after="0" w:line="288" w:lineRule="auto"/>
        <w:rPr>
          <w:sz w:val="20"/>
          <w:szCs w:val="20"/>
          <w:color w:val="auto"/>
        </w:rPr>
      </w:pPr>
      <w:r>
        <w:rPr>
          <w:rFonts w:ascii="Arial" w:cs="Arial" w:eastAsia="Arial" w:hAnsi="Arial"/>
          <w:sz w:val="16"/>
          <w:szCs w:val="16"/>
          <w:color w:val="auto"/>
        </w:rPr>
        <w:t>the Placement Shares and the consummation of the transactions contemplated hereby will not conflict with, or result in any breach of or constitute a default under (nor constitute any event which with notice, lapse of time or both would result in any breach of, or constitute a default under), (i) any provision of the charter, bylaws or organizational documents, as the case may be, of the Company or any of its Subsidiaries, (ii) any provision of any contract, license, repurchase agreement, management agreement, indenture, mortgage, deed of trust, bank loan or credit agreement, note, lease or other evidence of indebtedness, or any lease, contract or other agreement or instrument to which the Company or any of its Subsidiaries is a party or by which the Company or any of its Subsidiaries, or any of their respective assets or properties may be bound or affected, except for any breach or default that, individually or in the aggregate, would not reasonably be expected to have a Material Adverse Effect, (iii) any federal, state, local or foreign law, regulation or rule or any decree, judgment or order applicable to the Company or any of its Subsidiaries, or (iv) any rule or regulation of any self-regulating organization or other non-governmental regulatory authority (including, without limitation, the rules and regulations of the Exchange), except for any breach or default that, individually or in the aggregate, would not reasonably be expected to have a Material Adverse Effect.</w:t>
      </w:r>
    </w:p>
    <w:p>
      <w:pPr>
        <w:spacing w:after="0" w:line="61" w:lineRule="exact"/>
        <w:rPr>
          <w:sz w:val="20"/>
          <w:szCs w:val="20"/>
          <w:color w:val="auto"/>
        </w:rPr>
      </w:pPr>
    </w:p>
    <w:p>
      <w:pPr>
        <w:jc w:val="both"/>
        <w:ind w:right="100" w:firstLine="446"/>
        <w:spacing w:after="0" w:line="302" w:lineRule="auto"/>
        <w:tabs>
          <w:tab w:leader="none" w:pos="665"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As of December 31, 2008, the Company had an authorized, issued and outstanding capitalization as set forth on its balance sheet included in the Company’s Annual Report on Form 10-K for the year ended December 31, 2008. All of the issued and outstanding shares of capital stock of the Company have been duly and validly authorized and issued and are fully paid and non-assessable, have been issued in compliance with all federal and state securities laws and were not issued in violation of any preemptive right, resale right, right of first refusal or similar right.</w:t>
      </w:r>
    </w:p>
    <w:p>
      <w:pPr>
        <w:spacing w:after="0" w:line="46" w:lineRule="exact"/>
        <w:rPr>
          <w:rFonts w:ascii="Arial" w:cs="Arial" w:eastAsia="Arial" w:hAnsi="Arial"/>
          <w:sz w:val="16"/>
          <w:szCs w:val="16"/>
          <w:color w:val="auto"/>
        </w:rPr>
      </w:pPr>
    </w:p>
    <w:p>
      <w:pPr>
        <w:ind w:firstLine="446"/>
        <w:spacing w:after="0" w:line="302" w:lineRule="auto"/>
        <w:tabs>
          <w:tab w:leader="none" w:pos="705"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Authorization; Enforceability</w:t>
      </w:r>
      <w:r>
        <w:rPr>
          <w:rFonts w:ascii="Arial" w:cs="Arial" w:eastAsia="Arial" w:hAnsi="Arial"/>
          <w:sz w:val="16"/>
          <w:szCs w:val="16"/>
          <w:color w:val="auto"/>
        </w:rPr>
        <w:t>. This Agreement has been duly authorized, executed and delivered by the Company and is a legal, valid and binding agreement of the Company enforceable in accordance with its terms, except to the extent that (i) enforceability may be limited by bankruptcy, insolvency, reorganization, moratorium or similar laws affecting creditors’ rights generally and by general equitable principles and (ii) the indemnification and contribution provisions of Section 9 hereof may be limited by federal or state securities laws and public policy considerations in respect thereof.</w:t>
      </w:r>
    </w:p>
    <w:p>
      <w:pPr>
        <w:spacing w:after="0" w:line="46" w:lineRule="exact"/>
        <w:rPr>
          <w:rFonts w:ascii="Arial" w:cs="Arial" w:eastAsia="Arial" w:hAnsi="Arial"/>
          <w:sz w:val="16"/>
          <w:szCs w:val="16"/>
          <w:color w:val="auto"/>
        </w:rPr>
      </w:pPr>
    </w:p>
    <w:p>
      <w:pPr>
        <w:jc w:val="both"/>
        <w:ind w:right="20" w:firstLine="446"/>
        <w:spacing w:after="0" w:line="259" w:lineRule="auto"/>
        <w:tabs>
          <w:tab w:leader="none" w:pos="66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Capital Stock and Placement Shares in Proper Form</w:t>
      </w:r>
      <w:r>
        <w:rPr>
          <w:rFonts w:ascii="Arial" w:cs="Arial" w:eastAsia="Arial" w:hAnsi="Arial"/>
          <w:sz w:val="18"/>
          <w:szCs w:val="18"/>
          <w:color w:val="auto"/>
        </w:rPr>
        <w:t>. The capital stock of the Company, including the Placement Shares, conforms in all material respects to the description thereof contained in the Registration Statement and the Prospectus. The form of certificates for the Placement Shares are in due and proper form and the holders of the Placement Shares will not be subject to personal liability under the Delaware General Corporation Law by reason of being such holders.</w:t>
      </w:r>
    </w:p>
    <w:p>
      <w:pPr>
        <w:spacing w:after="0" w:line="78" w:lineRule="exact"/>
        <w:rPr>
          <w:rFonts w:ascii="Arial" w:cs="Arial" w:eastAsia="Arial" w:hAnsi="Arial"/>
          <w:sz w:val="18"/>
          <w:szCs w:val="18"/>
          <w:color w:val="auto"/>
        </w:rPr>
      </w:pPr>
    </w:p>
    <w:p>
      <w:pPr>
        <w:ind w:right="20" w:firstLine="446"/>
        <w:spacing w:after="0" w:line="302" w:lineRule="auto"/>
        <w:tabs>
          <w:tab w:leader="none" w:pos="755"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Authorization of Placement Shares</w:t>
      </w:r>
      <w:r>
        <w:rPr>
          <w:rFonts w:ascii="Arial" w:cs="Arial" w:eastAsia="Arial" w:hAnsi="Arial"/>
          <w:sz w:val="16"/>
          <w:szCs w:val="16"/>
          <w:color w:val="auto"/>
        </w:rPr>
        <w:t>. The Placement Shares, when issued and delivered pursuant to the terms approved by the Board of Directors or a duly designated committee thereof, against payment therefor as provided herein, will be duly and validly authorized and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w:t>
      </w:r>
    </w:p>
    <w:p>
      <w:pPr>
        <w:spacing w:after="0" w:line="1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80" w:top="935" w:right="299" w:bottom="1440" w:gutter="0" w:footer="0" w:header="0"/>
        </w:sectPr>
      </w:pPr>
    </w:p>
    <w:bookmarkStart w:id="12" w:name="page13"/>
    <w:bookmarkEnd w:id="12"/>
    <w:p>
      <w:pPr>
        <w:ind w:right="60" w:firstLine="446"/>
        <w:spacing w:after="0" w:line="286" w:lineRule="auto"/>
        <w:tabs>
          <w:tab w:leader="none" w:pos="705"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Consents and Permits</w:t>
      </w:r>
      <w:r>
        <w:rPr>
          <w:rFonts w:ascii="Arial" w:cs="Arial" w:eastAsia="Arial" w:hAnsi="Arial"/>
          <w:sz w:val="16"/>
          <w:szCs w:val="16"/>
          <w:color w:val="auto"/>
        </w:rPr>
        <w:t>. (1) The Company and its Subsidiaries have made all filings, applications and submissions required by, and possesses all approvals, licenses, certificates, certifications, clearances, consents, exemptions, marks, notifications, orders, permits and other authorizations issued by, the appropriate federal, state or foreign regulatory authorities (including, without limitation, the FDA, and any other foreign, federal, state or local government or regulatory authorities performing functions similar to those performed by the FDA) necessary for the ownership or lease of their respective properties or to conduct its businesses as described in the Registration Statement and the Prospectus (collectively, “</w:t>
      </w:r>
      <w:r>
        <w:rPr>
          <w:rFonts w:ascii="Arial" w:cs="Arial" w:eastAsia="Arial" w:hAnsi="Arial"/>
          <w:sz w:val="16"/>
          <w:szCs w:val="16"/>
          <w:b w:val="1"/>
          <w:bCs w:val="1"/>
          <w:u w:val="single" w:color="auto"/>
          <w:color w:val="auto"/>
        </w:rPr>
        <w:t>Permits</w:t>
      </w:r>
      <w:r>
        <w:rPr>
          <w:rFonts w:ascii="Arial" w:cs="Arial" w:eastAsia="Arial" w:hAnsi="Arial"/>
          <w:sz w:val="16"/>
          <w:szCs w:val="16"/>
          <w:color w:val="auto"/>
        </w:rPr>
        <w:t>”), except for such Permits the failure of which to possess, obtain or make the same would not reasonably be expected to have a Material Adverse Effect; and neither the Company nor any of its Subsidiaries has received any written notice of proceedings relating to the limitation, revocation, cancellation, suspension, modification or non-renewal of any such Permit which, singly or in the aggregate, if the subject of an unfavorable decision, ruling or finding, would have a Material Adverse Effect, and has any reason to believe that any such license, certificate, permit or authorization will not be renewed in the ordinary course. (2) No approval, authorization, consent or order of or filing with any national, state or local governmental or regulatory commission, board, body, authority or agency is required in connection with the issuance and sale of the Placement Shares or the consummation by the Company of the transactions contemplated hereby other than (i) registration of the Placement Shares under the Securities Act, (ii) any necessary qualification under the securities or blue sky laws of the various jurisdictions in which the Placement Shares are being offered by CF&amp;Co, (iii) filing of any reports under the Exchange Act, (iv) such approvals obtained or to be obtained in connection with the approval of the listing of the Placement Shares on the Exchange, or (v) such approvals as may be required by the Conduct Rules of the Financial Industry Regulatory Authority, Inc. (“</w:t>
      </w:r>
      <w:r>
        <w:rPr>
          <w:rFonts w:ascii="Arial" w:cs="Arial" w:eastAsia="Arial" w:hAnsi="Arial"/>
          <w:sz w:val="16"/>
          <w:szCs w:val="16"/>
          <w:b w:val="1"/>
          <w:bCs w:val="1"/>
          <w:u w:val="single" w:color="auto"/>
          <w:color w:val="auto"/>
        </w:rPr>
        <w:t>FINRA</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ind w:firstLine="446"/>
        <w:spacing w:after="0" w:line="270" w:lineRule="auto"/>
        <w:tabs>
          <w:tab w:leader="none" w:pos="705"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No Preferential Rights</w:t>
      </w:r>
      <w:r>
        <w:rPr>
          <w:rFonts w:ascii="Arial" w:cs="Arial" w:eastAsia="Arial" w:hAnsi="Arial"/>
          <w:sz w:val="17"/>
          <w:szCs w:val="17"/>
          <w:color w:val="auto"/>
        </w:rPr>
        <w:t>. Except as set forth in the Registration Statement and the Prospectus, (i) no person, as such term is defined in Rule 1-02 of Regulation S-X promulgated under the Securities Act (each, a “</w:t>
      </w:r>
      <w:r>
        <w:rPr>
          <w:rFonts w:ascii="Arial" w:cs="Arial" w:eastAsia="Arial" w:hAnsi="Arial"/>
          <w:sz w:val="17"/>
          <w:szCs w:val="17"/>
          <w:b w:val="1"/>
          <w:bCs w:val="1"/>
          <w:u w:val="single" w:color="auto"/>
          <w:color w:val="auto"/>
        </w:rPr>
        <w:t>Person</w:t>
      </w:r>
      <w:r>
        <w:rPr>
          <w:rFonts w:ascii="Arial" w:cs="Arial" w:eastAsia="Arial" w:hAnsi="Arial"/>
          <w:sz w:val="17"/>
          <w:szCs w:val="17"/>
          <w:color w:val="auto"/>
        </w:rPr>
        <w:t>”), has the right, contractual or otherwise, to cause the Company to issue or sell to such Person any shares of Common Stock or shares of any other capital stock or other securities of the Company, (ii) no Person has any preemptive rights, resale rights, rights of first refusal, or any other rights (whether pursuant to a “poison pill” provision or otherwise) to purchase any shares of Common Stock or shares of any other capital stock or other securities of the Company, (iii) except as disclosed to CF&amp;Co or its agents in connection with the transactions contemplated hereby, no Person has the right to act as an underwriter or as a financial advisor to the Company in connection with the offer and sale of the Placement Shares, and (iv) no Person has the right, contractual or otherwise, to require the Company to register under the Securities Act any shares of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w:t>
      </w:r>
    </w:p>
    <w:p>
      <w:pPr>
        <w:spacing w:after="0" w:line="65" w:lineRule="exact"/>
        <w:rPr>
          <w:rFonts w:ascii="Arial" w:cs="Arial" w:eastAsia="Arial" w:hAnsi="Arial"/>
          <w:sz w:val="17"/>
          <w:szCs w:val="17"/>
          <w:color w:val="auto"/>
        </w:rPr>
      </w:pPr>
    </w:p>
    <w:p>
      <w:pPr>
        <w:ind w:right="620" w:firstLine="446"/>
        <w:spacing w:after="0" w:line="313" w:lineRule="auto"/>
        <w:tabs>
          <w:tab w:leader="none" w:pos="705"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Independent Public Accountant</w:t>
      </w:r>
      <w:r>
        <w:rPr>
          <w:rFonts w:ascii="Arial" w:cs="Arial" w:eastAsia="Arial" w:hAnsi="Arial"/>
          <w:sz w:val="17"/>
          <w:szCs w:val="17"/>
          <w:color w:val="auto"/>
        </w:rPr>
        <w:t>. Grant Thornton LLP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Grant Thornton</w:t>
      </w:r>
      <w:r>
        <w:rPr>
          <w:rFonts w:ascii="Arial" w:cs="Arial" w:eastAsia="Arial" w:hAnsi="Arial"/>
          <w:sz w:val="17"/>
          <w:szCs w:val="17"/>
          <w:b w:val="1"/>
          <w:bCs w:val="1"/>
          <w:color w:val="auto"/>
        </w:rPr>
        <w:t>”</w:t>
      </w:r>
      <w:r>
        <w:rPr>
          <w:rFonts w:ascii="Arial" w:cs="Arial" w:eastAsia="Arial" w:hAnsi="Arial"/>
          <w:sz w:val="17"/>
          <w:szCs w:val="17"/>
          <w:color w:val="auto"/>
        </w:rPr>
        <w:t>), whose report on the consolidated financial statements of the Company is filed with the Commission as part of the Registration Statement and the Prospectus, are and, during the periods covered</w:t>
      </w:r>
    </w:p>
    <w:p>
      <w:pPr>
        <w:spacing w:after="0" w:line="11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3" w:name="page14"/>
    <w:bookmarkEnd w:id="13"/>
    <w:p>
      <w:pPr>
        <w:ind w:left="4"/>
        <w:spacing w:after="0"/>
        <w:rPr>
          <w:sz w:val="20"/>
          <w:szCs w:val="20"/>
          <w:color w:val="auto"/>
        </w:rPr>
      </w:pPr>
      <w:r>
        <w:rPr>
          <w:rFonts w:ascii="Arial" w:cs="Arial" w:eastAsia="Arial" w:hAnsi="Arial"/>
          <w:sz w:val="16"/>
          <w:szCs w:val="16"/>
          <w:color w:val="auto"/>
        </w:rPr>
        <w:t>by their report, were independent public accountants within the meaning of the Securities Act and the Public Accounting Oversight Board (United States).</w:t>
      </w:r>
    </w:p>
    <w:p>
      <w:pPr>
        <w:spacing w:after="0" w:line="140" w:lineRule="exact"/>
        <w:rPr>
          <w:sz w:val="20"/>
          <w:szCs w:val="20"/>
          <w:color w:val="auto"/>
        </w:rPr>
      </w:pPr>
    </w:p>
    <w:p>
      <w:pPr>
        <w:ind w:left="4" w:right="40" w:firstLine="446"/>
        <w:spacing w:after="0" w:line="291" w:lineRule="auto"/>
        <w:tabs>
          <w:tab w:leader="none" w:pos="709"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Enforceability of Agreements</w:t>
      </w:r>
      <w:r>
        <w:rPr>
          <w:rFonts w:ascii="Arial" w:cs="Arial" w:eastAsia="Arial" w:hAnsi="Arial"/>
          <w:sz w:val="16"/>
          <w:szCs w:val="16"/>
          <w:color w:val="auto"/>
        </w:rPr>
        <w:t>. To the knowledge of the Company, all agreements between the Company and third parties expressly referenced in the Prospectus are legal, valid and binding obligations of the Company enforceable in accordance with their respective terms, except to the extent that</w:t>
      </w:r>
    </w:p>
    <w:p>
      <w:pPr>
        <w:ind w:left="4" w:right="20" w:hanging="4"/>
        <w:spacing w:after="0" w:line="254" w:lineRule="auto"/>
        <w:tabs>
          <w:tab w:leader="none" w:pos="219"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enforceability may be limited by bankruptcy, insolvency, reorganization, moratorium or similar laws affecting creditors’ rights generally and by general equitable principles and (ii) the indemnification provisions of certain agreements may be limited be federal or state securities laws or public policy considerations in respect thereof and except for any unenforceability that, individually or in the aggregate, would not unreasonably be expected to have a Material Adverse Effect.</w:t>
      </w:r>
    </w:p>
    <w:p>
      <w:pPr>
        <w:spacing w:after="0" w:line="81" w:lineRule="exact"/>
        <w:rPr>
          <w:rFonts w:ascii="Arial" w:cs="Arial" w:eastAsia="Arial" w:hAnsi="Arial"/>
          <w:sz w:val="18"/>
          <w:szCs w:val="18"/>
          <w:color w:val="auto"/>
        </w:rPr>
      </w:pPr>
    </w:p>
    <w:p>
      <w:pPr>
        <w:ind w:left="4" w:firstLine="446"/>
        <w:spacing w:after="0" w:line="273" w:lineRule="auto"/>
        <w:tabs>
          <w:tab w:leader="none" w:pos="678" w:val="left"/>
        </w:tabs>
        <w:numPr>
          <w:ilvl w:val="1"/>
          <w:numId w:val="15"/>
        </w:numPr>
        <w:rPr>
          <w:rFonts w:ascii="Arial" w:cs="Arial" w:eastAsia="Arial" w:hAnsi="Arial"/>
          <w:sz w:val="17"/>
          <w:szCs w:val="17"/>
          <w:color w:val="auto"/>
        </w:rPr>
      </w:pPr>
      <w:r>
        <w:rPr>
          <w:rFonts w:ascii="Arial" w:cs="Arial" w:eastAsia="Arial" w:hAnsi="Arial"/>
          <w:sz w:val="17"/>
          <w:szCs w:val="17"/>
          <w:u w:val="single" w:color="auto"/>
          <w:color w:val="auto"/>
        </w:rPr>
        <w:t>No Litigation</w:t>
      </w:r>
      <w:r>
        <w:rPr>
          <w:rFonts w:ascii="Arial" w:cs="Arial" w:eastAsia="Arial" w:hAnsi="Arial"/>
          <w:sz w:val="17"/>
          <w:szCs w:val="17"/>
          <w:color w:val="auto"/>
        </w:rPr>
        <w:t>. Except as disclosed in the Registration Statement and the Prospectus, there are no actions, suits, claims, investigations, inquiries or proceedings pending or, to the best of the Company’s knowledge, threatened to which either the Company or, to the Company’s knowledge, its Subsidiaries, nor any of their respective officers or directors is a party or of which any of their respective properties or other assets is subject at law or in equity, or before or by any federal, state, local or foreign governmental or regulatory commission, board, body, authority or agency or before any self-regulating organization or other non-governmental regulatory authority (including, without limitation, the Exchange), which if resolved adversely to the Company or such Subsidiary would, individually or in the aggregate, have a Material Adverse Effect.</w:t>
      </w:r>
    </w:p>
    <w:p>
      <w:pPr>
        <w:spacing w:after="0" w:line="70" w:lineRule="exact"/>
        <w:rPr>
          <w:rFonts w:ascii="Arial" w:cs="Arial" w:eastAsia="Arial" w:hAnsi="Arial"/>
          <w:sz w:val="17"/>
          <w:szCs w:val="17"/>
          <w:color w:val="auto"/>
        </w:rPr>
      </w:pPr>
    </w:p>
    <w:p>
      <w:pPr>
        <w:ind w:left="4" w:right="40" w:firstLine="446"/>
        <w:spacing w:after="0" w:line="255" w:lineRule="auto"/>
        <w:tabs>
          <w:tab w:leader="none" w:pos="689"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Regulatory Filings</w:t>
      </w:r>
      <w:r>
        <w:rPr>
          <w:rFonts w:ascii="Arial" w:cs="Arial" w:eastAsia="Arial" w:hAnsi="Arial"/>
          <w:sz w:val="18"/>
          <w:szCs w:val="18"/>
          <w:color w:val="auto"/>
        </w:rPr>
        <w:t>. Neither the Company nor any of its Subsidiaries has failed to file with the applicable regulatory authorities (including, without limitation, the FDA or any foreign, federal, state or local governmental or regulatory authority performing functions similar to those performed by the FDA) any filing, declaration, listing, registration, report or submission, except for such failures that, individually or in the aggregate, would not reasonably be expected to have a Material Adverse Effect; all such filings, declarations, listings, registrations, reports or submissions were in compliance with applicable laws when filed and no deficiencies have been asserted by any applicable regulatory authority with respect to any such filings, declarations, listings, registrations, reports or submissions, except for any deficiencies that, individually or in the aggregate, would not reasonably be expected to have a Material Adverse Effect.</w:t>
      </w:r>
    </w:p>
    <w:p>
      <w:pPr>
        <w:spacing w:after="0" w:line="81" w:lineRule="exact"/>
        <w:rPr>
          <w:rFonts w:ascii="Arial" w:cs="Arial" w:eastAsia="Arial" w:hAnsi="Arial"/>
          <w:sz w:val="18"/>
          <w:szCs w:val="18"/>
          <w:color w:val="auto"/>
        </w:rPr>
      </w:pPr>
    </w:p>
    <w:p>
      <w:pPr>
        <w:ind w:left="4" w:right="220" w:firstLine="446"/>
        <w:spacing w:after="0" w:line="277" w:lineRule="auto"/>
        <w:tabs>
          <w:tab w:leader="none" w:pos="668"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Market Capitalization</w:t>
      </w:r>
      <w:r>
        <w:rPr>
          <w:rFonts w:ascii="Arial" w:cs="Arial" w:eastAsia="Arial" w:hAnsi="Arial"/>
          <w:sz w:val="18"/>
          <w:szCs w:val="18"/>
          <w:color w:val="auto"/>
        </w:rPr>
        <w:t>. As of the date of this Agreement, the aggregate market value of the Company’s voting stock held by nonaffiliates of the Company was equal to or greater than $100 million.</w:t>
      </w:r>
    </w:p>
    <w:p>
      <w:pPr>
        <w:spacing w:after="0" w:line="62" w:lineRule="exact"/>
        <w:rPr>
          <w:rFonts w:ascii="Arial" w:cs="Arial" w:eastAsia="Arial" w:hAnsi="Arial"/>
          <w:sz w:val="18"/>
          <w:szCs w:val="18"/>
          <w:color w:val="auto"/>
        </w:rPr>
      </w:pPr>
    </w:p>
    <w:p>
      <w:pPr>
        <w:ind w:left="4" w:right="100" w:firstLine="446"/>
        <w:spacing w:after="0" w:line="257" w:lineRule="auto"/>
        <w:tabs>
          <w:tab w:leader="none" w:pos="709"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No Material Changes</w:t>
      </w:r>
      <w:r>
        <w:rPr>
          <w:rFonts w:ascii="Arial" w:cs="Arial" w:eastAsia="Arial" w:hAnsi="Arial"/>
          <w:sz w:val="18"/>
          <w:szCs w:val="18"/>
          <w:color w:val="auto"/>
        </w:rPr>
        <w:t>. Subsequent to the respective dates as of which information is given in, or incorporated by reference into, the Registration Statement and the Prospectus, there has not been (i) any change, development, or event that has caused, or could reasonably be expected to result, individually or in the aggregate, in, a Material Adverse Effect, (ii) any change in the number of authorized shares of capital stock, (iii) any transaction which is material to the Company and the Subsidiary taken as a whole, or (iv) any obligation or liability, direct or contingent (including any off-balance sheet obligations), incurred by the</w:t>
      </w:r>
    </w:p>
    <w:p>
      <w:pPr>
        <w:spacing w:after="0" w:line="161"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4"/>
          </w:cols>
          <w:pgMar w:left="476" w:top="935"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Company or its Subsidiaries, which is material to the Company and its Subsidiaries taken as a whole.</w:t>
      </w:r>
    </w:p>
    <w:p>
      <w:pPr>
        <w:spacing w:after="0" w:line="117" w:lineRule="exact"/>
        <w:rPr>
          <w:sz w:val="20"/>
          <w:szCs w:val="20"/>
          <w:color w:val="auto"/>
        </w:rPr>
      </w:pPr>
    </w:p>
    <w:p>
      <w:pPr>
        <w:ind w:right="60" w:firstLine="446"/>
        <w:spacing w:after="0" w:line="255"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 Material Defaults</w:t>
      </w:r>
      <w:r>
        <w:rPr>
          <w:rFonts w:ascii="Arial" w:cs="Arial" w:eastAsia="Arial" w:hAnsi="Arial"/>
          <w:sz w:val="18"/>
          <w:szCs w:val="18"/>
          <w:color w:val="auto"/>
        </w:rPr>
        <w:t>. Neither the Company nor any of its Subsidiaries has defaulted on any installment on indebtedness for borrowed money or on any rental on one or more long-term leases, which defaults, individually or in the aggregate, could reasonably be expected to have a Material Adverse Effect.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could reasonably be expected to have a Material Adverse Effect.</w:t>
      </w:r>
    </w:p>
    <w:p>
      <w:pPr>
        <w:spacing w:after="0" w:line="85" w:lineRule="exact"/>
        <w:rPr>
          <w:rFonts w:ascii="Arial" w:cs="Arial" w:eastAsia="Arial" w:hAnsi="Arial"/>
          <w:sz w:val="18"/>
          <w:szCs w:val="18"/>
          <w:color w:val="auto"/>
        </w:rPr>
      </w:pPr>
    </w:p>
    <w:p>
      <w:pPr>
        <w:ind w:right="220" w:firstLine="446"/>
        <w:spacing w:after="0" w:line="259" w:lineRule="auto"/>
        <w:tabs>
          <w:tab w:leader="none" w:pos="74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Certain Market Activities</w:t>
      </w:r>
      <w:r>
        <w:rPr>
          <w:rFonts w:ascii="Arial" w:cs="Arial" w:eastAsia="Arial" w:hAnsi="Arial"/>
          <w:sz w:val="18"/>
          <w:szCs w:val="18"/>
          <w:color w:val="auto"/>
        </w:rPr>
        <w:t>. Neither the Company nor, to the Company’s knowledge, any of its Subsidiaries, nor, to the Company’s knowledge, any of their respective directors, officers or controlling persons has taken, directly or indirectly, any action designed, or that has constituted or might reasonably be expected to cause or result in, under the Exchange Act or otherwise, the stabilization or manipulation of the price of any security of the Company to facilitate the sale or resale of the Placement Shares.</w:t>
      </w:r>
    </w:p>
    <w:p>
      <w:pPr>
        <w:spacing w:after="0" w:line="78" w:lineRule="exact"/>
        <w:rPr>
          <w:rFonts w:ascii="Arial" w:cs="Arial" w:eastAsia="Arial" w:hAnsi="Arial"/>
          <w:sz w:val="18"/>
          <w:szCs w:val="18"/>
          <w:color w:val="auto"/>
        </w:rPr>
      </w:pPr>
    </w:p>
    <w:p>
      <w:pPr>
        <w:jc w:val="both"/>
        <w:ind w:right="240" w:firstLine="446"/>
        <w:spacing w:after="0" w:line="312" w:lineRule="auto"/>
        <w:tabs>
          <w:tab w:leader="none" w:pos="705"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Broker/Dealer Relationships</w:t>
      </w:r>
      <w:r>
        <w:rPr>
          <w:rFonts w:ascii="Arial" w:cs="Arial" w:eastAsia="Arial" w:hAnsi="Arial"/>
          <w:sz w:val="16"/>
          <w:szCs w:val="16"/>
          <w:color w:val="auto"/>
        </w:rPr>
        <w:t>. Neither the Company nor any of its Subsidiaries or any related entities (i) is required to register as a “broker” or “dealer” in accordance with the provisions of the Exchange Act or (ii) directly or indirectly through one or more intermediaries, controls or is a “person associated with a FINRA member” or “associated person of a FINRA member” (within the meaning of Article I of the Bylaws of the NASD).</w:t>
      </w:r>
    </w:p>
    <w:p>
      <w:pPr>
        <w:spacing w:after="0" w:line="38" w:lineRule="exact"/>
        <w:rPr>
          <w:rFonts w:ascii="Arial" w:cs="Arial" w:eastAsia="Arial" w:hAnsi="Arial"/>
          <w:sz w:val="16"/>
          <w:szCs w:val="16"/>
          <w:color w:val="auto"/>
        </w:rPr>
      </w:pPr>
    </w:p>
    <w:p>
      <w:pPr>
        <w:ind w:right="160" w:firstLine="446"/>
        <w:spacing w:after="0" w:line="277"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 Reliance</w:t>
      </w:r>
      <w:r>
        <w:rPr>
          <w:rFonts w:ascii="Arial" w:cs="Arial" w:eastAsia="Arial" w:hAnsi="Arial"/>
          <w:sz w:val="18"/>
          <w:szCs w:val="18"/>
          <w:color w:val="auto"/>
        </w:rPr>
        <w:t>. The Company has not relied upon CF&amp;Co or legal counsel for CF&amp;Co for any legal, tax or accounting advice in connection with the offering and sale of the Placement Shares.</w:t>
      </w:r>
    </w:p>
    <w:p>
      <w:pPr>
        <w:spacing w:after="0" w:line="62" w:lineRule="exact"/>
        <w:rPr>
          <w:rFonts w:ascii="Arial" w:cs="Arial" w:eastAsia="Arial" w:hAnsi="Arial"/>
          <w:sz w:val="18"/>
          <w:szCs w:val="18"/>
          <w:color w:val="auto"/>
        </w:rPr>
      </w:pPr>
    </w:p>
    <w:p>
      <w:pPr>
        <w:ind w:right="180" w:firstLine="446"/>
        <w:spacing w:after="0" w:line="271" w:lineRule="auto"/>
        <w:tabs>
          <w:tab w:leader="none" w:pos="695"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The Company and, to the Company’s knowledge, any of its Subsidiaries has filed on a timely basis (taking into account all applicable extensions) all necessary federal, state, local and foreign income and franchise tax returns, if any such returns were required to be filed, through the date hereof and have paid all taxes shown as due thereon except for any failure to file or pay which, individually or in the aggregate, would not reasonably be expected to have a Material Adverse Effect. No tax deficiency has been asserted against the Company or, to the Company’s knowledge, any of its Subsidiaries, nor does the Company know of any tax deficiency that is likely to be asserted against any such entity that, if determined adversely to any such entity, could reasonably be expected to have a Material Adverse Effect. All tax liabilities, if any, are adequately provided for on the books of the Company and, to the Company’s knowledge, any of its Subsidiaries, except for such tax liabilities that, individually or in the aggregate, would not reasonably be expected to have a Material Adverse Effect.</w:t>
      </w:r>
    </w:p>
    <w:p>
      <w:pPr>
        <w:spacing w:after="0" w:line="71" w:lineRule="exact"/>
        <w:rPr>
          <w:sz w:val="20"/>
          <w:szCs w:val="20"/>
          <w:color w:val="auto"/>
        </w:rPr>
      </w:pPr>
    </w:p>
    <w:p>
      <w:pPr>
        <w:ind w:firstLine="446"/>
        <w:spacing w:after="0" w:line="259" w:lineRule="auto"/>
        <w:tabs>
          <w:tab w:leader="none" w:pos="77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 Except as set forth in the Prospectus, the Company and its Subsidiaries own, possess, license or have other rights to use all foreign and domestic patents, patent applications, trade and service marks, trade and service mark registrations, trade names, copyrights, licenses, inventions, trade secrets, technology, Internet domain names, know-how and other intellectual property (collectively, the “</w:t>
      </w:r>
      <w:r>
        <w:rPr>
          <w:rFonts w:ascii="Arial" w:cs="Arial" w:eastAsia="Arial" w:hAnsi="Arial"/>
          <w:sz w:val="18"/>
          <w:szCs w:val="18"/>
          <w:b w:val="1"/>
          <w:bCs w:val="1"/>
          <w:u w:val="single" w:color="auto"/>
          <w:color w:val="auto"/>
        </w:rPr>
        <w:t>Intellectual Property</w:t>
      </w:r>
      <w:r>
        <w:rPr>
          <w:rFonts w:ascii="Arial" w:cs="Arial" w:eastAsia="Arial" w:hAnsi="Arial"/>
          <w:sz w:val="18"/>
          <w:szCs w:val="18"/>
          <w:color w:val="auto"/>
        </w:rPr>
        <w:t>”), necessary for the</w:t>
      </w:r>
    </w:p>
    <w:p>
      <w:pPr>
        <w:spacing w:after="0" w:line="16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5" w:name="page16"/>
    <w:bookmarkEnd w:id="15"/>
    <w:p>
      <w:pPr>
        <w:ind w:right="20"/>
        <w:spacing w:after="0" w:line="267" w:lineRule="auto"/>
        <w:rPr>
          <w:sz w:val="20"/>
          <w:szCs w:val="20"/>
          <w:color w:val="auto"/>
        </w:rPr>
      </w:pPr>
      <w:r>
        <w:rPr>
          <w:rFonts w:ascii="Arial" w:cs="Arial" w:eastAsia="Arial" w:hAnsi="Arial"/>
          <w:sz w:val="17"/>
          <w:szCs w:val="17"/>
          <w:color w:val="auto"/>
        </w:rPr>
        <w:t>conduct of their respective businesses as now conducted or as proposed in the Prospectus to be conducted except to the extent that the failure to own, possess, license or otherwise hold adequate rights to use such Intellectual Property would not, individually or in the aggregate, have a Material Adverse Effect. Except as set forth in the Prospectus, (a) there are no rights of third parties to any such Intellectual Property owned by the Company and its Subsidiary; (b) to the Company’s knowledge, there is no infringement by third parties of any such Intellectual Property; (c) to the Company’s knowledge, there is no pending or threatened action, suit, proceeding or claim by others challenging the Company’s and its Subsidiary’ rights in or to any such Intellectual Property, and the Company is unaware of any facts which could form a reasonable basis for any such action, suit, proceeding or claim; (d) to the Company’s knowledge, there is no pending or threatened action, suit, proceeding or claim by others challenging the validity or scope of any such Intellectual Property; (e) there is no pending or, to the Company’s knowledge, threatened action, suit, proceeding or claim by others that the Company and its Subsidiary infringe or otherwise violate any patent, trademark, copyright, trade secret or other proprietary rights of others; and (f) to the Company’s knowledge, there is no third-party U.S. patent or published U.S. patent application which contains claims for which an Interference Proceeding (as defined in 35 U.S.C. § 135) have been commenced against any patent or patent application described in the Prospectus as being owned by or licensed to the Company, (g) the Company and its Subsidiaries have complied with the terms of each agreement pursuant to which Intellectual Property has been licensed to the Company or such Subsidiary, and all such agreements are in full force and effect; (h) to the Company’s knowledge, there is no prior art that may render any patent application within the Intellectual Property unpatentable that has not been disclosed to the U.S. Patent and Trademark Office; and (i) to the Company’s knowledge, the manufacture, use or sale of the product candidates described in the Prospectus as under development by the Company or its Subsidiaries falls or would fall within the scope of one or more claims of one or more patents or patent applications owned by, or exclusively licensed to, the Company or its Subsidiaries, except, in the case of any of clauses (b), (c), (d) and (e) above, for any such infringement by third parties or any such pending or threatened suit, action, proceeding or claim as would not, individually or in the aggregate, reasonably be expected to have a Material Adverse Effect.</w:t>
      </w:r>
    </w:p>
    <w:p>
      <w:pPr>
        <w:spacing w:after="0" w:line="82" w:lineRule="exact"/>
        <w:rPr>
          <w:sz w:val="20"/>
          <w:szCs w:val="20"/>
          <w:color w:val="auto"/>
        </w:rPr>
      </w:pPr>
    </w:p>
    <w:p>
      <w:pPr>
        <w:ind w:firstLine="446"/>
        <w:spacing w:after="0" w:line="254" w:lineRule="auto"/>
        <w:tabs>
          <w:tab w:leader="none" w:pos="79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Clinical Studies</w:t>
      </w:r>
      <w:r>
        <w:rPr>
          <w:rFonts w:ascii="Arial" w:cs="Arial" w:eastAsia="Arial" w:hAnsi="Arial"/>
          <w:sz w:val="18"/>
          <w:szCs w:val="18"/>
          <w:color w:val="auto"/>
        </w:rPr>
        <w:t>. The clinical, pre-clinical and other studies and tests conducted by or on behalf of or sponsored by the Company and its Subsidiaries were and, if still pending, are being conducted in accordance in all material respects with all statutes, laws, rules and regulations, as applicable (including, without limitation, those administered by the FDA or by any foreign, federal, state or local governmental or regulatory authority performing functions similar to those performed by the FDA). The descriptions in the Registration Statement and Prospectus of the results of such studies and tests are accurate and complete in all material respects. Except as set forth in the Prospectus, neither the Company nor any of its Subsidiaries has received any notices or other correspondence from the FDA or any other foreign, federal, state or local governmental or regulatory authority performing functions similar to those performed by the FDA with respect to any ongoing clinical or pre-clinical studies or tests requiring the termination or suspension of such studies or tests.</w:t>
      </w:r>
    </w:p>
    <w:p>
      <w:pPr>
        <w:spacing w:after="0" w:line="84" w:lineRule="exact"/>
        <w:rPr>
          <w:rFonts w:ascii="Arial" w:cs="Arial" w:eastAsia="Arial" w:hAnsi="Arial"/>
          <w:sz w:val="18"/>
          <w:szCs w:val="18"/>
          <w:color w:val="auto"/>
        </w:rPr>
      </w:pPr>
    </w:p>
    <w:p>
      <w:pPr>
        <w:ind w:right="160" w:firstLine="446"/>
        <w:spacing w:after="0" w:line="277" w:lineRule="auto"/>
        <w:tabs>
          <w:tab w:leader="none" w:pos="77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Compliance Program</w:t>
      </w:r>
      <w:r>
        <w:rPr>
          <w:rFonts w:ascii="Arial" w:cs="Arial" w:eastAsia="Arial" w:hAnsi="Arial"/>
          <w:sz w:val="18"/>
          <w:szCs w:val="18"/>
          <w:color w:val="auto"/>
        </w:rPr>
        <w:t>. The Company has established and administers a compliance program applicable to the Company, to assist the Company and the directors, officers and employees of the Company in complying with applicable regulatory guidelines</w:t>
      </w:r>
    </w:p>
    <w:p>
      <w:pPr>
        <w:spacing w:after="0" w:line="14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6" w:name="page17"/>
    <w:bookmarkEnd w:id="16"/>
    <w:p>
      <w:pPr>
        <w:ind w:right="780"/>
        <w:spacing w:after="0" w:line="277" w:lineRule="auto"/>
        <w:rPr>
          <w:sz w:val="20"/>
          <w:szCs w:val="20"/>
          <w:color w:val="auto"/>
        </w:rPr>
      </w:pPr>
      <w:r>
        <w:rPr>
          <w:rFonts w:ascii="Arial" w:cs="Arial" w:eastAsia="Arial" w:hAnsi="Arial"/>
          <w:sz w:val="18"/>
          <w:szCs w:val="18"/>
          <w:color w:val="auto"/>
        </w:rPr>
        <w:t>(including, without limitation, those administered by the FDA and any other foreign, federal, state or local governmental or regulatory authority performing functions similar to those performed by the FDA).</w:t>
      </w:r>
    </w:p>
    <w:p>
      <w:pPr>
        <w:spacing w:after="0" w:line="62" w:lineRule="exact"/>
        <w:rPr>
          <w:sz w:val="20"/>
          <w:szCs w:val="20"/>
          <w:color w:val="auto"/>
        </w:rPr>
      </w:pPr>
    </w:p>
    <w:p>
      <w:pPr>
        <w:ind w:firstLine="446"/>
        <w:spacing w:after="0" w:line="254" w:lineRule="auto"/>
        <w:tabs>
          <w:tab w:leader="none" w:pos="79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Environmental Laws</w:t>
      </w:r>
      <w:r>
        <w:rPr>
          <w:rFonts w:ascii="Arial" w:cs="Arial" w:eastAsia="Arial" w:hAnsi="Arial"/>
          <w:sz w:val="18"/>
          <w:szCs w:val="18"/>
          <w:color w:val="auto"/>
        </w:rPr>
        <w:t>. The Company and its Subsidiaries: (i) are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Arial" w:cs="Arial" w:eastAsia="Arial" w:hAnsi="Arial"/>
          <w:sz w:val="18"/>
          <w:szCs w:val="18"/>
          <w:b w:val="1"/>
          <w:bCs w:val="1"/>
          <w:u w:val="single" w:color="auto"/>
          <w:color w:val="auto"/>
        </w:rPr>
        <w:t>Environmental Laws</w:t>
      </w:r>
      <w:r>
        <w:rPr>
          <w:rFonts w:ascii="Arial" w:cs="Arial" w:eastAsia="Arial" w:hAnsi="Arial"/>
          <w:sz w:val="18"/>
          <w:szCs w:val="18"/>
          <w:color w:val="auto"/>
        </w:rPr>
        <w:t>”); (ii) have received and are in compliance with all permits, licenses and other approvals required of them under applicable Environmental Laws to conduct their respective businesses as described in the Registration Statement and the Prospectus; and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or other approvals or any such liability as would not, individually or in the aggregate, reasonably be expected to have a Material Adverse Effect.</w:t>
      </w:r>
    </w:p>
    <w:p>
      <w:pPr>
        <w:spacing w:after="0" w:line="84" w:lineRule="exact"/>
        <w:rPr>
          <w:rFonts w:ascii="Arial" w:cs="Arial" w:eastAsia="Arial" w:hAnsi="Arial"/>
          <w:sz w:val="18"/>
          <w:szCs w:val="18"/>
          <w:color w:val="auto"/>
        </w:rPr>
      </w:pPr>
    </w:p>
    <w:p>
      <w:pPr>
        <w:ind w:right="40" w:firstLine="446"/>
        <w:spacing w:after="0" w:line="276" w:lineRule="auto"/>
        <w:tabs>
          <w:tab w:leader="none" w:pos="775"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Accounting Controls</w:t>
      </w:r>
      <w:r>
        <w:rPr>
          <w:rFonts w:ascii="Arial" w:cs="Arial" w:eastAsia="Arial" w:hAnsi="Arial"/>
          <w:sz w:val="17"/>
          <w:szCs w:val="17"/>
          <w:color w:val="auto"/>
        </w:rPr>
        <w:t>. The Company and its Subsidiaries maintain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64" w:lineRule="exact"/>
        <w:rPr>
          <w:rFonts w:ascii="Arial" w:cs="Arial" w:eastAsia="Arial" w:hAnsi="Arial"/>
          <w:sz w:val="17"/>
          <w:szCs w:val="17"/>
          <w:color w:val="auto"/>
        </w:rPr>
      </w:pPr>
    </w:p>
    <w:p>
      <w:pPr>
        <w:ind w:right="60" w:firstLine="446"/>
        <w:spacing w:after="0" w:line="286" w:lineRule="auto"/>
        <w:tabs>
          <w:tab w:leader="none" w:pos="731"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Disclosure Controls</w:t>
      </w:r>
      <w:r>
        <w:rPr>
          <w:rFonts w:ascii="Arial" w:cs="Arial" w:eastAsia="Arial" w:hAnsi="Arial"/>
          <w:sz w:val="16"/>
          <w:szCs w:val="16"/>
          <w:color w:val="auto"/>
        </w:rPr>
        <w:t xml:space="preserve">. The Company has established and maintains disclosure controls and procedures (as such term is defined in Rule 13a-15e and 15d-15e under the Exchange Act), which are designed to ensure that material information relating to the Company is made known to the Company’s principal executive officer and its principal financial officer by others within those entities, and that such disclosure controls and procedures are appropriate to allow timely decisions regarding required disclosure to be included in the Company’s periodic filings under the Exchange Act. The Company’s certifying officers have evaluated the effectiveness of the Company’s disclosure controls and procedures as of the most recently ended quarter (such date,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Evaluation Date</w:t>
      </w:r>
      <w:r>
        <w:rPr>
          <w:rFonts w:ascii="Arial" w:cs="Arial" w:eastAsia="Arial" w:hAnsi="Arial"/>
          <w:sz w:val="16"/>
          <w:szCs w:val="16"/>
          <w:b w:val="1"/>
          <w:bCs w:val="1"/>
          <w:color w:val="auto"/>
        </w:rPr>
        <w:t>”</w:t>
      </w:r>
      <w:r>
        <w:rPr>
          <w:rFonts w:ascii="Arial" w:cs="Arial" w:eastAsia="Arial" w:hAnsi="Arial"/>
          <w:sz w:val="16"/>
          <w:szCs w:val="16"/>
          <w:color w:val="auto"/>
        </w:rPr>
        <w:t>). The Company presented in its most recently filed periodic report the conclusions of the certifying officers about the effectiveness of the disclosure controls and procedures based on their evaluations as of the Evaluation Date. Except as disclosed in the Registration Statement and the Prospectus and since the Evaluation Date, there have been no changes in the Company’s internal control over financial reporting (as such term is defined in Exchange Act Rules 13a-15 and 15d-15) that has materially affected, or is reasonably likely to materially affect, the Company’s internal control over financial reporting. The Company’s independent auditors and the Audit Committee of the Board of Directors of the Company have been advised of all significant deficiencies, if any, in the design or operation of internal controls which could adversely affect the Company’s ability to record, process, summarize and report financial data. All known material weaknesses, if any, in internal controls have been identified to the Company’s independent auditors. Since the date of the most recent evaluation of such</w:t>
      </w:r>
    </w:p>
    <w:p>
      <w:pPr>
        <w:spacing w:after="0" w:line="14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17" w:name="page18"/>
    <w:bookmarkEnd w:id="17"/>
    <w:p>
      <w:pPr>
        <w:spacing w:after="0" w:line="254" w:lineRule="auto"/>
        <w:rPr>
          <w:sz w:val="20"/>
          <w:szCs w:val="20"/>
          <w:color w:val="auto"/>
        </w:rPr>
      </w:pPr>
      <w:r>
        <w:rPr>
          <w:rFonts w:ascii="Arial" w:cs="Arial" w:eastAsia="Arial" w:hAnsi="Arial"/>
          <w:sz w:val="18"/>
          <w:szCs w:val="18"/>
          <w:color w:val="auto"/>
        </w:rPr>
        <w:t>disclosure controls and procedures and internal controls, there have been no significant changes in internal controls or in other factors that could significantly and adversely affect internal controls. All “significant deficiencies” and “material weaknesses” (as such terms are defined in PCAOB Auditing Standard No. 2) of the Company, if any, have been disclosed in the Registration Statement and the Prospectus; the principal executive officers (or their equivalents) and principal financial officers (or their equivalents) of the Company have made all certifications required by the Sarbanes-Oxley Act of 2002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and any related rules and regulations promulgated by the Commission, and the statements contained in each such certification are complete and correct. The Company, its Subsidiaries and the Company’s directors and officers are each in compliance in all material respects with all applicable effective provisions of the Sarbanes-Oxley Act and the rules and regulations of the Commission and the NASDAQ promulgated thereunder.</w:t>
      </w:r>
    </w:p>
    <w:p>
      <w:pPr>
        <w:spacing w:after="0" w:line="84" w:lineRule="exact"/>
        <w:rPr>
          <w:sz w:val="20"/>
          <w:szCs w:val="20"/>
          <w:color w:val="auto"/>
        </w:rPr>
      </w:pPr>
    </w:p>
    <w:p>
      <w:pPr>
        <w:ind w:firstLine="446"/>
        <w:spacing w:after="0" w:line="277" w:lineRule="auto"/>
        <w:tabs>
          <w:tab w:leader="none" w:pos="79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Finder’s Fees</w:t>
      </w:r>
      <w:r>
        <w:rPr>
          <w:rFonts w:ascii="Arial" w:cs="Arial" w:eastAsia="Arial" w:hAnsi="Arial"/>
          <w:sz w:val="18"/>
          <w:szCs w:val="18"/>
          <w:color w:val="auto"/>
        </w:rPr>
        <w:t>. Neither the Company nor any of its Subsidiaries has incurred any liability for any finder’s fees or similar payments in connection with the transactions herein contemplated, except as may otherwise exist with respect to CF&amp;Co pursuant to this Agreement.</w:t>
      </w:r>
    </w:p>
    <w:p>
      <w:pPr>
        <w:spacing w:after="0" w:line="62" w:lineRule="exact"/>
        <w:rPr>
          <w:rFonts w:ascii="Arial" w:cs="Arial" w:eastAsia="Arial" w:hAnsi="Arial"/>
          <w:sz w:val="18"/>
          <w:szCs w:val="18"/>
          <w:color w:val="auto"/>
        </w:rPr>
      </w:pPr>
    </w:p>
    <w:p>
      <w:pPr>
        <w:ind w:right="200" w:firstLine="446"/>
        <w:spacing w:after="0" w:line="272" w:lineRule="auto"/>
        <w:tabs>
          <w:tab w:leader="none" w:pos="795"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Labor Disputes</w:t>
      </w:r>
      <w:r>
        <w:rPr>
          <w:rFonts w:ascii="Arial" w:cs="Arial" w:eastAsia="Arial" w:hAnsi="Arial"/>
          <w:sz w:val="17"/>
          <w:szCs w:val="17"/>
          <w:color w:val="auto"/>
        </w:rPr>
        <w:t>. Neither the Company nor any of its Subsidiaries is engaged in any unfair labor practice; except for matters which would not, individually or in the aggregate, have a Material Adverse Effect, (i) there is no (A) unfair labor practice complaint pending or, to the Company’s knowledge, threatened against the Company or its Subsidiaries before the National Labor Relations Board, and no grievance or arbitration proceeding arising out of or under collective bargaining agreements is pending or, to the Company’s knowledge, threatened, (B) strike, labor dispute, slowdown or stoppage pending or, to the Company’s knowledge, threatened against the Company or any of its Subsidiaries and (C) union representation dispute currently existing concerning the employees of the Company or any of its Subsidiaries, and (ii) to the Company’s knowledge, no union organizing activities are currently taking place concerning the employees of the Company or any of its Subsidiaries.</w:t>
      </w:r>
    </w:p>
    <w:p>
      <w:pPr>
        <w:spacing w:after="0" w:line="69" w:lineRule="exact"/>
        <w:rPr>
          <w:rFonts w:ascii="Arial" w:cs="Arial" w:eastAsia="Arial" w:hAnsi="Arial"/>
          <w:sz w:val="17"/>
          <w:szCs w:val="17"/>
          <w:color w:val="auto"/>
        </w:rPr>
      </w:pPr>
    </w:p>
    <w:p>
      <w:pPr>
        <w:ind w:right="140" w:firstLine="446"/>
        <w:spacing w:after="0" w:line="264" w:lineRule="auto"/>
        <w:tabs>
          <w:tab w:leader="none" w:pos="71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Neither the Company nor any of its Subsidiaries, after giving effect to the offering and sale of the Placement Shares, will be an “investment company” or an entity “controlled” by an “investment company,” as such terms are defined in the Investment Company Act of 1940, as amended (the “</w:t>
      </w:r>
      <w:r>
        <w:rPr>
          <w:rFonts w:ascii="Arial" w:cs="Arial" w:eastAsia="Arial" w:hAnsi="Arial"/>
          <w:sz w:val="18"/>
          <w:szCs w:val="18"/>
          <w:b w:val="1"/>
          <w:bCs w:val="1"/>
          <w:u w:val="single" w:color="auto"/>
          <w:color w:val="auto"/>
        </w:rPr>
        <w:t>Investment Company Act</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firstLine="446"/>
        <w:spacing w:after="0" w:line="259" w:lineRule="auto"/>
        <w:tabs>
          <w:tab w:leader="none" w:pos="71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Casualty</w:t>
      </w:r>
      <w:r>
        <w:rPr>
          <w:rFonts w:ascii="Arial" w:cs="Arial" w:eastAsia="Arial" w:hAnsi="Arial"/>
          <w:sz w:val="18"/>
          <w:szCs w:val="18"/>
          <w:color w:val="auto"/>
        </w:rPr>
        <w:t>. Neither the Company nor, to the Company’s knowledge, any of its Subsidiaries has sustained since the date of the last audited financial statements included in the Registration Statement and the Prospectus any loss or interference with its respective business from fire, explosion, flood or other calamity, whether or not covered by insurance, or from any labor dispute or court or governmental action, order or decree, in each case that, individually or in the aggregate, could reasonably be expected to have a Material Adverse Effect.</w:t>
      </w:r>
    </w:p>
    <w:p>
      <w:pPr>
        <w:spacing w:after="0" w:line="78" w:lineRule="exact"/>
        <w:rPr>
          <w:rFonts w:ascii="Arial" w:cs="Arial" w:eastAsia="Arial" w:hAnsi="Arial"/>
          <w:sz w:val="18"/>
          <w:szCs w:val="18"/>
          <w:color w:val="auto"/>
        </w:rPr>
      </w:pPr>
    </w:p>
    <w:p>
      <w:pPr>
        <w:ind w:right="760" w:firstLine="446"/>
        <w:spacing w:after="0" w:line="277" w:lineRule="auto"/>
        <w:tabs>
          <w:tab w:leader="none" w:pos="79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Underwriter Agreements</w:t>
      </w:r>
      <w:r>
        <w:rPr>
          <w:rFonts w:ascii="Arial" w:cs="Arial" w:eastAsia="Arial" w:hAnsi="Arial"/>
          <w:sz w:val="18"/>
          <w:szCs w:val="18"/>
          <w:color w:val="auto"/>
        </w:rPr>
        <w:t>. The Company is not a party to any agreement with an agent or underwriter for any other “at-the-market” or continuous equity transaction.</w:t>
      </w:r>
    </w:p>
    <w:p>
      <w:pPr>
        <w:spacing w:after="0" w:line="62" w:lineRule="exact"/>
        <w:rPr>
          <w:rFonts w:ascii="Arial" w:cs="Arial" w:eastAsia="Arial" w:hAnsi="Arial"/>
          <w:sz w:val="18"/>
          <w:szCs w:val="18"/>
          <w:color w:val="auto"/>
        </w:rPr>
      </w:pPr>
    </w:p>
    <w:p>
      <w:pPr>
        <w:ind w:right="500" w:firstLine="446"/>
        <w:spacing w:after="0" w:line="308" w:lineRule="auto"/>
        <w:tabs>
          <w:tab w:leader="none" w:pos="715"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ERISA</w:t>
      </w:r>
      <w:r>
        <w:rPr>
          <w:rFonts w:ascii="Arial" w:cs="Arial" w:eastAsia="Arial" w:hAnsi="Arial"/>
          <w:sz w:val="17"/>
          <w:szCs w:val="17"/>
          <w:color w:val="auto"/>
        </w:rPr>
        <w:t>. The Company and its Subsidiaries are in compliance with all presently applicable provisions of the Employee Retirement Income Security Act of 1974, as amended, including the regulations and published interpretations thereunder (“</w:t>
      </w:r>
      <w:r>
        <w:rPr>
          <w:rFonts w:ascii="Arial" w:cs="Arial" w:eastAsia="Arial" w:hAnsi="Arial"/>
          <w:sz w:val="17"/>
          <w:szCs w:val="17"/>
          <w:b w:val="1"/>
          <w:bCs w:val="1"/>
          <w:u w:val="single" w:color="auto"/>
          <w:color w:val="auto"/>
        </w:rPr>
        <w:t>ERISA</w:t>
      </w:r>
      <w:r>
        <w:rPr>
          <w:rFonts w:ascii="Arial" w:cs="Arial" w:eastAsia="Arial" w:hAnsi="Arial"/>
          <w:sz w:val="17"/>
          <w:szCs w:val="17"/>
          <w:color w:val="auto"/>
        </w:rPr>
        <w:t>”), except for any</w:t>
      </w:r>
    </w:p>
    <w:p>
      <w:pPr>
        <w:spacing w:after="0" w:line="12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8" w:name="page19"/>
    <w:bookmarkEnd w:id="18"/>
    <w:p>
      <w:pPr>
        <w:ind w:right="100"/>
        <w:spacing w:after="0" w:line="254" w:lineRule="auto"/>
        <w:rPr>
          <w:sz w:val="20"/>
          <w:szCs w:val="20"/>
          <w:color w:val="auto"/>
        </w:rPr>
      </w:pPr>
      <w:r>
        <w:rPr>
          <w:rFonts w:ascii="Arial" w:cs="Arial" w:eastAsia="Arial" w:hAnsi="Arial"/>
          <w:sz w:val="18"/>
          <w:szCs w:val="18"/>
          <w:color w:val="auto"/>
        </w:rPr>
        <w:t>noncompliance that, individually or in the aggregate, would not reasonably be expected to have a Material Adverse Effect. No “reportable event” (as defined in section 4043 of ERISA) for which the Pension Benefit Guaranty Corporation has not waived the notice requirement has occurred in the past three years with respect to any “pension plan” (as defined in ERISA) for which the Company and its Subsidiaries would reasonably expect to have any liability. The Company and its Subsidiaries have not incurred and do not reasonably expect to incur liability under (i) Title IV of ERISA with respect to termination of, or withdrawal from, any “pension plan” or (ii) Sections 412 or 4971 of the Code. Each “pension plan” for which the Company or its Subsidiaries would have any liability that is intended to be qualified under Section 401(a) of the Code has received a favorable determination or opinion letter to that effect and, to the Company’s knowledge, no event has occurred since the date of such letter that could reasonably be expected to result in the loss of such qualification.</w:t>
      </w:r>
    </w:p>
    <w:p>
      <w:pPr>
        <w:spacing w:after="0" w:line="84" w:lineRule="exact"/>
        <w:rPr>
          <w:sz w:val="20"/>
          <w:szCs w:val="20"/>
          <w:color w:val="auto"/>
        </w:rPr>
      </w:pPr>
    </w:p>
    <w:p>
      <w:pPr>
        <w:ind w:right="140" w:firstLine="446"/>
        <w:spacing w:after="0" w:line="264" w:lineRule="auto"/>
        <w:tabs>
          <w:tab w:leader="none" w:pos="89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Forward Looking Statements</w:t>
      </w:r>
      <w:r>
        <w:rPr>
          <w:rFonts w:ascii="Arial" w:cs="Arial" w:eastAsia="Arial" w:hAnsi="Arial"/>
          <w:sz w:val="18"/>
          <w:szCs w:val="18"/>
          <w:color w:val="auto"/>
        </w:rPr>
        <w:t>. No forward looking statement within the meaning of Section 27A of the Securities Act and Section 21E of the Exchange Act contained in the Registration Statement and the Prospectus has been made or reaffirmed without a reasonable basis or has been disclosed other than in good faith.</w:t>
      </w:r>
    </w:p>
    <w:p>
      <w:pPr>
        <w:spacing w:after="0" w:line="73" w:lineRule="exact"/>
        <w:rPr>
          <w:rFonts w:ascii="Arial" w:cs="Arial" w:eastAsia="Arial" w:hAnsi="Arial"/>
          <w:sz w:val="18"/>
          <w:szCs w:val="18"/>
          <w:color w:val="auto"/>
        </w:rPr>
      </w:pPr>
    </w:p>
    <w:p>
      <w:pPr>
        <w:ind w:right="20" w:firstLine="446"/>
        <w:spacing w:after="0" w:line="257" w:lineRule="auto"/>
        <w:tabs>
          <w:tab w:leader="none" w:pos="79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CF&amp;Co Purchases</w:t>
      </w:r>
      <w:r>
        <w:rPr>
          <w:rFonts w:ascii="Arial" w:cs="Arial" w:eastAsia="Arial" w:hAnsi="Arial"/>
          <w:sz w:val="18"/>
          <w:szCs w:val="18"/>
          <w:color w:val="auto"/>
        </w:rPr>
        <w:t xml:space="preserve">. The Company acknowledges and agrees that CF&amp;Co has informed the Company that CF&amp;Co may, to the extent permitted under the Securities Act and the Exchange Act, purchase and sell shares of Common Stock for its own account while this Agreement is in effect,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that </w:t>
      </w:r>
      <w:r>
        <w:rPr>
          <w:rFonts w:ascii="Arial" w:cs="Arial" w:eastAsia="Arial" w:hAnsi="Arial"/>
          <w:sz w:val="18"/>
          <w:szCs w:val="18"/>
          <w:color w:val="auto"/>
        </w:rPr>
        <w:t>(i) no such purchase or sales shall take place while a Placement Notice is in effect (except to the extent CF&amp;Co may engage in sales of 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Shares purchased or deemed purchased from the Company as a “riskless principal” or in a similar capacity) and (ii) the Company shall not be deemed to have authorized or consented to any such purchases or sales by CF&amp;Co.</w:t>
      </w:r>
    </w:p>
    <w:p>
      <w:pPr>
        <w:spacing w:after="0" w:line="80" w:lineRule="exact"/>
        <w:rPr>
          <w:rFonts w:ascii="Arial" w:cs="Arial" w:eastAsia="Arial" w:hAnsi="Arial"/>
          <w:sz w:val="18"/>
          <w:szCs w:val="18"/>
          <w:color w:val="auto"/>
        </w:rPr>
      </w:pPr>
    </w:p>
    <w:p>
      <w:pPr>
        <w:ind w:firstLine="446"/>
        <w:spacing w:after="0" w:line="287" w:lineRule="auto"/>
        <w:tabs>
          <w:tab w:leader="none" w:pos="795"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No Improper Practices</w:t>
      </w:r>
      <w:r>
        <w:rPr>
          <w:rFonts w:ascii="Arial" w:cs="Arial" w:eastAsia="Arial" w:hAnsi="Arial"/>
          <w:sz w:val="16"/>
          <w:szCs w:val="16"/>
          <w:color w:val="auto"/>
        </w:rPr>
        <w:t>. (i) Neither the Company nor, to the Company’s knowledge, its Subsidiaries, nor to the Company’s knowledge, any of their respective executive officers has, in the past five years,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Prospectus; (ii) no relationship, direct or indirect, exists between or among the Company or, to the Company’s knowledge, any Subsidiary or any affiliate of any of them, on the one hand, and the directors, officers and stockholders of the Company or, to the Company’s knowledge, any Subsidiary, on the other hand, that is required by the Securities Act to be described in the Registration Statement and the Prospectus that is not so described; (iii) no relationship, direct or indirect, exists between or among the Company or any Subsidiary or any affiliate of them, on the one hand, and the directors, officers, stockholders or directors of the Company or, to the Company’s knowledge, any Subsidiary, on the other hand, that is required by the rules of the FINRA to be described in the Registration Statement and the Prospectus that is not so described; (iv) except as described in the Prospectus, there are no material outstanding loans or advances or material guarantees of indebtedness by the Company or, to the Company’s knowledge, any Subsidiary to or for the benefit of any of their respective officers or directors or any of the members of the families of any of them; (v) the Company has not offered, or</w:t>
      </w:r>
    </w:p>
    <w:p>
      <w:pPr>
        <w:spacing w:after="0" w:line="14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9" w:name="page20"/>
    <w:bookmarkEnd w:id="19"/>
    <w:p>
      <w:pPr>
        <w:ind w:left="7" w:right="20"/>
        <w:spacing w:after="0" w:line="255" w:lineRule="auto"/>
        <w:rPr>
          <w:sz w:val="20"/>
          <w:szCs w:val="20"/>
          <w:color w:val="auto"/>
        </w:rPr>
      </w:pPr>
      <w:r>
        <w:rPr>
          <w:rFonts w:ascii="Arial" w:cs="Arial" w:eastAsia="Arial" w:hAnsi="Arial"/>
          <w:sz w:val="18"/>
          <w:szCs w:val="18"/>
          <w:color w:val="auto"/>
        </w:rPr>
        <w:t>caused any placement agent to offer, Common Stock to any person with the intent to influence unlawfully (A) a customer or supplier of the Company or any Subsidiary to alter the customer’s or supplier’s level or type of business with the Company or any Subsidiary or (B) a trade journalist or publication to write or publish favorable information about the Company or any Subsidiary or any of their respective products or services, and, (vi) neither the Company nor any Subsidiary nor, to the Company’s knowledge, any employee or agent of the Company or any Subsidiary has made any payment of funds of the Company or any Subsidiary or received or retained any funds in violation of any law, rule or regulation (including, without limitation, the Foreign Corrupt Practices Act of 1977), which payment, receipt or retention of funds is of a character required to be disclosed in the Registration Statements or the Prospectus.</w:t>
      </w:r>
    </w:p>
    <w:p>
      <w:pPr>
        <w:spacing w:after="0" w:line="81" w:lineRule="exact"/>
        <w:rPr>
          <w:sz w:val="20"/>
          <w:szCs w:val="20"/>
          <w:color w:val="auto"/>
        </w:rPr>
      </w:pPr>
    </w:p>
    <w:p>
      <w:pPr>
        <w:ind w:left="7" w:right="20" w:firstLine="446"/>
        <w:spacing w:after="0" w:line="276" w:lineRule="auto"/>
        <w:tabs>
          <w:tab w:leader="none" w:pos="802"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Title to Property</w:t>
      </w:r>
      <w:r>
        <w:rPr>
          <w:rFonts w:ascii="Arial" w:cs="Arial" w:eastAsia="Arial" w:hAnsi="Arial"/>
          <w:sz w:val="17"/>
          <w:szCs w:val="17"/>
          <w:color w:val="auto"/>
        </w:rPr>
        <w:t>. Except as set forth in the Registration Statement and the Prospectus, the Company and its Subsidiaries have good and marketable title to all property (real and personal) described in the Registration Statement and the Prospectus as being owned by any of them, free and clear of all liens, claims, security interests or other encumbrances, except to the extent such liens, claims, security interests or other encumbrances are disclosed in the Registration Statement and the Prospectus; all the property described in the Registration Statement and the Prospectus as being held under lease by the Company or the Subsidiary is held thereby under valid, subsisting and enforceable leases.</w:t>
      </w:r>
    </w:p>
    <w:p>
      <w:pPr>
        <w:spacing w:after="0" w:line="64" w:lineRule="exact"/>
        <w:rPr>
          <w:rFonts w:ascii="Arial" w:cs="Arial" w:eastAsia="Arial" w:hAnsi="Arial"/>
          <w:sz w:val="17"/>
          <w:szCs w:val="17"/>
          <w:color w:val="auto"/>
        </w:rPr>
      </w:pPr>
    </w:p>
    <w:p>
      <w:pPr>
        <w:ind w:left="7" w:firstLine="446"/>
        <w:spacing w:after="0" w:line="257" w:lineRule="auto"/>
        <w:tabs>
          <w:tab w:leader="none" w:pos="802"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its Subsidiaries maintain insurance covering their respective properties, operations, personnel and businesses as the Company reasonably deems adequate; such insurance insures against such losses and risks to an extent which is adequate in accordance with customary industry practice to protect the Company and its Subsidiaries and their respective businesses; all such insurance is fully in force on the date hereof and will be fully in force at the time of purchase; neither the Company nor its Subsidiaries has reason to believe that it will not be able to renew any such insurance as and when such insurance expires.</w:t>
      </w:r>
    </w:p>
    <w:p>
      <w:pPr>
        <w:spacing w:after="0" w:line="80" w:lineRule="exact"/>
        <w:rPr>
          <w:rFonts w:ascii="Arial" w:cs="Arial" w:eastAsia="Arial" w:hAnsi="Arial"/>
          <w:sz w:val="18"/>
          <w:szCs w:val="18"/>
          <w:color w:val="auto"/>
        </w:rPr>
      </w:pPr>
    </w:p>
    <w:p>
      <w:pPr>
        <w:ind w:left="7" w:right="40" w:firstLine="446"/>
        <w:spacing w:after="0" w:line="264" w:lineRule="auto"/>
        <w:tabs>
          <w:tab w:leader="none" w:pos="742"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Data Reliable and Accurate</w:t>
      </w:r>
      <w:r>
        <w:rPr>
          <w:rFonts w:ascii="Arial" w:cs="Arial" w:eastAsia="Arial" w:hAnsi="Arial"/>
          <w:sz w:val="18"/>
          <w:szCs w:val="18"/>
          <w:color w:val="auto"/>
        </w:rPr>
        <w:t>. All statistical or market-related data included or incorporated by reference in the Registration Statement and the Prospectus are based on or derived from sources that the Company believes to be reliable and accurate, and the Company has obtained the written consent to the use of such data from such sources to the extent required.</w:t>
      </w:r>
    </w:p>
    <w:p>
      <w:pPr>
        <w:spacing w:after="0" w:line="73" w:lineRule="exact"/>
        <w:rPr>
          <w:rFonts w:ascii="Arial" w:cs="Arial" w:eastAsia="Arial" w:hAnsi="Arial"/>
          <w:sz w:val="18"/>
          <w:szCs w:val="18"/>
          <w:color w:val="auto"/>
        </w:rPr>
      </w:pPr>
    </w:p>
    <w:p>
      <w:pPr>
        <w:ind w:left="7" w:right="140" w:firstLine="446"/>
        <w:spacing w:after="0" w:line="259" w:lineRule="auto"/>
        <w:tabs>
          <w:tab w:leader="none" w:pos="762"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No Prohibition on Distributions</w:t>
      </w:r>
      <w:r>
        <w:rPr>
          <w:rFonts w:ascii="Arial" w:cs="Arial" w:eastAsia="Arial" w:hAnsi="Arial"/>
          <w:sz w:val="18"/>
          <w:szCs w:val="18"/>
          <w:color w:val="auto"/>
        </w:rPr>
        <w:t>. Except as set forth in the Registration Statement and the Prospectus, the Subsidiaries are not currently prohibited, directly or indirectly, from paying any dividends to the Company, from making any other distribution on the Subsidiary’s capital stock, from repaying to the Company any loans or advances to its Subsidiary from the Company or from transferring any of the Subsidiary’s property or assets to the Company.</w:t>
      </w:r>
    </w:p>
    <w:p>
      <w:pPr>
        <w:spacing w:after="0" w:line="78" w:lineRule="exact"/>
        <w:rPr>
          <w:rFonts w:ascii="Arial" w:cs="Arial" w:eastAsia="Arial" w:hAnsi="Arial"/>
          <w:sz w:val="18"/>
          <w:szCs w:val="18"/>
          <w:color w:val="auto"/>
        </w:rPr>
      </w:pPr>
    </w:p>
    <w:p>
      <w:pPr>
        <w:ind w:left="7" w:right="260" w:firstLine="446"/>
        <w:spacing w:after="0" w:line="277" w:lineRule="auto"/>
        <w:tabs>
          <w:tab w:leader="none" w:pos="722"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No Exchange Delisting</w:t>
      </w:r>
      <w:r>
        <w:rPr>
          <w:rFonts w:ascii="Arial" w:cs="Arial" w:eastAsia="Arial" w:hAnsi="Arial"/>
          <w:sz w:val="18"/>
          <w:szCs w:val="18"/>
          <w:color w:val="auto"/>
        </w:rPr>
        <w:t>. The Company has not received any notice from the Exchange regarding the delisting of the Common Stock from the Exchange.</w:t>
      </w:r>
    </w:p>
    <w:p>
      <w:pPr>
        <w:spacing w:after="0" w:line="62" w:lineRule="exact"/>
        <w:rPr>
          <w:rFonts w:ascii="Arial" w:cs="Arial" w:eastAsia="Arial" w:hAnsi="Arial"/>
          <w:sz w:val="18"/>
          <w:szCs w:val="18"/>
          <w:color w:val="auto"/>
        </w:rPr>
      </w:pPr>
    </w:p>
    <w:p>
      <w:pPr>
        <w:ind w:left="187" w:hanging="187"/>
        <w:spacing w:after="0"/>
        <w:tabs>
          <w:tab w:leader="none" w:pos="187"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and agrees with CF&amp;Co that:</w:t>
      </w:r>
    </w:p>
    <w:p>
      <w:pPr>
        <w:spacing w:after="0" w:line="198" w:lineRule="exact"/>
        <w:rPr>
          <w:sz w:val="20"/>
          <w:szCs w:val="20"/>
          <w:color w:val="auto"/>
        </w:rPr>
      </w:pPr>
    </w:p>
    <w:p>
      <w:pPr>
        <w:jc w:val="center"/>
        <w:ind w:right="173"/>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7"/>
          </w:cols>
          <w:pgMar w:left="473" w:top="935" w:right="279" w:bottom="1440" w:gutter="0" w:footer="0" w:header="0"/>
        </w:sectPr>
      </w:pPr>
    </w:p>
    <w:bookmarkStart w:id="20" w:name="page21"/>
    <w:bookmarkEnd w:id="20"/>
    <w:p>
      <w:pPr>
        <w:ind w:right="100" w:firstLine="446"/>
        <w:spacing w:after="0" w:line="285" w:lineRule="auto"/>
        <w:tabs>
          <w:tab w:leader="none" w:pos="695"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Registration Statement Amendments; Payment of Fees</w:t>
      </w:r>
      <w:r>
        <w:rPr>
          <w:rFonts w:ascii="Arial" w:cs="Arial" w:eastAsia="Arial" w:hAnsi="Arial"/>
          <w:sz w:val="16"/>
          <w:szCs w:val="16"/>
          <w:color w:val="auto"/>
        </w:rPr>
        <w:t>. After the date of this Agreement and during any period in which a Prospectus relating to any Placement Shares is required to be delivered by CF&amp;Co under the Securities Act with respect to a pending sale of the Placement Shares (including in circumstances where such requirement may be satisfied pursuant to Rule 172 under the Securities Act), (i) the Company will notify CF&amp;Co promptly of the time when any subsequent amendment to the Registration Statement, other than documents incorporated by reference, has been filed with the Commission and/or has become effective or any subsequent supplement to the Prospectus has been filed and of any comment letter from the Commission or any request by the Commission for any amendment or supplement to the Registration Statement or Prospectus or for additional information, (ii) the Company will prepare and file with the Commission, promptly upon CF&amp;Co’s request, any amendments or supplements to the Registration Statement or Prospectus that, in CF&amp;Co’s reasonable opinion, may be necessary or advisable in connection with the distribution of the Placement Shares by CF&amp;Co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failure of CF&amp;Co to make such request shall not relieve the Company of any obligation or liability hereunder, or affect CF&amp;Co’s right to rely on the representations and warranties made by the Company in this Agreement and the Company will not file any amendment or supplement to the Registration Statement or Prospectus, other than documents incorporated by reference, relating to the Placement Shares unless a copy thereof has been submitted to CF&amp;Co within a reasonable period of time before the filing and CF&amp;Co has not reasonably objected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(A) that the failure of CF&amp;Co to make such objection shall not relieve the Company of any obligation or liability hereunder, or affect CF&amp;Co’s</w:t>
      </w:r>
      <w:r>
        <w:rPr>
          <w:rFonts w:ascii="Arial" w:cs="Arial" w:eastAsia="Arial" w:hAnsi="Arial"/>
          <w:sz w:val="16"/>
          <w:szCs w:val="16"/>
          <w:i w:val="1"/>
          <w:iCs w:val="1"/>
          <w:color w:val="auto"/>
        </w:rPr>
        <w:t xml:space="preserve"> </w:t>
      </w:r>
      <w:r>
        <w:rPr>
          <w:rFonts w:ascii="Arial" w:cs="Arial" w:eastAsia="Arial" w:hAnsi="Arial"/>
          <w:sz w:val="16"/>
          <w:szCs w:val="16"/>
          <w:color w:val="auto"/>
        </w:rPr>
        <w:t>right to rely on the representations and warranties made by the Company in this Agreement, and (B) that the Company has no obligation to provide CF&amp;Co any advance filing or to provide CF&amp;Co an opportunity to object to such filing if such filing does not name CF&amp;Co); (iii)) and the Company will furnish to CF&amp;Co at the time of filing thereof a copy of any document that upon filing is deemed to be incorporated by reference into the Registration Statement or Prospectus, except for those documents available via IDEA; and (iv) the Company will cause each amendment or supplement to the Prospectus relating to the Placement Shares, other than documents incorporated by reference, to be filed with the Commission as required pursuant to the applicable paragraph of Rule 424(b) of the Securities Act (without reliance on Rule 424(b)(8) of the Securities Act).</w:t>
      </w:r>
    </w:p>
    <w:p>
      <w:pPr>
        <w:spacing w:after="0" w:line="62" w:lineRule="exact"/>
        <w:rPr>
          <w:rFonts w:ascii="Arial" w:cs="Arial" w:eastAsia="Arial" w:hAnsi="Arial"/>
          <w:sz w:val="16"/>
          <w:szCs w:val="16"/>
          <w:color w:val="auto"/>
        </w:rPr>
      </w:pPr>
    </w:p>
    <w:p>
      <w:pPr>
        <w:ind w:firstLine="446"/>
        <w:spacing w:after="0" w:line="271" w:lineRule="auto"/>
        <w:tabs>
          <w:tab w:leader="none" w:pos="705"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Notice of Commission Stop Orders</w:t>
      </w:r>
      <w:r>
        <w:rPr>
          <w:rFonts w:ascii="Arial" w:cs="Arial" w:eastAsia="Arial" w:hAnsi="Arial"/>
          <w:sz w:val="17"/>
          <w:szCs w:val="17"/>
          <w:color w:val="auto"/>
        </w:rPr>
        <w:t>. During any period in which a Prospectus relating to any Placement Shares is required to be delivered by CF&amp;Co under the Securities Act with respect to a pending sale of Placement Shares, the Company will advise CF&amp;Co, promptly after it receives notice or obtains knowledge thereof, of the issuance or threatened issuance by the Commission of any stop order suspending the effectiveness of the Registration Statement or any other order preventing or suspending the use of the Prospectus, of the suspension of the qualification of the Placement Shares for offering or sale in any jurisdiction, or of the initiation or threatening of any proceeding for any such purpose or any examination pursuant to Section 8(e) of the Securities Act, or if the Company becomes the subject of a proceeding under Section 8A of the Securities Act in connection with the offering of the Placement Shares; and it will promptly use its commercially reasonable efforts to prevent the issuance of any stop or other order or to obtain its withdrawal if such a stop or other order should be issued.</w:t>
      </w:r>
    </w:p>
    <w:p>
      <w:pPr>
        <w:spacing w:after="0" w:line="15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21" w:name="page22"/>
    <w:bookmarkEnd w:id="21"/>
    <w:p>
      <w:pPr>
        <w:ind w:right="40" w:firstLine="446"/>
        <w:spacing w:after="0" w:line="288" w:lineRule="auto"/>
        <w:tabs>
          <w:tab w:leader="none" w:pos="695"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Delivery of Prospectus; Subsequent Changes</w:t>
      </w:r>
      <w:r>
        <w:rPr>
          <w:rFonts w:ascii="Arial" w:cs="Arial" w:eastAsia="Arial" w:hAnsi="Arial"/>
          <w:sz w:val="16"/>
          <w:szCs w:val="16"/>
          <w:color w:val="auto"/>
        </w:rPr>
        <w:t>. During any period in which a Prospectus relating to the Placement Shares is required to be delivered by CF&amp;Co under the Securities Act with respect to a pending sale of the Placement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CF&amp;Co to suspend the offering of Placement Shares during such period and the Company will promptly amend or supplement the Registration Statement or Prospectus (at the expense of the Company) so as to correct such statement or omission or effect such compliance.</w:t>
      </w:r>
    </w:p>
    <w:p>
      <w:pPr>
        <w:spacing w:after="0" w:line="61" w:lineRule="exact"/>
        <w:rPr>
          <w:rFonts w:ascii="Arial" w:cs="Arial" w:eastAsia="Arial" w:hAnsi="Arial"/>
          <w:sz w:val="16"/>
          <w:szCs w:val="16"/>
          <w:color w:val="auto"/>
        </w:rPr>
      </w:pPr>
    </w:p>
    <w:p>
      <w:pPr>
        <w:ind w:right="20" w:firstLine="446"/>
        <w:spacing w:after="0" w:line="293" w:lineRule="auto"/>
        <w:tabs>
          <w:tab w:leader="none" w:pos="705"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Listing of Placement Shares</w:t>
      </w:r>
      <w:r>
        <w:rPr>
          <w:rFonts w:ascii="Arial" w:cs="Arial" w:eastAsia="Arial" w:hAnsi="Arial"/>
          <w:sz w:val="16"/>
          <w:szCs w:val="16"/>
          <w:color w:val="auto"/>
        </w:rPr>
        <w:t xml:space="preserve">. During any period in which the Prospectus relating to the Placement Shares is required to be delivered by CF&amp;Co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the Exchange and to qualify the Placement Shares for sale under the securities laws of such jurisdictions as CF&amp;Co reasonably designates and to continue such qualifications in effect so long as required for the distribution of the Placement Shares;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not be required in connection therewith to qualify as a foreign entity or dealer in securities or file a general consent to service of process in any jurisdiction.</w:t>
      </w:r>
    </w:p>
    <w:p>
      <w:pPr>
        <w:spacing w:after="0" w:line="56" w:lineRule="exact"/>
        <w:rPr>
          <w:rFonts w:ascii="Arial" w:cs="Arial" w:eastAsia="Arial" w:hAnsi="Arial"/>
          <w:sz w:val="16"/>
          <w:szCs w:val="16"/>
          <w:color w:val="auto"/>
        </w:rPr>
      </w:pPr>
    </w:p>
    <w:p>
      <w:pPr>
        <w:ind w:firstLine="446"/>
        <w:spacing w:after="0" w:line="270" w:lineRule="auto"/>
        <w:tabs>
          <w:tab w:leader="none" w:pos="695"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Delivery of Registration Statement and Prospectus</w:t>
      </w:r>
      <w:r>
        <w:rPr>
          <w:rFonts w:ascii="Arial" w:cs="Arial" w:eastAsia="Arial" w:hAnsi="Arial"/>
          <w:sz w:val="17"/>
          <w:szCs w:val="17"/>
          <w:color w:val="auto"/>
        </w:rPr>
        <w:t>. The Company will furnish to CF&amp;Co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CF&amp;Co may from time to time reasonably request and, at CF&amp;Co’s request, will also furnish copies of the Prospectus to each exchange or market on which sales of the Placement Shares may be made. The copies of the Registration Statement and the Prospectus and any supplements or amendments thereto furnished to CF&amp;Co will be identical to the electronically transmitted copies thereof filed with the Commission pursuant to IDEA, except to the extent permitted by Regulation S-T. Notwithstanding the foregoing, the Company will not be required to furnish any document (other than the Prospectus) to CF&amp;Co to the extent such document is available on IDEA.</w:t>
      </w:r>
    </w:p>
    <w:p>
      <w:pPr>
        <w:spacing w:after="0" w:line="69" w:lineRule="exact"/>
        <w:rPr>
          <w:rFonts w:ascii="Arial" w:cs="Arial" w:eastAsia="Arial" w:hAnsi="Arial"/>
          <w:sz w:val="17"/>
          <w:szCs w:val="17"/>
          <w:color w:val="auto"/>
        </w:rPr>
      </w:pPr>
    </w:p>
    <w:p>
      <w:pPr>
        <w:ind w:left="680" w:hanging="234"/>
        <w:spacing w:after="0"/>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Earnings Statement</w:t>
      </w:r>
      <w:r>
        <w:rPr>
          <w:rFonts w:ascii="Arial" w:cs="Arial" w:eastAsia="Arial" w:hAnsi="Arial"/>
          <w:sz w:val="16"/>
          <w:szCs w:val="16"/>
          <w:color w:val="auto"/>
        </w:rPr>
        <w:t>. The Company will make generally available to its security holders as soon as practicable, but in any event not later than</w:t>
      </w:r>
    </w:p>
    <w:p>
      <w:pPr>
        <w:spacing w:after="0" w:line="4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15 months after the end of the Company’s current fiscal quarter, an earnings statement covering a 12-month period that satisfies the provisions of Section 11(a) and Rule 158 of the Securities Act. “Earnings</w:t>
      </w:r>
    </w:p>
    <w:p>
      <w:pPr>
        <w:spacing w:after="0" w:line="15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22" w:name="page23"/>
    <w:bookmarkEnd w:id="22"/>
    <w:p>
      <w:pPr>
        <w:ind w:left="4"/>
        <w:spacing w:after="0"/>
        <w:rPr>
          <w:sz w:val="20"/>
          <w:szCs w:val="20"/>
          <w:color w:val="auto"/>
        </w:rPr>
      </w:pPr>
      <w:r>
        <w:rPr>
          <w:rFonts w:ascii="Arial" w:cs="Arial" w:eastAsia="Arial" w:hAnsi="Arial"/>
          <w:sz w:val="18"/>
          <w:szCs w:val="18"/>
          <w:color w:val="auto"/>
        </w:rPr>
        <w:t>statement” and “make generally available” will have the meanings contained in Rule 158 under the Securities Act.</w:t>
      </w:r>
    </w:p>
    <w:p>
      <w:pPr>
        <w:spacing w:after="0" w:line="117" w:lineRule="exact"/>
        <w:rPr>
          <w:sz w:val="20"/>
          <w:szCs w:val="20"/>
          <w:color w:val="auto"/>
        </w:rPr>
      </w:pPr>
    </w:p>
    <w:p>
      <w:pPr>
        <w:ind w:left="4" w:right="160" w:firstLine="446"/>
        <w:spacing w:after="0" w:line="286" w:lineRule="auto"/>
        <w:tabs>
          <w:tab w:leader="none" w:pos="709"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whether or not the transactions contemplated hereunder are consummated or this Agreement is terminated, in accordance with the provisions of Section 11 hereunder, will pay all expenses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and of this Agreement, (ii) the preparation, issuance and delivery of the Placement Shares,</w:t>
      </w:r>
    </w:p>
    <w:p>
      <w:pPr>
        <w:spacing w:after="0" w:line="1" w:lineRule="exact"/>
        <w:rPr>
          <w:rFonts w:ascii="Arial" w:cs="Arial" w:eastAsia="Arial" w:hAnsi="Arial"/>
          <w:sz w:val="16"/>
          <w:szCs w:val="16"/>
          <w:color w:val="auto"/>
        </w:rPr>
      </w:pPr>
    </w:p>
    <w:p>
      <w:pPr>
        <w:ind w:left="4" w:right="200" w:hanging="4"/>
        <w:spacing w:after="0" w:line="295" w:lineRule="auto"/>
        <w:tabs>
          <w:tab w:leader="none" w:pos="319"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the qualification of the Placement Shares under securities laws in accordance with the provisions of </w:t>
      </w:r>
      <w:r>
        <w:rPr>
          <w:rFonts w:ascii="Arial" w:cs="Arial" w:eastAsia="Arial" w:hAnsi="Arial"/>
          <w:sz w:val="16"/>
          <w:szCs w:val="16"/>
          <w:u w:val="single" w:color="auto"/>
          <w:color w:val="auto"/>
        </w:rPr>
        <w:t>Section 7(d)</w:t>
      </w:r>
      <w:r>
        <w:rPr>
          <w:rFonts w:ascii="Arial" w:cs="Arial" w:eastAsia="Arial" w:hAnsi="Arial"/>
          <w:sz w:val="16"/>
          <w:szCs w:val="16"/>
          <w:color w:val="auto"/>
        </w:rPr>
        <w:t xml:space="preserve"> of this Agreement, including filing fees and any reasonable fees or disbursements of counsel for CF&amp;Co in connection therewith, (iv) the printing and delivery to CF&amp;Co of copies of the Prospectus and any amendments or supplements thereto, and of this Agreement, (v) the fees and expenses incurred in connection with the listing or qualification of the Placement Shares for trading on the Exchange, and (vi) filing fees and expenses, if any, of the Commission and FINRA.</w:t>
      </w:r>
    </w:p>
    <w:p>
      <w:pPr>
        <w:spacing w:after="0" w:line="53" w:lineRule="exact"/>
        <w:rPr>
          <w:rFonts w:ascii="Arial" w:cs="Arial" w:eastAsia="Arial" w:hAnsi="Arial"/>
          <w:sz w:val="16"/>
          <w:szCs w:val="16"/>
          <w:color w:val="auto"/>
        </w:rPr>
      </w:pPr>
    </w:p>
    <w:p>
      <w:pPr>
        <w:ind w:left="704" w:hanging="254"/>
        <w:spacing w:after="0"/>
        <w:tabs>
          <w:tab w:leader="none" w:pos="704"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will use the Net Proceeds as described in the Prospectus in the section entitled “Use of Proceeds.”</w:t>
      </w:r>
    </w:p>
    <w:p>
      <w:pPr>
        <w:spacing w:after="0" w:line="117" w:lineRule="exact"/>
        <w:rPr>
          <w:rFonts w:ascii="Arial" w:cs="Arial" w:eastAsia="Arial" w:hAnsi="Arial"/>
          <w:sz w:val="18"/>
          <w:szCs w:val="18"/>
          <w:color w:val="auto"/>
        </w:rPr>
      </w:pPr>
    </w:p>
    <w:p>
      <w:pPr>
        <w:ind w:left="4" w:firstLine="446"/>
        <w:spacing w:after="0" w:line="289" w:lineRule="auto"/>
        <w:tabs>
          <w:tab w:leader="none" w:pos="668"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Notice of Other Sales</w:t>
      </w:r>
      <w:r>
        <w:rPr>
          <w:rFonts w:ascii="Arial" w:cs="Arial" w:eastAsia="Arial" w:hAnsi="Arial"/>
          <w:sz w:val="16"/>
          <w:szCs w:val="16"/>
          <w:color w:val="auto"/>
        </w:rPr>
        <w:t xml:space="preserve">. During either the pendency of any Placement Notice given hereunder, or any period in which the Prospectus relating to the Placement Shares is required to be delivered by CF&amp;Co, the Company shall provide CF&amp;Co notice as promptly as reasonably possible before it offers to sell, 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Arial" w:cs="Arial" w:eastAsia="Arial" w:hAnsi="Arial"/>
          <w:sz w:val="16"/>
          <w:szCs w:val="16"/>
          <w:i w:val="1"/>
          <w:iCs w:val="1"/>
          <w:color w:val="auto"/>
        </w:rPr>
        <w:t>provided</w:t>
      </w:r>
      <w:r>
        <w:rPr>
          <w:rFonts w:ascii="Arial" w:cs="Arial" w:eastAsia="Arial" w:hAnsi="Arial"/>
          <w:sz w:val="16"/>
          <w:szCs w:val="16"/>
          <w:color w:val="auto"/>
        </w:rPr>
        <w:t>, that such notice shall not be required in connection with the (i) issuance, grant or sale of Common Stock, options to purchase shares of Common Stock or Common Stock issuable upon the exercise of options or other equity awards pursuant to any employee or director stock option or benefits plan or stock ownership plan or issuances permitted by FINRA (ii) the issuance or sale of Common Stock pursuant to any dividend reinvestment plan that the Company may adopt from time to time or (iii) the issuance of Common Stock upon the exercise of any currently outstanding warrants, options or other rights in effect or outstanding and disclosed in filings by the Company available on EDGAR.</w:t>
      </w:r>
    </w:p>
    <w:p>
      <w:pPr>
        <w:spacing w:after="0" w:line="58" w:lineRule="exact"/>
        <w:rPr>
          <w:rFonts w:ascii="Arial" w:cs="Arial" w:eastAsia="Arial" w:hAnsi="Arial"/>
          <w:sz w:val="16"/>
          <w:szCs w:val="16"/>
          <w:color w:val="auto"/>
        </w:rPr>
      </w:pPr>
    </w:p>
    <w:p>
      <w:pPr>
        <w:jc w:val="both"/>
        <w:ind w:left="4" w:firstLine="446"/>
        <w:spacing w:after="0" w:line="264" w:lineRule="auto"/>
        <w:tabs>
          <w:tab w:leader="none" w:pos="668"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Change of Circumstances</w:t>
      </w:r>
      <w:r>
        <w:rPr>
          <w:rFonts w:ascii="Arial" w:cs="Arial" w:eastAsia="Arial" w:hAnsi="Arial"/>
          <w:sz w:val="18"/>
          <w:szCs w:val="18"/>
          <w:color w:val="auto"/>
        </w:rPr>
        <w:t>. The Company will, at any time during the pendency of a Placement Notice advise CF&amp;Co promptly after it shall have received notice or obtained knowledge thereof, of any information or fact that would alter or affect in any material respect any opinion, certificate, letter or other document required to be provided to CF&amp;Co pursuant to this Agreement.</w:t>
      </w:r>
    </w:p>
    <w:p>
      <w:pPr>
        <w:spacing w:after="0" w:line="73" w:lineRule="exact"/>
        <w:rPr>
          <w:rFonts w:ascii="Arial" w:cs="Arial" w:eastAsia="Arial" w:hAnsi="Arial"/>
          <w:sz w:val="18"/>
          <w:szCs w:val="18"/>
          <w:color w:val="auto"/>
        </w:rPr>
      </w:pPr>
    </w:p>
    <w:p>
      <w:pPr>
        <w:ind w:left="4" w:right="260" w:firstLine="446"/>
        <w:spacing w:after="0" w:line="286" w:lineRule="auto"/>
        <w:tabs>
          <w:tab w:leader="none" w:pos="709"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Due Diligence Cooperation</w:t>
      </w:r>
      <w:r>
        <w:rPr>
          <w:rFonts w:ascii="Arial" w:cs="Arial" w:eastAsia="Arial" w:hAnsi="Arial"/>
          <w:sz w:val="17"/>
          <w:szCs w:val="17"/>
          <w:color w:val="auto"/>
        </w:rPr>
        <w:t>. The Company will cooperate with any reasonable due diligence review conducted by CF&amp;Co or its agents in connection with the transactions contemplated hereby, including, without limitation, providing information and making available documents and senior corporate officers, during regular business hours and at the Company’s principal offices, as CF&amp;Co may reasonably request.</w:t>
      </w:r>
    </w:p>
    <w:p>
      <w:pPr>
        <w:spacing w:after="0" w:line="139"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4"/>
          </w:cols>
          <w:pgMar w:left="476" w:top="935" w:right="259" w:bottom="1440" w:gutter="0" w:footer="0" w:header="0"/>
        </w:sectPr>
      </w:pPr>
    </w:p>
    <w:bookmarkStart w:id="23" w:name="page24"/>
    <w:bookmarkEnd w:id="23"/>
    <w:p>
      <w:pPr>
        <w:ind w:right="60" w:firstLine="446"/>
        <w:spacing w:after="0" w:line="255" w:lineRule="auto"/>
        <w:tabs>
          <w:tab w:leader="none" w:pos="66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Required Filings Relating to Placement of Placement Shares</w:t>
      </w:r>
      <w:r>
        <w:rPr>
          <w:rFonts w:ascii="Arial" w:cs="Arial" w:eastAsia="Arial" w:hAnsi="Arial"/>
          <w:sz w:val="18"/>
          <w:szCs w:val="18"/>
          <w:color w:val="auto"/>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Arial" w:cs="Arial" w:eastAsia="Arial" w:hAnsi="Arial"/>
          <w:sz w:val="18"/>
          <w:szCs w:val="18"/>
          <w:b w:val="1"/>
          <w:bCs w:val="1"/>
          <w:u w:val="single" w:color="auto"/>
          <w:color w:val="auto"/>
        </w:rPr>
        <w:t>Filing Date</w:t>
      </w:r>
      <w:r>
        <w:rPr>
          <w:rFonts w:ascii="Arial" w:cs="Arial" w:eastAsia="Arial" w:hAnsi="Arial"/>
          <w:sz w:val="18"/>
          <w:szCs w:val="18"/>
          <w:color w:val="auto"/>
        </w:rPr>
        <w:t>”), which prospectus supplement will set forth, within the relevant period, the amount of Placement Shares sold through CF&amp;Co, the Net Proceeds to the Company and the compensation payable by the Company to CF&amp;Co with respect to such Placement Shares, and (ii) deliver such number of copies of each such prospectus supplement to each exchange or market on which such sales were effected as may be required by the rules or regulations of such exchange or market.</w:t>
      </w:r>
    </w:p>
    <w:p>
      <w:pPr>
        <w:spacing w:after="0" w:line="85" w:lineRule="exact"/>
        <w:rPr>
          <w:rFonts w:ascii="Arial" w:cs="Arial" w:eastAsia="Arial" w:hAnsi="Arial"/>
          <w:sz w:val="18"/>
          <w:szCs w:val="18"/>
          <w:color w:val="auto"/>
        </w:rPr>
      </w:pPr>
    </w:p>
    <w:p>
      <w:pPr>
        <w:ind w:right="20" w:firstLine="446"/>
        <w:spacing w:after="0" w:line="285" w:lineRule="auto"/>
        <w:tabs>
          <w:tab w:leader="none" w:pos="755"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Representation Dates; Certificate</w:t>
      </w:r>
      <w:r>
        <w:rPr>
          <w:rFonts w:ascii="Arial" w:cs="Arial" w:eastAsia="Arial" w:hAnsi="Arial"/>
          <w:sz w:val="16"/>
          <w:szCs w:val="16"/>
          <w:color w:val="auto"/>
        </w:rPr>
        <w:t>. Three Trading Days prior to the First Delivery Date and each time the Company (i) files the Prospectus relating to the Placement Shares or amends or supplements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 (ii) files an annual report on Form 10-K under the Exchange Act; (iii) files its quarterly reports on Form 10-Q under the Exchange Act; or (iv) files a report on Form 8-K containing amended financial information (other than an earnings release, to “furnish” information pursuant to Items 2.02 or 7.01 of Form 8-K or to provide disclosure pursuant to Item 8.01 of Form 8-K relating to the reclassifications of certain properties as discontinued operations in accordance with Statement of Financial Accounting Standards No. 144) under the Exchange Act (each date of filing of one or more of the documents referred to in clauses (i) through (iv) shall be a “</w:t>
      </w:r>
      <w:r>
        <w:rPr>
          <w:rFonts w:ascii="Arial" w:cs="Arial" w:eastAsia="Arial" w:hAnsi="Arial"/>
          <w:sz w:val="16"/>
          <w:szCs w:val="16"/>
          <w:b w:val="1"/>
          <w:bCs w:val="1"/>
          <w:i w:val="1"/>
          <w:iCs w:val="1"/>
          <w:u w:val="single" w:color="auto"/>
          <w:color w:val="auto"/>
        </w:rPr>
        <w:t>Representation Date</w:t>
      </w:r>
      <w:r>
        <w:rPr>
          <w:rFonts w:ascii="Arial" w:cs="Arial" w:eastAsia="Arial" w:hAnsi="Arial"/>
          <w:sz w:val="16"/>
          <w:szCs w:val="16"/>
          <w:color w:val="auto"/>
        </w:rPr>
        <w:t xml:space="preserve">”); the Company shall furnish CF&amp;Co with a certificate, in the form attached hereto as </w:t>
      </w:r>
      <w:r>
        <w:rPr>
          <w:rFonts w:ascii="Arial" w:cs="Arial" w:eastAsia="Arial" w:hAnsi="Arial"/>
          <w:sz w:val="16"/>
          <w:szCs w:val="16"/>
          <w:u w:val="single" w:color="auto"/>
          <w:color w:val="auto"/>
        </w:rPr>
        <w:t>Exhibit 7(m)</w:t>
      </w:r>
      <w:r>
        <w:rPr>
          <w:rFonts w:ascii="Arial" w:cs="Arial" w:eastAsia="Arial" w:hAnsi="Arial"/>
          <w:sz w:val="16"/>
          <w:szCs w:val="16"/>
          <w:color w:val="auto"/>
        </w:rPr>
        <w:t xml:space="preserve"> within three (3) Trading Days of any Representation Date. The requirement to provide a certificate under this </w:t>
      </w:r>
      <w:r>
        <w:rPr>
          <w:rFonts w:ascii="Arial" w:cs="Arial" w:eastAsia="Arial" w:hAnsi="Arial"/>
          <w:sz w:val="16"/>
          <w:szCs w:val="16"/>
          <w:u w:val="single" w:color="auto"/>
          <w:color w:val="auto"/>
        </w:rPr>
        <w:t>Section 7(m)</w:t>
      </w:r>
      <w:r>
        <w:rPr>
          <w:rFonts w:ascii="Arial" w:cs="Arial" w:eastAsia="Arial" w:hAnsi="Arial"/>
          <w:sz w:val="16"/>
          <w:szCs w:val="16"/>
          <w:color w:val="auto"/>
        </w:rPr>
        <w:t xml:space="preserve"> shall be waived for any Representation Date occurring at a time at which no Placement Notice is pending, which waiver shall continue until the earlier to occur of the date the Company delivers a Placement Notice hereunder (which for such calendar quarter shall be considered a Representation Date) and the next occurring Representation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waiver shall not apply for any Representation Date on which the Company files its annual report on Form 10-K. Notwithstanding the foregoing, if the Company subsequently decides to sell Placement Shares following a Representation Date when the Company relied on such waiver and did not provide CF&amp;Co with a certificate under this </w:t>
      </w:r>
      <w:r>
        <w:rPr>
          <w:rFonts w:ascii="Arial" w:cs="Arial" w:eastAsia="Arial" w:hAnsi="Arial"/>
          <w:sz w:val="16"/>
          <w:szCs w:val="16"/>
          <w:u w:val="single" w:color="auto"/>
          <w:color w:val="auto"/>
        </w:rPr>
        <w:t>Section 7(m)</w:t>
      </w:r>
      <w:r>
        <w:rPr>
          <w:rFonts w:ascii="Arial" w:cs="Arial" w:eastAsia="Arial" w:hAnsi="Arial"/>
          <w:sz w:val="16"/>
          <w:szCs w:val="16"/>
          <w:color w:val="auto"/>
        </w:rPr>
        <w:t xml:space="preserve">, then before the Company delivers the Placement Notice or CF&amp;Co sells any Placement Shares, the Company shall provide CF&amp;Co with a certificate, in the form attached hereto as </w:t>
      </w:r>
      <w:r>
        <w:rPr>
          <w:rFonts w:ascii="Arial" w:cs="Arial" w:eastAsia="Arial" w:hAnsi="Arial"/>
          <w:sz w:val="16"/>
          <w:szCs w:val="16"/>
          <w:u w:val="single" w:color="auto"/>
          <w:color w:val="auto"/>
        </w:rPr>
        <w:t>Exhibit 7(m)</w:t>
      </w:r>
      <w:r>
        <w:rPr>
          <w:rFonts w:ascii="Arial" w:cs="Arial" w:eastAsia="Arial" w:hAnsi="Arial"/>
          <w:sz w:val="16"/>
          <w:szCs w:val="16"/>
          <w:color w:val="auto"/>
        </w:rPr>
        <w:t>, dated the date of the Placement Notice.</w:t>
      </w:r>
    </w:p>
    <w:p>
      <w:pPr>
        <w:spacing w:after="0" w:line="69" w:lineRule="exact"/>
        <w:rPr>
          <w:rFonts w:ascii="Arial" w:cs="Arial" w:eastAsia="Arial" w:hAnsi="Arial"/>
          <w:sz w:val="16"/>
          <w:szCs w:val="16"/>
          <w:color w:val="auto"/>
        </w:rPr>
      </w:pPr>
    </w:p>
    <w:p>
      <w:pPr>
        <w:ind w:firstLine="446"/>
        <w:spacing w:after="0" w:line="293" w:lineRule="auto"/>
        <w:tabs>
          <w:tab w:leader="none" w:pos="705"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Legal Opinion</w:t>
      </w:r>
      <w:r>
        <w:rPr>
          <w:rFonts w:ascii="Arial" w:cs="Arial" w:eastAsia="Arial" w:hAnsi="Arial"/>
          <w:sz w:val="16"/>
          <w:szCs w:val="16"/>
          <w:color w:val="auto"/>
        </w:rPr>
        <w:t>. On the date of the first Placement Notice given hereunder, the Company shall cause to be furnished to CF&amp;Co written opinions dated as of the date of such Placement Notice of (i) Ropes &amp; Gray LLP (the “</w:t>
      </w:r>
      <w:r>
        <w:rPr>
          <w:rFonts w:ascii="Arial" w:cs="Arial" w:eastAsia="Arial" w:hAnsi="Arial"/>
          <w:sz w:val="16"/>
          <w:szCs w:val="16"/>
          <w:b w:val="1"/>
          <w:bCs w:val="1"/>
          <w:color w:val="auto"/>
        </w:rPr>
        <w:t>Company Counsel</w:t>
      </w:r>
      <w:r>
        <w:rPr>
          <w:rFonts w:ascii="Arial" w:cs="Arial" w:eastAsia="Arial" w:hAnsi="Arial"/>
          <w:sz w:val="16"/>
          <w:szCs w:val="16"/>
          <w:color w:val="auto"/>
        </w:rPr>
        <w:t xml:space="preserve">”), in a form substantially similar to the form attached hereto as </w:t>
      </w:r>
      <w:r>
        <w:rPr>
          <w:rFonts w:ascii="Arial" w:cs="Arial" w:eastAsia="Arial" w:hAnsi="Arial"/>
          <w:sz w:val="16"/>
          <w:szCs w:val="16"/>
          <w:u w:val="single" w:color="auto"/>
          <w:color w:val="auto"/>
        </w:rPr>
        <w:t>Exhibit 7(n)(1)</w:t>
      </w:r>
      <w:r>
        <w:rPr>
          <w:rFonts w:ascii="Arial" w:cs="Arial" w:eastAsia="Arial" w:hAnsi="Arial"/>
          <w:sz w:val="16"/>
          <w:szCs w:val="16"/>
          <w:color w:val="auto"/>
        </w:rPr>
        <w:t xml:space="preserve"> and (ii) Mintz, Levin, Cohn, Ferris, Glovsky and Popeo P.C., in a form reasonably acceptable to CF&amp;Co. Within three (3) Trading Days of each subsequent Representation Date with respect to which the Company is obligated to deliver a certificate in the form attached hereto as Exhibit 7(m) for which no waiver is applicable, the Company shall cause to be furnished to CF&amp;Co a written opinion of Company Counsel in a form substantially similar to the form attached hereto as </w:t>
      </w:r>
      <w:r>
        <w:rPr>
          <w:rFonts w:ascii="Arial" w:cs="Arial" w:eastAsia="Arial" w:hAnsi="Arial"/>
          <w:sz w:val="16"/>
          <w:szCs w:val="16"/>
          <w:u w:val="single" w:color="auto"/>
          <w:color w:val="auto"/>
        </w:rPr>
        <w:t>Exhibit 7(n)(2)</w:t>
      </w:r>
      <w:r>
        <w:rPr>
          <w:rFonts w:ascii="Arial" w:cs="Arial" w:eastAsia="Arial" w:hAnsi="Arial"/>
          <w:sz w:val="16"/>
          <w:szCs w:val="16"/>
          <w:color w:val="auto"/>
        </w:rPr>
        <w:t>, modified, as necessary, to relate to the Registration Statement and the</w:t>
      </w:r>
    </w:p>
    <w:p>
      <w:pPr>
        <w:spacing w:after="0" w:line="13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24" w:name="page25"/>
    <w:bookmarkEnd w:id="24"/>
    <w:p>
      <w:pPr>
        <w:ind w:left="220" w:right="140"/>
        <w:spacing w:after="0" w:line="259" w:lineRule="auto"/>
        <w:rPr>
          <w:sz w:val="20"/>
          <w:szCs w:val="20"/>
          <w:color w:val="auto"/>
        </w:rPr>
      </w:pPr>
      <w:r>
        <w:rPr>
          <w:rFonts w:ascii="Arial" w:cs="Arial" w:eastAsia="Arial" w:hAnsi="Arial"/>
          <w:sz w:val="18"/>
          <w:szCs w:val="18"/>
          <w:color w:val="auto"/>
        </w:rPr>
        <w:t xml:space="preserve">Prospectus as then amended or supplemented;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lieu of such opinion, Company Counsel may furnish CF&amp;Co with a letter to the effect that CF&amp;Co may rely on a prior opinion delivered under this Section 7(n) to the same extent as if it were dated the date of such letter (except that statements in such prior opinion shall be deemed to relate to the Registration Statement and the Prospectus as amended or supplemented at such Representation Date).</w:t>
      </w:r>
    </w:p>
    <w:p>
      <w:pPr>
        <w:spacing w:after="0" w:line="79" w:lineRule="exact"/>
        <w:rPr>
          <w:sz w:val="20"/>
          <w:szCs w:val="20"/>
          <w:color w:val="auto"/>
        </w:rPr>
      </w:pPr>
    </w:p>
    <w:p>
      <w:pPr>
        <w:ind w:left="220" w:firstLine="446"/>
        <w:spacing w:after="0" w:line="270" w:lineRule="auto"/>
        <w:tabs>
          <w:tab w:leader="none" w:pos="925"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Comfort Letter</w:t>
      </w:r>
      <w:r>
        <w:rPr>
          <w:rFonts w:ascii="Arial" w:cs="Arial" w:eastAsia="Arial" w:hAnsi="Arial"/>
          <w:sz w:val="17"/>
          <w:szCs w:val="17"/>
          <w:color w:val="auto"/>
        </w:rPr>
        <w:t xml:space="preserve">. Three Trading Days prior to the First Delivery Date and within three (3) Trading Days of each Representation Date with respect to which the Company is obligated to deliver a certificate in the form attached hereto as </w:t>
      </w:r>
      <w:r>
        <w:rPr>
          <w:rFonts w:ascii="Arial" w:cs="Arial" w:eastAsia="Arial" w:hAnsi="Arial"/>
          <w:sz w:val="17"/>
          <w:szCs w:val="17"/>
          <w:u w:val="single" w:color="auto"/>
          <w:color w:val="auto"/>
        </w:rPr>
        <w:t>Exhibit 7(n)</w:t>
      </w:r>
      <w:r>
        <w:rPr>
          <w:rFonts w:ascii="Arial" w:cs="Arial" w:eastAsia="Arial" w:hAnsi="Arial"/>
          <w:sz w:val="17"/>
          <w:szCs w:val="17"/>
          <w:color w:val="auto"/>
        </w:rPr>
        <w:t xml:space="preserve"> for which no waiver is applicable, the Company shall cause its independent accountants (and any other independent accountants whose report is included in the Registration Statement or the Prospectus), to furnish CF&amp;Co letters (the “</w:t>
      </w:r>
      <w:r>
        <w:rPr>
          <w:rFonts w:ascii="Arial" w:cs="Arial" w:eastAsia="Arial" w:hAnsi="Arial"/>
          <w:sz w:val="17"/>
          <w:szCs w:val="17"/>
          <w:b w:val="1"/>
          <w:bCs w:val="1"/>
          <w:i w:val="1"/>
          <w:iCs w:val="1"/>
          <w:u w:val="single" w:color="auto"/>
          <w:color w:val="auto"/>
        </w:rPr>
        <w:t>Comfort Letters</w:t>
      </w:r>
      <w:r>
        <w:rPr>
          <w:rFonts w:ascii="Arial" w:cs="Arial" w:eastAsia="Arial" w:hAnsi="Arial"/>
          <w:sz w:val="17"/>
          <w:szCs w:val="17"/>
          <w:color w:val="auto"/>
        </w:rPr>
        <w:t>”) in form and substance satisfactory to CF&amp;Co, (i) confirming that they are an independent registered public accounting firm within the meaning of the Securities Act, the Exchange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17"/>
          <w:szCs w:val="17"/>
          <w:b w:val="1"/>
          <w:bCs w:val="1"/>
          <w:i w:val="1"/>
          <w:iCs w:val="1"/>
          <w:u w:val="single" w:color="auto"/>
          <w:color w:val="auto"/>
        </w:rPr>
        <w:t>Initial Comfort Letter</w:t>
      </w:r>
      <w:r>
        <w:rPr>
          <w:rFonts w:ascii="Arial" w:cs="Arial" w:eastAsia="Arial" w:hAnsi="Arial"/>
          <w:sz w:val="17"/>
          <w:szCs w:val="17"/>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73" w:lineRule="exact"/>
        <w:rPr>
          <w:rFonts w:ascii="Arial" w:cs="Arial" w:eastAsia="Arial" w:hAnsi="Arial"/>
          <w:sz w:val="17"/>
          <w:szCs w:val="17"/>
          <w:color w:val="auto"/>
        </w:rPr>
      </w:pPr>
    </w:p>
    <w:p>
      <w:pPr>
        <w:ind w:left="220" w:right="80" w:firstLine="446"/>
        <w:spacing w:after="0" w:line="279" w:lineRule="auto"/>
        <w:tabs>
          <w:tab w:leader="none" w:pos="925"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Market Activities</w:t>
      </w:r>
      <w:r>
        <w:rPr>
          <w:rFonts w:ascii="Arial" w:cs="Arial" w:eastAsia="Arial" w:hAnsi="Arial"/>
          <w:sz w:val="17"/>
          <w:szCs w:val="17"/>
          <w:color w:val="auto"/>
        </w:rPr>
        <w:t>. The Company will not, directly or indirectly take any action designed to cause or result in, or that constitutes or might reasonably be expected to constitute, the stabilization or manipulation of the price of any security of the Company to facilitate the sale or resale of the Placement Shares or (ii) sell, bid for, or purchase the Placement Shares to be issued and sold pursuant to this Agreement, or pay anyone any compensation for soliciting purchases of the Placement Shares to be issued and sold pursuant to this Agreement other than CF&amp;Co.</w:t>
      </w:r>
    </w:p>
    <w:p>
      <w:pPr>
        <w:spacing w:after="0" w:line="63" w:lineRule="exact"/>
        <w:rPr>
          <w:rFonts w:ascii="Arial" w:cs="Arial" w:eastAsia="Arial" w:hAnsi="Arial"/>
          <w:sz w:val="17"/>
          <w:szCs w:val="17"/>
          <w:color w:val="auto"/>
        </w:rPr>
      </w:pPr>
    </w:p>
    <w:p>
      <w:pPr>
        <w:ind w:left="220" w:right="200" w:firstLine="446"/>
        <w:spacing w:after="0" w:line="312" w:lineRule="auto"/>
        <w:tabs>
          <w:tab w:leader="none" w:pos="925"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Investment Company Act</w:t>
      </w:r>
      <w:r>
        <w:rPr>
          <w:rFonts w:ascii="Arial" w:cs="Arial" w:eastAsia="Arial" w:hAnsi="Arial"/>
          <w:sz w:val="16"/>
          <w:szCs w:val="16"/>
          <w:color w:val="auto"/>
        </w:rPr>
        <w:t>. The Company will conduct its affairs in such a manner so as to reasonably ensure that neither it nor the Subsidiary will be or become, at any time prior to the termination of this Agreement, an “investment company,” as such term is defined in the Investment Company Act, assuming no change in the Commission’s current interpretation as to entities that are not considered an investment company.</w:t>
      </w:r>
    </w:p>
    <w:p>
      <w:pPr>
        <w:spacing w:after="0" w:line="38" w:lineRule="exact"/>
        <w:rPr>
          <w:rFonts w:ascii="Arial" w:cs="Arial" w:eastAsia="Arial" w:hAnsi="Arial"/>
          <w:sz w:val="16"/>
          <w:szCs w:val="16"/>
          <w:color w:val="auto"/>
        </w:rPr>
      </w:pPr>
    </w:p>
    <w:p>
      <w:pPr>
        <w:jc w:val="both"/>
        <w:ind w:left="-20" w:right="20" w:firstLine="233"/>
        <w:spacing w:after="0" w:line="259" w:lineRule="auto"/>
        <w:tabs>
          <w:tab w:leader="none" w:pos="385"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Conditions to CF&amp;Co’s Obligations</w:t>
      </w:r>
      <w:r>
        <w:rPr>
          <w:rFonts w:ascii="Arial" w:cs="Arial" w:eastAsia="Arial" w:hAnsi="Arial"/>
          <w:sz w:val="18"/>
          <w:szCs w:val="18"/>
          <w:color w:val="auto"/>
        </w:rPr>
        <w:t>. The obligations of CF&amp;Co hereunder with respect to a Placement Notice will be subject to the continuing accuracy and completeness of the representations and warranties made by the Company herein, to the due performance by the Company of its obligations hereunder, to the completion by CF&amp;Co of a due diligence review satisfactory to CF&amp;Co in its reasonable judgment, and to the continuing satisfaction (or waiver by CF&amp;Co in its sole discretion) of the following additional conditions:</w:t>
      </w:r>
    </w:p>
    <w:p>
      <w:pPr>
        <w:spacing w:after="0" w:line="78" w:lineRule="exact"/>
        <w:rPr>
          <w:rFonts w:ascii="Arial" w:cs="Arial" w:eastAsia="Arial" w:hAnsi="Arial"/>
          <w:sz w:val="18"/>
          <w:szCs w:val="18"/>
          <w:color w:val="auto"/>
        </w:rPr>
      </w:pPr>
    </w:p>
    <w:p>
      <w:pPr>
        <w:ind w:left="220" w:right="20" w:firstLine="446"/>
        <w:spacing w:after="0" w:line="342" w:lineRule="auto"/>
        <w:tabs>
          <w:tab w:leader="none" w:pos="915"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Registration Statement Effective</w:t>
      </w:r>
      <w:r>
        <w:rPr>
          <w:rFonts w:ascii="Arial" w:cs="Arial" w:eastAsia="Arial" w:hAnsi="Arial"/>
          <w:sz w:val="16"/>
          <w:szCs w:val="16"/>
          <w:color w:val="auto"/>
        </w:rPr>
        <w:t>. The Registration Statement shall have become effective and shall be available for the (i) resale of all Placement Shares issued to CF&amp;Co and not yet sold by CF&amp;Co and (ii) the sale of all Placement Shares contemplated to be issued by any Placement Notice.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25" w:name="page26"/>
    <w:bookmarkEnd w:id="25"/>
    <w:p>
      <w:pPr>
        <w:ind w:firstLine="446"/>
        <w:spacing w:after="0" w:line="287" w:lineRule="auto"/>
        <w:tabs>
          <w:tab w:leader="none" w:pos="705"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No Material Notices</w:t>
      </w:r>
      <w:r>
        <w:rPr>
          <w:rFonts w:ascii="Arial" w:cs="Arial" w:eastAsia="Arial" w:hAnsi="Arial"/>
          <w:sz w:val="16"/>
          <w:szCs w:val="16"/>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60" w:lineRule="exact"/>
        <w:rPr>
          <w:rFonts w:ascii="Arial" w:cs="Arial" w:eastAsia="Arial" w:hAnsi="Arial"/>
          <w:sz w:val="16"/>
          <w:szCs w:val="16"/>
          <w:color w:val="auto"/>
        </w:rPr>
      </w:pPr>
    </w:p>
    <w:p>
      <w:pPr>
        <w:ind w:firstLine="446"/>
        <w:spacing w:after="0" w:line="271" w:lineRule="auto"/>
        <w:tabs>
          <w:tab w:leader="none" w:pos="695"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Material Changes</w:t>
      </w:r>
      <w:r>
        <w:rPr>
          <w:rFonts w:ascii="Arial" w:cs="Arial" w:eastAsia="Arial" w:hAnsi="Arial"/>
          <w:sz w:val="17"/>
          <w:szCs w:val="17"/>
          <w:color w:val="auto"/>
        </w:rPr>
        <w:t>. Except as contemplated in the Prospectus, or disclosed in the Company’s reports filed with the Commission, there shall not have been any material adverse change, on a consolidated basis, in the authorized capital stock of the Company or any Material Adverse Effect, or any development that could reasonably be expected to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CF&amp;Co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70" w:lineRule="exact"/>
        <w:rPr>
          <w:rFonts w:ascii="Arial" w:cs="Arial" w:eastAsia="Arial" w:hAnsi="Arial"/>
          <w:sz w:val="17"/>
          <w:szCs w:val="17"/>
          <w:color w:val="auto"/>
        </w:rPr>
      </w:pPr>
    </w:p>
    <w:p>
      <w:pPr>
        <w:ind w:right="200" w:firstLine="446"/>
        <w:spacing w:after="0" w:line="277" w:lineRule="auto"/>
        <w:tabs>
          <w:tab w:leader="none" w:pos="70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Legal Opinion</w:t>
      </w:r>
      <w:r>
        <w:rPr>
          <w:rFonts w:ascii="Arial" w:cs="Arial" w:eastAsia="Arial" w:hAnsi="Arial"/>
          <w:sz w:val="18"/>
          <w:szCs w:val="18"/>
          <w:color w:val="auto"/>
        </w:rPr>
        <w:t xml:space="preserve">. CF&amp;Co shall have received the opinions of Company Counsel required to be delivered pursuant </w:t>
      </w:r>
      <w:r>
        <w:rPr>
          <w:rFonts w:ascii="Arial" w:cs="Arial" w:eastAsia="Arial" w:hAnsi="Arial"/>
          <w:sz w:val="18"/>
          <w:szCs w:val="18"/>
          <w:u w:val="single" w:color="auto"/>
          <w:color w:val="auto"/>
        </w:rPr>
        <w:t>Section 7(n)</w:t>
      </w:r>
      <w:r>
        <w:rPr>
          <w:rFonts w:ascii="Arial" w:cs="Arial" w:eastAsia="Arial" w:hAnsi="Arial"/>
          <w:sz w:val="18"/>
          <w:szCs w:val="18"/>
          <w:color w:val="auto"/>
        </w:rPr>
        <w:t xml:space="preserve"> on or before the date on which such delivery of such opinion is required pursuant to </w:t>
      </w:r>
      <w:r>
        <w:rPr>
          <w:rFonts w:ascii="Arial" w:cs="Arial" w:eastAsia="Arial" w:hAnsi="Arial"/>
          <w:sz w:val="18"/>
          <w:szCs w:val="18"/>
          <w:u w:val="single" w:color="auto"/>
          <w:color w:val="auto"/>
        </w:rPr>
        <w:t>Section 7(n)</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220" w:firstLine="446"/>
        <w:spacing w:after="0" w:line="277"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Comfort Letter</w:t>
      </w:r>
      <w:r>
        <w:rPr>
          <w:rFonts w:ascii="Arial" w:cs="Arial" w:eastAsia="Arial" w:hAnsi="Arial"/>
          <w:sz w:val="18"/>
          <w:szCs w:val="18"/>
          <w:color w:val="auto"/>
        </w:rPr>
        <w:t xml:space="preserve">. CF&amp;Co shall have received the Comfort Letter required to be delivered pursuant </w:t>
      </w:r>
      <w:r>
        <w:rPr>
          <w:rFonts w:ascii="Arial" w:cs="Arial" w:eastAsia="Arial" w:hAnsi="Arial"/>
          <w:sz w:val="18"/>
          <w:szCs w:val="18"/>
          <w:u w:val="single" w:color="auto"/>
          <w:color w:val="auto"/>
        </w:rPr>
        <w:t>Section 7(o)</w:t>
      </w:r>
      <w:r>
        <w:rPr>
          <w:rFonts w:ascii="Arial" w:cs="Arial" w:eastAsia="Arial" w:hAnsi="Arial"/>
          <w:sz w:val="18"/>
          <w:szCs w:val="18"/>
          <w:color w:val="auto"/>
        </w:rPr>
        <w:t xml:space="preserve"> on or before the date on which such delivery of such opinion is required pursuant to </w:t>
      </w:r>
      <w:r>
        <w:rPr>
          <w:rFonts w:ascii="Arial" w:cs="Arial" w:eastAsia="Arial" w:hAnsi="Arial"/>
          <w:sz w:val="18"/>
          <w:szCs w:val="18"/>
          <w:u w:val="single" w:color="auto"/>
          <w:color w:val="auto"/>
        </w:rPr>
        <w:t>Section 7(o)</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60" w:firstLine="446"/>
        <w:spacing w:after="0" w:line="277" w:lineRule="auto"/>
        <w:tabs>
          <w:tab w:leader="none" w:pos="67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Representation Certificate</w:t>
      </w:r>
      <w:r>
        <w:rPr>
          <w:rFonts w:ascii="Arial" w:cs="Arial" w:eastAsia="Arial" w:hAnsi="Arial"/>
          <w:sz w:val="18"/>
          <w:szCs w:val="18"/>
          <w:color w:val="auto"/>
        </w:rPr>
        <w:t xml:space="preserve">. CF&amp;Co shall have received the certificate required to be delivered pursuant to </w:t>
      </w:r>
      <w:r>
        <w:rPr>
          <w:rFonts w:ascii="Arial" w:cs="Arial" w:eastAsia="Arial" w:hAnsi="Arial"/>
          <w:sz w:val="18"/>
          <w:szCs w:val="18"/>
          <w:u w:val="single" w:color="auto"/>
          <w:color w:val="auto"/>
        </w:rPr>
        <w:t>Section 7(m)</w:t>
      </w:r>
      <w:r>
        <w:rPr>
          <w:rFonts w:ascii="Arial" w:cs="Arial" w:eastAsia="Arial" w:hAnsi="Arial"/>
          <w:sz w:val="18"/>
          <w:szCs w:val="18"/>
          <w:color w:val="auto"/>
        </w:rPr>
        <w:t xml:space="preserve"> on or before the date on which delivery of such certificate is required pursuant to </w:t>
      </w:r>
      <w:r>
        <w:rPr>
          <w:rFonts w:ascii="Arial" w:cs="Arial" w:eastAsia="Arial" w:hAnsi="Arial"/>
          <w:sz w:val="18"/>
          <w:szCs w:val="18"/>
          <w:u w:val="single" w:color="auto"/>
          <w:color w:val="auto"/>
        </w:rPr>
        <w:t>Section 7(m)</w:t>
      </w:r>
      <w:r>
        <w:rPr>
          <w:rFonts w:ascii="Arial" w:cs="Arial" w:eastAsia="Arial" w:hAnsi="Arial"/>
          <w:sz w:val="18"/>
          <w:szCs w:val="18"/>
          <w:color w:val="auto"/>
        </w:rPr>
        <w:t>.</w:t>
      </w:r>
    </w:p>
    <w:p>
      <w:pPr>
        <w:spacing w:after="0" w:line="14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480" w:top="935" w:right="339" w:bottom="1440" w:gutter="0" w:footer="0" w:header="0"/>
        </w:sectPr>
      </w:pPr>
    </w:p>
    <w:bookmarkStart w:id="26" w:name="page27"/>
    <w:bookmarkEnd w:id="26"/>
    <w:p>
      <w:pPr>
        <w:ind w:left="707" w:hanging="254"/>
        <w:spacing w:after="0"/>
        <w:tabs>
          <w:tab w:leader="none" w:pos="707" w:val="left"/>
        </w:tabs>
        <w:numPr>
          <w:ilvl w:val="2"/>
          <w:numId w:val="32"/>
        </w:numPr>
        <w:rPr>
          <w:rFonts w:ascii="Arial" w:cs="Arial" w:eastAsia="Arial" w:hAnsi="Arial"/>
          <w:sz w:val="18"/>
          <w:szCs w:val="18"/>
          <w:color w:val="auto"/>
        </w:rPr>
      </w:pPr>
      <w:r>
        <w:rPr>
          <w:rFonts w:ascii="Arial" w:cs="Arial" w:eastAsia="Arial" w:hAnsi="Arial"/>
          <w:sz w:val="18"/>
          <w:szCs w:val="18"/>
          <w:u w:val="single" w:color="auto"/>
          <w:color w:val="auto"/>
        </w:rPr>
        <w:t>No Suspension</w:t>
      </w:r>
      <w:r>
        <w:rPr>
          <w:rFonts w:ascii="Arial" w:cs="Arial" w:eastAsia="Arial" w:hAnsi="Arial"/>
          <w:sz w:val="18"/>
          <w:szCs w:val="18"/>
          <w:color w:val="auto"/>
        </w:rPr>
        <w:t>. Trading in the Common Stock shall not have been suspended on the Exchange.</w:t>
      </w:r>
    </w:p>
    <w:p>
      <w:pPr>
        <w:spacing w:after="0" w:line="117" w:lineRule="exact"/>
        <w:rPr>
          <w:rFonts w:ascii="Arial" w:cs="Arial" w:eastAsia="Arial" w:hAnsi="Arial"/>
          <w:sz w:val="18"/>
          <w:szCs w:val="18"/>
          <w:color w:val="auto"/>
        </w:rPr>
      </w:pPr>
    </w:p>
    <w:p>
      <w:pPr>
        <w:ind w:left="7" w:right="100" w:firstLine="446"/>
        <w:spacing w:after="0" w:line="279" w:lineRule="auto"/>
        <w:tabs>
          <w:tab w:leader="none" w:pos="712" w:val="left"/>
        </w:tabs>
        <w:numPr>
          <w:ilvl w:val="2"/>
          <w:numId w:val="32"/>
        </w:numPr>
        <w:rPr>
          <w:rFonts w:ascii="Arial" w:cs="Arial" w:eastAsia="Arial" w:hAnsi="Arial"/>
          <w:sz w:val="17"/>
          <w:szCs w:val="17"/>
          <w:color w:val="auto"/>
        </w:rPr>
      </w:pPr>
      <w:r>
        <w:rPr>
          <w:rFonts w:ascii="Arial" w:cs="Arial" w:eastAsia="Arial" w:hAnsi="Arial"/>
          <w:sz w:val="17"/>
          <w:szCs w:val="17"/>
          <w:u w:val="single" w:color="auto"/>
          <w:color w:val="auto"/>
        </w:rPr>
        <w:t>Other Materials</w:t>
      </w:r>
      <w:r>
        <w:rPr>
          <w:rFonts w:ascii="Arial" w:cs="Arial" w:eastAsia="Arial" w:hAnsi="Arial"/>
          <w:sz w:val="17"/>
          <w:szCs w:val="17"/>
          <w:color w:val="auto"/>
        </w:rPr>
        <w:t xml:space="preserve">. On each date on which the Company is required to deliver a certificate pursuant to </w:t>
      </w:r>
      <w:r>
        <w:rPr>
          <w:rFonts w:ascii="Arial" w:cs="Arial" w:eastAsia="Arial" w:hAnsi="Arial"/>
          <w:sz w:val="17"/>
          <w:szCs w:val="17"/>
          <w:u w:val="single" w:color="auto"/>
          <w:color w:val="auto"/>
        </w:rPr>
        <w:t>Section 7(m)</w:t>
      </w:r>
      <w:r>
        <w:rPr>
          <w:rFonts w:ascii="Arial" w:cs="Arial" w:eastAsia="Arial" w:hAnsi="Arial"/>
          <w:sz w:val="17"/>
          <w:szCs w:val="17"/>
          <w:color w:val="auto"/>
        </w:rPr>
        <w:t>, the Company shall use its reasonable best efforts to furnish to CF&amp;Co such appropriate further information, certificates and documents as CF&amp;Co may reasonably request. All such opinions, certificates, letters and other documents will be in compliance with the provisions hereof. The Company will furnish CF&amp;Co with such conformed copies of such opinions, certificates, letters and other documents as CF&amp;Co shall reasonably request.</w:t>
      </w:r>
    </w:p>
    <w:p>
      <w:pPr>
        <w:spacing w:after="0" w:line="63" w:lineRule="exact"/>
        <w:rPr>
          <w:rFonts w:ascii="Arial" w:cs="Arial" w:eastAsia="Arial" w:hAnsi="Arial"/>
          <w:sz w:val="17"/>
          <w:szCs w:val="17"/>
          <w:color w:val="auto"/>
        </w:rPr>
      </w:pPr>
    </w:p>
    <w:p>
      <w:pPr>
        <w:ind w:left="7" w:right="580" w:firstLine="446"/>
        <w:spacing w:after="0" w:line="342" w:lineRule="auto"/>
        <w:tabs>
          <w:tab w:leader="none" w:pos="672" w:val="left"/>
        </w:tabs>
        <w:numPr>
          <w:ilvl w:val="2"/>
          <w:numId w:val="32"/>
        </w:numPr>
        <w:rPr>
          <w:rFonts w:ascii="Arial" w:cs="Arial" w:eastAsia="Arial" w:hAnsi="Arial"/>
          <w:sz w:val="16"/>
          <w:szCs w:val="16"/>
          <w:color w:val="auto"/>
        </w:rPr>
      </w:pPr>
      <w:r>
        <w:rPr>
          <w:rFonts w:ascii="Arial" w:cs="Arial" w:eastAsia="Arial" w:hAnsi="Arial"/>
          <w:sz w:val="16"/>
          <w:szCs w:val="16"/>
          <w:u w:val="single" w:color="auto"/>
          <w:color w:val="auto"/>
        </w:rPr>
        <w:t>Securities Act Filings Made</w:t>
      </w:r>
      <w:r>
        <w:rPr>
          <w:rFonts w:ascii="Arial" w:cs="Arial" w:eastAsia="Arial" w:hAnsi="Arial"/>
          <w:sz w:val="16"/>
          <w:szCs w:val="16"/>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5" w:lineRule="exact"/>
        <w:rPr>
          <w:rFonts w:ascii="Arial" w:cs="Arial" w:eastAsia="Arial" w:hAnsi="Arial"/>
          <w:sz w:val="16"/>
          <w:szCs w:val="16"/>
          <w:color w:val="auto"/>
        </w:rPr>
      </w:pPr>
    </w:p>
    <w:p>
      <w:pPr>
        <w:ind w:left="667" w:hanging="214"/>
        <w:spacing w:after="0"/>
        <w:tabs>
          <w:tab w:leader="none" w:pos="667" w:val="left"/>
        </w:tabs>
        <w:numPr>
          <w:ilvl w:val="2"/>
          <w:numId w:val="32"/>
        </w:numPr>
        <w:rPr>
          <w:rFonts w:ascii="Arial" w:cs="Arial" w:eastAsia="Arial" w:hAnsi="Arial"/>
          <w:sz w:val="16"/>
          <w:szCs w:val="16"/>
          <w:color w:val="auto"/>
        </w:rPr>
      </w:pPr>
      <w:r>
        <w:rPr>
          <w:rFonts w:ascii="Arial" w:cs="Arial" w:eastAsia="Arial" w:hAnsi="Arial"/>
          <w:sz w:val="16"/>
          <w:szCs w:val="16"/>
          <w:u w:val="single" w:color="auto"/>
          <w:color w:val="auto"/>
        </w:rPr>
        <w:t>Approval for Listing</w:t>
      </w:r>
      <w:r>
        <w:rPr>
          <w:rFonts w:ascii="Arial" w:cs="Arial" w:eastAsia="Arial" w:hAnsi="Arial"/>
          <w:sz w:val="16"/>
          <w:szCs w:val="16"/>
          <w:color w:val="auto"/>
        </w:rPr>
        <w:t>. The Placement Shares shall either have been (i) approved for listing on the Exchange, subject only to notice of issuance, or</w:t>
      </w:r>
    </w:p>
    <w:p>
      <w:pPr>
        <w:spacing w:after="0" w:line="46" w:lineRule="exact"/>
        <w:rPr>
          <w:rFonts w:ascii="Arial" w:cs="Arial" w:eastAsia="Arial" w:hAnsi="Arial"/>
          <w:sz w:val="16"/>
          <w:szCs w:val="16"/>
          <w:color w:val="auto"/>
        </w:rPr>
      </w:pPr>
    </w:p>
    <w:p>
      <w:pPr>
        <w:ind w:left="267" w:hanging="264"/>
        <w:spacing w:after="0"/>
        <w:tabs>
          <w:tab w:leader="none" w:pos="267"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Company shall have filed an application for listing of the Placement Shares on the Exchange at, or prior to, the issuance of any Placement Notice.</w:t>
      </w:r>
    </w:p>
    <w:p>
      <w:pPr>
        <w:spacing w:after="0" w:line="125" w:lineRule="exact"/>
        <w:rPr>
          <w:rFonts w:ascii="Arial" w:cs="Arial" w:eastAsia="Arial" w:hAnsi="Arial"/>
          <w:sz w:val="16"/>
          <w:szCs w:val="16"/>
          <w:color w:val="auto"/>
        </w:rPr>
      </w:pPr>
    </w:p>
    <w:p>
      <w:pPr>
        <w:ind w:left="707" w:hanging="254"/>
        <w:spacing w:after="0"/>
        <w:tabs>
          <w:tab w:leader="none" w:pos="707" w:val="left"/>
        </w:tabs>
        <w:numPr>
          <w:ilvl w:val="2"/>
          <w:numId w:val="33"/>
        </w:numPr>
        <w:rPr>
          <w:rFonts w:ascii="Arial" w:cs="Arial" w:eastAsia="Arial" w:hAnsi="Arial"/>
          <w:sz w:val="16"/>
          <w:szCs w:val="16"/>
          <w:color w:val="auto"/>
        </w:rPr>
      </w:pPr>
      <w:r>
        <w:rPr>
          <w:rFonts w:ascii="Arial" w:cs="Arial" w:eastAsia="Arial" w:hAnsi="Arial"/>
          <w:sz w:val="16"/>
          <w:szCs w:val="16"/>
          <w:u w:val="single" w:color="auto"/>
          <w:color w:val="auto"/>
        </w:rPr>
        <w:t>No Termination Event</w:t>
      </w:r>
      <w:r>
        <w:rPr>
          <w:rFonts w:ascii="Arial" w:cs="Arial" w:eastAsia="Arial" w:hAnsi="Arial"/>
          <w:sz w:val="16"/>
          <w:szCs w:val="16"/>
          <w:color w:val="auto"/>
        </w:rPr>
        <w:t xml:space="preserve">. There shall not have occurred any event that would permit CF&amp;Co to terminate this Agreement pursuant to </w:t>
      </w:r>
      <w:r>
        <w:rPr>
          <w:rFonts w:ascii="Arial" w:cs="Arial" w:eastAsia="Arial" w:hAnsi="Arial"/>
          <w:sz w:val="16"/>
          <w:szCs w:val="16"/>
          <w:u w:val="single" w:color="auto"/>
          <w:color w:val="auto"/>
        </w:rPr>
        <w:t>Section 11(a)</w:t>
      </w:r>
      <w:r>
        <w:rPr>
          <w:rFonts w:ascii="Arial" w:cs="Arial" w:eastAsia="Arial" w:hAnsi="Arial"/>
          <w:sz w:val="16"/>
          <w:szCs w:val="16"/>
          <w:color w:val="auto"/>
        </w:rPr>
        <w:t>.</w:t>
      </w:r>
    </w:p>
    <w:p>
      <w:pPr>
        <w:spacing w:after="0" w:line="140" w:lineRule="exact"/>
        <w:rPr>
          <w:rFonts w:ascii="Arial" w:cs="Arial" w:eastAsia="Arial" w:hAnsi="Arial"/>
          <w:sz w:val="16"/>
          <w:szCs w:val="16"/>
          <w:color w:val="auto"/>
        </w:rPr>
      </w:pPr>
    </w:p>
    <w:p>
      <w:pPr>
        <w:ind w:left="187" w:hanging="187"/>
        <w:spacing w:after="0"/>
        <w:tabs>
          <w:tab w:leader="none" w:pos="187"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 w:right="80" w:firstLine="446"/>
        <w:spacing w:after="0" w:line="291" w:lineRule="auto"/>
        <w:tabs>
          <w:tab w:leader="none" w:pos="702" w:val="left"/>
        </w:tabs>
        <w:numPr>
          <w:ilvl w:val="2"/>
          <w:numId w:val="34"/>
        </w:numPr>
        <w:rPr>
          <w:rFonts w:ascii="Arial" w:cs="Arial" w:eastAsia="Arial" w:hAnsi="Arial"/>
          <w:sz w:val="16"/>
          <w:szCs w:val="16"/>
          <w:color w:val="auto"/>
        </w:rPr>
      </w:pPr>
      <w:r>
        <w:rPr>
          <w:rFonts w:ascii="Arial" w:cs="Arial" w:eastAsia="Arial" w:hAnsi="Arial"/>
          <w:sz w:val="16"/>
          <w:szCs w:val="16"/>
          <w:u w:val="single" w:color="auto"/>
          <w:color w:val="auto"/>
        </w:rPr>
        <w:t>Company Indemnification</w:t>
      </w:r>
      <w:r>
        <w:rPr>
          <w:rFonts w:ascii="Arial" w:cs="Arial" w:eastAsia="Arial" w:hAnsi="Arial"/>
          <w:sz w:val="16"/>
          <w:szCs w:val="16"/>
          <w:color w:val="auto"/>
        </w:rPr>
        <w:t>. The Company agrees to indemnify and hold harmless CF&amp;Co, the directors, officers, partners, employees and agents of CF&amp;Co and each person, if any, who (i) controls CF&amp;Co within the meaning of Section 15 of the Securities Act or Section 20 of the Exchange Act, or</w:t>
      </w:r>
    </w:p>
    <w:p>
      <w:pPr>
        <w:ind w:left="7" w:right="40" w:hanging="4"/>
        <w:spacing w:after="0" w:line="267" w:lineRule="auto"/>
        <w:tabs>
          <w:tab w:leader="none" w:pos="272" w:val="left"/>
        </w:tabs>
        <w:numPr>
          <w:ilvl w:val="1"/>
          <w:numId w:val="34"/>
        </w:numPr>
        <w:rPr>
          <w:rFonts w:ascii="Arial" w:cs="Arial" w:eastAsia="Arial" w:hAnsi="Arial"/>
          <w:sz w:val="17"/>
          <w:szCs w:val="17"/>
          <w:color w:val="auto"/>
        </w:rPr>
      </w:pPr>
      <w:r>
        <w:rPr>
          <w:rFonts w:ascii="Arial" w:cs="Arial" w:eastAsia="Arial" w:hAnsi="Arial"/>
          <w:sz w:val="17"/>
          <w:szCs w:val="17"/>
          <w:color w:val="auto"/>
        </w:rPr>
        <w:t>is controlled by or is under common control with CF&amp;Co (a “</w:t>
      </w:r>
      <w:r>
        <w:rPr>
          <w:rFonts w:ascii="Arial" w:cs="Arial" w:eastAsia="Arial" w:hAnsi="Arial"/>
          <w:sz w:val="17"/>
          <w:szCs w:val="17"/>
          <w:b w:val="1"/>
          <w:bCs w:val="1"/>
          <w:u w:val="single" w:color="auto"/>
          <w:color w:val="auto"/>
        </w:rPr>
        <w:t>CF&amp;Co Affiliate</w:t>
      </w:r>
      <w:r>
        <w:rPr>
          <w:rFonts w:ascii="Arial" w:cs="Arial" w:eastAsia="Arial" w:hAnsi="Arial"/>
          <w:sz w:val="17"/>
          <w:szCs w:val="17"/>
          <w:color w:val="auto"/>
        </w:rPr>
        <w:t xml:space="preserve">”) from and against any and all losses, claims, liabilities, expenses and damages (including, but not limited to, any and all reasonable investigative, legal and other expenses incurred in connection with, and any and all amounts paid in settlement (in accordance with Section 9(c)) of, any action, suit or proceeding between any of the indemnified parties and any indemnifying parties or between any indemnified party and any third party, or otherwise, or any claim asserted), as and when incurred, to which CF&amp;Co,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(y) the omission or alleged omission to state in such document a material fact required to be stated in it or necessary to make the statements in it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indemnity agreement shall not apply to the extent that such loss, claim, liability, expense or damage arises from or is caused directly or indirectly by an untrue statement or omission or alleged untrue statement or omission made in reliance on and in conformity with information furnished in writing to the Company by or on behalf of CF&amp;Co expressly for inclusion in the Registration Statement or Prospectus. This</w:t>
      </w:r>
    </w:p>
    <w:p>
      <w:pPr>
        <w:spacing w:after="0" w:line="160" w:lineRule="exact"/>
        <w:rPr>
          <w:sz w:val="20"/>
          <w:szCs w:val="20"/>
          <w:color w:val="auto"/>
        </w:rPr>
      </w:pPr>
    </w:p>
    <w:p>
      <w:pPr>
        <w:jc w:val="center"/>
        <w:ind w:right="213"/>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7"/>
          </w:cols>
          <w:pgMar w:left="473" w:top="93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indemnity agreement will be in addition to any liability that the Company might otherwise have.</w:t>
      </w:r>
    </w:p>
    <w:p>
      <w:pPr>
        <w:spacing w:after="0" w:line="117" w:lineRule="exact"/>
        <w:rPr>
          <w:sz w:val="20"/>
          <w:szCs w:val="20"/>
          <w:color w:val="auto"/>
        </w:rPr>
      </w:pPr>
    </w:p>
    <w:p>
      <w:pPr>
        <w:ind w:right="100" w:firstLine="446"/>
        <w:spacing w:after="0" w:line="254" w:lineRule="auto"/>
        <w:tabs>
          <w:tab w:leader="none" w:pos="70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CF&amp;Co Indemnification</w:t>
      </w:r>
      <w:r>
        <w:rPr>
          <w:rFonts w:ascii="Arial" w:cs="Arial" w:eastAsia="Arial" w:hAnsi="Arial"/>
          <w:sz w:val="18"/>
          <w:szCs w:val="18"/>
          <w:color w:val="auto"/>
        </w:rPr>
        <w:t>. CF&amp;Co agrees to indemnify and hold harmless the Company and its directors and each officer of the Company who signed the Registration Statement, and each person, if any, who (i) controls the Company within the meaning of Section 15 of the Securities Act or Section 20 of the Exchange Act or (ii) is controlled by or is under common control with the Company (a “</w:t>
      </w:r>
      <w:r>
        <w:rPr>
          <w:rFonts w:ascii="Arial" w:cs="Arial" w:eastAsia="Arial" w:hAnsi="Arial"/>
          <w:sz w:val="18"/>
          <w:szCs w:val="18"/>
          <w:b w:val="1"/>
          <w:bCs w:val="1"/>
          <w:u w:val="single" w:color="auto"/>
          <w:color w:val="auto"/>
        </w:rPr>
        <w:t>Company Affiliate</w:t>
      </w:r>
      <w:r>
        <w:rPr>
          <w:rFonts w:ascii="Arial" w:cs="Arial" w:eastAsia="Arial" w:hAnsi="Arial"/>
          <w:sz w:val="18"/>
          <w:szCs w:val="18"/>
          <w:color w:val="auto"/>
        </w:rPr>
        <w:t>”) against any and all loss, liability, claim, damage and expense to which the Company, or any such person, may become subject under the Securities Act, the Exchange Act or other federal or state statutory law or regulation, at common law or otherwise, as and when incurred, but only insofar as such loss, liability, claim, damage or expense arises from or is caused directly or indirectly by an untrue statement or omission or alleged untrue statement or omission made in reliance on and in conformity with information furnished in writing to the Company by or on behalf of CF&amp;Co expressly for inclusion in the Registration Statement or Prospectus.</w:t>
      </w:r>
    </w:p>
    <w:p>
      <w:pPr>
        <w:spacing w:after="0" w:line="84" w:lineRule="exact"/>
        <w:rPr>
          <w:rFonts w:ascii="Arial" w:cs="Arial" w:eastAsia="Arial" w:hAnsi="Arial"/>
          <w:sz w:val="18"/>
          <w:szCs w:val="18"/>
          <w:color w:val="auto"/>
        </w:rPr>
      </w:pPr>
    </w:p>
    <w:p>
      <w:pPr>
        <w:ind w:left="700" w:hanging="254"/>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xml:space="preserve">. Any party that proposes to assert the right to be indemnified under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will, promptly after receipt of notice of</w:t>
      </w:r>
    </w:p>
    <w:p>
      <w:pPr>
        <w:spacing w:after="0" w:line="23" w:lineRule="exact"/>
        <w:rPr>
          <w:rFonts w:ascii="Arial" w:cs="Arial" w:eastAsia="Arial" w:hAnsi="Arial"/>
          <w:sz w:val="18"/>
          <w:szCs w:val="18"/>
          <w:color w:val="auto"/>
        </w:rPr>
      </w:pPr>
    </w:p>
    <w:p>
      <w:pPr>
        <w:spacing w:after="0" w:line="284" w:lineRule="auto"/>
        <w:rPr>
          <w:rFonts w:ascii="Arial" w:cs="Arial" w:eastAsia="Arial" w:hAnsi="Arial"/>
          <w:sz w:val="18"/>
          <w:szCs w:val="18"/>
          <w:color w:val="auto"/>
        </w:rPr>
      </w:pPr>
      <w:r>
        <w:rPr>
          <w:rFonts w:ascii="Arial" w:cs="Arial" w:eastAsia="Arial" w:hAnsi="Arial"/>
          <w:sz w:val="16"/>
          <w:szCs w:val="16"/>
          <w:color w:val="auto"/>
        </w:rPr>
        <w:t xml:space="preserve">commencement of any action against such party in respect of which a claim is to be made against an indemnifying party or parties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and (ii) any liability that it may have to any indemnified party under the foregoing provision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the written advice of counsel) that there may be legal defenses available to it or other indemnified parties that are different from or in addition to those available to the indemnifying party, (3) a conflict or potential conflict exists (based on the written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w:t>
      </w:r>
    </w:p>
    <w:p>
      <w:pPr>
        <w:spacing w:after="0" w:line="14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28" w:name="page29"/>
    <w:bookmarkEnd w:id="28"/>
    <w:p>
      <w:pPr>
        <w:ind w:right="20"/>
        <w:spacing w:after="0" w:line="291" w:lineRule="auto"/>
        <w:rPr>
          <w:sz w:val="20"/>
          <w:szCs w:val="20"/>
          <w:color w:val="auto"/>
        </w:rPr>
      </w:pPr>
      <w:r>
        <w:rPr>
          <w:rFonts w:ascii="Arial" w:cs="Arial" w:eastAsia="Arial" w:hAnsi="Arial"/>
          <w:sz w:val="16"/>
          <w:szCs w:val="16"/>
          <w:color w:val="auto"/>
        </w:rPr>
        <w:t xml:space="preserve">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(whether or not any indemnified party is a party thereto), unless such settlement, compromise or consent includes an unconditional release of each indemnified party from all liability arising or that may arise out of such claim, action or proceeding.</w:t>
      </w:r>
    </w:p>
    <w:p>
      <w:pPr>
        <w:spacing w:after="0" w:line="59" w:lineRule="exact"/>
        <w:rPr>
          <w:sz w:val="20"/>
          <w:szCs w:val="20"/>
          <w:color w:val="auto"/>
        </w:rPr>
      </w:pPr>
    </w:p>
    <w:p>
      <w:pPr>
        <w:ind w:firstLine="446"/>
        <w:spacing w:after="0" w:line="284" w:lineRule="auto"/>
        <w:tabs>
          <w:tab w:leader="none" w:pos="705"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In order to provide for just and equitable contribution in circumstances in which the indemnification provided for in the foregoing paragraphs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is applicable in accordance with its terms but for any reason is held to be unavailable from the Company or CF&amp;Co, the Company and CF&amp;Co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CF&amp;Co, if any), to which the Company and CF&amp;Co may be subject in such proportion as shall be appropriate to reflect the relative benefits received by the Company, on the one hand, and CF&amp;Co, on the other. The relative benefits received by the Company on the one hand and CF&amp;Co on the other hand shall be deemed to be in the same proportion as the total net proceeds from the sale of the Placement Shares (before deducting expenses) received by the Company bear to the total compensation received by CF&amp;Co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CF&amp;Co,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on the one hand, or CF&amp;Co, on the other, the intent of the parties and their relative knowledge, access to information and opportunity to correct or prevent such statement or omission. The Company and CF&amp;Co agree that it would not be just and equitable if contributions pursuant to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shall be deemed to include, for the purpose of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any legal or other expenses reasonably incurred by such indemnified party in connection with investigating or defending any such action or claim to the extent consistent with </w:t>
      </w:r>
      <w:r>
        <w:rPr>
          <w:rFonts w:ascii="Arial" w:cs="Arial" w:eastAsia="Arial" w:hAnsi="Arial"/>
          <w:sz w:val="16"/>
          <w:szCs w:val="16"/>
          <w:u w:val="single" w:color="auto"/>
          <w:color w:val="auto"/>
        </w:rPr>
        <w:t>Section 9(c)</w:t>
      </w:r>
      <w:r>
        <w:rPr>
          <w:rFonts w:ascii="Arial" w:cs="Arial" w:eastAsia="Arial" w:hAnsi="Arial"/>
          <w:sz w:val="16"/>
          <w:szCs w:val="16"/>
          <w:color w:val="auto"/>
        </w:rPr>
        <w:t xml:space="preserve"> hereof. Notwithstanding the foregoing provisions of this </w:t>
      </w:r>
      <w:r>
        <w:rPr>
          <w:rFonts w:ascii="Arial" w:cs="Arial" w:eastAsia="Arial" w:hAnsi="Arial"/>
          <w:sz w:val="16"/>
          <w:szCs w:val="16"/>
          <w:u w:val="single" w:color="auto"/>
          <w:color w:val="auto"/>
        </w:rPr>
        <w:t>Section 9(d)</w:t>
      </w:r>
      <w:r>
        <w:rPr>
          <w:rFonts w:ascii="Arial" w:cs="Arial" w:eastAsia="Arial" w:hAnsi="Arial"/>
          <w:sz w:val="16"/>
          <w:szCs w:val="16"/>
          <w:color w:val="auto"/>
        </w:rPr>
        <w:t>, CF&amp;Co shall not be required to contribute any amount in excess of the</w:t>
      </w:r>
    </w:p>
    <w:p>
      <w:pPr>
        <w:spacing w:after="0" w:line="15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29" w:name="page30"/>
    <w:bookmarkEnd w:id="29"/>
    <w:p>
      <w:pPr>
        <w:ind w:left="180" w:right="20"/>
        <w:spacing w:after="0" w:line="269" w:lineRule="auto"/>
        <w:rPr>
          <w:sz w:val="20"/>
          <w:szCs w:val="20"/>
          <w:color w:val="auto"/>
        </w:rPr>
      </w:pPr>
      <w:r>
        <w:rPr>
          <w:rFonts w:ascii="Arial" w:cs="Arial" w:eastAsia="Arial" w:hAnsi="Arial"/>
          <w:sz w:val="17"/>
          <w:szCs w:val="17"/>
          <w:color w:val="auto"/>
        </w:rPr>
        <w:t xml:space="preserve">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Arial" w:cs="Arial" w:eastAsia="Arial" w:hAnsi="Arial"/>
          <w:sz w:val="17"/>
          <w:szCs w:val="17"/>
          <w:u w:val="single" w:color="auto"/>
          <w:color w:val="auto"/>
        </w:rPr>
        <w:t>Section 9(d)</w:t>
      </w:r>
      <w:r>
        <w:rPr>
          <w:rFonts w:ascii="Arial" w:cs="Arial" w:eastAsia="Arial" w:hAnsi="Arial"/>
          <w:sz w:val="17"/>
          <w:szCs w:val="17"/>
          <w:color w:val="auto"/>
        </w:rPr>
        <w:t xml:space="preserve">, any person who controls a party to this Agreement within the meaning of the Securities Act, and any officers, directors, partners, employees or agents of CF&amp;Co, will have the same rights to contribution as that party, and each trustee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Arial" w:cs="Arial" w:eastAsia="Arial" w:hAnsi="Arial"/>
          <w:sz w:val="17"/>
          <w:szCs w:val="17"/>
          <w:u w:val="single" w:color="auto"/>
          <w:color w:val="auto"/>
        </w:rPr>
        <w:t>Section 9(d)</w:t>
      </w:r>
      <w:r>
        <w:rPr>
          <w:rFonts w:ascii="Arial" w:cs="Arial" w:eastAsia="Arial" w:hAnsi="Arial"/>
          <w:sz w:val="17"/>
          <w:szCs w:val="17"/>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Arial" w:cs="Arial" w:eastAsia="Arial" w:hAnsi="Arial"/>
          <w:sz w:val="17"/>
          <w:szCs w:val="17"/>
          <w:u w:val="single" w:color="auto"/>
          <w:color w:val="auto"/>
        </w:rPr>
        <w:t>Section 9(d)</w:t>
      </w:r>
      <w:r>
        <w:rPr>
          <w:rFonts w:ascii="Arial" w:cs="Arial" w:eastAsia="Arial" w:hAnsi="Arial"/>
          <w:sz w:val="17"/>
          <w:szCs w:val="17"/>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Arial" w:cs="Arial" w:eastAsia="Arial" w:hAnsi="Arial"/>
          <w:sz w:val="17"/>
          <w:szCs w:val="17"/>
          <w:u w:val="single" w:color="auto"/>
          <w:color w:val="auto"/>
        </w:rPr>
        <w:t>Section 9(c)</w:t>
      </w:r>
      <w:r>
        <w:rPr>
          <w:rFonts w:ascii="Arial" w:cs="Arial" w:eastAsia="Arial" w:hAnsi="Arial"/>
          <w:sz w:val="17"/>
          <w:szCs w:val="17"/>
          <w:color w:val="auto"/>
        </w:rPr>
        <w:t xml:space="preserve"> hereof, no party will be liable for contribution with respect to any action or claim settled without its written consent if such consent is required pursuant to </w:t>
      </w:r>
      <w:r>
        <w:rPr>
          <w:rFonts w:ascii="Arial" w:cs="Arial" w:eastAsia="Arial" w:hAnsi="Arial"/>
          <w:sz w:val="17"/>
          <w:szCs w:val="17"/>
          <w:u w:val="single" w:color="auto"/>
          <w:color w:val="auto"/>
        </w:rPr>
        <w:t>Section 9(c)</w:t>
      </w:r>
      <w:r>
        <w:rPr>
          <w:rFonts w:ascii="Arial" w:cs="Arial" w:eastAsia="Arial" w:hAnsi="Arial"/>
          <w:sz w:val="17"/>
          <w:szCs w:val="17"/>
          <w:color w:val="auto"/>
        </w:rPr>
        <w:t xml:space="preserve"> hereof.</w:t>
      </w:r>
    </w:p>
    <w:p>
      <w:pPr>
        <w:spacing w:after="0" w:line="75" w:lineRule="exact"/>
        <w:rPr>
          <w:sz w:val="20"/>
          <w:szCs w:val="20"/>
          <w:color w:val="auto"/>
        </w:rPr>
      </w:pPr>
    </w:p>
    <w:p>
      <w:pPr>
        <w:ind w:left="-60" w:right="40" w:firstLine="233"/>
        <w:spacing w:after="0" w:line="259" w:lineRule="auto"/>
        <w:tabs>
          <w:tab w:leader="none" w:pos="43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Representations and Agreements to Survive Delivery</w:t>
      </w:r>
      <w:r>
        <w:rPr>
          <w:rFonts w:ascii="Arial" w:cs="Arial" w:eastAsia="Arial" w:hAnsi="Arial"/>
          <w:sz w:val="18"/>
          <w:szCs w:val="18"/>
          <w:color w:val="auto"/>
        </w:rPr>
        <w:t>. All representations and warranties of the Company herein or in certificates delivered pursuant hereto shall survive, as of their respective dates, regardless of (i) any investigation made by or on behalf of CF&amp;Co, any controlling persons, or the Company (or any of their respective officers, directors or controlling persons), (ii) delivery and acceptance of the Placement Shares and payment therefor or (iii) any termination of this Agreement.</w:t>
      </w:r>
    </w:p>
    <w:p>
      <w:pPr>
        <w:spacing w:after="0" w:line="78" w:lineRule="exact"/>
        <w:rPr>
          <w:rFonts w:ascii="Arial" w:cs="Arial" w:eastAsia="Arial" w:hAnsi="Arial"/>
          <w:sz w:val="18"/>
          <w:szCs w:val="18"/>
          <w:color w:val="auto"/>
        </w:rPr>
      </w:pPr>
    </w:p>
    <w:p>
      <w:pPr>
        <w:ind w:left="440" w:hanging="267"/>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80" w:firstLine="446"/>
        <w:spacing w:after="0" w:line="287" w:lineRule="auto"/>
        <w:tabs>
          <w:tab w:leader="none" w:pos="875" w:val="left"/>
        </w:tabs>
        <w:numPr>
          <w:ilvl w:val="1"/>
          <w:numId w:val="37"/>
        </w:numPr>
        <w:rPr>
          <w:rFonts w:ascii="Arial" w:cs="Arial" w:eastAsia="Arial" w:hAnsi="Arial"/>
          <w:sz w:val="16"/>
          <w:szCs w:val="16"/>
          <w:color w:val="auto"/>
        </w:rPr>
      </w:pPr>
      <w:r>
        <w:rPr>
          <w:rFonts w:ascii="Arial" w:cs="Arial" w:eastAsia="Arial" w:hAnsi="Arial"/>
          <w:sz w:val="16"/>
          <w:szCs w:val="16"/>
          <w:color w:val="auto"/>
        </w:rPr>
        <w:t xml:space="preserve">CF&amp;Co shall have the right by giving notice as hereinafter specified at any time to terminate this Agreement if (i) any Material Adverse Effect, or any development that has actually occurred and that is reasonably expected to cause a Material Adverse Effect has occurred that, in the reasonable judgment of CF&amp;Co, may materially impair the ability of CF&amp;Co to sell the Placement Shares hereunder, (ii) the Company shall have failed, refused or been unable to perform any agreement on its part to be performed hereunder;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in the case of any failure of the Company to deliver (or cause another person to deliver) any certification, opinion, or letter required under </w:t>
      </w:r>
      <w:r>
        <w:rPr>
          <w:rFonts w:ascii="Arial" w:cs="Arial" w:eastAsia="Arial" w:hAnsi="Arial"/>
          <w:sz w:val="16"/>
          <w:szCs w:val="16"/>
          <w:u w:val="single" w:color="auto"/>
          <w:color w:val="auto"/>
        </w:rPr>
        <w:t>Sections 7(m)</w:t>
      </w:r>
      <w:r>
        <w:rPr>
          <w:rFonts w:ascii="Arial" w:cs="Arial" w:eastAsia="Arial" w:hAnsi="Arial"/>
          <w:sz w:val="16"/>
          <w:szCs w:val="16"/>
          <w:color w:val="auto"/>
        </w:rPr>
        <w:t xml:space="preserve">, </w:t>
      </w:r>
      <w:r>
        <w:rPr>
          <w:rFonts w:ascii="Arial" w:cs="Arial" w:eastAsia="Arial" w:hAnsi="Arial"/>
          <w:sz w:val="16"/>
          <w:szCs w:val="16"/>
          <w:u w:val="single" w:color="auto"/>
          <w:color w:val="auto"/>
        </w:rPr>
        <w:t>7(n)</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7(o)</w:t>
      </w:r>
      <w:r>
        <w:rPr>
          <w:rFonts w:ascii="Arial" w:cs="Arial" w:eastAsia="Arial" w:hAnsi="Arial"/>
          <w:sz w:val="16"/>
          <w:szCs w:val="16"/>
          <w:color w:val="auto"/>
        </w:rPr>
        <w:t xml:space="preserve">, CF&amp;Co’s right to terminate shall not arise unless such failure to deliver (or cause to be delivered) continues for more than thirty (30) days from the date such delivery was required to which such delivery was required; or (iii) any other condition of CF&amp;Co’s obligations hereunder is not fulfilled, or (iv), any suspension or limitation of trading in the Placement Shares or in securities generally on the Exchange shall have occurred. Any such termination shall be without liability of any party to any other party except that the provisions of </w:t>
      </w:r>
      <w:r>
        <w:rPr>
          <w:rFonts w:ascii="Arial" w:cs="Arial" w:eastAsia="Arial" w:hAnsi="Arial"/>
          <w:sz w:val="16"/>
          <w:szCs w:val="16"/>
          <w:u w:val="single" w:color="auto"/>
          <w:color w:val="auto"/>
        </w:rPr>
        <w:t>Section 7(g)</w:t>
      </w:r>
      <w:r>
        <w:rPr>
          <w:rFonts w:ascii="Arial" w:cs="Arial" w:eastAsia="Arial" w:hAnsi="Arial"/>
          <w:sz w:val="16"/>
          <w:szCs w:val="16"/>
          <w:color w:val="auto"/>
        </w:rPr>
        <w:t xml:space="preserve"> (Expenses),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(Indemnification),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(Survival of Representations),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(Applicable Law; Consent to Jurisdiction) and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(Waiver of Jury Trial) hereof shall remain in full force and effect notwithstanding such termination. If CF&amp;Co elects to terminate this Agreement as provided in this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CF&amp;Co shall provide the required notice as specified in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(Notices).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35" w:right="279" w:bottom="1440" w:gutter="0" w:footer="0" w:header="0"/>
        </w:sectPr>
      </w:pPr>
    </w:p>
    <w:bookmarkStart w:id="30" w:name="page31"/>
    <w:bookmarkEnd w:id="30"/>
    <w:p>
      <w:pPr>
        <w:ind w:left="232" w:right="20" w:firstLine="446"/>
        <w:spacing w:after="0" w:line="286" w:lineRule="auto"/>
        <w:tabs>
          <w:tab w:leader="none" w:pos="937" w:val="left"/>
        </w:tabs>
        <w:numPr>
          <w:ilvl w:val="2"/>
          <w:numId w:val="38"/>
        </w:numPr>
        <w:rPr>
          <w:rFonts w:ascii="Arial" w:cs="Arial" w:eastAsia="Arial" w:hAnsi="Arial"/>
          <w:sz w:val="17"/>
          <w:szCs w:val="17"/>
          <w:color w:val="auto"/>
        </w:rPr>
      </w:pPr>
      <w:r>
        <w:rPr>
          <w:rFonts w:ascii="Arial" w:cs="Arial" w:eastAsia="Arial" w:hAnsi="Arial"/>
          <w:sz w:val="17"/>
          <w:szCs w:val="17"/>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17"/>
          <w:szCs w:val="17"/>
          <w:u w:val="single" w:color="auto"/>
          <w:color w:val="auto"/>
        </w:rPr>
        <w:t>Section 7(g)</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hereof shall remain in full force and effect notwithstanding such termination.</w:t>
      </w:r>
    </w:p>
    <w:p>
      <w:pPr>
        <w:spacing w:after="0" w:line="57" w:lineRule="exact"/>
        <w:rPr>
          <w:rFonts w:ascii="Arial" w:cs="Arial" w:eastAsia="Arial" w:hAnsi="Arial"/>
          <w:sz w:val="17"/>
          <w:szCs w:val="17"/>
          <w:color w:val="auto"/>
        </w:rPr>
      </w:pPr>
    </w:p>
    <w:p>
      <w:pPr>
        <w:jc w:val="both"/>
        <w:ind w:left="232" w:right="120" w:firstLine="446"/>
        <w:spacing w:after="0" w:line="286" w:lineRule="auto"/>
        <w:tabs>
          <w:tab w:leader="none" w:pos="927" w:val="left"/>
        </w:tabs>
        <w:numPr>
          <w:ilvl w:val="2"/>
          <w:numId w:val="38"/>
        </w:numPr>
        <w:rPr>
          <w:rFonts w:ascii="Arial" w:cs="Arial" w:eastAsia="Arial" w:hAnsi="Arial"/>
          <w:sz w:val="17"/>
          <w:szCs w:val="17"/>
          <w:color w:val="auto"/>
        </w:rPr>
      </w:pPr>
      <w:r>
        <w:rPr>
          <w:rFonts w:ascii="Arial" w:cs="Arial" w:eastAsia="Arial" w:hAnsi="Arial"/>
          <w:sz w:val="17"/>
          <w:szCs w:val="17"/>
          <w:color w:val="auto"/>
        </w:rPr>
        <w:t xml:space="preserve">CF&amp;Co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17"/>
          <w:szCs w:val="17"/>
          <w:u w:val="single" w:color="auto"/>
          <w:color w:val="auto"/>
        </w:rPr>
        <w:t>Section 7(g)</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hereof shall remain in full force and effect notwithstanding such termination.</w:t>
      </w:r>
    </w:p>
    <w:p>
      <w:pPr>
        <w:spacing w:after="0" w:line="57" w:lineRule="exact"/>
        <w:rPr>
          <w:rFonts w:ascii="Arial" w:cs="Arial" w:eastAsia="Arial" w:hAnsi="Arial"/>
          <w:sz w:val="17"/>
          <w:szCs w:val="17"/>
          <w:color w:val="auto"/>
        </w:rPr>
      </w:pPr>
    </w:p>
    <w:p>
      <w:pPr>
        <w:ind w:left="232" w:right="460" w:firstLine="446"/>
        <w:spacing w:after="0" w:line="286" w:lineRule="auto"/>
        <w:tabs>
          <w:tab w:leader="none" w:pos="937" w:val="left"/>
        </w:tabs>
        <w:numPr>
          <w:ilvl w:val="2"/>
          <w:numId w:val="38"/>
        </w:numPr>
        <w:rPr>
          <w:rFonts w:ascii="Arial" w:cs="Arial" w:eastAsia="Arial" w:hAnsi="Arial"/>
          <w:sz w:val="17"/>
          <w:szCs w:val="17"/>
          <w:color w:val="auto"/>
        </w:rPr>
      </w:pPr>
      <w:r>
        <w:rPr>
          <w:rFonts w:ascii="Arial" w:cs="Arial" w:eastAsia="Arial" w:hAnsi="Arial"/>
          <w:sz w:val="17"/>
          <w:szCs w:val="17"/>
          <w:color w:val="auto"/>
        </w:rPr>
        <w:t xml:space="preserve">Unless earlier terminated pursuant to this Section 11, this Agreement shall automatically terminate upon the issuance and sale of all of the Placement Shares through CF&amp;Co on the terms and subject to the conditions set forth herein;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provisions of </w:t>
      </w:r>
      <w:r>
        <w:rPr>
          <w:rFonts w:ascii="Arial" w:cs="Arial" w:eastAsia="Arial" w:hAnsi="Arial"/>
          <w:sz w:val="17"/>
          <w:szCs w:val="17"/>
          <w:u w:val="single" w:color="auto"/>
          <w:color w:val="auto"/>
        </w:rPr>
        <w:t>Section 7(g)</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hereof shall remain in full force and effect notwithstanding such termination.</w:t>
      </w:r>
    </w:p>
    <w:p>
      <w:pPr>
        <w:spacing w:after="0" w:line="57" w:lineRule="exact"/>
        <w:rPr>
          <w:rFonts w:ascii="Arial" w:cs="Arial" w:eastAsia="Arial" w:hAnsi="Arial"/>
          <w:sz w:val="17"/>
          <w:szCs w:val="17"/>
          <w:color w:val="auto"/>
        </w:rPr>
      </w:pPr>
    </w:p>
    <w:p>
      <w:pPr>
        <w:ind w:left="232" w:right="220" w:firstLine="446"/>
        <w:spacing w:after="0" w:line="264" w:lineRule="auto"/>
        <w:tabs>
          <w:tab w:leader="none" w:pos="927" w:val="left"/>
        </w:tabs>
        <w:numPr>
          <w:ilvl w:val="2"/>
          <w:numId w:val="38"/>
        </w:numPr>
        <w:rPr>
          <w:rFonts w:ascii="Arial" w:cs="Arial" w:eastAsia="Arial" w:hAnsi="Arial"/>
          <w:sz w:val="18"/>
          <w:szCs w:val="18"/>
          <w:color w:val="auto"/>
        </w:rPr>
      </w:pPr>
      <w:r>
        <w:rPr>
          <w:rFonts w:ascii="Arial" w:cs="Arial" w:eastAsia="Arial" w:hAnsi="Arial"/>
          <w:sz w:val="18"/>
          <w:szCs w:val="18"/>
          <w:color w:val="auto"/>
        </w:rPr>
        <w:t xml:space="preserve">This Agreement shall remain in full force and effect unless terminated pursuant to </w:t>
      </w:r>
      <w:r>
        <w:rPr>
          <w:rFonts w:ascii="Arial" w:cs="Arial" w:eastAsia="Arial" w:hAnsi="Arial"/>
          <w:sz w:val="18"/>
          <w:szCs w:val="18"/>
          <w:u w:val="single" w:color="auto"/>
          <w:color w:val="auto"/>
        </w:rPr>
        <w:t>Sections 11(a)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 or (d)</w:t>
      </w:r>
      <w:r>
        <w:rPr>
          <w:rFonts w:ascii="Arial" w:cs="Arial" w:eastAsia="Arial" w:hAnsi="Arial"/>
          <w:sz w:val="18"/>
          <w:szCs w:val="18"/>
          <w:color w:val="auto"/>
        </w:rPr>
        <w:t xml:space="preserve"> above or otherwise by mutual agreement of the parties;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such termination by mutual agreement shall in all cases be deemed to provide that </w:t>
      </w:r>
      <w:r>
        <w:rPr>
          <w:rFonts w:ascii="Arial" w:cs="Arial" w:eastAsia="Arial" w:hAnsi="Arial"/>
          <w:sz w:val="18"/>
          <w:szCs w:val="18"/>
          <w:u w:val="single" w:color="auto"/>
          <w:color w:val="auto"/>
        </w:rPr>
        <w:t>Section 7(g)</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shall remain in full force and effect.</w:t>
      </w:r>
    </w:p>
    <w:p>
      <w:pPr>
        <w:spacing w:after="0" w:line="73" w:lineRule="exact"/>
        <w:rPr>
          <w:rFonts w:ascii="Arial" w:cs="Arial" w:eastAsia="Arial" w:hAnsi="Arial"/>
          <w:sz w:val="18"/>
          <w:szCs w:val="18"/>
          <w:color w:val="auto"/>
        </w:rPr>
      </w:pPr>
    </w:p>
    <w:p>
      <w:pPr>
        <w:ind w:left="232" w:right="20" w:firstLine="446"/>
        <w:spacing w:after="0" w:line="259" w:lineRule="auto"/>
        <w:tabs>
          <w:tab w:leader="none" w:pos="907" w:val="left"/>
        </w:tabs>
        <w:numPr>
          <w:ilvl w:val="2"/>
          <w:numId w:val="38"/>
        </w:numPr>
        <w:rPr>
          <w:rFonts w:ascii="Arial" w:cs="Arial" w:eastAsia="Arial" w:hAnsi="Arial"/>
          <w:sz w:val="18"/>
          <w:szCs w:val="18"/>
          <w:color w:val="auto"/>
        </w:rPr>
      </w:pPr>
      <w:r>
        <w:rPr>
          <w:rFonts w:ascii="Arial" w:cs="Arial" w:eastAsia="Arial" w:hAnsi="Arial"/>
          <w:sz w:val="18"/>
          <w:szCs w:val="18"/>
          <w:color w:val="auto"/>
        </w:rPr>
        <w:t xml:space="preserve">Any termination of this Agreement shall be effective on the date specified in such notice of 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termination shall not be effective until the close of business on the date of receipt of such notice by CF&amp;Co or the Company, as the case may be. If such termination shall occur prior to the Settlement Date for any sale of Placement Shares, such Placement Shares shall settle in accordance with the provisions of this Agreement.</w:t>
      </w:r>
    </w:p>
    <w:p>
      <w:pPr>
        <w:spacing w:after="0" w:line="78" w:lineRule="exact"/>
        <w:rPr>
          <w:rFonts w:ascii="Arial" w:cs="Arial" w:eastAsia="Arial" w:hAnsi="Arial"/>
          <w:sz w:val="18"/>
          <w:szCs w:val="18"/>
          <w:color w:val="auto"/>
        </w:rPr>
      </w:pPr>
    </w:p>
    <w:p>
      <w:pPr>
        <w:ind w:left="-8" w:firstLine="233"/>
        <w:spacing w:after="0" w:line="283" w:lineRule="auto"/>
        <w:tabs>
          <w:tab w:leader="none" w:pos="487"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or other communications required or permitted to be given by any party to any other party pursuant to the terms of this Agreement shall be in writing, unless otherwise specified in this Agreement, and if sent to CF&amp;Co, shall be delivered to Cantor Fitzgerald &amp; Co., 499 Park Avenue, New York, New York 10022, fax no. (212) 308-3730, Attention: Capital Markets/Jeff Lumby, with copies to Stephen Merkel, General Counsel, at the same address, and DLA Piper LLP (US), 1251 Avenue of the Americas, New York, New York 10020, fax no. (212) 884-8494, Attention: Dean M. Colucci; or if sent to the Company, shall be delivered to Stemcells, Inc., 3155 Porter Drive, Palo Alto, CA 94304, fax no. 650-475-3101, attention: Rodney Young, Chief Financial Officer, with a copy to Ropes &amp; Gray LLP, One International Place, Boston, MA 02110, fax no. (617) 235-0018, attention: Geoffrey Davis, Esq. 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w:t>
      </w:r>
    </w:p>
    <w:p>
      <w:pPr>
        <w:spacing w:after="0" w:line="6" w:lineRule="exact"/>
        <w:rPr>
          <w:rFonts w:ascii="Arial" w:cs="Arial" w:eastAsia="Arial" w:hAnsi="Arial"/>
          <w:sz w:val="16"/>
          <w:szCs w:val="16"/>
          <w:color w:val="auto"/>
        </w:rPr>
      </w:pPr>
    </w:p>
    <w:p>
      <w:pPr>
        <w:ind w:left="-8" w:right="80" w:firstLine="8"/>
        <w:spacing w:after="0" w:line="261" w:lineRule="auto"/>
        <w:tabs>
          <w:tab w:leader="none" w:pos="257"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the next Business Day after timely delivery to a nationally-recognized overnight courier and (iii) on the Business Day actually received if deposited in the U.S. mail (certified or registered mail, return</w:t>
      </w:r>
    </w:p>
    <w:p>
      <w:pPr>
        <w:spacing w:after="0" w:line="15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31" w:name="page32"/>
    <w:bookmarkEnd w:id="31"/>
    <w:p>
      <w:pPr>
        <w:ind w:right="260"/>
        <w:spacing w:after="0" w:line="282" w:lineRule="auto"/>
        <w:rPr>
          <w:sz w:val="20"/>
          <w:szCs w:val="20"/>
          <w:color w:val="auto"/>
        </w:rPr>
      </w:pPr>
      <w:r>
        <w:rPr>
          <w:rFonts w:ascii="Arial" w:cs="Arial" w:eastAsia="Arial" w:hAnsi="Arial"/>
          <w:sz w:val="18"/>
          <w:szCs w:val="18"/>
          <w:color w:val="auto"/>
        </w:rPr>
        <w:t>receipt requested, postage prepaid). For purposes of this Agreement, “</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shall mean any day on which the Exchange and commercial banks in the City of New York are open for business.</w:t>
      </w:r>
    </w:p>
    <w:p>
      <w:pPr>
        <w:spacing w:after="0" w:line="58" w:lineRule="exact"/>
        <w:rPr>
          <w:sz w:val="20"/>
          <w:szCs w:val="20"/>
          <w:color w:val="auto"/>
        </w:rPr>
      </w:pPr>
    </w:p>
    <w:p>
      <w:pPr>
        <w:ind w:right="80" w:firstLine="233"/>
        <w:spacing w:after="0" w:line="255" w:lineRule="auto"/>
        <w:tabs>
          <w:tab w:leader="none" w:pos="49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inure to the benefit of and be binding upon the Company and CF&amp;Co and their respective successors and the affiliates, controlling persons, officers and directors referred to in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w:t>
      </w:r>
    </w:p>
    <w:p>
      <w:pPr>
        <w:spacing w:after="0" w:line="85" w:lineRule="exact"/>
        <w:rPr>
          <w:rFonts w:ascii="Arial" w:cs="Arial" w:eastAsia="Arial" w:hAnsi="Arial"/>
          <w:sz w:val="18"/>
          <w:szCs w:val="18"/>
          <w:color w:val="auto"/>
        </w:rPr>
      </w:pPr>
    </w:p>
    <w:p>
      <w:pPr>
        <w:ind w:right="140" w:firstLine="233"/>
        <w:spacing w:after="0" w:line="277"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Adjustments for Stock Splits</w:t>
      </w:r>
      <w:r>
        <w:rPr>
          <w:rFonts w:ascii="Arial" w:cs="Arial" w:eastAsia="Arial" w:hAnsi="Arial"/>
          <w:sz w:val="18"/>
          <w:szCs w:val="18"/>
          <w:color w:val="auto"/>
        </w:rPr>
        <w:t>. The parties acknowledge and agree that all share-related numbers contained in this Agreement shall be adjusted to take into account any stock split, stock dividend or similar event effected with respect to the Placement Shares.</w:t>
      </w:r>
    </w:p>
    <w:p>
      <w:pPr>
        <w:spacing w:after="0" w:line="62" w:lineRule="exact"/>
        <w:rPr>
          <w:rFonts w:ascii="Arial" w:cs="Arial" w:eastAsia="Arial" w:hAnsi="Arial"/>
          <w:sz w:val="18"/>
          <w:szCs w:val="18"/>
          <w:color w:val="auto"/>
        </w:rPr>
      </w:pPr>
    </w:p>
    <w:p>
      <w:pPr>
        <w:ind w:right="140" w:firstLine="233"/>
        <w:spacing w:after="0" w:line="290" w:lineRule="auto"/>
        <w:tabs>
          <w:tab w:leader="none" w:pos="495"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 Severability</w:t>
      </w:r>
      <w:r>
        <w:rPr>
          <w:rFonts w:ascii="Arial" w:cs="Arial" w:eastAsia="Arial" w:hAnsi="Arial"/>
          <w:sz w:val="16"/>
          <w:szCs w:val="16"/>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CF&amp;Co.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58" w:lineRule="exact"/>
        <w:rPr>
          <w:rFonts w:ascii="Arial" w:cs="Arial" w:eastAsia="Arial" w:hAnsi="Arial"/>
          <w:sz w:val="16"/>
          <w:szCs w:val="16"/>
          <w:color w:val="auto"/>
        </w:rPr>
      </w:pPr>
    </w:p>
    <w:p>
      <w:pPr>
        <w:ind w:firstLine="233"/>
        <w:spacing w:after="0" w:line="270" w:lineRule="auto"/>
        <w:tabs>
          <w:tab w:leader="none" w:pos="495"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Applicable Law; Consent to Jurisdiction</w:t>
      </w:r>
      <w:r>
        <w:rPr>
          <w:rFonts w:ascii="Arial" w:cs="Arial" w:eastAsia="Arial" w:hAnsi="Arial"/>
          <w:sz w:val="17"/>
          <w:szCs w:val="17"/>
          <w:color w:val="auto"/>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2" w:name="page33"/>
    <w:bookmarkEnd w:id="32"/>
    <w:p>
      <w:pPr>
        <w:ind w:left="-80" w:right="140" w:firstLine="233"/>
        <w:spacing w:after="0" w:line="277" w:lineRule="auto"/>
        <w:tabs>
          <w:tab w:leader="none" w:pos="415"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Company and CF&amp;Co each hereby irrevocably waives any right it may have to a trial by jury in respect of any claim based upon or arising out of this agreement or any transaction contemplated hereby.</w:t>
      </w:r>
    </w:p>
    <w:p>
      <w:pPr>
        <w:spacing w:after="0" w:line="62" w:lineRule="exact"/>
        <w:rPr>
          <w:rFonts w:ascii="Arial" w:cs="Arial" w:eastAsia="Arial" w:hAnsi="Arial"/>
          <w:sz w:val="18"/>
          <w:szCs w:val="18"/>
          <w:color w:val="auto"/>
        </w:rPr>
      </w:pPr>
    </w:p>
    <w:p>
      <w:pPr>
        <w:ind w:left="420" w:hanging="267"/>
        <w:spacing w:after="0"/>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Absence of Fiduciary Relationship</w:t>
      </w:r>
      <w:r>
        <w:rPr>
          <w:rFonts w:ascii="Arial" w:cs="Arial" w:eastAsia="Arial" w:hAnsi="Arial"/>
          <w:sz w:val="18"/>
          <w:szCs w:val="18"/>
          <w:color w:val="auto"/>
        </w:rPr>
        <w:t>. The Company acknowledges and agrees that:</w:t>
      </w:r>
    </w:p>
    <w:p>
      <w:pPr>
        <w:spacing w:after="0" w:line="117" w:lineRule="exact"/>
        <w:rPr>
          <w:rFonts w:ascii="Arial" w:cs="Arial" w:eastAsia="Arial" w:hAnsi="Arial"/>
          <w:sz w:val="18"/>
          <w:szCs w:val="18"/>
          <w:color w:val="auto"/>
        </w:rPr>
      </w:pPr>
    </w:p>
    <w:p>
      <w:pPr>
        <w:ind w:left="160" w:right="140" w:firstLine="446"/>
        <w:spacing w:after="0" w:line="264" w:lineRule="auto"/>
        <w:tabs>
          <w:tab w:leader="none" w:pos="855" w:val="left"/>
        </w:tabs>
        <w:numPr>
          <w:ilvl w:val="1"/>
          <w:numId w:val="42"/>
        </w:numPr>
        <w:rPr>
          <w:rFonts w:ascii="Arial" w:cs="Arial" w:eastAsia="Arial" w:hAnsi="Arial"/>
          <w:sz w:val="18"/>
          <w:szCs w:val="18"/>
          <w:color w:val="auto"/>
        </w:rPr>
      </w:pPr>
      <w:r>
        <w:rPr>
          <w:rFonts w:ascii="Arial" w:cs="Arial" w:eastAsia="Arial" w:hAnsi="Arial"/>
          <w:sz w:val="18"/>
          <w:szCs w:val="18"/>
          <w:color w:val="auto"/>
        </w:rPr>
        <w:t>CF&amp;Co has been retained solely to act as underwriter in connection with the sale of the Placement Shares that no fiduciary, advisory or agency relationship between the Company and CF&amp;Co has been created in respect of any of the transactions contemplated by this Agreement, irrespective of whether CF&amp;Co has advised or is advising the Company on other matters;</w:t>
      </w:r>
    </w:p>
    <w:p>
      <w:pPr>
        <w:spacing w:after="0" w:line="73" w:lineRule="exact"/>
        <w:rPr>
          <w:rFonts w:ascii="Arial" w:cs="Arial" w:eastAsia="Arial" w:hAnsi="Arial"/>
          <w:sz w:val="18"/>
          <w:szCs w:val="18"/>
          <w:color w:val="auto"/>
        </w:rPr>
      </w:pPr>
    </w:p>
    <w:p>
      <w:pPr>
        <w:ind w:left="160" w:right="780" w:firstLine="446"/>
        <w:spacing w:after="0" w:line="277" w:lineRule="auto"/>
        <w:tabs>
          <w:tab w:leader="none" w:pos="865"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Company is capable of evaluating and understanding and understand and accept the terms, risks and conditions of the transactions contemplated by this Agreement;</w:t>
      </w:r>
    </w:p>
    <w:p>
      <w:pPr>
        <w:spacing w:after="0" w:line="62" w:lineRule="exact"/>
        <w:rPr>
          <w:rFonts w:ascii="Arial" w:cs="Arial" w:eastAsia="Arial" w:hAnsi="Arial"/>
          <w:sz w:val="18"/>
          <w:szCs w:val="18"/>
          <w:color w:val="auto"/>
        </w:rPr>
      </w:pPr>
    </w:p>
    <w:p>
      <w:pPr>
        <w:ind w:left="160" w:right="40" w:firstLine="446"/>
        <w:spacing w:after="0" w:line="264" w:lineRule="auto"/>
        <w:tabs>
          <w:tab w:leader="none" w:pos="855"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Company has been advised that CF&amp;Co and its affiliates are engaged in a broad range of transactions which may involve interests that differ from those of the Company and that CF&amp;Co has no obligation to disclose such interests and transactions to the Company by virtue of any fiduciary, advisory or agency relationship; and</w:t>
      </w:r>
    </w:p>
    <w:p>
      <w:pPr>
        <w:spacing w:after="0" w:line="73" w:lineRule="exact"/>
        <w:rPr>
          <w:rFonts w:ascii="Arial" w:cs="Arial" w:eastAsia="Arial" w:hAnsi="Arial"/>
          <w:sz w:val="18"/>
          <w:szCs w:val="18"/>
          <w:color w:val="auto"/>
        </w:rPr>
      </w:pPr>
    </w:p>
    <w:p>
      <w:pPr>
        <w:ind w:left="160" w:right="40" w:firstLine="446"/>
        <w:spacing w:after="0" w:line="259" w:lineRule="auto"/>
        <w:tabs>
          <w:tab w:leader="none" w:pos="865"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Company and waives, to the fullest extent permitted by law, any claims it may have against CF&amp;Co, for breach of fiduciary duty or alleged breach of fiduciary duty and agrees that CF&amp;Co shall have no liability (whether direct or indirect) to the Company in respect to such fiduciary claim or to any person asserting a fiduciary duty claim on behalf of or in right of the Company, including shareholders, partners, employees or creditors of the Company.</w:t>
      </w:r>
    </w:p>
    <w:p>
      <w:pPr>
        <w:spacing w:after="0" w:line="78" w:lineRule="exact"/>
        <w:rPr>
          <w:rFonts w:ascii="Arial" w:cs="Arial" w:eastAsia="Arial" w:hAnsi="Arial"/>
          <w:sz w:val="18"/>
          <w:szCs w:val="18"/>
          <w:color w:val="auto"/>
        </w:rPr>
      </w:pPr>
    </w:p>
    <w:p>
      <w:pPr>
        <w:ind w:left="-80" w:firstLine="233"/>
        <w:spacing w:after="0" w:line="342" w:lineRule="auto"/>
        <w:tabs>
          <w:tab w:leader="none" w:pos="415"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transmission.</w:t>
      </w:r>
    </w:p>
    <w:p>
      <w:pPr>
        <w:spacing w:after="0" w:line="15" w:lineRule="exact"/>
        <w:rPr>
          <w:rFonts w:ascii="Arial" w:cs="Arial" w:eastAsia="Arial" w:hAnsi="Arial"/>
          <w:sz w:val="16"/>
          <w:szCs w:val="16"/>
          <w:color w:val="auto"/>
        </w:rPr>
      </w:pPr>
    </w:p>
    <w:p>
      <w:pPr>
        <w:ind w:left="420" w:hanging="267"/>
        <w:spacing w:after="0"/>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have the respective meanings set forth below:</w:t>
      </w:r>
    </w:p>
    <w:p>
      <w:pPr>
        <w:spacing w:after="0" w:line="117" w:lineRule="exact"/>
        <w:rPr>
          <w:rFonts w:ascii="Arial" w:cs="Arial" w:eastAsia="Arial" w:hAnsi="Arial"/>
          <w:sz w:val="18"/>
          <w:szCs w:val="18"/>
          <w:color w:val="auto"/>
        </w:rPr>
      </w:pPr>
    </w:p>
    <w:p>
      <w:pPr>
        <w:ind w:left="160" w:right="340" w:firstLine="446"/>
        <w:spacing w:after="0" w:line="277" w:lineRule="auto"/>
        <w:tabs>
          <w:tab w:leader="none" w:pos="855"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Time</w:t>
      </w:r>
      <w:r>
        <w:rPr>
          <w:rFonts w:ascii="Arial" w:cs="Arial" w:eastAsia="Arial" w:hAnsi="Arial"/>
          <w:sz w:val="18"/>
          <w:szCs w:val="18"/>
          <w:color w:val="auto"/>
        </w:rPr>
        <w:t>” means the date of this Agreement, each Representation Date, the date on which a Placement Notice is given, any date on which Placement Shares are sold hereunder, or such other time as agreed to by the Company and CF&amp;Co.</w:t>
      </w:r>
    </w:p>
    <w:p>
      <w:pPr>
        <w:spacing w:after="0" w:line="62" w:lineRule="exact"/>
        <w:rPr>
          <w:rFonts w:ascii="Arial" w:cs="Arial" w:eastAsia="Arial" w:hAnsi="Arial"/>
          <w:sz w:val="18"/>
          <w:szCs w:val="18"/>
          <w:color w:val="auto"/>
        </w:rPr>
      </w:pPr>
    </w:p>
    <w:p>
      <w:pPr>
        <w:ind w:left="860" w:hanging="254"/>
        <w:spacing w:after="0"/>
        <w:tabs>
          <w:tab w:leader="none" w:pos="8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means generally accepted accounting principles, as consistently applied in the United States.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320" w:top="935" w:right="299" w:bottom="1440" w:gutter="0" w:footer="0" w:header="0"/>
        </w:sectPr>
      </w:pPr>
    </w:p>
    <w:bookmarkStart w:id="33" w:name="page34"/>
    <w:bookmarkEnd w:id="33"/>
    <w:p>
      <w:pPr>
        <w:ind w:right="540" w:firstLine="450"/>
        <w:spacing w:after="0" w:line="277" w:lineRule="auto"/>
        <w:rPr>
          <w:sz w:val="20"/>
          <w:szCs w:val="20"/>
          <w:color w:val="auto"/>
        </w:rPr>
      </w:pPr>
      <w:r>
        <w:rPr>
          <w:rFonts w:ascii="Arial" w:cs="Arial" w:eastAsia="Arial" w:hAnsi="Arial"/>
          <w:sz w:val="18"/>
          <w:szCs w:val="18"/>
          <w:color w:val="auto"/>
        </w:rPr>
        <w:t>If the foregoing correctly sets forth the understanding between the Company and CF&amp;Co, please so indicate in the space provided below for that purpose, whereupon this letter shall constitute a binding agreement between the Company and CF&amp;Co.</w:t>
      </w:r>
    </w:p>
    <w:p>
      <w:pPr>
        <w:spacing w:after="0" w:line="1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STEMCELLS, INC.</w:t>
      </w:r>
    </w:p>
    <w:p>
      <w:pPr>
        <w:spacing w:after="0" w:line="229" w:lineRule="exact"/>
        <w:rPr>
          <w:sz w:val="20"/>
          <w:szCs w:val="20"/>
          <w:color w:val="auto"/>
        </w:rPr>
      </w:pPr>
    </w:p>
    <w:tbl>
      <w:tblPr>
        <w:tblLayout w:type="fixed"/>
        <w:tblInd w:w="568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M. McGlynn</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Martin M. McGlynn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as of the date first-above written: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CANTOR FITZGERALD &amp; CO.</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Lumby</w:t>
            </w:r>
          </w:p>
        </w:tc>
        <w:tc>
          <w:tcPr>
            <w:tcW w:w="6700" w:type="dxa"/>
            <w:vAlign w:val="bottom"/>
          </w:tcPr>
          <w:p>
            <w:pPr>
              <w:spacing w:after="0"/>
              <w:rPr>
                <w:sz w:val="20"/>
                <w:szCs w:val="20"/>
                <w:color w:val="auto"/>
              </w:rPr>
            </w:pP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140" w:type="dxa"/>
            <w:vAlign w:val="bottom"/>
          </w:tcPr>
          <w:p>
            <w:pPr>
              <w:spacing w:after="0"/>
              <w:rPr>
                <w:sz w:val="20"/>
                <w:szCs w:val="20"/>
                <w:color w:val="auto"/>
              </w:rPr>
            </w:pPr>
            <w:r>
              <w:rPr>
                <w:rFonts w:ascii="Arial" w:cs="Arial" w:eastAsia="Arial" w:hAnsi="Arial"/>
                <w:sz w:val="18"/>
                <w:szCs w:val="18"/>
                <w:color w:val="auto"/>
              </w:rPr>
              <w:t>Jeffrey Lumby</w:t>
            </w:r>
          </w:p>
        </w:tc>
        <w:tc>
          <w:tcPr>
            <w:tcW w:w="67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spacing w:after="0"/>
              <w:rPr>
                <w:sz w:val="20"/>
                <w:szCs w:val="20"/>
                <w:color w:val="auto"/>
              </w:rPr>
            </w:pPr>
            <w:r>
              <w:rPr>
                <w:rFonts w:ascii="Arial" w:cs="Arial" w:eastAsia="Arial" w:hAnsi="Arial"/>
                <w:sz w:val="18"/>
                <w:szCs w:val="18"/>
                <w:color w:val="auto"/>
              </w:rPr>
              <w:t>Managing Director</w:t>
            </w:r>
          </w:p>
        </w:tc>
        <w:tc>
          <w:tcPr>
            <w:tcW w:w="6700" w:type="dxa"/>
            <w:vAlign w:val="bottom"/>
          </w:tcPr>
          <w:p>
            <w:pPr>
              <w:spacing w:after="0"/>
              <w:rPr>
                <w:sz w:val="20"/>
                <w:szCs w:val="20"/>
                <w:color w:val="auto"/>
              </w:rPr>
            </w:pPr>
          </w:p>
        </w:tc>
      </w:tr>
      <w:tr>
        <w:trPr>
          <w:trHeight w:val="632"/>
        </w:trPr>
        <w:tc>
          <w:tcPr>
            <w:tcW w:w="58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c>
          <w:tcPr>
            <w:tcW w:w="6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SCHEDULE 3</w:t>
      </w:r>
    </w:p>
    <w:p>
      <w:pPr>
        <w:spacing w:after="0" w:line="333" w:lineRule="exact"/>
        <w:rPr>
          <w:sz w:val="20"/>
          <w:szCs w:val="20"/>
          <w:color w:val="auto"/>
        </w:rPr>
      </w:pPr>
    </w:p>
    <w:p>
      <w:pPr>
        <w:ind w:left="4980"/>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CF&amp;Co shall be paid compensation equal to three percent (3%) of the gross proceeds from the sales of the Placement Shares.</w:t>
      </w:r>
    </w:p>
    <w:p>
      <w:pPr>
        <w:sectPr>
          <w:pgSz w:w="11900" w:h="16838" w:orient="portrait"/>
          <w:cols w:equalWidth="0" w:num="1">
            <w:col w:w="11420"/>
          </w:cols>
          <w:pgMar w:left="240" w:top="932"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8,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3155 Porter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Registration Statement on Form S-3 (Registration No. 333-151891)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This opinion is furnished to you in connection with the above-referenced registration statement filed with the Securities and Exchange Commission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Commission</w:t>
      </w:r>
      <w:r>
        <w:rPr>
          <w:rFonts w:ascii="Arial" w:cs="Arial" w:eastAsia="Arial" w:hAnsi="Arial"/>
          <w:sz w:val="17"/>
          <w:szCs w:val="17"/>
          <w:color w:val="auto"/>
        </w:rPr>
        <w:t>”) by StemCells,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on June 24, 2008, as amended by Amendment No. 1 thereto, filed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Commission on July 18, 2008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base prospectus dated July 18, 2008 (the “</w:t>
      </w:r>
      <w:r>
        <w:rPr>
          <w:rFonts w:ascii="Arial" w:cs="Arial" w:eastAsia="Arial" w:hAnsi="Arial"/>
          <w:sz w:val="16"/>
          <w:szCs w:val="16"/>
          <w:u w:val="single" w:color="auto"/>
          <w:color w:val="auto"/>
        </w:rPr>
        <w:t>Base Prospectus</w:t>
      </w:r>
      <w:r>
        <w:rPr>
          <w:rFonts w:ascii="Arial" w:cs="Arial" w:eastAsia="Arial" w:hAnsi="Arial"/>
          <w:sz w:val="16"/>
          <w:szCs w:val="16"/>
          <w:color w:val="auto"/>
        </w:rPr>
        <w:t>”) and the prospectus supplement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dated June 8, 2009 (together with the Base Prospectus, the “</w:t>
      </w:r>
      <w:r>
        <w:rPr>
          <w:rFonts w:ascii="Arial" w:cs="Arial" w:eastAsia="Arial" w:hAnsi="Arial"/>
          <w:sz w:val="16"/>
          <w:szCs w:val="16"/>
          <w:u w:val="single" w:color="auto"/>
          <w:color w:val="auto"/>
        </w:rPr>
        <w:t>Prospectus</w:t>
      </w:r>
      <w:r>
        <w:rPr>
          <w:rFonts w:ascii="Arial" w:cs="Arial" w:eastAsia="Arial" w:hAnsi="Arial"/>
          <w:sz w:val="16"/>
          <w:szCs w:val="16"/>
          <w:color w:val="auto"/>
        </w:rPr>
        <w:t>”) to be filed with the Commission by the Company on June 8, 2009,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Rule 424 promulgated under the Securities Act of 1933, as amended. The Prospectus relates to the proposed issuance and sale from time to time of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$30,000,000 of shares of the Company’s common stock, par value $0.01 per share (the “</w:t>
      </w:r>
      <w:r>
        <w:rPr>
          <w:rFonts w:ascii="Arial" w:cs="Arial" w:eastAsia="Arial" w:hAnsi="Arial"/>
          <w:sz w:val="16"/>
          <w:szCs w:val="16"/>
          <w:u w:val="single" w:color="auto"/>
          <w:color w:val="auto"/>
        </w:rPr>
        <w:t>Shares</w:t>
      </w:r>
      <w:r>
        <w:rPr>
          <w:rFonts w:ascii="Arial" w:cs="Arial" w:eastAsia="Arial" w:hAnsi="Arial"/>
          <w:sz w:val="16"/>
          <w:szCs w:val="16"/>
          <w:color w:val="auto"/>
        </w:rPr>
        <w:t>”), in accordance with the terms of a Sales Agreement, 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5, 2009, by and between the Company and Cantor Fitzgerald &amp; Co.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0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familiar with the actions taken by the Company in connection with the proposed issuance of the Shares. For purposes of our opinion, we have examined and relied upon such documents, records, certificates, and other instruments as we have deemed necessary. The opinions expressed below are limited to the Delaware General Corporation Law, including the applicable provisions of the Delaware Constitution and the reported cases interpreting those laws.</w:t>
      </w:r>
    </w:p>
    <w:p>
      <w:pPr>
        <w:spacing w:after="0" w:line="7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Based on the foregoing, we are of the opinion that the Shares have been duly authorized and, when the Shares have been issued and sold in accordance with the terms of the Agreement and a Placement Notice issued and accepted in accordance with the Agreement, the Shares will be validly issued, fully paid, and nonassessable.</w:t>
      </w:r>
    </w:p>
    <w:p>
      <w:pPr>
        <w:spacing w:after="0" w:line="73"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We hereby consent to the filing of this opinion as an exhibit to the Registration Statement. Our consent shall not be deemed an admission that we are experts whose consent is required under Section 7 of the Securities Act of 1933, as amended.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It is understood that this opinion is to be used only in connection with the offer and sale of Shares while the Registration Statement is in effect.</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Ropes &amp; Gray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6350</wp:posOffset>
            </wp:positionV>
            <wp:extent cx="14490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Ropes &amp; Gray LLP</w:t>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223520</wp:posOffset>
            </wp:positionV>
            <wp:extent cx="2487295" cy="523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8729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NEWS RELEASE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w:t>
      </w:r>
      <w:r>
        <w:rPr>
          <w:rFonts w:ascii="Arial" w:cs="Arial" w:eastAsia="Arial" w:hAnsi="Arial"/>
          <w:sz w:val="18"/>
          <w:szCs w:val="18"/>
          <w:color w:val="auto"/>
        </w:rPr>
        <w:t>Megan Meloni</w:t>
      </w:r>
    </w:p>
    <w:p>
      <w:pPr>
        <w:spacing w:after="0" w:line="2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(650) 475-3100, ext. 105</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 ANNOUNCES POSITIVE PHASE I BATTEN TRIAL RESULTS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Reports Evidence of Engraftment and Long-Term Survival of HuCNS-SC</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Cells</w:t>
      </w:r>
    </w:p>
    <w:p>
      <w:pPr>
        <w:spacing w:after="0" w:line="113" w:lineRule="exact"/>
        <w:rPr>
          <w:sz w:val="20"/>
          <w:szCs w:val="20"/>
          <w:color w:val="auto"/>
        </w:rPr>
      </w:pPr>
    </w:p>
    <w:p>
      <w:pPr>
        <w:ind w:right="160" w:firstLine="225"/>
        <w:spacing w:after="0" w:line="266" w:lineRule="auto"/>
        <w:rPr>
          <w:sz w:val="20"/>
          <w:szCs w:val="20"/>
          <w:color w:val="auto"/>
        </w:rPr>
      </w:pPr>
      <w:r>
        <w:rPr>
          <w:rFonts w:ascii="Arial" w:cs="Arial" w:eastAsia="Arial" w:hAnsi="Arial"/>
          <w:sz w:val="18"/>
          <w:szCs w:val="18"/>
          <w:b w:val="1"/>
          <w:bCs w:val="1"/>
          <w:color w:val="auto"/>
        </w:rPr>
        <w:t xml:space="preserve">PALO ALTO, Calif., June 8, 2009 </w:t>
      </w:r>
      <w:r>
        <w:rPr>
          <w:rFonts w:ascii="Arial" w:cs="Arial" w:eastAsia="Arial" w:hAnsi="Arial"/>
          <w:sz w:val="18"/>
          <w:szCs w:val="18"/>
          <w:color w:val="auto"/>
        </w:rPr>
        <w:t>– StemCells, Inc. (NASDAQ: STEM) announced today positive results from the first Phase I clinical trial of its</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HuCNS-SC</w:t>
      </w:r>
      <w:r>
        <w:rPr>
          <w:rFonts w:ascii="Arial" w:cs="Arial" w:eastAsia="Arial" w:hAnsi="Arial"/>
          <w:sz w:val="15"/>
          <w:szCs w:val="15"/>
          <w:color w:val="auto"/>
        </w:rPr>
        <w:t>®</w:t>
      </w:r>
      <w:r>
        <w:rPr>
          <w:rFonts w:ascii="Arial" w:cs="Arial" w:eastAsia="Arial" w:hAnsi="Arial"/>
          <w:sz w:val="18"/>
          <w:szCs w:val="18"/>
          <w:color w:val="auto"/>
        </w:rPr>
        <w:t xml:space="preserve"> product candidate (purified human neural stem cells), including demonstration of a favorable safety profile along with evidence of engraftment and long-term survival of the HuCNS-SC cells.</w:t>
      </w:r>
    </w:p>
    <w:p>
      <w:pPr>
        <w:spacing w:after="0" w:line="72" w:lineRule="exact"/>
        <w:rPr>
          <w:sz w:val="20"/>
          <w:szCs w:val="20"/>
          <w:color w:val="auto"/>
        </w:rPr>
      </w:pPr>
    </w:p>
    <w:p>
      <w:pPr>
        <w:ind w:right="20" w:firstLine="222"/>
        <w:spacing w:after="0" w:line="289" w:lineRule="auto"/>
        <w:rPr>
          <w:sz w:val="20"/>
          <w:szCs w:val="20"/>
          <w:color w:val="auto"/>
        </w:rPr>
      </w:pPr>
      <w:r>
        <w:rPr>
          <w:rFonts w:ascii="Arial" w:cs="Arial" w:eastAsia="Arial" w:hAnsi="Arial"/>
          <w:sz w:val="16"/>
          <w:szCs w:val="16"/>
          <w:color w:val="auto"/>
        </w:rPr>
        <w:t>The Phase I trial was designed primarily to assess the safety of HuCNS-SC cells as a potential cell-based therapeutic. Six patients with advanced stages of infantile and late infantile neuronal ceroid lipofuscinosis (NCL), often referred to as Batten disease, were transplanted with HuCNS-SC cells and followed for 12 months. Overall, the Phase I data demonstrated that high doses of HuCNS-SC cells, delivered by a direct transplantation procedure into multiple sites within the brain, followed by twelve months of immunosuppression, were well tolerated by all six patients enrolled in the trial. The patients’ medical, neurological and neuropsychological conditions, following transplantation, appeared consistent with the normal course of the disease. The independent Data Monitoring Committee (DMC), a multi-disciplinary group of experts in neurosurgery, transplant medicine, genetics, and neurology responsible for overseeing the safety of the trial, has also concurred with the Company’s assessment of the safety profile of the test product and procedure. The trial was conducted at Oregon Health &amp; Science University (OHSU) Doernbecher Children’s Hospital and was completed in January 2009. StemCells will present the final study report to the FDA and plans to pursue future clinical development of HuCNS-SC as a potential treatment for infantile and late infantile NCL.</w:t>
      </w:r>
    </w:p>
    <w:p>
      <w:pPr>
        <w:spacing w:after="0" w:line="59"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“We are very pleased and encouraged by the results of this landmark trial,” said Martin McGlynn, president and chief executive officer of StemCells. “As this was the first-ever FDA-authorized study of human neural stem cells as a potential therapeutic agent in humans, the favorable data we obtained is especially meaningful. Completing this first trial also marked an important milestone in the evolution of our cell-based product candidates from research and development to human clinical studies. We are deeply grateful for the support of the patients’ families who enabled us to make an important advance in our search for a therapy that might one day benefit not only children with Batten disease, but also those suffering from other serious neurodegenerative diseases.”</w:t>
      </w:r>
    </w:p>
    <w:p>
      <w:pPr>
        <w:spacing w:after="0" w:line="50"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Commenting on the trial data, Stephen Huhn, MD, FACS, FAAP, vice president and head of the Company’s CNS Program, stated, “The HuCNS-SC cells were well tolerated even at very high dose levels – as many as one billion cells were transplanted into certain patients. Given the considerable number of cells transplanted, together with the very fragile nature of the patients involved, the positive safety data we observed is particularly noteworthy.”</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3155 Porter Drive </w:t>
      </w:r>
      <w:r>
        <w:rPr>
          <w:rFonts w:ascii="Arial" w:cs="Arial" w:eastAsia="Arial" w:hAnsi="Arial"/>
          <w:sz w:val="18"/>
          <w:szCs w:val="18"/>
          <w:b w:val="1"/>
          <w:bCs w:val="1"/>
          <w:color w:val="auto"/>
        </w:rPr>
        <w:t>•</w:t>
      </w:r>
      <w:r>
        <w:rPr>
          <w:rFonts w:ascii="Arial" w:cs="Arial" w:eastAsia="Arial" w:hAnsi="Arial"/>
          <w:sz w:val="18"/>
          <w:szCs w:val="18"/>
          <w:color w:val="auto"/>
        </w:rPr>
        <w:t xml:space="preserve"> Palo Alto, CA 94304 </w:t>
      </w:r>
      <w:r>
        <w:rPr>
          <w:rFonts w:ascii="Arial" w:cs="Arial" w:eastAsia="Arial" w:hAnsi="Arial"/>
          <w:sz w:val="18"/>
          <w:szCs w:val="18"/>
          <w:b w:val="1"/>
          <w:bCs w:val="1"/>
          <w:color w:val="auto"/>
        </w:rPr>
        <w:t>•</w:t>
      </w:r>
      <w:r>
        <w:rPr>
          <w:rFonts w:ascii="Arial" w:cs="Arial" w:eastAsia="Arial" w:hAnsi="Arial"/>
          <w:sz w:val="18"/>
          <w:szCs w:val="18"/>
          <w:color w:val="auto"/>
        </w:rPr>
        <w:t xml:space="preserve"> Phone 650.475.3100 </w:t>
      </w:r>
      <w:r>
        <w:rPr>
          <w:rFonts w:ascii="Arial" w:cs="Arial" w:eastAsia="Arial" w:hAnsi="Arial"/>
          <w:sz w:val="18"/>
          <w:szCs w:val="18"/>
          <w:b w:val="1"/>
          <w:bCs w:val="1"/>
          <w:color w:val="auto"/>
        </w:rPr>
        <w:t>•</w:t>
      </w:r>
      <w:r>
        <w:rPr>
          <w:rFonts w:ascii="Arial" w:cs="Arial" w:eastAsia="Arial" w:hAnsi="Arial"/>
          <w:sz w:val="18"/>
          <w:szCs w:val="18"/>
          <w:color w:val="auto"/>
        </w:rPr>
        <w:t xml:space="preserve"> Fax 650.475.3101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www.stemcellsinc.com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ind w:right="40" w:firstLine="225"/>
        <w:spacing w:after="0" w:line="259" w:lineRule="auto"/>
        <w:rPr>
          <w:sz w:val="20"/>
          <w:szCs w:val="20"/>
          <w:color w:val="auto"/>
        </w:rPr>
      </w:pPr>
      <w:r>
        <w:rPr>
          <w:rFonts w:ascii="Arial" w:cs="Arial" w:eastAsia="Arial" w:hAnsi="Arial"/>
          <w:sz w:val="18"/>
          <w:szCs w:val="18"/>
          <w:color w:val="auto"/>
        </w:rPr>
        <w:t>StemCells previously reported the loss of the second patient enrolled in the trial, who died from the natural progression of the disease approximately one year post-transplant. Because the family consented to an autopsy examination of the brain, the Company was able to establish that the donor cells had engrafted and survived, despite severe brain atrophy related to the NCL. By permitting the autopsy, the family allowed the researchers to learn very important details that will potentially benefit future patients.</w:t>
      </w:r>
    </w:p>
    <w:p>
      <w:pPr>
        <w:spacing w:after="0" w:line="79"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color w:val="auto"/>
        </w:rPr>
        <w:t>“Our strategy for these lysosomal storage diseases is to protect the patient’s remaining neurons by transplanting donor cells without the genetic defect that causes NCL into the brain,” continued Dr. Huhn. “These healthy neural stem cells have the potential to produce the enzyme currently lacking for proper function and survival of the patient’s brain cells. In this first trial, however, the patients already had a severe amount of neuronal degeneration and brain atrophy due to the advanced stage of their disease and only a limited number of brain cells remaining to protect, making it difficult to measure any degree of efficacy. Our interpretation of potential efficacy measurements was also limited by the number of subjects enrolled in the trial and the absence of a control group. Consequently, now that we have demonstrated a favorable safety profile and evidence of long term donor cell survival, our objective is to initiate a second trial designed to test the potential for efficacy in patients in a much earlier stage of the disease.”</w:t>
      </w:r>
    </w:p>
    <w:p>
      <w:pPr>
        <w:spacing w:after="0" w:line="70"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Robert Steiner, MD, FAAP, FACMG, co-principal investigator, professor of pediatrics and molecular and medical genetics, and vice chairman for pediatric research at OHSU Doernbecher Children’s Hospital, stated, “The OHSU research team worked very hard to carry out this highly complex research and is heartened to see that this approach appears to be safe. We are delighted that this first trial of human neural stem cells was successful and offers some hope for effective treatment of NCL and other neurodegenerative disorders.”</w:t>
      </w:r>
    </w:p>
    <w:p>
      <w:pPr>
        <w:spacing w:after="0" w:line="7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“It was a privilege for our team to care for these precious children,” added Nathan Selden, MD, Ph.D., FACS, FAAP, co-principal investigator, Campagna Associate Professor and head, division of pediatric neurological surgery at OHSU Doernbecher Children’s Hospital. “We are indebted to our patients and their families for taking us into this new era of therapy for the central nervous system. We hold out great hope in the future for them and for others around the world with similar diseases that today have no cure.”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Trial Design</w:t>
      </w:r>
    </w:p>
    <w:p>
      <w:pPr>
        <w:spacing w:after="0" w:line="117" w:lineRule="exact"/>
        <w:rPr>
          <w:sz w:val="20"/>
          <w:szCs w:val="20"/>
          <w:color w:val="auto"/>
        </w:rPr>
      </w:pPr>
    </w:p>
    <w:p>
      <w:pPr>
        <w:ind w:right="100" w:firstLine="222"/>
        <w:spacing w:after="0" w:line="270" w:lineRule="auto"/>
        <w:rPr>
          <w:sz w:val="20"/>
          <w:szCs w:val="20"/>
          <w:color w:val="auto"/>
        </w:rPr>
      </w:pPr>
      <w:r>
        <w:rPr>
          <w:rFonts w:ascii="Arial" w:cs="Arial" w:eastAsia="Arial" w:hAnsi="Arial"/>
          <w:sz w:val="17"/>
          <w:szCs w:val="17"/>
          <w:color w:val="auto"/>
        </w:rPr>
        <w:t>The Phase I trial was designed primarily to assess the safety of HuCNS-SC cells as a potential treatment for infantile and late infantile NCL, including the tolerability of multiple interventions (surgery, immunosuppression and the HuCNS-SC cells). Six patients with either infantile or late infantile NCL were enrolled in the open-label, dose-escalating Phase I study and transplanted with HuCNS-SC cells. Enrollment in the trial was limited to those patients in advanced stages of the disease with significant neurological and cognitive impairment (patients whose developmental age was demonstrated to be less than two-thirds of their chronological age). Two dose levels were administered, with the first three patients receiving a target dose of approximately 500 million cells, and the other three patients receiving a target dose of approximately one billion cells. The HuCNS-SC cells were directly transplanted into each patient’s brain via a neurosurgical procedure, and patients were immunosuppressed for 12 months following transplantation. The patients were evaluated and assessed at regular intervals using a comprehensive range of medical, neurological and neuropsychological tests, both before transplantation to establish a baseline, and over the course of 12 months following transplantation. Following completion of the Phase I trial, the patients were automatically enrolled in a separate four-year follow-up study.</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Summary of Data</w:t>
      </w:r>
    </w:p>
    <w:p>
      <w:pPr>
        <w:spacing w:after="0" w:line="117"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The most common non-serious adverse events observed during the trial were related to immunosuppression. A total of 13 serious adverse events were noted, of which 54% were reported for one patient, and none of which were considered related to the HuCNS-SC cells. Magnetic resonance images (MRIs) of each patient’s brain were taken at baseline, immediately following surgery, and at six months and 12 months following transplantation to evaluate the injection sites. Of the 48 total injection sites (eight per patient), no MRI abnormalities related to the cells were detected. A single artifact at one transplant site in one patient was evident by MRI, and was considered a minor, harmless change related to the surgery. The previously reported death of one patient approximately one year following transplantation was determined, after an autopsy and a review of medical records in consultation with the DMC, to be the result of the natural progression of the disease. The evidence of regional engraftment and survival of the HuCNS-SC cells from this autopsy supports continued effort toward the goal of demonstrating efficacy.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Neuronal Ceroid Lipofuscinosis (Batten Disease)</w:t>
      </w:r>
    </w:p>
    <w:p>
      <w:pPr>
        <w:spacing w:after="0" w:line="121"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Neuronal ceroid lipofuscinosis (NCL) is a fatal neurodegenerative disorder that afflicts infants and young children. The disorder, often referred to as Batten disease, is caused by genetic mutations, and children who inherit the defective gene are unable to produce enough of an enzyme that processes cellular waste substances that accumulate in a part of cells known as the lysosome. Without the enzyme, the cellular waste builds up, and eventually the cells cannot function and die. Children with NCL appear healthy when born, but as their brain cells die, they begin to suffer seizures and progressively lose motor skills, sight and mental capacity. Eventually, they become blind, bedridden and unable to communicate or function independently. There currently is no cure for the disease. The infantile and late infantile forms of NCL are caused by different genetic mutations. As the names imply, the two forms begin to afflict patients at different stages of infancy, but both have similar disease progression and outcomes.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HuCNS-SC</w:t>
      </w:r>
      <w:r>
        <w:rPr>
          <w:rFonts w:ascii="Arial" w:cs="Arial" w:eastAsia="Arial" w:hAnsi="Arial"/>
          <w:sz w:val="15"/>
          <w:szCs w:val="15"/>
          <w:color w:val="auto"/>
        </w:rPr>
        <w:t>®</w:t>
      </w:r>
      <w:r>
        <w:rPr>
          <w:rFonts w:ascii="Arial" w:cs="Arial" w:eastAsia="Arial" w:hAnsi="Arial"/>
          <w:sz w:val="18"/>
          <w:szCs w:val="18"/>
          <w:b w:val="1"/>
          <w:bCs w:val="1"/>
          <w:color w:val="auto"/>
        </w:rPr>
        <w:t xml:space="preserve"> Cells</w:t>
      </w:r>
    </w:p>
    <w:p>
      <w:pPr>
        <w:spacing w:after="0" w:line="121"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StemCells’ lead product candidate, HuCNS-SC cells, is a purified composition of normal human neural stem cells that are expanded and stored as banks of cells. The Company’s preclinical research has shown that HuCNS-SC cells can be directly transplanted; they engraft, migrate, differentiate into neurons and glial cells; and they survive for as long as one year with no sign of tumor formation or adverse effects. These findings show that HuCNS-SC cells, when transplanted, act like normal stem cells, suggesting the possibility of a continual replenishment of normal human neural cells.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StemCells, Inc.</w:t>
      </w:r>
    </w:p>
    <w:p>
      <w:pPr>
        <w:spacing w:after="0" w:line="121"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StemCells, Inc. is a clinical-stage biotechnology company focused on the research, development and commercialization of products derived from stem cell technologies. In its therapeutic product development programs, StemCells is focused on developing cell-based therapeutics to treat diseases of the central nervous system and liver. StemCells has pioneered the discovery and development of HuCNS-SC</w:t>
      </w:r>
      <w:r>
        <w:rPr>
          <w:rFonts w:ascii="Arial" w:cs="Arial" w:eastAsia="Arial" w:hAnsi="Arial"/>
          <w:sz w:val="13"/>
          <w:szCs w:val="13"/>
          <w:color w:val="auto"/>
        </w:rPr>
        <w:t>®</w:t>
      </w:r>
      <w:r>
        <w:rPr>
          <w:rFonts w:ascii="Arial" w:cs="Arial" w:eastAsia="Arial" w:hAnsi="Arial"/>
          <w:sz w:val="16"/>
          <w:szCs w:val="16"/>
          <w:color w:val="auto"/>
        </w:rPr>
        <w:t xml:space="preserve"> cells, its highly purified, expandable population of human neural stem cells. StemCells has completed a six-patient Phase I clinical trial of its proprietary HuCNS-SC product candidate as a treatment for neuronal ceroid lipofuscinosis (NCL), a rare and fatal neurodegenerative disease that affects infants and young children. StemCells has also received approval from the Food and Drug Administration (FDA) to initiate a Phase I clinical trial of the HuCNS-SC cells to treat Pelizaeus-Merzbacher Disease (PMD), a rare and fatal brain disorder that mainly affects young children. StemCells, through its wholly owned subsidiaries Stem Cell Sciences UK Ltd and Stem Cell Sciences Australia Pty, is also pursuing applications of its cell-based technologies to develop research tools, such as cell-based assays, media and reagent tools, which the Company believes represent nearer-term commercial opportunities. StemCells has exclusive rights to approximately 55 issued or allowed U.S. patents and approximately 200 granted or allowed non-U.S. patents. Further information about StemCells is available on its web site at: www.stemcellsinc.com.</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About Oregon Health &amp; Science University Doernbecher Children’s Hospital</w:t>
      </w:r>
    </w:p>
    <w:p>
      <w:pPr>
        <w:spacing w:after="0" w:line="121" w:lineRule="exact"/>
        <w:rPr>
          <w:sz w:val="20"/>
          <w:szCs w:val="20"/>
          <w:color w:val="auto"/>
        </w:rPr>
      </w:pPr>
    </w:p>
    <w:p>
      <w:pPr>
        <w:ind w:right="180" w:firstLine="225"/>
        <w:spacing w:after="0" w:line="279" w:lineRule="auto"/>
        <w:rPr>
          <w:sz w:val="20"/>
          <w:szCs w:val="20"/>
          <w:color w:val="auto"/>
        </w:rPr>
      </w:pPr>
      <w:r>
        <w:rPr>
          <w:rFonts w:ascii="Arial" w:cs="Arial" w:eastAsia="Arial" w:hAnsi="Arial"/>
          <w:sz w:val="17"/>
          <w:szCs w:val="17"/>
          <w:color w:val="auto"/>
        </w:rPr>
        <w:t>OHSU is the state’s only health and research university and Oregon’s only academic health center. OHSU is Portland’s largest employer and the fourth largest in Oregon (excluding government). OHSU’s size contributes to its ability to provide many services and community support activities not found anywhere else in the state. It serves patients from every corner of the state, and is a conduit for learning for more than 3,400 students and trainees. OHSU is the source of more than 200 community outreach programs that bring health and education services to every county in the state.</w:t>
      </w:r>
    </w:p>
    <w:p>
      <w:pPr>
        <w:spacing w:after="0" w:line="63"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OHSU Doernbecher Children’s Hospital is a world-class facility that each year cares for tens of thousands of children from Oregon, southwest Washington and around the nation, including national and international referrals for specialty care. Children have access to a full range of pediatric care, not just treatments for serious illness or injury, resulting in more than 120,000 outpatient visits, discharges, surgeries and pediatric transports annually. In addition, nationally recognized physicians ensure that children receive exceptional care at OHSU Doernbecher, including outstanding cancer treatment, specialized neurology care and highly sophisticated heart surgery in the most patient- and family-centered environment. Pediatric experts from OHSU Doernbecher travel throughout Oregon and southwest Washington to provide specialty care to some 2,800 children at more than 154 outreach clinics in 13 locations.</w:t>
      </w:r>
    </w:p>
    <w:p>
      <w:pPr>
        <w:spacing w:after="0" w:line="57"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Apart from statements of historical fact, the text of this press release constitutes forward-looking statements within the meaning of the Securities Act of 1933, as amended, and the Securities Exchange Act of 1934, as amended, and is subject to the safe harbors created therein. These statements include, but are not limited to, statements regarding the safety, engraftment and long term survival of the HuCNS-SC cells, the success of the clinical trial, the Company’s plans to pursue future clinical development of HuCNS-SC as a potential treatment for infantile and late infantile NCL, the potential for the Company’s therapies to treat Batten disease and other serious neurodegenerative diseases, the future business operations of the Company, the prospects associated with conducting future clinical trials for NCL, the potential for its cell-based therapeutics to treat diseases or disorders, and its ability to conduct clinical trials as well as its research and product development efforts. These forward-looking statements speak only as of the date of this news release. The Company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such forward-looking statements due to risks and uncertainties to which the Company is subject, including the fact that additional trials will be required to confirm the safety and demonstrate the efficacy of the Company’s HuCNS-SC cells for the treatment of Batten or any other disease; uncertainty as to whether the FDA or other applicable regulatory agencies will permit the Company to continue clinical testing in NCL, PMD or in future clinical trials of proposed therapies for other diseases or conditions given the novel and unproven nature of the Company’s technologies; uncertainties about the design of future clinical trials and whether the Company will receive the necessary support of a clinical trial site and its institutional review board to pursue future clinical trials in NCL, PMD or in proposed therapies for other diseases or conditions; uncertainties regarding the Company’s ability to commercialize a therapeutic product and its ability to successfully compete with other products on the market; uncertainties regarding the Company’s ability to obtain the increased capital resources needed to continue its current and planned research and development operations, including such operations of the company for non-therapeutic applications, and to conduct the research, preclinical development and clinical trials necessary for regulatory approvals; uncertainty as to whether HuCNS-SC and any products that may be generated in the future in the Company’s cell-based programs will prove safe and clinically effective and not cause tumors or other adverse side effects; uncertainties regarding the Company’s manufacturing capabilities given its increasing preclinical and clinical commitments; and the increased risks associated with commercializing future cell-based therapeutics, including the potential for product liability claims; and other factors that are described under the heading “Risk Factors” in Item 1A of Part II of the Company’s most recent Quarterly Report on Form 10-Q.</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w:t>
      </w:r>
    </w:p>
    <w:sectPr>
      <w:pgSz w:w="11900" w:h="16838" w:orient="portrait"/>
      <w:cols w:equalWidth="0" w:num="1">
        <w:col w:w="11400"/>
      </w:cols>
      <w:pgMar w:left="240" w:top="9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o"/>
      <w:numFmt w:val="bullet"/>
      <w:start w:val="1"/>
    </w:lvl>
  </w:abstractNum>
  <w:abstractNum w:abstractNumId="1">
    <w:nsid w:val="721DA317"/>
    <w:multiLevelType w:val="hybridMultilevel"/>
    <w:lvl w:ilvl="0">
      <w:lvlJc w:val="left"/>
      <w:lvlText w:val="%1."/>
      <w:numFmt w:val="decimal"/>
      <w:start w:val="1"/>
    </w:lvl>
  </w:abstractNum>
  <w:abstractNum w:abstractNumId="2">
    <w:nsid w:val="2443A858"/>
    <w:multiLevelType w:val="hybridMultilevel"/>
    <w:lvl w:ilvl="0">
      <w:lvlJc w:val="left"/>
      <w:lvlText w:val="%1"/>
      <w:numFmt w:val="lowerRoman"/>
      <w:start w:val="1"/>
    </w:lvl>
    <w:lvl w:ilvl="1">
      <w:lvlJc w:val="left"/>
      <w:lvlText w:val="%2."/>
      <w:numFmt w:val="decimal"/>
      <w:start w:val="2"/>
    </w:lvl>
  </w:abstractNum>
  <w:abstractNum w:abstractNumId="3">
    <w:nsid w:val="2D1D5AE9"/>
    <w:multiLevelType w:val="hybridMultilevel"/>
    <w:lvl w:ilvl="0">
      <w:lvlJc w:val="left"/>
      <w:lvlText w:val="(%1)"/>
      <w:numFmt w:val="lowerRoman"/>
      <w:start w:val="4"/>
    </w:lvl>
    <w:lvl w:ilvl="1">
      <w:lvlJc w:val="left"/>
      <w:lvlText w:val="%2"/>
      <w:numFmt w:val="decimal"/>
      <w:start w:val="1"/>
    </w:lvl>
  </w:abstractNum>
  <w:abstractNum w:abstractNumId="4">
    <w:nsid w:val="6763845E"/>
    <w:multiLevelType w:val="hybridMultilevel"/>
    <w:lvl w:ilvl="0">
      <w:lvlJc w:val="left"/>
      <w:lvlText w:val="%1."/>
      <w:numFmt w:val="decimal"/>
      <w:start w:val="3"/>
    </w:lvl>
    <w:lvl w:ilvl="1">
      <w:lvlJc w:val="left"/>
      <w:lvlText w:val="(%2)"/>
      <w:numFmt w:val="lowerLetter"/>
      <w:start w:val="1"/>
    </w:lvl>
  </w:abstractNum>
  <w:abstractNum w:abstractNumId="5">
    <w:nsid w:val="75A2A8D4"/>
    <w:multiLevelType w:val="hybridMultilevel"/>
    <w:lvl w:ilvl="0">
      <w:lvlJc w:val="left"/>
      <w:lvlText w:val="%1"/>
      <w:numFmt w:val="decimal"/>
      <w:start w:val="1"/>
    </w:lvl>
    <w:lvl w:ilvl="1">
      <w:lvlJc w:val="left"/>
      <w:lvlText w:val="(%2)"/>
      <w:numFmt w:val="lowerLetter"/>
      <w:start w:val="2"/>
    </w:lvl>
  </w:abstractNum>
  <w:abstractNum w:abstractNumId="6">
    <w:nsid w:val="8EDBDAB"/>
    <w:multiLevelType w:val="hybridMultilevel"/>
    <w:lvl w:ilvl="0">
      <w:lvlJc w:val="left"/>
      <w:lvlText w:val="%1."/>
      <w:numFmt w:val="decimal"/>
      <w:start w:val="6"/>
    </w:lvl>
    <w:lvl w:ilvl="1">
      <w:lvlJc w:val="left"/>
      <w:lvlText w:val="(%2)"/>
      <w:numFmt w:val="lowerLetter"/>
      <w:start w:val="1"/>
    </w:lvl>
  </w:abstractNum>
  <w:abstractNum w:abstractNumId="7">
    <w:nsid w:val="79838CB2"/>
    <w:multiLevelType w:val="hybridMultilevel"/>
    <w:lvl w:ilvl="0">
      <w:lvlJc w:val="left"/>
      <w:lvlText w:val="(%1)"/>
      <w:numFmt w:val="lowerLetter"/>
      <w:start w:val="2"/>
    </w:lvl>
  </w:abstractNum>
  <w:abstractNum w:abstractNumId="8">
    <w:nsid w:val="4353D0CD"/>
    <w:multiLevelType w:val="hybridMultilevel"/>
    <w:lvl w:ilvl="0">
      <w:lvlJc w:val="left"/>
      <w:lvlText w:val="(%1)"/>
      <w:numFmt w:val="lowerLetter"/>
      <w:start w:val="6"/>
    </w:lvl>
  </w:abstractNum>
  <w:abstractNum w:abstractNumId="9">
    <w:nsid w:val="B03E0C6"/>
    <w:multiLevelType w:val="hybridMultilevel"/>
    <w:lvl w:ilvl="0">
      <w:lvlJc w:val="left"/>
      <w:lvlText w:val="%1"/>
      <w:numFmt w:val="lowerRoman"/>
      <w:start w:val="1"/>
    </w:lvl>
    <w:lvl w:ilvl="1">
      <w:lvlJc w:val="left"/>
      <w:lvlText w:val="(%2)"/>
      <w:numFmt w:val="decimal"/>
      <w:start w:val="2"/>
    </w:lvl>
  </w:abstractNum>
  <w:abstractNum w:abstractNumId="10">
    <w:nsid w:val="189A769B"/>
    <w:multiLevelType w:val="hybridMultilevel"/>
    <w:lvl w:ilvl="0">
      <w:lvlJc w:val="left"/>
      <w:lvlText w:val="(%1)"/>
      <w:numFmt w:val="lowerRoman"/>
      <w:start w:val="1"/>
    </w:lvl>
    <w:lvl w:ilvl="1">
      <w:lvlJc w:val="left"/>
      <w:lvlText w:val="%2"/>
      <w:numFmt w:val="decimal"/>
      <w:start w:val="1"/>
    </w:lvl>
  </w:abstractNum>
  <w:abstractNum w:abstractNumId="11">
    <w:nsid w:val="54E49EB4"/>
    <w:multiLevelType w:val="hybridMultilevel"/>
    <w:lvl w:ilvl="0">
      <w:lvlJc w:val="left"/>
      <w:lvlText w:val="(%1)"/>
      <w:numFmt w:val="lowerLetter"/>
      <w:start w:val="10"/>
    </w:lvl>
  </w:abstractNum>
  <w:abstractNum w:abstractNumId="12">
    <w:nsid w:val="71F32454"/>
    <w:multiLevelType w:val="hybridMultilevel"/>
    <w:lvl w:ilvl="0">
      <w:lvlJc w:val="left"/>
      <w:lvlText w:val="(%1)"/>
      <w:numFmt w:val="lowerLetter"/>
      <w:start w:val="14"/>
    </w:lvl>
  </w:abstractNum>
  <w:abstractNum w:abstractNumId="13">
    <w:nsid w:val="2CA88611"/>
    <w:multiLevelType w:val="hybridMultilevel"/>
    <w:lvl w:ilvl="0">
      <w:lvlJc w:val="left"/>
      <w:lvlText w:val="%1"/>
      <w:numFmt w:val="lowerLetter"/>
      <w:start w:val="1"/>
    </w:lvl>
    <w:lvl w:ilvl="1">
      <w:lvlJc w:val="left"/>
      <w:lvlText w:val="(%2)"/>
      <w:numFmt w:val="lowerLetter"/>
      <w:start w:val="17"/>
    </w:lvl>
  </w:abstractNum>
  <w:abstractNum w:abstractNumId="14">
    <w:nsid w:val="836C40E"/>
    <w:multiLevelType w:val="hybridMultilevel"/>
    <w:lvl w:ilvl="0">
      <w:lvlJc w:val="left"/>
      <w:lvlText w:val="(%1)"/>
      <w:numFmt w:val="lowerLetter"/>
      <w:start w:val="9"/>
    </w:lvl>
    <w:lvl w:ilvl="1">
      <w:lvlJc w:val="left"/>
      <w:lvlText w:val="(%2)"/>
      <w:numFmt w:val="lowerLetter"/>
      <w:start w:val="18"/>
    </w:lvl>
  </w:abstractNum>
  <w:abstractNum w:abstractNumId="15">
    <w:nsid w:val="2901D82"/>
    <w:multiLevelType w:val="hybridMultilevel"/>
    <w:lvl w:ilvl="0">
      <w:lvlJc w:val="left"/>
      <w:lvlText w:val="(%1)"/>
      <w:numFmt w:val="lowerLetter"/>
      <w:start w:val="22"/>
    </w:lvl>
  </w:abstractNum>
  <w:abstractNum w:abstractNumId="16">
    <w:nsid w:val="3A95F874"/>
    <w:multiLevelType w:val="hybridMultilevel"/>
    <w:lvl w:ilvl="0">
      <w:lvlJc w:val="left"/>
      <w:lvlText w:val="(%1)"/>
      <w:numFmt w:val="lowerLetter"/>
      <w:start w:val="27"/>
    </w:lvl>
  </w:abstractNum>
  <w:abstractNum w:abstractNumId="17">
    <w:nsid w:val="8138641"/>
    <w:multiLevelType w:val="hybridMultilevel"/>
    <w:lvl w:ilvl="0">
      <w:lvlJc w:val="left"/>
      <w:lvlText w:val="(%1)"/>
      <w:numFmt w:val="lowerLetter"/>
      <w:start w:val="28"/>
    </w:lvl>
  </w:abstractNum>
  <w:abstractNum w:abstractNumId="18">
    <w:nsid w:val="1E7FF521"/>
    <w:multiLevelType w:val="hybridMultilevel"/>
    <w:lvl w:ilvl="0">
      <w:lvlJc w:val="left"/>
      <w:lvlText w:val="(%1)"/>
      <w:numFmt w:val="lowerLetter"/>
      <w:start w:val="30"/>
    </w:lvl>
  </w:abstractNum>
  <w:abstractNum w:abstractNumId="19">
    <w:nsid w:val="7C3DBD3D"/>
    <w:multiLevelType w:val="hybridMultilevel"/>
    <w:lvl w:ilvl="0">
      <w:lvlJc w:val="left"/>
      <w:lvlText w:val="(%1)"/>
      <w:numFmt w:val="lowerLetter"/>
      <w:start w:val="33"/>
    </w:lvl>
  </w:abstractNum>
  <w:abstractNum w:abstractNumId="20">
    <w:nsid w:val="737B8DDC"/>
    <w:multiLevelType w:val="hybridMultilevel"/>
    <w:lvl w:ilvl="0">
      <w:lvlJc w:val="left"/>
      <w:lvlText w:val="(%1)"/>
      <w:numFmt w:val="lowerLetter"/>
      <w:start w:val="39"/>
    </w:lvl>
  </w:abstractNum>
  <w:abstractNum w:abstractNumId="21">
    <w:nsid w:val="6CEAF087"/>
    <w:multiLevelType w:val="hybridMultilevel"/>
    <w:lvl w:ilvl="0">
      <w:lvlJc w:val="left"/>
      <w:lvlText w:val="%1"/>
      <w:numFmt w:val="decimal"/>
      <w:start w:val="1"/>
    </w:lvl>
    <w:lvl w:ilvl="1">
      <w:lvlJc w:val="left"/>
      <w:lvlText w:val="(%2)"/>
      <w:numFmt w:val="lowerLetter"/>
      <w:start w:val="42"/>
    </w:lvl>
  </w:abstractNum>
  <w:abstractNum w:abstractNumId="22">
    <w:nsid w:val="22221A70"/>
    <w:multiLevelType w:val="hybridMultilevel"/>
    <w:lvl w:ilvl="0">
      <w:lvlJc w:val="left"/>
      <w:lvlText w:val="%1."/>
      <w:numFmt w:val="decimal"/>
      <w:start w:val="7"/>
    </w:lvl>
    <w:lvl w:ilvl="1">
      <w:lvlJc w:val="left"/>
      <w:lvlText w:val="%2"/>
      <w:numFmt w:val="lowerLetter"/>
      <w:start w:val="1"/>
    </w:lvl>
  </w:abstractNum>
  <w:abstractNum w:abstractNumId="23">
    <w:nsid w:val="4516DDE9"/>
    <w:multiLevelType w:val="hybridMultilevel"/>
    <w:lvl w:ilvl="0">
      <w:lvlJc w:val="left"/>
      <w:lvlText w:val="(%1)"/>
      <w:numFmt w:val="lowerLetter"/>
      <w:start w:val="1"/>
    </w:lvl>
  </w:abstractNum>
  <w:abstractNum w:abstractNumId="24">
    <w:nsid w:val="3006C83E"/>
    <w:multiLevelType w:val="hybridMultilevel"/>
    <w:lvl w:ilvl="0">
      <w:lvlJc w:val="left"/>
      <w:lvlText w:val="(%1)"/>
      <w:numFmt w:val="lowerLetter"/>
      <w:start w:val="3"/>
    </w:lvl>
  </w:abstractNum>
  <w:abstractNum w:abstractNumId="25">
    <w:nsid w:val="614FD4A1"/>
    <w:multiLevelType w:val="hybridMultilevel"/>
    <w:lvl w:ilvl="0">
      <w:lvlJc w:val="left"/>
      <w:lvlText w:val="%1"/>
      <w:numFmt w:val="lowerLetter"/>
      <w:start w:val="1"/>
    </w:lvl>
    <w:lvl w:ilvl="1">
      <w:lvlJc w:val="left"/>
      <w:lvlText w:val="(%2)"/>
      <w:numFmt w:val="lowerLetter"/>
      <w:start w:val="7"/>
    </w:lvl>
  </w:abstractNum>
  <w:abstractNum w:abstractNumId="26">
    <w:nsid w:val="419AC241"/>
    <w:multiLevelType w:val="hybridMultilevel"/>
    <w:lvl w:ilvl="0">
      <w:lvlJc w:val="left"/>
      <w:lvlText w:val="(%1)"/>
      <w:numFmt w:val="lowerLetter"/>
      <w:start w:val="61"/>
    </w:lvl>
    <w:lvl w:ilvl="1">
      <w:lvlJc w:val="left"/>
      <w:lvlText w:val="(%2)"/>
      <w:numFmt w:val="lowerLetter"/>
      <w:start w:val="8"/>
    </w:lvl>
  </w:abstractNum>
  <w:abstractNum w:abstractNumId="27">
    <w:nsid w:val="5577F8E1"/>
    <w:multiLevelType w:val="hybridMultilevel"/>
    <w:lvl w:ilvl="0">
      <w:lvlJc w:val="left"/>
      <w:lvlText w:val="(%1)"/>
      <w:numFmt w:val="lowerLetter"/>
      <w:start w:val="12"/>
    </w:lvl>
  </w:abstractNum>
  <w:abstractNum w:abstractNumId="28">
    <w:nsid w:val="440BADFC"/>
    <w:multiLevelType w:val="hybridMultilevel"/>
    <w:lvl w:ilvl="0">
      <w:lvlJc w:val="left"/>
      <w:lvlText w:val="%1"/>
      <w:numFmt w:val="decimal"/>
      <w:start w:val="1"/>
    </w:lvl>
    <w:lvl w:ilvl="1">
      <w:lvlJc w:val="left"/>
      <w:lvlText w:val="(%2)"/>
      <w:numFmt w:val="lowerLetter"/>
      <w:start w:val="15"/>
    </w:lvl>
  </w:abstractNum>
  <w:abstractNum w:abstractNumId="29">
    <w:nsid w:val="5072367"/>
    <w:multiLevelType w:val="hybridMultilevel"/>
    <w:lvl w:ilvl="0">
      <w:lvlJc w:val="left"/>
      <w:lvlText w:val="%1."/>
      <w:numFmt w:val="decimal"/>
      <w:start w:val="8"/>
    </w:lvl>
    <w:lvl w:ilvl="1">
      <w:lvlJc w:val="left"/>
      <w:lvlText w:val="(%2)"/>
      <w:numFmt w:val="lowerLetter"/>
      <w:start w:val="1"/>
    </w:lvl>
  </w:abstractNum>
  <w:abstractNum w:abstractNumId="30">
    <w:nsid w:val="3804823E"/>
    <w:multiLevelType w:val="hybridMultilevel"/>
    <w:lvl w:ilvl="0">
      <w:lvlJc w:val="left"/>
      <w:lvlText w:val="(%1)"/>
      <w:numFmt w:val="lowerLetter"/>
      <w:start w:val="2"/>
    </w:lvl>
  </w:abstractNum>
  <w:abstractNum w:abstractNumId="31">
    <w:nsid w:val="77465F0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32">
    <w:nsid w:val="7724C67E"/>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1"/>
    </w:lvl>
  </w:abstractNum>
  <w:abstractNum w:abstractNumId="33">
    <w:nsid w:val="5C482A97"/>
    <w:multiLevelType w:val="hybridMultilevel"/>
    <w:lvl w:ilvl="0">
      <w:lvlJc w:val="left"/>
      <w:lvlText w:val="%1."/>
      <w:numFmt w:val="decimal"/>
      <w:start w:val="9"/>
    </w:lvl>
    <w:lvl w:ilvl="1">
      <w:lvlJc w:val="left"/>
      <w:lvlText w:val="(%2)"/>
      <w:numFmt w:val="lowerLetter"/>
      <w:start w:val="34"/>
    </w:lvl>
    <w:lvl w:ilvl="2">
      <w:lvlJc w:val="left"/>
      <w:lvlText w:val="(%3)"/>
      <w:numFmt w:val="lowerLetter"/>
      <w:start w:val="1"/>
    </w:lvl>
  </w:abstractNum>
  <w:abstractNum w:abstractNumId="34">
    <w:nsid w:val="2463B9EA"/>
    <w:multiLevelType w:val="hybridMultilevel"/>
    <w:lvl w:ilvl="0">
      <w:lvlJc w:val="left"/>
      <w:lvlText w:val="(%1)"/>
      <w:numFmt w:val="lowerLetter"/>
      <w:start w:val="2"/>
    </w:lvl>
  </w:abstractNum>
  <w:abstractNum w:abstractNumId="35">
    <w:nsid w:val="5E884ADC"/>
    <w:multiLevelType w:val="hybridMultilevel"/>
    <w:lvl w:ilvl="0">
      <w:lvlJc w:val="left"/>
      <w:lvlText w:val="(%1)"/>
      <w:numFmt w:val="lowerLetter"/>
      <w:start w:val="4"/>
    </w:lvl>
  </w:abstractNum>
  <w:abstractNum w:abstractNumId="36">
    <w:nsid w:val="51EAD36B"/>
    <w:multiLevelType w:val="hybridMultilevel"/>
    <w:lvl w:ilvl="0">
      <w:lvlJc w:val="left"/>
      <w:lvlText w:val="%1."/>
      <w:numFmt w:val="decimal"/>
      <w:start w:val="10"/>
    </w:lvl>
    <w:lvl w:ilvl="1">
      <w:lvlJc w:val="left"/>
      <w:lvlText w:val="(%2)"/>
      <w:numFmt w:val="lowerLetter"/>
      <w:start w:val="1"/>
    </w:lvl>
  </w:abstractNum>
  <w:abstractNum w:abstractNumId="37">
    <w:nsid w:val="2D51779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38">
    <w:nsid w:val="580BD78F"/>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39">
    <w:nsid w:val="153EA43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40">
    <w:nsid w:val="3855585C"/>
    <w:multiLevelType w:val="hybridMultilevel"/>
    <w:lvl w:ilvl="0">
      <w:lvlJc w:val="left"/>
      <w:lvlText w:val="%1."/>
      <w:numFmt w:val="decimal"/>
      <w:start w:val="13"/>
    </w:lvl>
  </w:abstractNum>
  <w:abstractNum w:abstractNumId="41">
    <w:nsid w:val="70A64E2A"/>
    <w:multiLevelType w:val="hybridMultilevel"/>
    <w:lvl w:ilvl="0">
      <w:lvlJc w:val="left"/>
      <w:lvlText w:val="%1."/>
      <w:numFmt w:val="decimal"/>
      <w:start w:val="17"/>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2019-12-10T09:43:00Z</dcterms:created>
  <dcterms:modified xsi:type="dcterms:W3CDTF">2019-12-10T09:43:00Z</dcterms:modified>
</cp:coreProperties>
</file>