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27, 2025</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333-285690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6"/>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East Tower,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New York 11556-1425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From time to time after the effective date of this registration statement, as determined by the Registrant.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0" w:gutter="0" w:footer="0" w:header="0"/>
        </w:sectPr>
      </w:pPr>
    </w:p>
    <w:p>
      <w:pPr>
        <w:spacing w:after="0" w:line="176"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780" w:space="720"/>
            <w:col w:w="1540" w:space="720"/>
            <w:col w:w="2640" w:space="720"/>
            <w:col w:w="1120"/>
          </w:cols>
          <w:pgMar w:left="320" w:top="441" w:right="339" w:bottom="0" w:gutter="0" w:footer="0" w:header="0"/>
          <w:type w:val="continuous"/>
        </w:sectPr>
      </w:pPr>
    </w:p>
    <w:bookmarkStart w:id="1" w:name="page2"/>
    <w:bookmarkEnd w:id="1"/>
    <w:p>
      <w:pPr>
        <w:ind w:left="5640"/>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179705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196850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522605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81" w:right="1299" w:bottom="1440" w:gutter="0" w:footer="0" w:header="0"/>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156845</wp:posOffset>
            </wp:positionV>
            <wp:extent cx="2571750" cy="128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12,542,268 Shares of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12,542,268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11.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March 25, 2025, the last reported closing price of our common stock on the Nasdaq Capital Market was $1.59.</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7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950"/>
              <w:spacing w:after="0"/>
              <w:rPr>
                <w:sz w:val="20"/>
                <w:szCs w:val="20"/>
                <w:color w:val="auto"/>
              </w:rPr>
            </w:pPr>
            <w:r>
              <w:rPr>
                <w:rFonts w:ascii="Times New Roman" w:cs="Times New Roman" w:eastAsia="Times New Roman" w:hAnsi="Times New Roman"/>
                <w:sz w:val="18"/>
                <w:szCs w:val="18"/>
                <w:color w:val="auto"/>
              </w:rPr>
              <w:t>, 2025.</w:t>
            </w:r>
          </w:p>
        </w:tc>
      </w:tr>
      <w:tr>
        <w:trPr>
          <w:trHeight w:val="432"/>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0"/>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4"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pending 510(k) premarket submission with the U.S. Food and Drug Administration.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12,542,268 shares of our common stock, as follows:</w:t>
      </w:r>
    </w:p>
    <w:p>
      <w:pPr>
        <w:spacing w:after="0" w:line="225" w:lineRule="exact"/>
        <w:rPr>
          <w:sz w:val="20"/>
          <w:szCs w:val="20"/>
          <w:color w:val="auto"/>
        </w:rPr>
      </w:pPr>
    </w:p>
    <w:p>
      <w:pPr>
        <w:jc w:val="both"/>
        <w:ind w:left="660" w:hanging="328"/>
        <w:spacing w:after="0" w:line="25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to certain of the selling stockholders upon the exercise of outstanding series I preferred investment options expiring two years from the initial exercise date of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law (the “Stockholder Approval Date”), at an exercise price per share of $2.13;</w:t>
      </w:r>
    </w:p>
    <w:p>
      <w:pPr>
        <w:spacing w:after="0" w:line="19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to certain of the selling stockholders upon the exercise of outstanding preferred investment options expiring two years from the initial exercise date of the later of (i) the Authorized Share Increase Date and (ii) the Stockholder Approval Date, at an exercise price per share of $2.6625;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to certain of the selling stockholders upon the exercise of outstanding preferred investment options expiring in July 2030, at an exercise price per share of $1.875.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12,542,268 shares</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34,744,476 shares</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47,286,744 shares</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712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March 25,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12,542,268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12,542,268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$26.9 million in gross proceeds if all of the 12,542,268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12,542,268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$26.9 million in gross proceeds if all of the 12,542,268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38"/>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320" w:type="dxa"/>
            <w:vAlign w:val="bottom"/>
          </w:tcPr>
          <w:p>
            <w:pPr>
              <w:spacing w:after="0"/>
              <w:rPr>
                <w:sz w:val="20"/>
                <w:szCs w:val="20"/>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187"/>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Before Any</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3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Offered</w:t>
            </w: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r>
      <w:tr>
        <w:trPr>
          <w:trHeight w:val="250"/>
        </w:trPr>
        <w:tc>
          <w:tcPr>
            <w:tcW w:w="39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Intracoastal Capital, LLC</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8,685,074</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2,816,902</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5,868,172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(2)(3)</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9,507,077</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3,755,870</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5,751,207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Anson Investments Master Fund LP</w:t>
            </w:r>
            <w:r>
              <w:rPr>
                <w:rFonts w:ascii="Times New Roman" w:cs="Times New Roman" w:eastAsia="Times New Roman" w:hAnsi="Times New Roman"/>
                <w:sz w:val="29"/>
                <w:szCs w:val="29"/>
                <w:color w:val="auto"/>
                <w:vertAlign w:val="superscript"/>
              </w:rPr>
              <w:t>(4)</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7,506,658</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2,929,580</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4,577,078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Anson East Master Fund LP</w:t>
            </w:r>
            <w:r>
              <w:rPr>
                <w:rFonts w:ascii="Times New Roman" w:cs="Times New Roman" w:eastAsia="Times New Roman" w:hAnsi="Times New Roman"/>
                <w:sz w:val="29"/>
                <w:szCs w:val="29"/>
                <w:color w:val="auto"/>
                <w:vertAlign w:val="superscript"/>
              </w:rPr>
              <w:t>(5)</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1,896,322</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826,290</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1,070,032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Stuywater Capital LLC</w:t>
            </w:r>
            <w:r>
              <w:rPr>
                <w:rFonts w:ascii="Times New Roman" w:cs="Times New Roman" w:eastAsia="Times New Roman" w:hAnsi="Times New Roman"/>
                <w:sz w:val="29"/>
                <w:szCs w:val="29"/>
                <w:color w:val="auto"/>
                <w:vertAlign w:val="superscript"/>
              </w:rPr>
              <w:t>(3)(6)</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3,802,684</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1,877,936</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1,924,748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(7)</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346,006</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105,743</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240,263</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704,370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215,261</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489,109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(7)</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37,072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25,743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10,985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1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(8)</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12,542,268</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East Master Fund LP (“Anson East”), hold voting and dispositive power over the common stock held by Anson East.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East is Maples Corporate Services Limited, PO Box 309, Ugland House, Grand Cayman, KY1-1104, Cayman Islands.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938,968 shares of our common stock and options to purchase an aggregate of 2,863,716 shares of our common stock. Noam Rubenstein, the sole member of Stuywater Capital LLC (“Stuywater”), has sole voting control and investment discretion over the securities reported herein that are held by Stuywater. As a result, he may be deemed to have beneficial ownership (as determined under Section 13(d) of the Securities Exchange Act of 1934, as amended) of the securities reported herein that are held by Stuywater. The options are subject to a beneficial ownership limitation of 4.99%, which restricts the selling stockholder from exercising that portion of the options that would result in the selling stockholder and its affiliates owning, after exercise, a number of shares of common stock in excess of the beneficial ownership limitation. The address of Stuywater is 430 Park Avenue, 3rd Floor, New York, New York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to increase the number of authorized shares of our common stock to 120,000,000, at a special meeting of stockholders expected to be held on April 11,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3,022,145 shares of our common stock issuable upon the exercise of outstanding stock options granted to employees, directors and consultants, with exercise prices ranging from approximately $0.005 to $15.75 and having a weighted-average exercise price of $4.18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placement agent preferred investment options, expiring in July 2030, at an exercise price per share of $1.875.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S-3 of which this prospectus forms a part, are underlying our 12,206,578 outstanding series I preferred investment options, our 305,164 outstanding placement agent preferred investment options, and our 30,526 outstanding placement agent preferred investment options. See “Prospectus Summary-Recent Developments-Registered Direct Offerings” above, for a summary of the terms of the series I preferred investment options and the placement agent preferred investment options issued concurrently therewith.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will be passed upon for us by Ruskin Moscou Faltischek, P.C., Uniondale, New York.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6">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 xml:space="preserve">February 25,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therein which is furnished rather than filed);</w:t>
      </w:r>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in connection with the sale and distribution of the securities being registered, all of which are being borne by 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2,611.50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2,388.50</w:t>
            </w: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Exhibit Index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1"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2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firstLine="316"/>
        <w:spacing w:after="0" w:line="282" w:lineRule="auto"/>
        <w:tabs>
          <w:tab w:leader="none" w:pos="94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left="328" w:firstLine="644"/>
        <w:spacing w:after="0" w:line="253" w:lineRule="auto"/>
        <w:tabs>
          <w:tab w:leader="none" w:pos="124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jc w:val="both"/>
        <w:ind w:left="8" w:firstLine="316"/>
        <w:spacing w:after="0" w:line="261" w:lineRule="auto"/>
        <w:tabs>
          <w:tab w:leader="none" w:pos="5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1188" w:hanging="216"/>
        <w:spacing w:after="0"/>
        <w:tabs>
          <w:tab w:leader="none" w:pos="118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left="328" w:right="20" w:firstLine="644"/>
        <w:spacing w:after="0" w:line="282" w:lineRule="auto"/>
        <w:tabs>
          <w:tab w:leader="none" w:pos="1231"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328" w:firstLine="644"/>
        <w:spacing w:after="0" w:line="282" w:lineRule="auto"/>
        <w:tabs>
          <w:tab w:leader="none" w:pos="131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268" w:hanging="296"/>
        <w:spacing w:after="0"/>
        <w:tabs>
          <w:tab w:leader="none" w:pos="126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8" w:hanging="8"/>
        <w:spacing w:after="0" w:line="255" w:lineRule="auto"/>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5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220" w:type="dxa"/>
            <w:vAlign w:val="bottom"/>
          </w:tcPr>
          <w:p>
            <w:pPr>
              <w:spacing w:after="0"/>
              <w:rPr>
                <w:sz w:val="20"/>
                <w:szCs w:val="20"/>
                <w:color w:val="auto"/>
              </w:rPr>
            </w:pPr>
          </w:p>
        </w:tc>
        <w:tc>
          <w:tcPr>
            <w:tcW w:w="5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220" w:type="dxa"/>
            <w:vAlign w:val="bottom"/>
          </w:tcPr>
          <w:p>
            <w:pPr>
              <w:spacing w:after="0"/>
              <w:rPr>
                <w:sz w:val="20"/>
                <w:szCs w:val="20"/>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4"/>
                <w:szCs w:val="24"/>
                <w:color w:val="auto"/>
              </w:rPr>
            </w:pP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J. Wilson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75"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By:/s/ Harel Gadot</w:t>
      </w:r>
    </w:p>
    <w:p>
      <w:pPr>
        <w:spacing w:after="0" w:line="2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Harel Gadot,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-130810</wp:posOffset>
            </wp:positionV>
            <wp:extent cx="39090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40" w:lineRule="exact"/>
        <w:rPr>
          <w:sz w:val="20"/>
          <w:szCs w:val="20"/>
          <w:color w:val="auto"/>
        </w:rPr>
      </w:pPr>
    </w:p>
    <w:p>
      <w:pPr>
        <w:ind w:left="780" w:right="20" w:hanging="768"/>
        <w:spacing w:after="0" w:line="261"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2.1</w:t>
      </w:r>
      <w:r>
        <w:rPr>
          <w:sz w:val="20"/>
          <w:szCs w:val="20"/>
          <w:color w:val="auto"/>
        </w:rPr>
        <w:tab/>
      </w:r>
      <w:hyperlink r:id="rId53">
        <w:r>
          <w:rPr>
            <w:rFonts w:ascii="Times New Roman" w:cs="Times New Roman" w:eastAsia="Times New Roman" w:hAnsi="Times New Roman"/>
            <w:sz w:val="18"/>
            <w:szCs w:val="18"/>
            <w:u w:val="single" w:color="auto"/>
            <w:color w:val="0000EE"/>
          </w:rPr>
          <w:t>Agreement and Plan of Merger and Reorganization, dated as of August 15, 2016, by and among StemCells, Inc., C&amp;RD Israel Ltd. and Microbot</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Medical Ltd. (incorporated by reference to the Company’s Current Report on Form 8-K filed on August 15, 2016)</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55">
        <w:r>
          <w:rPr>
            <w:rFonts w:ascii="Times New Roman" w:cs="Times New Roman" w:eastAsia="Times New Roman" w:hAnsi="Times New Roman"/>
            <w:sz w:val="18"/>
            <w:szCs w:val="18"/>
            <w:u w:val="single" w:color="auto"/>
            <w:color w:val="0000EE"/>
          </w:rPr>
          <w:t>Restated Certificate of Incorporation of the Company (incorporated by reference to the Company’s Annual Report on Form 10-K for the fiscal</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year ended December 31, 2006 and filed on March 15, 2007).</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3.2</w:t>
      </w:r>
      <w:r>
        <w:rPr>
          <w:sz w:val="20"/>
          <w:szCs w:val="20"/>
          <w:color w:val="auto"/>
        </w:rPr>
        <w:tab/>
      </w:r>
      <w:hyperlink r:id="rId56">
        <w:r>
          <w:rPr>
            <w:rFonts w:ascii="Times New Roman" w:cs="Times New Roman" w:eastAsia="Times New Roman" w:hAnsi="Times New Roman"/>
            <w:sz w:val="18"/>
            <w:szCs w:val="18"/>
            <w:u w:val="single" w:color="auto"/>
            <w:color w:val="0000EE"/>
          </w:rPr>
          <w:t>Certificate of Amendment to the Restated Certificate of Incorporation of the Company (incorporated by reference to the Company’s Current</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Report on Form 8-K filed on November 29, 2016)</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3.3</w:t>
      </w:r>
      <w:r>
        <w:rPr>
          <w:sz w:val="20"/>
          <w:szCs w:val="20"/>
          <w:color w:val="auto"/>
        </w:rPr>
        <w:tab/>
      </w:r>
      <w:hyperlink r:id="rId57">
        <w:r>
          <w:rPr>
            <w:rFonts w:ascii="Times New Roman" w:cs="Times New Roman" w:eastAsia="Times New Roman" w:hAnsi="Times New Roman"/>
            <w:sz w:val="18"/>
            <w:szCs w:val="18"/>
            <w:u w:val="single" w:color="auto"/>
            <w:color w:val="0000EE"/>
          </w:rPr>
          <w:t>Certificate of Amendment to the Restated Certificate of Incorporation (incorporated by reference to the Company’s Current Report on Form 8-K</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filed on September 4, 2018)</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58">
        <w:r>
          <w:rPr>
            <w:rFonts w:ascii="Times New Roman" w:cs="Times New Roman" w:eastAsia="Times New Roman" w:hAnsi="Times New Roman"/>
            <w:sz w:val="18"/>
            <w:szCs w:val="18"/>
            <w:u w:val="single" w:color="auto"/>
            <w:color w:val="0000EE"/>
          </w:rPr>
          <w:t>Amended and Restated By-Laws of the Company (incorporated by reference to the Company’s Current Report on Form 8-K filed on May 3,</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u w:val="single" w:color="auto"/>
            <w:color w:val="0000EE"/>
          </w:rPr>
          <w:t>2016)</w:t>
        </w:r>
        <w:r>
          <w:rPr>
            <w:rFonts w:ascii="Times New Roman" w:cs="Times New Roman" w:eastAsia="Times New Roman" w:hAnsi="Times New Roman"/>
            <w:sz w:val="18"/>
            <w:szCs w:val="18"/>
            <w:color w:val="000000"/>
          </w:rPr>
          <w:t>.</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59">
        <w:r>
          <w:rPr>
            <w:rFonts w:ascii="Times New Roman" w:cs="Times New Roman" w:eastAsia="Times New Roman" w:hAnsi="Times New Roman"/>
            <w:sz w:val="17"/>
            <w:szCs w:val="17"/>
            <w:u w:val="single" w:color="auto"/>
            <w:color w:val="0000EE"/>
          </w:rPr>
          <w:t>Certificate of Elimination (incorporated by reference to the Company’s Current Report on Form 8-K filed on December 12, 2018)</w:t>
        </w:r>
      </w:hyperlink>
      <w:r>
        <w:rPr>
          <w:rFonts w:ascii="Times New Roman" w:cs="Times New Roman" w:eastAsia="Times New Roman" w:hAnsi="Times New Roman"/>
          <w:sz w:val="17"/>
          <w:szCs w:val="17"/>
          <w:color w:val="000000"/>
        </w:rPr>
        <w:t>.</w:t>
      </w:r>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3.6</w:t>
      </w:r>
      <w:r>
        <w:rPr>
          <w:sz w:val="20"/>
          <w:szCs w:val="20"/>
          <w:color w:val="auto"/>
        </w:rPr>
        <w:tab/>
      </w:r>
      <w:hyperlink r:id="rId60">
        <w:r>
          <w:rPr>
            <w:rFonts w:ascii="Times New Roman" w:cs="Times New Roman" w:eastAsia="Times New Roman" w:hAnsi="Times New Roman"/>
            <w:sz w:val="18"/>
            <w:szCs w:val="18"/>
            <w:u w:val="single" w:color="auto"/>
            <w:color w:val="0000EE"/>
          </w:rPr>
          <w:t>Certificate of Amendment to the Restated Certificate of Incorporation (incorporated by reference to the Company’s Current Report on Form 8-K</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filed on September 11, 2019)</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3.7</w:t>
      </w:r>
      <w:r>
        <w:rPr>
          <w:sz w:val="20"/>
          <w:szCs w:val="20"/>
          <w:color w:val="auto"/>
        </w:rPr>
        <w:tab/>
      </w:r>
      <w:hyperlink r:id="rId61">
        <w:r>
          <w:rPr>
            <w:rFonts w:ascii="Times New Roman" w:cs="Times New Roman" w:eastAsia="Times New Roman" w:hAnsi="Times New Roman"/>
            <w:sz w:val="18"/>
            <w:szCs w:val="18"/>
            <w:u w:val="single" w:color="auto"/>
            <w:color w:val="0000EE"/>
          </w:rPr>
          <w:t>Amendment to Section 5 of the Amended and Restated By-Laws of the Company (incorporated by reference to the Company’s Current Report</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on Form 8-K filed on May 3, 2021)</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780" w:right="2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w:t>
      </w:r>
      <w:r>
        <w:rPr>
          <w:sz w:val="20"/>
          <w:szCs w:val="20"/>
          <w:color w:val="auto"/>
        </w:rPr>
        <w:tab/>
      </w:r>
      <w:hyperlink r:id="rId62">
        <w:r>
          <w:rPr>
            <w:rFonts w:ascii="Times New Roman" w:cs="Times New Roman" w:eastAsia="Times New Roman" w:hAnsi="Times New Roman"/>
            <w:sz w:val="18"/>
            <w:szCs w:val="18"/>
            <w:u w:val="single" w:color="auto"/>
            <w:color w:val="0000EE"/>
          </w:rPr>
          <w:t>Description of the Company’s Securities (incorporated by reference to the Registrant’s Annual Report on Form 10-K for the fiscal year ended</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December 31, 2019)</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63">
        <w:r>
          <w:rPr>
            <w:rFonts w:ascii="Times New Roman" w:cs="Times New Roman" w:eastAsia="Times New Roman" w:hAnsi="Times New Roman"/>
            <w:sz w:val="17"/>
            <w:szCs w:val="17"/>
            <w:u w:val="single" w:color="auto"/>
            <w:color w:val="0000EE"/>
          </w:rPr>
          <w:t>Form of Series A Warrant (incorporated by reference to the Registrant’s Current Report on Form 8-K filed on October 25, 2022)</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64">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October 25, 2022)</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65">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May 23,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66">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May 24,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67">
        <w:r>
          <w:rPr>
            <w:rFonts w:ascii="Times New Roman" w:cs="Times New Roman" w:eastAsia="Times New Roman" w:hAnsi="Times New Roman"/>
            <w:sz w:val="17"/>
            <w:szCs w:val="17"/>
            <w:u w:val="single" w:color="auto"/>
            <w:color w:val="0000EE"/>
          </w:rPr>
          <w:t>Form of Warrant Amendment Agreement (incorporated by reference to the Registrant’s Current Report on Form 8-K filed on May 24,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68">
        <w:r>
          <w:rPr>
            <w:rFonts w:ascii="Times New Roman" w:cs="Times New Roman" w:eastAsia="Times New Roman" w:hAnsi="Times New Roman"/>
            <w:sz w:val="17"/>
            <w:szCs w:val="17"/>
            <w:u w:val="single" w:color="auto"/>
            <w:color w:val="0000EE"/>
          </w:rPr>
          <w:t>Form of Series C Warrant (incorporated by reference to the Registrant’s Current Report on Form 8-K filed on June 6,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69">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June 6,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70">
        <w:r>
          <w:rPr>
            <w:rFonts w:ascii="Times New Roman" w:cs="Times New Roman" w:eastAsia="Times New Roman" w:hAnsi="Times New Roman"/>
            <w:sz w:val="17"/>
            <w:szCs w:val="17"/>
            <w:u w:val="single" w:color="auto"/>
            <w:color w:val="0000EE"/>
          </w:rPr>
          <w:t>Form of Series D Warrant (incorporated by reference to the Registrant’s Current Report on Form 8-K filed on June 28,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71">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June 28,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72">
        <w:r>
          <w:rPr>
            <w:rFonts w:ascii="Times New Roman" w:cs="Times New Roman" w:eastAsia="Times New Roman" w:hAnsi="Times New Roman"/>
            <w:sz w:val="17"/>
            <w:szCs w:val="17"/>
            <w:u w:val="single" w:color="auto"/>
            <w:color w:val="0000EE"/>
          </w:rPr>
          <w:t>Form of Inducement Investment Option (incorporated by reference to the Registrant’s Current Report on Form 8-K filed on January 2, 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73">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2,</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74">
        <w:r>
          <w:rPr>
            <w:rFonts w:ascii="Times New Roman" w:cs="Times New Roman" w:eastAsia="Times New Roman" w:hAnsi="Times New Roman"/>
            <w:sz w:val="17"/>
            <w:szCs w:val="17"/>
            <w:u w:val="single" w:color="auto"/>
            <w:color w:val="0000EE"/>
          </w:rPr>
          <w:t>Form of Series F Preferred Investment Option (incorporated by reference to the Registrant’s Current Report on Form 8-K filed on June 4, 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75">
        <w:r>
          <w:rPr>
            <w:rFonts w:ascii="Times New Roman" w:cs="Times New Roman" w:eastAsia="Times New Roman" w:hAnsi="Times New Roman"/>
            <w:sz w:val="17"/>
            <w:szCs w:val="17"/>
            <w:u w:val="single" w:color="auto"/>
            <w:color w:val="0000EE"/>
          </w:rPr>
          <w:t>Form of Placement Agent Investment Option (incorporated by reference to the Registrant’s Current Report on Form 8-K filed on June 4, 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r:id="rId76">
        <w:r>
          <w:rPr>
            <w:rFonts w:ascii="Times New Roman" w:cs="Times New Roman" w:eastAsia="Times New Roman" w:hAnsi="Times New Roman"/>
            <w:sz w:val="18"/>
            <w:szCs w:val="18"/>
            <w:u w:val="single" w:color="auto"/>
            <w:color w:val="0000EE"/>
          </w:rPr>
          <w:t>Form of Series G Preferred Investment Option (incorporated by reference to the Registrant’s Current Report on Form 8-K filed on January 7,</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r:id="rId77">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7,</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4.17</w:t>
      </w:r>
      <w:r>
        <w:rPr>
          <w:sz w:val="20"/>
          <w:szCs w:val="20"/>
          <w:color w:val="auto"/>
        </w:rPr>
        <w:tab/>
      </w:r>
      <w:hyperlink r:id="rId78">
        <w:r>
          <w:rPr>
            <w:rFonts w:ascii="Times New Roman" w:cs="Times New Roman" w:eastAsia="Times New Roman" w:hAnsi="Times New Roman"/>
            <w:sz w:val="18"/>
            <w:szCs w:val="18"/>
            <w:u w:val="single" w:color="auto"/>
            <w:color w:val="0000EE"/>
          </w:rPr>
          <w:t>Form of Series H Preferred Investment Option (incorporated by reference to the Registrant’s Current Report on Form 8-K filed on January 10,</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r:id="rId79">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10,</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4.19</w:t>
      </w:r>
      <w:r>
        <w:rPr>
          <w:sz w:val="20"/>
          <w:szCs w:val="20"/>
          <w:color w:val="auto"/>
        </w:rPr>
        <w:tab/>
      </w:r>
      <w:hyperlink r:id="rId80">
        <w:r>
          <w:rPr>
            <w:rFonts w:ascii="Times New Roman" w:cs="Times New Roman" w:eastAsia="Times New Roman" w:hAnsi="Times New Roman"/>
            <w:sz w:val="18"/>
            <w:szCs w:val="18"/>
            <w:u w:val="single" w:color="auto"/>
            <w:color w:val="0000EE"/>
          </w:rPr>
          <w:t>Form of Series I Preferred Investment Option (incorporated by reference to the Registrant’s Current Report on Form 8-K filed on February 11,</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4.20</w:t>
      </w:r>
      <w:r>
        <w:rPr>
          <w:sz w:val="20"/>
          <w:szCs w:val="20"/>
          <w:color w:val="auto"/>
        </w:rPr>
        <w:tab/>
      </w:r>
      <w:hyperlink r:id="rId80">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February 11,</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r:id="rId81">
        <w:r>
          <w:rPr>
            <w:rFonts w:ascii="Times New Roman" w:cs="Times New Roman" w:eastAsia="Times New Roman" w:hAnsi="Times New Roman"/>
            <w:sz w:val="17"/>
            <w:szCs w:val="17"/>
            <w:u w:val="single" w:color="auto"/>
            <w:color w:val="0000EE"/>
          </w:rPr>
          <w:t>Opinion of Ruskin Moscou Faltischek, P.C.</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r:id="rId81">
        <w:r>
          <w:rPr>
            <w:rFonts w:ascii="Times New Roman" w:cs="Times New Roman" w:eastAsia="Times New Roman" w:hAnsi="Times New Roman"/>
            <w:sz w:val="17"/>
            <w:szCs w:val="17"/>
            <w:u w:val="single" w:color="auto"/>
            <w:color w:val="0000EE"/>
          </w:rPr>
          <w:t>Consent of Ruskin Moscou Faltischek, P.C. (contained in Exhibit 5.1)</w:t>
        </w:r>
      </w:hyperlink>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Brightman Almagor Zohar &amp; Co., a firm in the Deloitte Global Network</w:t>
      </w:r>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82">
        <w:r>
          <w:rPr>
            <w:rFonts w:ascii="Times New Roman" w:cs="Times New Roman" w:eastAsia="Times New Roman" w:hAnsi="Times New Roman"/>
            <w:sz w:val="18"/>
            <w:szCs w:val="18"/>
            <w:u w:val="single" w:color="auto"/>
            <w:color w:val="0000EE"/>
          </w:rPr>
          <w:t>Power of Attorney (included on the signature page hereto)</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83">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4"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No.1 to Registration Statement on Form S-3 (Registration No. 333-285690) of our report dated March 25, 2025, relating to the financial statements of Microbot Medical Inc. appearing in the Annual Report on Form 10-K of Microbot Medical Inc. for the year ended December 31,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519B500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5">
    <w:nsid w:val="431BD7B7"/>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6">
    <w:nsid w:val="3F2DBA3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7">
    <w:nsid w:val="7C83E458"/>
    <w:multiLevelType w:val="hybridMultilevel"/>
    <w:lvl w:ilvl="0">
      <w:lvlJc w:val="left"/>
      <w:lvlText w:val="(%1)"/>
      <w:numFmt w:val="lowerLetter"/>
      <w:start w:val="5"/>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4"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35" Type="http://schemas.openxmlformats.org/officeDocument/2006/relationships/hyperlink" Target="https://www.sec.gov/Archives/edgar/data/883975/000164117225000614/form10-k.htm" TargetMode="External"/><Relationship Id="rId36" Type="http://schemas.openxmlformats.org/officeDocument/2006/relationships/hyperlink" Target="https://www.sec.gov/Archives/edgar/data/883975/000149315224000109/form8-k.htm" TargetMode="External"/><Relationship Id="rId37" Type="http://schemas.openxmlformats.org/officeDocument/2006/relationships/hyperlink" Target="https://www.sec.gov/Archives/edgar/data/883975/000149315225001133/form8-k.htm" TargetMode="External"/><Relationship Id="rId38" Type="http://schemas.openxmlformats.org/officeDocument/2006/relationships/hyperlink" Target="https://www.sec.gov/Archives/edgar/data/883975/000149315225001559/form8-k.htm" TargetMode="External"/><Relationship Id="rId39" Type="http://schemas.openxmlformats.org/officeDocument/2006/relationships/hyperlink" Target="https://www.sec.gov/Archives/edgar/data/883975/000149315225003582/form8-k.htm" TargetMode="External"/><Relationship Id="rId40" Type="http://schemas.openxmlformats.org/officeDocument/2006/relationships/hyperlink" Target="https://www.sec.gov/Archives/edgar/data/883975/000149315225003818/form8-k.htm" TargetMode="External"/><Relationship Id="rId41" Type="http://schemas.openxmlformats.org/officeDocument/2006/relationships/hyperlink" Target="https://www.sec.gov/Archives/edgar/data/883975/000149315225005410/form8-k.htm" TargetMode="External"/><Relationship Id="rId42" Type="http://schemas.openxmlformats.org/officeDocument/2006/relationships/hyperlink" Target="https://www.sec.gov/Archives/edgar/data/883975/000149315225005489/form8-k.htm" TargetMode="External"/><Relationship Id="rId43" Type="http://schemas.openxmlformats.org/officeDocument/2006/relationships/hyperlink" Target="https://www.sec.gov/Archives/edgar/data/883975/000149315225005820/form8-k.htm" TargetMode="External"/><Relationship Id="rId44" Type="http://schemas.openxmlformats.org/officeDocument/2006/relationships/hyperlink" Target="https://www.sec.gov/Archives/edgar/data/883975/000149315225005967/form8-k.htm" TargetMode="External"/><Relationship Id="rId45" Type="http://schemas.openxmlformats.org/officeDocument/2006/relationships/hyperlink" Target="https://www.sec.gov/Archives/edgar/data/883975/000149315225008140/form8-k.htm" TargetMode="External"/><Relationship Id="rId53" Type="http://schemas.openxmlformats.org/officeDocument/2006/relationships/hyperlink" Target="https://www.sec.gov/Archives/edgar/data/883975/000119312516682077/d161430dex21.htm" TargetMode="External"/><Relationship Id="rId55" Type="http://schemas.openxmlformats.org/officeDocument/2006/relationships/hyperlink" Target="https://www.sec.gov/Archives/edgar/data/883975/000095013407005808/f27726exv3w1.htm" TargetMode="External"/><Relationship Id="rId56" Type="http://schemas.openxmlformats.org/officeDocument/2006/relationships/hyperlink" Target="https://www.sec.gov/Archives/edgar/data/883975/000119312516779597/d296933dex31.htm" TargetMode="External"/><Relationship Id="rId57" Type="http://schemas.openxmlformats.org/officeDocument/2006/relationships/hyperlink" Target="https://www.sec.gov/Archives/edgar/data/883975/000149315218012872/ex3-1.htm" TargetMode="External"/><Relationship Id="rId58" Type="http://schemas.openxmlformats.org/officeDocument/2006/relationships/hyperlink" Target="https://www.sec.gov/Archives/edgar/data/883975/000129993316002374/exhibit1.htm" TargetMode="External"/><Relationship Id="rId59" Type="http://schemas.openxmlformats.org/officeDocument/2006/relationships/hyperlink" Target="https://www.sec.gov/Archives/edgar/data/883975/000149315218017395/ex3-1.htm" TargetMode="External"/><Relationship Id="rId60" Type="http://schemas.openxmlformats.org/officeDocument/2006/relationships/hyperlink" Target="https://www.sec.gov/Archives/edgar/data/883975/000149315219013998/ex3-1.htm" TargetMode="External"/><Relationship Id="rId61" Type="http://schemas.openxmlformats.org/officeDocument/2006/relationships/hyperlink" Target="https://www.sec.gov/Archives/edgar/data/883975/000149315221010347/ex3-1.htm" TargetMode="External"/><Relationship Id="rId62" Type="http://schemas.openxmlformats.org/officeDocument/2006/relationships/hyperlink" Target="https://www.sec.gov/Archives/edgar/data/883975/000149315220006338/ex4-10.htm" TargetMode="External"/><Relationship Id="rId63" Type="http://schemas.openxmlformats.org/officeDocument/2006/relationships/hyperlink" Target="https://www.sec.gov/Archives/edgar/data/883975/000149315222029541/ex4-2.htm" TargetMode="External"/><Relationship Id="rId64" Type="http://schemas.openxmlformats.org/officeDocument/2006/relationships/hyperlink" Target="https://www.sec.gov/Archives/edgar/data/883975/000149315222029541/ex4-4.htm" TargetMode="External"/><Relationship Id="rId65" Type="http://schemas.openxmlformats.org/officeDocument/2006/relationships/hyperlink" Target="https://www.sec.gov/Archives/edgar/data/883975/000149315223018718/ex4-1.htm" TargetMode="External"/><Relationship Id="rId66" Type="http://schemas.openxmlformats.org/officeDocument/2006/relationships/hyperlink" Target="https://www.sec.gov/Archives/edgar/data/883975/000149315223018932/ex4-2.htm" TargetMode="External"/><Relationship Id="rId67" Type="http://schemas.openxmlformats.org/officeDocument/2006/relationships/hyperlink" Target="https://www.sec.gov/Archives/edgar/data/883975/000149315223018932/ex10-2.htm" TargetMode="External"/><Relationship Id="rId68" Type="http://schemas.openxmlformats.org/officeDocument/2006/relationships/hyperlink" Target="https://www.sec.gov/Archives/edgar/data/883975/000149315223020309/ex4-1.htm" TargetMode="External"/><Relationship Id="rId69" Type="http://schemas.openxmlformats.org/officeDocument/2006/relationships/hyperlink" Target="https://www.sec.gov/Archives/edgar/data/883975/000149315223020309/ex4-2.htm" TargetMode="External"/><Relationship Id="rId70" Type="http://schemas.openxmlformats.org/officeDocument/2006/relationships/hyperlink" Target="https://www.sec.gov/Archives/edgar/data/883975/000149315223022814/ex4-1.htm" TargetMode="External"/><Relationship Id="rId71" Type="http://schemas.openxmlformats.org/officeDocument/2006/relationships/hyperlink" Target="https://www.sec.gov/Archives/edgar/data/883975/000149315223022814/ex4-2.htm" TargetMode="External"/><Relationship Id="rId72" Type="http://schemas.openxmlformats.org/officeDocument/2006/relationships/hyperlink" Target="https://www.sec.gov/Archives/edgar/data/883975/000149315224000109/ex4-1.htm" TargetMode="External"/><Relationship Id="rId73" Type="http://schemas.openxmlformats.org/officeDocument/2006/relationships/hyperlink" Target="https://www.sec.gov/Archives/edgar/data/883975/000149315224000109/ex4-2.htm" TargetMode="External"/><Relationship Id="rId74" Type="http://schemas.openxmlformats.org/officeDocument/2006/relationships/hyperlink" Target="https://www.sec.gov/Archives/edgar/data/883975/000149315224022560/ex4-1.htm" TargetMode="External"/><Relationship Id="rId75" Type="http://schemas.openxmlformats.org/officeDocument/2006/relationships/hyperlink" Target="https://www.sec.gov/Archives/edgar/data/883975/000149315224022560/ex4-2.htm" TargetMode="External"/><Relationship Id="rId76" Type="http://schemas.openxmlformats.org/officeDocument/2006/relationships/hyperlink" Target="https://www.sec.gov/Archives/edgar/data/883975/000149315225001133/ex4-1.htm" TargetMode="External"/><Relationship Id="rId77" Type="http://schemas.openxmlformats.org/officeDocument/2006/relationships/hyperlink" Target="https://www.sec.gov/Archives/edgar/data/883975/000149315225001133/ex4-2.htm" TargetMode="External"/><Relationship Id="rId78" Type="http://schemas.openxmlformats.org/officeDocument/2006/relationships/hyperlink" Target="https://www.sec.gov/Archives/edgar/data/883975/000149315225001559/ex4-1.htm" TargetMode="External"/><Relationship Id="rId79" Type="http://schemas.openxmlformats.org/officeDocument/2006/relationships/hyperlink" Target="https://www.sec.gov/Archives/edgar/data/883975/000149315225001559/ex4-2.htm" TargetMode="External"/><Relationship Id="rId80" Type="http://schemas.openxmlformats.org/officeDocument/2006/relationships/hyperlink" Target="https://www.sec.gov/ix?doc=/Archives/edgar/data/883975/000149315225005820/form8-k.htm" TargetMode="External"/><Relationship Id="rId81" Type="http://schemas.openxmlformats.org/officeDocument/2006/relationships/hyperlink" Target="https://www.sec.gov/Archives/edgar/data/883975/000149315225009734/ex5-1.htm" TargetMode="External"/><Relationship Id="rId82" Type="http://schemas.openxmlformats.org/officeDocument/2006/relationships/hyperlink" Target="https://www.sec.gov/Archives/edgar/data/883975/000149315225009734/forms-3.htm#a_013" TargetMode="External"/><Relationship Id="rId83" Type="http://schemas.openxmlformats.org/officeDocument/2006/relationships/hyperlink" Target="https://www.sec.gov/Archives/edgar/data/883975/000149315225009734/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2025-03-27T16:04:02Z</dcterms:created>
  <dcterms:modified xsi:type="dcterms:W3CDTF">2025-03-27T16:04:02Z</dcterms:modified>
</cp:coreProperties>
</file>