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UNITED STATES</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5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 w:name="xdx_903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5_edei--DocumentPeriodEndDate_c202"/>
      <w:bookmarkEnd w:id="4"/>
      <w:r>
        <w:rPr>
          <w:rFonts w:ascii="Times New Roman;Times;Serif" w:hAnsi="Times New Roman;Times;Serif"/>
          <w:b/>
          <w:i w:val="false"/>
          <w:caps w:val="false"/>
          <w:smallCaps w:val="false"/>
          <w:sz w:val="20"/>
        </w:rPr>
        <w:t xml:space="preserve">March 31, </w:t>
      </w:r>
      <w:bookmarkStart w:id="5" w:name="xdx_901_edei--DocumentFiscalYearFocus_c2"/>
      <w:bookmarkEnd w:id="5"/>
      <w:r>
        <w:rPr>
          <w:rFonts w:ascii="Times New Roman;Times;Serif" w:hAnsi="Times New Roman;Times;Serif"/>
          <w:b/>
          <w:i w:val="false"/>
          <w:caps w:val="false"/>
          <w:smallCaps w:val="false"/>
          <w:sz w:val="20"/>
        </w:rPr>
        <w:t>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 w:name="xdx_90B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 to 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9_edei--EntityFileNumber_c20250101"/>
      <w:bookmarkEnd w:id="7"/>
      <w:r>
        <w:rPr>
          <w:rFonts w:ascii="Times New Roman;Times;Serif" w:hAnsi="Times New Roman;Times;Serif"/>
          <w:b/>
          <w:i w:val="false"/>
          <w:caps w:val="false"/>
          <w:smallCaps w:val="false"/>
          <w:sz w:val="20"/>
        </w:rPr>
        <w:t>000-19871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4_edei--EntityRegistrantName_c2025"/>
      <w:bookmarkEnd w:id="8"/>
      <w:r>
        <w:rPr>
          <w:rFonts w:ascii="Times New Roman;Times;Serif" w:hAnsi="Times New Roman;Times;Serif"/>
          <w:b/>
          <w:i w:val="false"/>
          <w:caps w:val="false"/>
          <w:smallCaps w:val="false"/>
          <w:sz w:val="36"/>
        </w:rPr>
        <w:t>MICROBOT MEDICAL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Registrant in Its Charter)</w:t>
      </w:r>
    </w:p>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2630"/>
        <w:gridCol w:w="60"/>
        <w:gridCol w:w="1565"/>
      </w:tblGrid>
      <w:tr>
        <w:trPr/>
        <w:tc>
          <w:tcPr>
            <w:tcW w:w="26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7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A_edei--EntityTaxIdentificationNum"/>
            <w:bookmarkEnd w:id="10"/>
            <w:r>
              <w:rPr>
                <w:rFonts w:ascii="Times New Roman;Times;Serif" w:hAnsi="Times New Roman;Times;Serif"/>
                <w:b/>
                <w:i w:val="false"/>
                <w:caps w:val="false"/>
                <w:smallCaps w:val="false"/>
                <w:sz w:val="20"/>
              </w:rPr>
              <w:t>94-3078125</w:t>
            </w:r>
          </w:p>
        </w:tc>
      </w:tr>
      <w:tr>
        <w:trPr/>
        <w:tc>
          <w:tcPr>
            <w:tcW w:w="2630" w:type="dxa"/>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(I.R.S. Employer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B_edei--EntityAddressAddressLine1_"/>
      <w:bookmarkEnd w:id="11"/>
      <w:r>
        <w:rPr>
          <w:rFonts w:ascii="Times New Roman;Times;Serif" w:hAnsi="Times New Roman;Times;Serif"/>
          <w:b/>
          <w:i w:val="false"/>
          <w:caps w:val="false"/>
          <w:smallCaps w:val="false"/>
          <w:sz w:val="20"/>
        </w:rPr>
        <w:t>175 Derby St., Bld. 27</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3_edei--EntityAddressCityOrTown_c2"/>
      <w:bookmarkEnd w:id="12"/>
      <w:r>
        <w:rPr>
          <w:rFonts w:ascii="Times New Roman;Times;Serif" w:hAnsi="Times New Roman;Times;Serif"/>
          <w:b/>
          <w:i w:val="false"/>
          <w:caps w:val="false"/>
          <w:smallCaps w:val="false"/>
          <w:sz w:val="20"/>
        </w:rPr>
        <w:t xml:space="preserve">Hingham, </w:t>
      </w:r>
      <w:bookmarkStart w:id="13" w:name="xdx_90C_edei--EntityAddressStateOrProvin"/>
      <w:bookmarkEnd w:id="13"/>
      <w:r>
        <w:rPr>
          <w:rFonts w:ascii="Times New Roman;Times;Serif" w:hAnsi="Times New Roman;Times;Serif"/>
          <w:b/>
          <w:i w:val="false"/>
          <w:caps w:val="false"/>
          <w:smallCaps w:val="false"/>
          <w:sz w:val="20"/>
        </w:rPr>
        <w:t xml:space="preserve">MA </w:t>
      </w:r>
      <w:bookmarkStart w:id="14" w:name="xdx_903_edei--EntityAddressPostalZipCode"/>
      <w:bookmarkEnd w:id="14"/>
      <w:r>
        <w:rPr>
          <w:rFonts w:ascii="Times New Roman;Times;Serif" w:hAnsi="Times New Roman;Times;Serif"/>
          <w:b/>
          <w:i w:val="false"/>
          <w:caps w:val="false"/>
          <w:smallCaps w:val="false"/>
          <w:sz w:val="20"/>
        </w:rPr>
        <w:t>02043</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8_edei--CityAreaCode_c20250101__20"/>
      <w:bookmarkEnd w:id="15"/>
      <w:r>
        <w:rPr>
          <w:rFonts w:ascii="Times New Roman;Times;Serif" w:hAnsi="Times New Roman;Times;Serif"/>
          <w:b/>
          <w:i w:val="false"/>
          <w:caps w:val="false"/>
          <w:smallCaps w:val="false"/>
          <w:sz w:val="20"/>
        </w:rPr>
        <w:t xml:space="preserve">(781) </w:t>
      </w:r>
      <w:bookmarkStart w:id="16" w:name="xdx_90C_edei--LocalPhoneNumber_c20250101"/>
      <w:bookmarkEnd w:id="16"/>
      <w:r>
        <w:rPr>
          <w:rFonts w:ascii="Times New Roman;Times;Serif" w:hAnsi="Times New Roman;Times;Serif"/>
          <w:b/>
          <w:i w:val="false"/>
          <w:caps w:val="false"/>
          <w:smallCaps w:val="false"/>
          <w:sz w:val="20"/>
        </w:rPr>
        <w:t>875-3605</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(Former name, former address and former fiscal year, if changed since last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360"/>
        <w:jc w:val="both"/>
        <w:rPr>
          <w:caps w:val="false"/>
          <w:smallCaps w:val="false"/>
        </w:rPr>
      </w:pPr>
      <w:r>
        <w:rPr>
          <w:caps w:val="false"/>
          <w:smallCaps w:val="false"/>
        </w:rPr>
        <w:t> </w:t>
      </w:r>
    </w:p>
    <w:tbl>
      <w:tblPr>
        <w:tblW w:w="6390" w:type="dxa"/>
        <w:jc w:val="left"/>
        <w:tblInd w:w="0" w:type="dxa"/>
        <w:tblLayout w:type="fixed"/>
        <w:tblCellMar>
          <w:top w:w="0" w:type="dxa"/>
          <w:left w:w="0" w:type="dxa"/>
          <w:bottom w:w="28" w:type="dxa"/>
          <w:right w:w="0" w:type="dxa"/>
        </w:tblCellMar>
      </w:tblPr>
      <w:tblGrid>
        <w:gridCol w:w="1565"/>
        <w:gridCol w:w="60"/>
        <w:gridCol w:w="1535"/>
        <w:gridCol w:w="60"/>
        <w:gridCol w:w="3170"/>
      </w:tblGrid>
      <w:tr>
        <w:trPr/>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exchange on which registered</w:t>
            </w:r>
          </w:p>
        </w:tc>
      </w:tr>
      <w:tr>
        <w:trPr/>
        <w:tc>
          <w:tcPr>
            <w:tcW w:w="15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E_edei--Security12bTitle_c20250101"/>
            <w:bookmarkEnd w:id="17"/>
            <w:r>
              <w:rPr>
                <w:rFonts w:ascii="Times New Roman;Times;Serif" w:hAnsi="Times New Roman;Times;Serif"/>
                <w:b w:val="false"/>
                <w:i w:val="false"/>
                <w:caps w:val="false"/>
                <w:smallCaps w:val="false"/>
                <w:sz w:val="20"/>
              </w:rPr>
              <w:t>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B_edei--TradingSymbol_c20250101__2"/>
            <w:bookmarkEnd w:id="18"/>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3_edei--SecurityExchangeName_c2025"/>
            <w:bookmarkEnd w:id="19"/>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0" w:name="xdx_906_edei--EntityCurrentReportingStat"/>
      <w:bookmarkEnd w:id="20"/>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bookmarkStart w:id="21" w:name="xdx_904_edei--EntityInteractiveDataCurre"/>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6975" w:type="dxa"/>
        <w:jc w:val="left"/>
        <w:tblInd w:w="0" w:type="dxa"/>
        <w:tblLayout w:type="fixed"/>
        <w:tblCellMar>
          <w:top w:w="0" w:type="dxa"/>
          <w:left w:w="0" w:type="dxa"/>
          <w:bottom w:w="0" w:type="dxa"/>
          <w:right w:w="0" w:type="dxa"/>
        </w:tblCellMar>
      </w:tblPr>
      <w:tblGrid>
        <w:gridCol w:w="2060"/>
        <w:gridCol w:w="245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24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7_edei--EntityFilerCategory_c20250"/>
            <w:bookmarkEnd w:id="22"/>
            <w:r>
              <w:rPr>
                <w:rFonts w:ascii="Times New Roman;Times;Serif" w:hAnsi="Times New Roman;Times;Serif"/>
                <w:b w:val="false"/>
                <w:i w:val="false"/>
                <w:caps w:val="false"/>
                <w:smallCaps w:val="false"/>
                <w:sz w:val="20"/>
              </w:rPr>
              <w:t>Non-accelerated filer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3" w:name="xdx_902_edei--EntitySmallBusiness_c20250"/>
            <w:bookmarkEnd w:id="23"/>
            <w:r>
              <w:rPr>
                <w:rFonts w:ascii="Times New Roman;Times;Serif" w:hAnsi="Times New Roman;Times;Serif"/>
                <w:b w:val="false"/>
                <w:i w:val="false"/>
                <w:caps w:val="false"/>
                <w:smallCaps w:val="false"/>
                <w:sz w:val="20"/>
              </w:rPr>
              <w:t>☒</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4_edei--EntityEmergingGrowthCompan"/>
            <w:bookmarkEnd w:id="24"/>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5" w:name="xdx_902_edei--EntityShellCompany_dbF_c20"/>
      <w:bookmarkEnd w:id="25"/>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the number of shares outstanding of each of the issuer’s classes of common stock, as of the latest practicable date: </w:t>
      </w:r>
      <w:bookmarkStart w:id="26" w:name="xdx_90A_edei--EntityCommonStockSharesOut"/>
      <w:bookmarkEnd w:id="26"/>
      <w:r>
        <w:rPr>
          <w:rFonts w:ascii="Times New Roman;Times;Serif" w:hAnsi="Times New Roman;Times;Serif"/>
          <w:b w:val="false"/>
          <w:i w:val="false"/>
          <w:caps w:val="false"/>
          <w:smallCaps w:val="false"/>
          <w:sz w:val="20"/>
        </w:rPr>
        <w:t>36,377,812 shares of Common Stock, $</w:t>
      </w:r>
      <w:bookmarkStart w:id="27" w:name="xdx_908_edei--EntityListingParValuePerSh"/>
      <w:bookmarkEnd w:id="27"/>
      <w:r>
        <w:rPr>
          <w:rFonts w:ascii="Times New Roman;Times;Serif" w:hAnsi="Times New Roman;Times;Serif"/>
          <w:b w:val="false"/>
          <w:i w:val="false"/>
          <w:caps w:val="false"/>
          <w:smallCaps w:val="false"/>
          <w:sz w:val="20"/>
        </w:rPr>
        <w:t>0.01 par value at May 12,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12" w:space="1" w:color="000000"/>
        </w:rPr>
      </w:pPr>
      <w:r>
        <w:rPr>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 AND SUBSIDIARY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885"/>
        <w:gridCol w:w="245"/>
      </w:tblGrid>
      <w:tr>
        <w:trPr/>
        <w:tc>
          <w:tcPr>
            <w:tcW w:w="9960" w:type="dxa"/>
            <w:gridSpan w:val="2"/>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Financial Information</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960" w:type="dxa"/>
            <w:gridSpan w:val="2"/>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1 - Financial Statements</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885" w:type="dxa"/>
            <w:tcBorders/>
            <w:shd w:fill="CCEEFF" w:val="clear"/>
            <w:vAlign w:val="center"/>
          </w:tcPr>
          <w:p>
            <w:pPr>
              <w:pStyle w:val="TableContents"/>
              <w:bidi w:val="0"/>
              <w:spacing w:before="0" w:after="283"/>
              <w:jc w:val="both"/>
              <w:rPr/>
            </w:pPr>
            <w:hyperlink w:anchor="sk_001">
              <w:r>
                <w:rPr>
                  <w:rStyle w:val="InternetLink"/>
                  <w:rFonts w:ascii="Times New Roman;Times;Serif" w:hAnsi="Times New Roman;Times;Serif"/>
                  <w:b w:val="false"/>
                  <w:i w:val="false"/>
                  <w:caps w:val="false"/>
                  <w:smallCaps w:val="false"/>
                  <w:sz w:val="20"/>
                </w:rPr>
                <w:t>Interim Condensed Consolidated Balance Sheets as of March 31, 2025 (Unaudited) and December 31, 2024 (Audited)</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885" w:type="dxa"/>
            <w:tcBorders/>
            <w:shd w:fill="FFFFFF" w:val="clear"/>
            <w:vAlign w:val="center"/>
          </w:tcPr>
          <w:p>
            <w:pPr>
              <w:pStyle w:val="TableContents"/>
              <w:bidi w:val="0"/>
              <w:spacing w:before="0" w:after="283"/>
              <w:jc w:val="both"/>
              <w:rPr/>
            </w:pPr>
            <w:hyperlink w:anchor="sk_002">
              <w:r>
                <w:rPr>
                  <w:rStyle w:val="InternetLink"/>
                  <w:rFonts w:ascii="Times New Roman;Times;Serif" w:hAnsi="Times New Roman;Times;Serif"/>
                  <w:b w:val="false"/>
                  <w:i w:val="false"/>
                  <w:caps w:val="false"/>
                  <w:smallCaps w:val="false"/>
                  <w:sz w:val="20"/>
                </w:rPr>
                <w:t>Interim Condensed Consolidated Statements of Comprehensive Loss for the Three Months Ended March 31, 2025 and 2024 (Unaudited)</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885" w:type="dxa"/>
            <w:tcBorders/>
            <w:shd w:fill="CCEEFF" w:val="clear"/>
            <w:vAlign w:val="center"/>
          </w:tcPr>
          <w:p>
            <w:pPr>
              <w:pStyle w:val="TableContents"/>
              <w:bidi w:val="0"/>
              <w:spacing w:before="0" w:after="283"/>
              <w:jc w:val="both"/>
              <w:rPr/>
            </w:pPr>
            <w:hyperlink w:anchor="sk_003">
              <w:r>
                <w:rPr>
                  <w:rStyle w:val="InternetLink"/>
                  <w:rFonts w:ascii="Times New Roman;Times;Serif" w:hAnsi="Times New Roman;Times;Serif"/>
                  <w:b w:val="false"/>
                  <w:i w:val="false"/>
                  <w:caps w:val="false"/>
                  <w:smallCaps w:val="false"/>
                  <w:sz w:val="20"/>
                </w:rPr>
                <w:t>Interim Condensed Consolidated Statements of Shareholders’ Equity for the Three Months Ended March 31, 2025 and 2024 (Unaudited)</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885" w:type="dxa"/>
            <w:tcBorders/>
            <w:shd w:fill="FFFFFF" w:val="clear"/>
            <w:vAlign w:val="center"/>
          </w:tcPr>
          <w:p>
            <w:pPr>
              <w:pStyle w:val="TableContents"/>
              <w:bidi w:val="0"/>
              <w:spacing w:before="0" w:after="283"/>
              <w:jc w:val="both"/>
              <w:rPr/>
            </w:pPr>
            <w:hyperlink w:anchor="sk_004">
              <w:r>
                <w:rPr>
                  <w:rStyle w:val="InternetLink"/>
                  <w:rFonts w:ascii="Times New Roman;Times;Serif" w:hAnsi="Times New Roman;Times;Serif"/>
                  <w:b w:val="false"/>
                  <w:i w:val="false"/>
                  <w:caps w:val="false"/>
                  <w:smallCaps w:val="false"/>
                  <w:sz w:val="20"/>
                </w:rPr>
                <w:t>Interim Condensed Consolidated Statements of Cash Flows for the Three Months Ended March 31, 2025 and 2024 (Unaudited)</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885" w:type="dxa"/>
            <w:tcBorders/>
            <w:shd w:fill="CCEEFF" w:val="clear"/>
            <w:vAlign w:val="center"/>
          </w:tcPr>
          <w:p>
            <w:pPr>
              <w:pStyle w:val="TableContents"/>
              <w:bidi w:val="0"/>
              <w:spacing w:before="0" w:after="283"/>
              <w:jc w:val="both"/>
              <w:rPr/>
            </w:pPr>
            <w:hyperlink w:anchor="sk_005">
              <w:r>
                <w:rPr>
                  <w:rStyle w:val="InternetLink"/>
                  <w:rFonts w:ascii="Times New Roman;Times;Serif" w:hAnsi="Times New Roman;Times;Serif"/>
                  <w:b w:val="false"/>
                  <w:i w:val="false"/>
                  <w:caps w:val="false"/>
                  <w:smallCaps w:val="false"/>
                  <w:sz w:val="20"/>
                </w:rPr>
                <w:t>Notes to Interim Unaudited Condensed Consolidated Financial Statements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960" w:type="dxa"/>
            <w:gridSpan w:val="2"/>
            <w:tcBorders/>
            <w:shd w:fill="FFFFFF" w:val="clear"/>
            <w:vAlign w:val="center"/>
          </w:tcPr>
          <w:p>
            <w:pPr>
              <w:pStyle w:val="TableContents"/>
              <w:bidi w:val="0"/>
              <w:spacing w:before="0" w:after="283"/>
              <w:jc w:val="both"/>
              <w:rPr/>
            </w:pPr>
            <w:hyperlink w:anchor="sk_006">
              <w:r>
                <w:rPr>
                  <w:rStyle w:val="InternetLink"/>
                  <w:rFonts w:ascii="Times New Roman;Times;Serif" w:hAnsi="Times New Roman;Times;Serif"/>
                  <w:b w:val="false"/>
                  <w:i w:val="false"/>
                  <w:caps w:val="false"/>
                  <w:smallCaps w:val="false"/>
                  <w:sz w:val="20"/>
                </w:rPr>
                <w:t>Item 2 - Management’s Discussion and Analysis of Financial Condition and Results of Operations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960" w:type="dxa"/>
            <w:gridSpan w:val="2"/>
            <w:tcBorders/>
            <w:shd w:fill="CCEEFF" w:val="clear"/>
            <w:vAlign w:val="center"/>
          </w:tcPr>
          <w:p>
            <w:pPr>
              <w:pStyle w:val="TableContents"/>
              <w:bidi w:val="0"/>
              <w:spacing w:before="0" w:after="283"/>
              <w:jc w:val="both"/>
              <w:rPr/>
            </w:pPr>
            <w:hyperlink w:anchor="sk_007">
              <w:r>
                <w:rPr>
                  <w:rStyle w:val="InternetLink"/>
                  <w:rFonts w:ascii="Times New Roman;Times;Serif" w:hAnsi="Times New Roman;Times;Serif"/>
                  <w:b w:val="false"/>
                  <w:i w:val="false"/>
                  <w:caps w:val="false"/>
                  <w:smallCaps w:val="false"/>
                  <w:sz w:val="20"/>
                </w:rPr>
                <w:t>Item 3 - Quantitative and Qualitative Disclosures About Market Risk</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960" w:type="dxa"/>
            <w:gridSpan w:val="2"/>
            <w:tcBorders/>
            <w:shd w:fill="FFFFFF" w:val="clear"/>
            <w:vAlign w:val="center"/>
          </w:tcPr>
          <w:p>
            <w:pPr>
              <w:pStyle w:val="TableContents"/>
              <w:bidi w:val="0"/>
              <w:spacing w:before="0" w:after="283"/>
              <w:jc w:val="both"/>
              <w:rPr/>
            </w:pPr>
            <w:hyperlink w:anchor="sk_008">
              <w:r>
                <w:rPr>
                  <w:rStyle w:val="InternetLink"/>
                  <w:rFonts w:ascii="Times New Roman;Times;Serif" w:hAnsi="Times New Roman;Times;Serif"/>
                  <w:b w:val="false"/>
                  <w:i w:val="false"/>
                  <w:caps w:val="false"/>
                  <w:smallCaps w:val="false"/>
                  <w:sz w:val="20"/>
                </w:rPr>
                <w:t>Item 4 - Controls and Procedures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60" w:type="dxa"/>
            <w:gridSpan w:val="2"/>
            <w:tcBorders/>
            <w:shd w:fill="CCEEFF" w:val="clear"/>
            <w:vAlign w:val="center"/>
          </w:tcPr>
          <w:p>
            <w:pPr>
              <w:pStyle w:val="TableContents"/>
              <w:bidi w:val="0"/>
              <w:spacing w:before="0" w:after="283"/>
              <w:jc w:val="both"/>
              <w:rPr/>
            </w:pPr>
            <w:hyperlink w:anchor="sk_009">
              <w:r>
                <w:rPr>
                  <w:rStyle w:val="InternetLink"/>
                  <w:rFonts w:ascii="Times New Roman;Times;Serif" w:hAnsi="Times New Roman;Times;Serif"/>
                  <w:b/>
                  <w:i w:val="false"/>
                  <w:caps w:val="false"/>
                  <w:smallCaps w:val="false"/>
                  <w:sz w:val="20"/>
                </w:rPr>
                <w:t>Part II - Other Information</w:t>
              </w:r>
            </w:hyperlink>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960" w:type="dxa"/>
            <w:gridSpan w:val="2"/>
            <w:tcBorders/>
            <w:shd w:fill="FFFFFF" w:val="clear"/>
            <w:vAlign w:val="center"/>
          </w:tcPr>
          <w:p>
            <w:pPr>
              <w:pStyle w:val="TableContents"/>
              <w:bidi w:val="0"/>
              <w:spacing w:before="0" w:after="283"/>
              <w:jc w:val="both"/>
              <w:rPr/>
            </w:pPr>
            <w:hyperlink w:anchor="sk_010">
              <w:r>
                <w:rPr>
                  <w:rStyle w:val="InternetLink"/>
                  <w:rFonts w:ascii="Times New Roman;Times;Serif" w:hAnsi="Times New Roman;Times;Serif"/>
                  <w:b w:val="false"/>
                  <w:i w:val="false"/>
                  <w:caps w:val="false"/>
                  <w:smallCaps w:val="false"/>
                  <w:sz w:val="20"/>
                </w:rPr>
                <w:t>Item 1 - Legal Proceedings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60" w:type="dxa"/>
            <w:gridSpan w:val="2"/>
            <w:tcBorders/>
            <w:shd w:fill="CCEEFF" w:val="clear"/>
            <w:vAlign w:val="center"/>
          </w:tcPr>
          <w:p>
            <w:pPr>
              <w:pStyle w:val="TableContents"/>
              <w:bidi w:val="0"/>
              <w:spacing w:before="0" w:after="283"/>
              <w:jc w:val="both"/>
              <w:rPr/>
            </w:pPr>
            <w:hyperlink w:anchor="sk_011">
              <w:r>
                <w:rPr>
                  <w:rStyle w:val="InternetLink"/>
                  <w:rFonts w:ascii="Times New Roman;Times;Serif" w:hAnsi="Times New Roman;Times;Serif"/>
                  <w:b w:val="false"/>
                  <w:i w:val="false"/>
                  <w:caps w:val="false"/>
                  <w:smallCaps w:val="false"/>
                  <w:sz w:val="20"/>
                </w:rPr>
                <w:t>Item 1A - Risk Factors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60" w:type="dxa"/>
            <w:gridSpan w:val="2"/>
            <w:tcBorders/>
            <w:shd w:fill="FFFFFF" w:val="clear"/>
            <w:vAlign w:val="center"/>
          </w:tcPr>
          <w:p>
            <w:pPr>
              <w:pStyle w:val="TableContents"/>
              <w:bidi w:val="0"/>
              <w:spacing w:before="0" w:after="283"/>
              <w:jc w:val="both"/>
              <w:rPr/>
            </w:pPr>
            <w:hyperlink w:anchor="sk_012">
              <w:r>
                <w:rPr>
                  <w:rStyle w:val="InternetLink"/>
                  <w:rFonts w:ascii="Times New Roman;Times;Serif" w:hAnsi="Times New Roman;Times;Serif"/>
                  <w:b w:val="false"/>
                  <w:i w:val="false"/>
                  <w:caps w:val="false"/>
                  <w:smallCaps w:val="false"/>
                  <w:sz w:val="20"/>
                </w:rPr>
                <w:t>Item 2 - Unregistered Sales of Equity Securities and Use of Proceeds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60" w:type="dxa"/>
            <w:gridSpan w:val="2"/>
            <w:tcBorders/>
            <w:shd w:fill="CCEEFF" w:val="clear"/>
            <w:vAlign w:val="center"/>
          </w:tcPr>
          <w:p>
            <w:pPr>
              <w:pStyle w:val="TableContents"/>
              <w:bidi w:val="0"/>
              <w:spacing w:before="0" w:after="283"/>
              <w:jc w:val="both"/>
              <w:rPr/>
            </w:pPr>
            <w:hyperlink w:anchor="sk_013">
              <w:r>
                <w:rPr>
                  <w:rStyle w:val="InternetLink"/>
                  <w:rFonts w:ascii="Times New Roman;Times;Serif" w:hAnsi="Times New Roman;Times;Serif"/>
                  <w:b w:val="false"/>
                  <w:i w:val="false"/>
                  <w:caps w:val="false"/>
                  <w:smallCaps w:val="false"/>
                  <w:sz w:val="20"/>
                </w:rPr>
                <w:t>Item 3 - Defaults Upon Senior Securities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960" w:type="dxa"/>
            <w:gridSpan w:val="2"/>
            <w:tcBorders/>
            <w:shd w:fill="FFFFFF" w:val="clear"/>
            <w:vAlign w:val="center"/>
          </w:tcPr>
          <w:p>
            <w:pPr>
              <w:pStyle w:val="TableContents"/>
              <w:bidi w:val="0"/>
              <w:spacing w:before="0" w:after="283"/>
              <w:jc w:val="both"/>
              <w:rPr/>
            </w:pPr>
            <w:hyperlink w:anchor="sk_014">
              <w:r>
                <w:rPr>
                  <w:rStyle w:val="InternetLink"/>
                  <w:rFonts w:ascii="Times New Roman;Times;Serif" w:hAnsi="Times New Roman;Times;Serif"/>
                  <w:b w:val="false"/>
                  <w:i w:val="false"/>
                  <w:caps w:val="false"/>
                  <w:smallCaps w:val="false"/>
                  <w:sz w:val="20"/>
                </w:rPr>
                <w:t>Item 4 - Mine Safety Disclosures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960" w:type="dxa"/>
            <w:gridSpan w:val="2"/>
            <w:tcBorders/>
            <w:shd w:fill="CCEEFF" w:val="clear"/>
            <w:vAlign w:val="center"/>
          </w:tcPr>
          <w:p>
            <w:pPr>
              <w:pStyle w:val="TableContents"/>
              <w:bidi w:val="0"/>
              <w:spacing w:before="0" w:after="283"/>
              <w:jc w:val="both"/>
              <w:rPr/>
            </w:pPr>
            <w:hyperlink w:anchor="sk_015">
              <w:r>
                <w:rPr>
                  <w:rStyle w:val="InternetLink"/>
                  <w:rFonts w:ascii="Times New Roman;Times;Serif" w:hAnsi="Times New Roman;Times;Serif"/>
                  <w:b w:val="false"/>
                  <w:i w:val="false"/>
                  <w:caps w:val="false"/>
                  <w:smallCaps w:val="false"/>
                  <w:sz w:val="20"/>
                </w:rPr>
                <w:t>Item 5 - Other Information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960" w:type="dxa"/>
            <w:gridSpan w:val="2"/>
            <w:tcBorders/>
            <w:shd w:fill="FFFFFF" w:val="clear"/>
            <w:vAlign w:val="center"/>
          </w:tcPr>
          <w:p>
            <w:pPr>
              <w:pStyle w:val="TableContents"/>
              <w:bidi w:val="0"/>
              <w:spacing w:before="0" w:after="283"/>
              <w:jc w:val="both"/>
              <w:rPr/>
            </w:pPr>
            <w:hyperlink w:anchor="sk_016">
              <w:r>
                <w:rPr>
                  <w:rStyle w:val="InternetLink"/>
                  <w:rFonts w:ascii="Times New Roman;Times;Serif" w:hAnsi="Times New Roman;Times;Serif"/>
                  <w:b w:val="false"/>
                  <w:i w:val="false"/>
                  <w:caps w:val="false"/>
                  <w:smallCaps w:val="false"/>
                  <w:sz w:val="20"/>
                </w:rPr>
                <w:t>Item 6 - Exhibits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960" w:type="dxa"/>
            <w:gridSpan w:val="2"/>
            <w:tcBorders/>
            <w:shd w:fill="CCEEFF" w:val="clear"/>
            <w:vAlign w:val="center"/>
          </w:tcPr>
          <w:p>
            <w:pPr>
              <w:pStyle w:val="TableContents"/>
              <w:bidi w:val="0"/>
              <w:spacing w:before="0" w:after="283"/>
              <w:jc w:val="both"/>
              <w:rPr/>
            </w:pPr>
            <w:hyperlink w:anchor="sk_017">
              <w:r>
                <w:rPr>
                  <w:rStyle w:val="InternetLink"/>
                  <w:rFonts w:ascii="Times New Roman;Times;Serif" w:hAnsi="Times New Roman;Times;Serif"/>
                  <w:b/>
                  <w:i w:val="false"/>
                  <w:caps w:val="false"/>
                  <w:smallCaps w:val="false"/>
                  <w:sz w:val="20"/>
                </w:rPr>
                <w:t>Signatures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8" w:name="sk_001"/>
      <w:bookmarkEnd w:id="28"/>
      <w:r>
        <w:rPr>
          <w:rFonts w:ascii="Times New Roman;Times;Serif" w:hAnsi="Times New Roman;Times;Serif"/>
          <w:b/>
          <w:i w:val="false"/>
          <w:caps w:val="false"/>
          <w:smallCaps w:val="false"/>
          <w:sz w:val="20"/>
          <w:u w:val="single"/>
        </w:rPr>
        <w:t>Interim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9" w:name="xdx_307_111_pn3n3_zIa5XUACrSf5"/>
      <w:bookmarkStart w:id="30" w:name="xdx_307_111_pn3n3_zIa5XUACrSf5"/>
      <w:bookmarkEnd w:id="30"/>
    </w:p>
    <w:tbl>
      <w:tblPr>
        <w:tblW w:w="10205" w:type="dxa"/>
        <w:jc w:val="left"/>
        <w:tblInd w:w="0" w:type="dxa"/>
        <w:tblLayout w:type="fixed"/>
        <w:tblCellMar>
          <w:top w:w="0" w:type="dxa"/>
          <w:left w:w="0" w:type="dxa"/>
          <w:bottom w:w="0" w:type="dxa"/>
          <w:right w:w="0" w:type="dxa"/>
        </w:tblCellMar>
      </w:tblPr>
      <w:tblGrid>
        <w:gridCol w:w="6803"/>
        <w:gridCol w:w="60"/>
        <w:gridCol w:w="590"/>
        <w:gridCol w:w="60"/>
        <w:gridCol w:w="217"/>
        <w:gridCol w:w="937"/>
        <w:gridCol w:w="95"/>
        <w:gridCol w:w="60"/>
        <w:gridCol w:w="198"/>
        <w:gridCol w:w="1073"/>
        <w:gridCol w:w="112"/>
      </w:tblGrid>
      <w:tr>
        <w:trPr/>
        <w:tc>
          <w:tcPr>
            <w:tcW w:w="68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bookmarkStart w:id="31" w:name="xdx_492_20250331_zL1zCSChMqa8"/>
            <w:bookmarkEnd w:id="31"/>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March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 w:name="xdx_498_20241231_zIOuquBVcPpc"/>
            <w:bookmarkEnd w:id="32"/>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December 31, 2024</w:t>
            </w:r>
          </w:p>
        </w:tc>
        <w:tc>
          <w:tcPr>
            <w:tcW w:w="112" w:type="dxa"/>
            <w:tcBorders/>
            <w:vAlign w:val="center"/>
          </w:tcPr>
          <w:p>
            <w:pPr>
              <w:pStyle w:val="TableContents"/>
              <w:bidi w:val="0"/>
              <w:spacing w:before="0" w:after="283"/>
              <w:jc w:val="left"/>
              <w:rPr/>
            </w:pPr>
            <w:r>
              <w:rPr/>
              <w:t> </w:t>
            </w:r>
          </w:p>
        </w:tc>
      </w:tr>
      <w:tr>
        <w:trPr/>
        <w:tc>
          <w:tcPr>
            <w:tcW w:w="68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vAlign w:val="center"/>
          </w:tcPr>
          <w:p>
            <w:pPr>
              <w:pStyle w:val="TableContents"/>
              <w:bidi w:val="0"/>
              <w:spacing w:before="0" w:after="283"/>
              <w:jc w:val="center"/>
              <w:rPr/>
            </w:pPr>
            <w:r>
              <w:rPr/>
              <w:t>Audited</w:t>
            </w:r>
          </w:p>
        </w:tc>
        <w:tc>
          <w:tcPr>
            <w:tcW w:w="112" w:type="dxa"/>
            <w:tcBorders/>
            <w:vAlign w:val="center"/>
          </w:tcPr>
          <w:p>
            <w:pPr>
              <w:pStyle w:val="TableContents"/>
              <w:bidi w:val="0"/>
              <w:spacing w:before="0" w:after="283"/>
              <w:jc w:val="left"/>
              <w:rPr/>
            </w:pPr>
            <w:r>
              <w:rPr/>
              <w:t> </w:t>
            </w:r>
            <w:bookmarkStart w:id="33" w:name="xdx_400_eus-gaap--AssetsAbstract_iB_zrz7"/>
            <w:bookmarkEnd w:id="33"/>
          </w:p>
        </w:tc>
      </w:tr>
      <w:tr>
        <w:trPr/>
        <w:tc>
          <w:tcPr>
            <w:tcW w:w="6803" w:type="dxa"/>
            <w:tcBorders/>
            <w:shd w:fill="CCEEFF" w:val="clear"/>
            <w:vAlign w:val="center"/>
          </w:tcPr>
          <w:p>
            <w:pPr>
              <w:pStyle w:val="TableContents"/>
              <w:bidi w:val="0"/>
              <w:spacing w:before="0" w:after="283"/>
              <w:jc w:val="center"/>
              <w:rPr/>
            </w:pPr>
            <w:r>
              <w:rPr/>
              <w:t>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4" w:name="xdx_409_eus-gaap--AssetsCurrentAbstract_"/>
            <w:bookmarkEnd w:id="34"/>
          </w:p>
        </w:tc>
      </w:tr>
      <w:tr>
        <w:trPr/>
        <w:tc>
          <w:tcPr>
            <w:tcW w:w="6803"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5" w:name="xdx_40C_eus-gaap--CashAndCashEquivalents"/>
            <w:bookmarkEnd w:id="35"/>
          </w:p>
        </w:tc>
      </w:tr>
      <w:tr>
        <w:trPr/>
        <w:tc>
          <w:tcPr>
            <w:tcW w:w="680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73" w:type="dxa"/>
            <w:tcBorders/>
            <w:shd w:fill="CCEEFF" w:val="clear"/>
            <w:vAlign w:val="center"/>
          </w:tcPr>
          <w:p>
            <w:pPr>
              <w:pStyle w:val="TableContents"/>
              <w:bidi w:val="0"/>
              <w:spacing w:before="0" w:after="283"/>
              <w:jc w:val="right"/>
              <w:rPr/>
            </w:pPr>
            <w:r>
              <w:rPr/>
              <w:t>3,114</w:t>
            </w:r>
          </w:p>
        </w:tc>
        <w:tc>
          <w:tcPr>
            <w:tcW w:w="112" w:type="dxa"/>
            <w:tcBorders/>
            <w:shd w:fill="CCEEFF" w:val="clear"/>
            <w:vAlign w:val="center"/>
          </w:tcPr>
          <w:p>
            <w:pPr>
              <w:pStyle w:val="TableContents"/>
              <w:bidi w:val="0"/>
              <w:spacing w:before="0" w:after="283"/>
              <w:jc w:val="left"/>
              <w:rPr/>
            </w:pPr>
            <w:r>
              <w:rPr/>
              <w:t> </w:t>
            </w:r>
            <w:bookmarkStart w:id="36" w:name="xdx_405_eus-gaap--MarketableSecuritiesCu"/>
            <w:bookmarkEnd w:id="36"/>
          </w:p>
        </w:tc>
      </w:tr>
      <w:tr>
        <w:trPr/>
        <w:tc>
          <w:tcPr>
            <w:tcW w:w="6803"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2</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27,173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2,356</w:t>
            </w:r>
          </w:p>
        </w:tc>
        <w:tc>
          <w:tcPr>
            <w:tcW w:w="112" w:type="dxa"/>
            <w:tcBorders/>
            <w:shd w:fill="FFFFFF" w:val="clear"/>
            <w:vAlign w:val="center"/>
          </w:tcPr>
          <w:p>
            <w:pPr>
              <w:pStyle w:val="TableContents"/>
              <w:bidi w:val="0"/>
              <w:spacing w:before="0" w:after="283"/>
              <w:jc w:val="left"/>
              <w:rPr/>
            </w:pPr>
            <w:r>
              <w:rPr/>
              <w:t> </w:t>
            </w:r>
            <w:bookmarkStart w:id="37" w:name="xdx_402_eus-gaap--RestrictedCashAndCashE"/>
            <w:bookmarkEnd w:id="37"/>
          </w:p>
        </w:tc>
      </w:tr>
      <w:tr>
        <w:trPr/>
        <w:tc>
          <w:tcPr>
            <w:tcW w:w="6803"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49</w:t>
            </w:r>
          </w:p>
        </w:tc>
        <w:tc>
          <w:tcPr>
            <w:tcW w:w="112" w:type="dxa"/>
            <w:tcBorders/>
            <w:shd w:fill="CCEEFF" w:val="clear"/>
            <w:vAlign w:val="center"/>
          </w:tcPr>
          <w:p>
            <w:pPr>
              <w:pStyle w:val="TableContents"/>
              <w:bidi w:val="0"/>
              <w:spacing w:before="0" w:after="283"/>
              <w:jc w:val="left"/>
              <w:rPr/>
            </w:pPr>
            <w:r>
              <w:rPr/>
              <w:t> </w:t>
            </w:r>
            <w:bookmarkStart w:id="38" w:name="xdx_40C_eus-gaap--PrepaidExpenseAndOther"/>
            <w:bookmarkEnd w:id="38"/>
          </w:p>
        </w:tc>
      </w:tr>
      <w:tr>
        <w:trPr/>
        <w:tc>
          <w:tcPr>
            <w:tcW w:w="6803"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300</w:t>
            </w:r>
          </w:p>
        </w:tc>
        <w:tc>
          <w:tcPr>
            <w:tcW w:w="112" w:type="dxa"/>
            <w:tcBorders/>
            <w:shd w:fill="FFFFFF" w:val="clear"/>
            <w:vAlign w:val="center"/>
          </w:tcPr>
          <w:p>
            <w:pPr>
              <w:pStyle w:val="TableContents"/>
              <w:bidi w:val="0"/>
              <w:spacing w:before="0" w:after="283"/>
              <w:jc w:val="left"/>
              <w:rPr/>
            </w:pPr>
            <w:r>
              <w:rPr/>
              <w:t> </w:t>
            </w:r>
            <w:bookmarkStart w:id="39" w:name="xdx_401_eus-gaap--AssetsCurrent_i02TI_mt"/>
            <w:bookmarkEnd w:id="39"/>
          </w:p>
        </w:tc>
      </w:tr>
      <w:tr>
        <w:trPr/>
        <w:tc>
          <w:tcPr>
            <w:tcW w:w="6803"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30,656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5,819</w:t>
            </w:r>
          </w:p>
        </w:tc>
        <w:tc>
          <w:tcPr>
            <w:tcW w:w="112" w:type="dxa"/>
            <w:tcBorders/>
            <w:shd w:fill="CCEEFF" w:val="cle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0" w:name="xdx_400_eus-gaap--PropertyPlantAndEquipm"/>
            <w:bookmarkEnd w:id="40"/>
          </w:p>
        </w:tc>
      </w:tr>
      <w:tr>
        <w:trPr/>
        <w:tc>
          <w:tcPr>
            <w:tcW w:w="6803"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80</w:t>
            </w:r>
          </w:p>
        </w:tc>
        <w:tc>
          <w:tcPr>
            <w:tcW w:w="112" w:type="dxa"/>
            <w:tcBorders/>
            <w:shd w:fill="CCEEFF" w:val="clear"/>
            <w:vAlign w:val="center"/>
          </w:tcPr>
          <w:p>
            <w:pPr>
              <w:pStyle w:val="TableContents"/>
              <w:bidi w:val="0"/>
              <w:spacing w:before="0" w:after="283"/>
              <w:jc w:val="left"/>
              <w:rPr/>
            </w:pPr>
            <w:r>
              <w:rPr/>
              <w:t> </w:t>
            </w:r>
            <w:bookmarkStart w:id="41" w:name="xdx_407_eus-gaap--OperatingLeaseRightOfU"/>
            <w:bookmarkEnd w:id="41"/>
          </w:p>
        </w:tc>
      </w:tr>
      <w:tr>
        <w:trPr/>
        <w:tc>
          <w:tcPr>
            <w:tcW w:w="6803" w:type="dxa"/>
            <w:tcBorders/>
            <w:shd w:fill="FFFFFF" w:val="clear"/>
            <w:vAlign w:val="center"/>
          </w:tcPr>
          <w:p>
            <w:pPr>
              <w:pStyle w:val="TableContents"/>
              <w:bidi w:val="0"/>
              <w:spacing w:before="0" w:after="283"/>
              <w:jc w:val="left"/>
              <w:rPr/>
            </w:pPr>
            <w:r>
              <w:rPr/>
              <w:t>Operating right-of-use assets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158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132</w:t>
            </w:r>
          </w:p>
        </w:tc>
        <w:tc>
          <w:tcPr>
            <w:tcW w:w="112" w:type="dxa"/>
            <w:tcBorders/>
            <w:shd w:fill="FFFFFF" w:val="clear"/>
            <w:vAlign w:val="center"/>
          </w:tcPr>
          <w:p>
            <w:pPr>
              <w:pStyle w:val="TableContents"/>
              <w:bidi w:val="0"/>
              <w:spacing w:before="0" w:after="283"/>
              <w:jc w:val="left"/>
              <w:rPr/>
            </w:pPr>
            <w:r>
              <w:rPr/>
              <w:t> </w:t>
            </w:r>
            <w:bookmarkStart w:id="42" w:name="xdx_40E_eus-gaap--Assets_i01TI_mtCzKzI_z"/>
            <w:bookmarkEnd w:id="42"/>
          </w:p>
        </w:tc>
      </w:tr>
      <w:tr>
        <w:trPr/>
        <w:tc>
          <w:tcPr>
            <w:tcW w:w="6803"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pPr>
            <w:r>
              <w:rPr/>
              <w:t>30,892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3" w:type="dxa"/>
            <w:tcBorders>
              <w:bottom w:val="double" w:sz="6" w:space="0" w:color="000000"/>
            </w:tcBorders>
            <w:shd w:fill="CCEEFF" w:val="clear"/>
            <w:tcMar>
              <w:bottom w:w="28" w:type="dxa"/>
            </w:tcMar>
            <w:vAlign w:val="center"/>
          </w:tcPr>
          <w:p>
            <w:pPr>
              <w:pStyle w:val="TableContents"/>
              <w:bidi w:val="0"/>
              <w:spacing w:before="0" w:after="283"/>
              <w:jc w:val="right"/>
              <w:rPr/>
            </w:pPr>
            <w:r>
              <w:rPr/>
              <w:t>6,031</w:t>
            </w:r>
          </w:p>
        </w:tc>
        <w:tc>
          <w:tcPr>
            <w:tcW w:w="112" w:type="dxa"/>
            <w:tcBorders/>
            <w:shd w:fill="CCEEFF" w:val="cle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3" w:name="xdx_40C_eus-gaap--LiabilitiesAndStockhol"/>
            <w:bookmarkEnd w:id="43"/>
          </w:p>
        </w:tc>
      </w:tr>
      <w:tr>
        <w:trPr/>
        <w:tc>
          <w:tcPr>
            <w:tcW w:w="6803" w:type="dxa"/>
            <w:tcBorders/>
            <w:shd w:fill="CCEEFF" w:val="clear"/>
            <w:vAlign w:val="center"/>
          </w:tcPr>
          <w:p>
            <w:pPr>
              <w:pStyle w:val="TableContents"/>
              <w:bidi w:val="0"/>
              <w:spacing w:before="0" w:after="283"/>
              <w:jc w:val="center"/>
              <w:rPr/>
            </w:pPr>
            <w:r>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4" w:name="xdx_408_eus-gaap--LiabilitiesCurrentAbst"/>
            <w:bookmarkEnd w:id="44"/>
          </w:p>
        </w:tc>
      </w:tr>
      <w:tr>
        <w:trPr/>
        <w:tc>
          <w:tcPr>
            <w:tcW w:w="6803"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5" w:name="xdx_40B_eus-gaap--AccountsPayableCurrent"/>
            <w:bookmarkEnd w:id="45"/>
          </w:p>
        </w:tc>
      </w:tr>
      <w:tr>
        <w:trPr/>
        <w:tc>
          <w:tcPr>
            <w:tcW w:w="6803"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73" w:type="dxa"/>
            <w:tcBorders/>
            <w:shd w:fill="CCEEFF" w:val="clear"/>
            <w:vAlign w:val="center"/>
          </w:tcPr>
          <w:p>
            <w:pPr>
              <w:pStyle w:val="TableContents"/>
              <w:bidi w:val="0"/>
              <w:spacing w:before="0" w:after="283"/>
              <w:jc w:val="right"/>
              <w:rPr/>
            </w:pPr>
            <w:r>
              <w:rPr/>
              <w:t>165</w:t>
            </w:r>
          </w:p>
        </w:tc>
        <w:tc>
          <w:tcPr>
            <w:tcW w:w="112" w:type="dxa"/>
            <w:tcBorders/>
            <w:shd w:fill="CCEEFF" w:val="clear"/>
            <w:vAlign w:val="center"/>
          </w:tcPr>
          <w:p>
            <w:pPr>
              <w:pStyle w:val="TableContents"/>
              <w:bidi w:val="0"/>
              <w:spacing w:before="0" w:after="283"/>
              <w:jc w:val="left"/>
              <w:rPr/>
            </w:pPr>
            <w:r>
              <w:rPr/>
              <w:t> </w:t>
            </w:r>
            <w:bookmarkStart w:id="46" w:name="xdx_40B_eus-gaap--OperatingLeaseLiabilit"/>
            <w:bookmarkEnd w:id="46"/>
          </w:p>
        </w:tc>
      </w:tr>
      <w:tr>
        <w:trPr/>
        <w:tc>
          <w:tcPr>
            <w:tcW w:w="6803"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70</w:t>
            </w:r>
          </w:p>
        </w:tc>
        <w:tc>
          <w:tcPr>
            <w:tcW w:w="112" w:type="dxa"/>
            <w:tcBorders/>
            <w:shd w:fill="FFFFFF" w:val="clear"/>
            <w:vAlign w:val="center"/>
          </w:tcPr>
          <w:p>
            <w:pPr>
              <w:pStyle w:val="TableContents"/>
              <w:bidi w:val="0"/>
              <w:spacing w:before="0" w:after="283"/>
              <w:jc w:val="left"/>
              <w:rPr/>
            </w:pPr>
            <w:r>
              <w:rPr/>
              <w:t> </w:t>
            </w:r>
            <w:bookmarkStart w:id="47" w:name="xdx_40E_eus-gaap--AccruedLiabilitiesCurr"/>
            <w:bookmarkEnd w:id="47"/>
          </w:p>
        </w:tc>
      </w:tr>
      <w:tr>
        <w:trPr/>
        <w:tc>
          <w:tcPr>
            <w:tcW w:w="6803"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1,617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2,225</w:t>
            </w:r>
          </w:p>
        </w:tc>
        <w:tc>
          <w:tcPr>
            <w:tcW w:w="112" w:type="dxa"/>
            <w:tcBorders/>
            <w:shd w:fill="CCEEFF" w:val="clear"/>
            <w:vAlign w:val="center"/>
          </w:tcPr>
          <w:p>
            <w:pPr>
              <w:pStyle w:val="TableContents"/>
              <w:bidi w:val="0"/>
              <w:spacing w:before="0" w:after="283"/>
              <w:jc w:val="left"/>
              <w:rPr/>
            </w:pPr>
            <w:r>
              <w:rPr/>
              <w:t> </w:t>
            </w:r>
            <w:bookmarkStart w:id="48" w:name="xdx_40D_eus-gaap--LiabilitiesCurrent_i02"/>
            <w:bookmarkEnd w:id="48"/>
          </w:p>
        </w:tc>
      </w:tr>
      <w:tr>
        <w:trPr/>
        <w:tc>
          <w:tcPr>
            <w:tcW w:w="6803"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2,460</w:t>
            </w:r>
          </w:p>
        </w:tc>
        <w:tc>
          <w:tcPr>
            <w:tcW w:w="112" w:type="dxa"/>
            <w:tcBorders/>
            <w:shd w:fill="FFFFFF" w:val="clear"/>
            <w:vAlign w:val="center"/>
          </w:tcPr>
          <w:p>
            <w:pPr>
              <w:pStyle w:val="TableContents"/>
              <w:bidi w:val="0"/>
              <w:spacing w:before="0" w:after="283"/>
              <w:jc w:val="left"/>
              <w:rPr/>
            </w:pPr>
            <w:r>
              <w:rPr/>
              <w:t> </w:t>
            </w:r>
          </w:p>
        </w:tc>
      </w:tr>
      <w:tr>
        <w:trPr/>
        <w:tc>
          <w:tcPr>
            <w:tcW w:w="68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9" w:name="xdx_40C_eus-gaap--LiabilitiesNoncurrentA"/>
            <w:bookmarkEnd w:id="49"/>
          </w:p>
        </w:tc>
      </w:tr>
      <w:tr>
        <w:trPr/>
        <w:tc>
          <w:tcPr>
            <w:tcW w:w="6803" w:type="dxa"/>
            <w:tcBorders/>
            <w:shd w:fill="FFFFFF" w:val="clear"/>
            <w:vAlign w:val="center"/>
          </w:tcPr>
          <w:p>
            <w:pPr>
              <w:pStyle w:val="TableContents"/>
              <w:bidi w:val="0"/>
              <w:spacing w:before="0" w:after="283"/>
              <w:jc w:val="left"/>
              <w:rPr/>
            </w:pPr>
            <w:r>
              <w:rPr/>
              <w:t>Non-current liabilities: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0" w:name="xdx_40A_eus-gaap--OperatingLeaseLiabilit"/>
            <w:bookmarkEnd w:id="50"/>
          </w:p>
        </w:tc>
      </w:tr>
      <w:tr>
        <w:trPr/>
        <w:tc>
          <w:tcPr>
            <w:tcW w:w="6803" w:type="dxa"/>
            <w:tcBorders/>
            <w:shd w:fill="CCEEFF" w:val="clear"/>
            <w:vAlign w:val="center"/>
          </w:tcPr>
          <w:p>
            <w:pPr>
              <w:pStyle w:val="TableContents"/>
              <w:bidi w:val="0"/>
              <w:spacing w:before="0" w:after="283"/>
              <w:jc w:val="left"/>
              <w:rPr/>
            </w:pPr>
            <w:r>
              <w:rPr/>
              <w:t>Long-term lease liabilities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112" w:type="dxa"/>
            <w:tcBorders/>
            <w:shd w:fill="CCEEFF" w:val="clear"/>
            <w:vAlign w:val="center"/>
          </w:tcPr>
          <w:p>
            <w:pPr>
              <w:pStyle w:val="TableContents"/>
              <w:bidi w:val="0"/>
              <w:spacing w:before="0" w:after="283"/>
              <w:jc w:val="left"/>
              <w:rPr/>
            </w:pPr>
            <w:r>
              <w:rPr/>
              <w:t> </w:t>
            </w:r>
            <w:bookmarkStart w:id="51" w:name="xdx_40E_eus-gaap--Liabilities_i01TI_mtCz"/>
            <w:bookmarkEnd w:id="51"/>
          </w:p>
        </w:tc>
      </w:tr>
      <w:tr>
        <w:trPr/>
        <w:tc>
          <w:tcPr>
            <w:tcW w:w="6803"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1,941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2,501</w:t>
            </w:r>
          </w:p>
        </w:tc>
        <w:tc>
          <w:tcPr>
            <w:tcW w:w="112" w:type="dxa"/>
            <w:tcBorders/>
            <w:shd w:fill="FFFFFF" w:val="clear"/>
            <w:vAlign w:val="center"/>
          </w:tcPr>
          <w:p>
            <w:pPr>
              <w:pStyle w:val="TableContents"/>
              <w:bidi w:val="0"/>
              <w:spacing w:before="0" w:after="283"/>
              <w:jc w:val="left"/>
              <w:rPr/>
            </w:pPr>
            <w:r>
              <w:rPr/>
              <w:t> </w:t>
            </w:r>
          </w:p>
        </w:tc>
      </w:tr>
      <w:tr>
        <w:trPr/>
        <w:tc>
          <w:tcPr>
            <w:tcW w:w="68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2" w:name="xdx_402_eus-gaap--StockholdersEquityAbst"/>
            <w:bookmarkEnd w:id="52"/>
          </w:p>
        </w:tc>
      </w:tr>
      <w:tr>
        <w:trPr/>
        <w:tc>
          <w:tcPr>
            <w:tcW w:w="6803"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8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3" w:name="xdx_403_eus-gaap--CommonStockValue_i02I_"/>
            <w:bookmarkEnd w:id="53"/>
          </w:p>
        </w:tc>
      </w:tr>
      <w:tr>
        <w:trPr/>
        <w:tc>
          <w:tcPr>
            <w:tcW w:w="6803" w:type="dxa"/>
            <w:tcBorders/>
            <w:shd w:fill="FFFFFF" w:val="clear"/>
            <w:vAlign w:val="center"/>
          </w:tcPr>
          <w:p>
            <w:pPr>
              <w:pStyle w:val="TableContents"/>
              <w:bidi w:val="0"/>
              <w:spacing w:before="0" w:after="283"/>
              <w:jc w:val="left"/>
              <w:rPr/>
            </w:pPr>
            <w:r>
              <w:rPr/>
              <w:t>Common stock; $</w:t>
            </w:r>
            <w:bookmarkStart w:id="54" w:name="xdx_90D_eus-gaap--CommonStockParOrStated"/>
            <w:bookmarkStart w:id="55" w:name="xdx_90A_eus-gaap--CommonStockParOrStated"/>
            <w:bookmarkEnd w:id="54"/>
            <w:bookmarkEnd w:id="55"/>
            <w:r>
              <w:rPr/>
              <w:t xml:space="preserve">0.01 par value; </w:t>
            </w:r>
            <w:bookmarkStart w:id="56" w:name="xdx_905_eus-gaap--CommonStockSharesAutho"/>
            <w:bookmarkStart w:id="57" w:name="xdx_908_eus-gaap--CommonStockSharesAutho"/>
            <w:bookmarkEnd w:id="56"/>
            <w:bookmarkEnd w:id="57"/>
            <w:r>
              <w:rPr/>
              <w:t xml:space="preserve">60,000,000 shares authorized as of March 31, 2025 and December 31, 2024; </w:t>
            </w:r>
            <w:bookmarkStart w:id="58" w:name="xdx_90F_eus-gaap--CommonStockSharesOutst"/>
            <w:bookmarkStart w:id="59" w:name="xdx_90A_eus-gaap--CommonStockSharesIssue"/>
            <w:bookmarkEnd w:id="58"/>
            <w:bookmarkEnd w:id="59"/>
            <w:r>
              <w:rPr/>
              <w:t xml:space="preserve">34,744,476 and </w:t>
            </w:r>
            <w:bookmarkStart w:id="60" w:name="xdx_907_eus-gaap--CommonStockSharesOutst"/>
            <w:bookmarkStart w:id="61" w:name="xdx_908_eus-gaap--CommonStockSharesIssue"/>
            <w:bookmarkEnd w:id="60"/>
            <w:bookmarkEnd w:id="61"/>
            <w:r>
              <w:rPr/>
              <w:t>19,399,513 shares issued and outstanding as of March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195</w:t>
            </w:r>
          </w:p>
        </w:tc>
        <w:tc>
          <w:tcPr>
            <w:tcW w:w="112" w:type="dxa"/>
            <w:tcBorders/>
            <w:shd w:fill="FFFFFF" w:val="clear"/>
            <w:vAlign w:val="center"/>
          </w:tcPr>
          <w:p>
            <w:pPr>
              <w:pStyle w:val="TableContents"/>
              <w:bidi w:val="0"/>
              <w:spacing w:before="0" w:after="283"/>
              <w:jc w:val="left"/>
              <w:rPr/>
            </w:pPr>
            <w:r>
              <w:rPr/>
              <w:t> </w:t>
            </w:r>
            <w:bookmarkStart w:id="62" w:name="xdx_40F_eus-gaap--AdditionalPaidInCapita"/>
            <w:bookmarkEnd w:id="62"/>
          </w:p>
        </w:tc>
      </w:tr>
      <w:tr>
        <w:trPr/>
        <w:tc>
          <w:tcPr>
            <w:tcW w:w="6803"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122,148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94,279</w:t>
            </w:r>
          </w:p>
        </w:tc>
        <w:tc>
          <w:tcPr>
            <w:tcW w:w="112" w:type="dxa"/>
            <w:tcBorders/>
            <w:shd w:fill="CCEEFF" w:val="clear"/>
            <w:vAlign w:val="center"/>
          </w:tcPr>
          <w:p>
            <w:pPr>
              <w:pStyle w:val="TableContents"/>
              <w:bidi w:val="0"/>
              <w:spacing w:before="0" w:after="283"/>
              <w:jc w:val="left"/>
              <w:rPr/>
            </w:pPr>
            <w:r>
              <w:rPr/>
              <w:t> </w:t>
            </w:r>
            <w:bookmarkStart w:id="63" w:name="xdx_40F_eus-gaap--RetainedEarningsAccumu"/>
            <w:bookmarkEnd w:id="63"/>
          </w:p>
        </w:tc>
      </w:tr>
      <w:tr>
        <w:trPr/>
        <w:tc>
          <w:tcPr>
            <w:tcW w:w="6803"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(93,545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(90,944</w:t>
            </w:r>
          </w:p>
        </w:tc>
        <w:tc>
          <w:tcPr>
            <w:tcW w:w="112" w:type="dxa"/>
            <w:tcBorders/>
            <w:shd w:fill="FFFFFF" w:val="clear"/>
            <w:vAlign w:val="center"/>
          </w:tcPr>
          <w:p>
            <w:pPr>
              <w:pStyle w:val="TableContents"/>
              <w:bidi w:val="0"/>
              <w:spacing w:before="0" w:after="283"/>
              <w:jc w:val="left"/>
              <w:rPr/>
            </w:pPr>
            <w:r>
              <w:rPr/>
              <w:t>)</w:t>
            </w:r>
            <w:bookmarkStart w:id="64" w:name="xdx_404_eus-gaap--StockholdersEquity_i02"/>
            <w:bookmarkEnd w:id="64"/>
          </w:p>
        </w:tc>
      </w:tr>
      <w:tr>
        <w:trPr/>
        <w:tc>
          <w:tcPr>
            <w:tcW w:w="6803" w:type="dxa"/>
            <w:tcBorders/>
            <w:shd w:fill="CCEEFF" w:val="clear"/>
            <w:vAlign w:val="center"/>
          </w:tcPr>
          <w:p>
            <w:pPr>
              <w:pStyle w:val="TableContents"/>
              <w:bidi w:val="0"/>
              <w:spacing w:before="0" w:after="283"/>
              <w:jc w:val="left"/>
              <w:rPr/>
            </w:pPr>
            <w:r>
              <w:rPr/>
              <w:t>Total shareholders’ equity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28,951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3,530</w:t>
            </w:r>
          </w:p>
        </w:tc>
        <w:tc>
          <w:tcPr>
            <w:tcW w:w="112" w:type="dxa"/>
            <w:tcBorders/>
            <w:shd w:fill="CCEEFF" w:val="clear"/>
            <w:vAlign w:val="center"/>
          </w:tcPr>
          <w:p>
            <w:pPr>
              <w:pStyle w:val="TableContents"/>
              <w:bidi w:val="0"/>
              <w:spacing w:before="0" w:after="283"/>
              <w:jc w:val="left"/>
              <w:rPr/>
            </w:pPr>
            <w:r>
              <w:rPr/>
              <w:t> </w:t>
            </w:r>
            <w:bookmarkStart w:id="65" w:name="xdx_408_eus-gaap--LiabilitiesAndStockhol"/>
            <w:bookmarkEnd w:id="65"/>
          </w:p>
        </w:tc>
      </w:tr>
      <w:tr>
        <w:trPr/>
        <w:tc>
          <w:tcPr>
            <w:tcW w:w="6803" w:type="dxa"/>
            <w:tcBorders/>
            <w:shd w:fill="FFFFFF" w:val="clear"/>
            <w:vAlign w:val="center"/>
          </w:tcPr>
          <w:p>
            <w:pPr>
              <w:pStyle w:val="TableContents"/>
              <w:bidi w:val="0"/>
              <w:spacing w:before="0" w:after="283"/>
              <w:jc w:val="left"/>
              <w:rPr/>
            </w:pPr>
            <w:r>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30,892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3" w:type="dxa"/>
            <w:tcBorders>
              <w:bottom w:val="double" w:sz="6" w:space="0" w:color="000000"/>
            </w:tcBorders>
            <w:shd w:fill="FFFFFF" w:val="clear"/>
            <w:tcMar>
              <w:bottom w:w="28" w:type="dxa"/>
            </w:tcMar>
            <w:vAlign w:val="center"/>
          </w:tcPr>
          <w:p>
            <w:pPr>
              <w:pStyle w:val="TableContents"/>
              <w:bidi w:val="0"/>
              <w:spacing w:before="0" w:after="283"/>
              <w:jc w:val="right"/>
              <w:rPr/>
            </w:pPr>
            <w:r>
              <w:rPr/>
              <w:t>6,031</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accompanying notes are an integral part of these unaudited condensed consolidated financial statements.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66" w:name="sk_002"/>
      <w:bookmarkEnd w:id="66"/>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Interim Condensed 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7" w:name="xdx_302_113_pn3n3_zGlTFpxoNox5"/>
      <w:bookmarkStart w:id="68" w:name="xdx_302_113_pn3n3_zGlTFpxoNox5"/>
      <w:bookmarkEnd w:id="68"/>
    </w:p>
    <w:tbl>
      <w:tblPr>
        <w:tblW w:w="10205" w:type="dxa"/>
        <w:jc w:val="left"/>
        <w:tblInd w:w="0" w:type="dxa"/>
        <w:tblLayout w:type="fixed"/>
        <w:tblCellMar>
          <w:top w:w="0" w:type="dxa"/>
          <w:left w:w="0" w:type="dxa"/>
          <w:bottom w:w="0" w:type="dxa"/>
          <w:right w:w="0" w:type="dxa"/>
        </w:tblCellMar>
      </w:tblPr>
      <w:tblGrid>
        <w:gridCol w:w="5948"/>
        <w:gridCol w:w="60"/>
        <w:gridCol w:w="216"/>
        <w:gridCol w:w="1706"/>
        <w:gridCol w:w="146"/>
        <w:gridCol w:w="93"/>
        <w:gridCol w:w="216"/>
        <w:gridCol w:w="1706"/>
        <w:gridCol w:w="114"/>
      </w:tblGrid>
      <w:tr>
        <w:trPr/>
        <w:tc>
          <w:tcPr>
            <w:tcW w:w="59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9" w:name="xdx_491_20250101__20250331_zxHq0zUH2nR5"/>
            <w:bookmarkEnd w:id="69"/>
          </w:p>
        </w:tc>
        <w:tc>
          <w:tcPr>
            <w:tcW w:w="19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6"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bookmarkStart w:id="70" w:name="xdx_490_20240101__20240331_zBycb2okcQpj"/>
            <w:bookmarkEnd w:id="70"/>
          </w:p>
        </w:tc>
        <w:tc>
          <w:tcPr>
            <w:tcW w:w="19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4" w:type="dxa"/>
            <w:tcBorders/>
            <w:vAlign w:val="center"/>
          </w:tcPr>
          <w:p>
            <w:pPr>
              <w:pStyle w:val="TableContents"/>
              <w:bidi w:val="0"/>
              <w:spacing w:before="0" w:after="283"/>
              <w:jc w:val="left"/>
              <w:rPr/>
            </w:pPr>
            <w:r>
              <w:rPr/>
              <w:t> </w:t>
            </w:r>
          </w:p>
        </w:tc>
      </w:tr>
      <w:tr>
        <w:trPr/>
        <w:tc>
          <w:tcPr>
            <w:tcW w:w="59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4" w:type="dxa"/>
            <w:tcBorders/>
            <w:vAlign w:val="center"/>
          </w:tcPr>
          <w:p>
            <w:pPr>
              <w:pStyle w:val="TableContents"/>
              <w:bidi w:val="0"/>
              <w:spacing w:before="0" w:after="283"/>
              <w:jc w:val="left"/>
              <w:rPr/>
            </w:pPr>
            <w:r>
              <w:rPr/>
              <w:t> </w:t>
            </w:r>
          </w:p>
        </w:tc>
      </w:tr>
      <w:tr>
        <w:trPr/>
        <w:tc>
          <w:tcPr>
            <w:tcW w:w="59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6"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9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4" w:type="dxa"/>
            <w:tcBorders/>
            <w:vAlign w:val="center"/>
          </w:tcPr>
          <w:p>
            <w:pPr>
              <w:pStyle w:val="TableContents"/>
              <w:bidi w:val="0"/>
              <w:spacing w:before="0" w:after="283"/>
              <w:jc w:val="left"/>
              <w:rPr/>
            </w:pPr>
            <w:r>
              <w:rPr/>
              <w:t> </w:t>
            </w:r>
          </w:p>
        </w:tc>
      </w:tr>
      <w:tr>
        <w:trPr/>
        <w:tc>
          <w:tcPr>
            <w:tcW w:w="59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83" w:type="dxa"/>
            <w:gridSpan w:val="6"/>
            <w:tcBorders/>
            <w:vAlign w:val="center"/>
          </w:tcPr>
          <w:p>
            <w:pPr>
              <w:pStyle w:val="TableContents"/>
              <w:bidi w:val="0"/>
              <w:spacing w:before="0" w:after="283"/>
              <w:jc w:val="center"/>
              <w:rPr/>
            </w:pPr>
            <w:r>
              <w:rPr/>
              <w:t>Unaudited</w:t>
            </w:r>
          </w:p>
        </w:tc>
        <w:tc>
          <w:tcPr>
            <w:tcW w:w="114" w:type="dxa"/>
            <w:tcBorders/>
            <w:vAlign w:val="center"/>
          </w:tcPr>
          <w:p>
            <w:pPr>
              <w:pStyle w:val="TableContents"/>
              <w:bidi w:val="0"/>
              <w:spacing w:before="0" w:after="283"/>
              <w:jc w:val="left"/>
              <w:rPr/>
            </w:pPr>
            <w:r>
              <w:rPr/>
              <w:t> </w:t>
            </w:r>
            <w:bookmarkStart w:id="71" w:name="xdx_407_eus-gaap--ResearchAndDevelopment"/>
            <w:bookmarkEnd w:id="71"/>
          </w:p>
        </w:tc>
      </w:tr>
      <w:tr>
        <w:trPr/>
        <w:tc>
          <w:tcPr>
            <w:tcW w:w="5948"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706" w:type="dxa"/>
            <w:tcBorders/>
            <w:shd w:fill="CCEEFF" w:val="clear"/>
            <w:vAlign w:val="center"/>
          </w:tcPr>
          <w:p>
            <w:pPr>
              <w:pStyle w:val="TableContents"/>
              <w:bidi w:val="0"/>
              <w:spacing w:before="0" w:after="283"/>
              <w:jc w:val="right"/>
              <w:rPr/>
            </w:pPr>
            <w:r>
              <w:rPr/>
              <w:t>(1,459</w:t>
            </w:r>
          </w:p>
        </w:tc>
        <w:tc>
          <w:tcPr>
            <w:tcW w:w="146"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706" w:type="dxa"/>
            <w:tcBorders/>
            <w:shd w:fill="CCEEFF" w:val="clear"/>
            <w:vAlign w:val="center"/>
          </w:tcPr>
          <w:p>
            <w:pPr>
              <w:pStyle w:val="TableContents"/>
              <w:bidi w:val="0"/>
              <w:spacing w:before="0" w:after="283"/>
              <w:jc w:val="right"/>
              <w:rPr/>
            </w:pPr>
            <w:r>
              <w:rPr/>
              <w:t>(1,169</w:t>
            </w:r>
          </w:p>
        </w:tc>
        <w:tc>
          <w:tcPr>
            <w:tcW w:w="114" w:type="dxa"/>
            <w:tcBorders/>
            <w:shd w:fill="CCEEFF" w:val="clear"/>
            <w:vAlign w:val="center"/>
          </w:tcPr>
          <w:p>
            <w:pPr>
              <w:pStyle w:val="TableContents"/>
              <w:bidi w:val="0"/>
              <w:spacing w:before="0" w:after="283"/>
              <w:jc w:val="left"/>
              <w:rPr/>
            </w:pPr>
            <w:r>
              <w:rPr/>
              <w:t>)</w:t>
            </w:r>
            <w:bookmarkStart w:id="72" w:name="xdx_408_eus-gaap--GeneralAndAdministrati"/>
            <w:bookmarkEnd w:id="72"/>
          </w:p>
        </w:tc>
      </w:tr>
      <w:tr>
        <w:trPr/>
        <w:tc>
          <w:tcPr>
            <w:tcW w:w="5948"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6" w:type="dxa"/>
            <w:tcBorders>
              <w:bottom w:val="single" w:sz="8" w:space="0" w:color="000000"/>
            </w:tcBorders>
            <w:shd w:fill="FFFFFF" w:val="clear"/>
            <w:tcMar>
              <w:bottom w:w="28" w:type="dxa"/>
            </w:tcMar>
            <w:vAlign w:val="center"/>
          </w:tcPr>
          <w:p>
            <w:pPr>
              <w:pStyle w:val="TableContents"/>
              <w:bidi w:val="0"/>
              <w:spacing w:before="0" w:after="283"/>
              <w:jc w:val="right"/>
              <w:rPr/>
            </w:pPr>
            <w:r>
              <w:rPr/>
              <w:t>(1,562</w:t>
            </w:r>
          </w:p>
        </w:tc>
        <w:tc>
          <w:tcPr>
            <w:tcW w:w="146"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6" w:type="dxa"/>
            <w:tcBorders>
              <w:bottom w:val="single" w:sz="8" w:space="0" w:color="000000"/>
            </w:tcBorders>
            <w:shd w:fill="FFFFFF" w:val="clear"/>
            <w:tcMar>
              <w:bottom w:w="28" w:type="dxa"/>
            </w:tcMar>
            <w:vAlign w:val="center"/>
          </w:tcPr>
          <w:p>
            <w:pPr>
              <w:pStyle w:val="TableContents"/>
              <w:bidi w:val="0"/>
              <w:spacing w:before="0" w:after="283"/>
              <w:jc w:val="right"/>
              <w:rPr/>
            </w:pPr>
            <w:r>
              <w:rPr/>
              <w:t>(1,215</w:t>
            </w:r>
          </w:p>
        </w:tc>
        <w:tc>
          <w:tcPr>
            <w:tcW w:w="114" w:type="dxa"/>
            <w:tcBorders/>
            <w:shd w:fill="FFFFFF" w:val="clear"/>
            <w:vAlign w:val="center"/>
          </w:tcPr>
          <w:p>
            <w:pPr>
              <w:pStyle w:val="TableContents"/>
              <w:bidi w:val="0"/>
              <w:spacing w:before="0" w:after="283"/>
              <w:jc w:val="left"/>
              <w:rPr/>
            </w:pPr>
            <w:r>
              <w:rPr/>
              <w:t>)</w:t>
            </w:r>
            <w:bookmarkStart w:id="73" w:name="xdx_40F_eus-gaap--OperatingIncomeLoss_iT"/>
            <w:bookmarkEnd w:id="73"/>
          </w:p>
        </w:tc>
      </w:tr>
      <w:tr>
        <w:trPr/>
        <w:tc>
          <w:tcPr>
            <w:tcW w:w="5948"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706" w:type="dxa"/>
            <w:tcBorders/>
            <w:shd w:fill="CCEEFF" w:val="clear"/>
            <w:vAlign w:val="center"/>
          </w:tcPr>
          <w:p>
            <w:pPr>
              <w:pStyle w:val="TableContents"/>
              <w:bidi w:val="0"/>
              <w:spacing w:before="0" w:after="283"/>
              <w:jc w:val="right"/>
              <w:rPr/>
            </w:pPr>
            <w:r>
              <w:rPr/>
              <w:t>(3,021</w:t>
            </w:r>
          </w:p>
        </w:tc>
        <w:tc>
          <w:tcPr>
            <w:tcW w:w="146"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706" w:type="dxa"/>
            <w:tcBorders/>
            <w:shd w:fill="CCEEFF" w:val="clear"/>
            <w:vAlign w:val="center"/>
          </w:tcPr>
          <w:p>
            <w:pPr>
              <w:pStyle w:val="TableContents"/>
              <w:bidi w:val="0"/>
              <w:spacing w:before="0" w:after="283"/>
              <w:jc w:val="right"/>
              <w:rPr/>
            </w:pPr>
            <w:r>
              <w:rPr/>
              <w:t>(2,384</w:t>
            </w:r>
          </w:p>
        </w:tc>
        <w:tc>
          <w:tcPr>
            <w:tcW w:w="114" w:type="dxa"/>
            <w:tcBorders/>
            <w:shd w:fill="CCEEFF" w:val="clear"/>
            <w:vAlign w:val="center"/>
          </w:tcPr>
          <w:p>
            <w:pPr>
              <w:pStyle w:val="TableContents"/>
              <w:bidi w:val="0"/>
              <w:spacing w:before="0" w:after="283"/>
              <w:jc w:val="left"/>
              <w:rPr/>
            </w:pPr>
            <w:r>
              <w:rPr/>
              <w:t>)</w:t>
            </w:r>
            <w:bookmarkStart w:id="74" w:name="xdx_403_eus-gaap--OtherNonoperatingIncom"/>
            <w:bookmarkEnd w:id="74"/>
          </w:p>
        </w:tc>
      </w:tr>
      <w:tr>
        <w:trPr/>
        <w:tc>
          <w:tcPr>
            <w:tcW w:w="5948" w:type="dxa"/>
            <w:tcBorders/>
            <w:shd w:fill="FFFFFF" w:val="clear"/>
            <w:vAlign w:val="center"/>
          </w:tcPr>
          <w:p>
            <w:pPr>
              <w:pStyle w:val="TableContents"/>
              <w:bidi w:val="0"/>
              <w:spacing w:before="0" w:after="283"/>
              <w:jc w:val="left"/>
              <w:rPr/>
            </w:pPr>
            <w:r>
              <w:rPr/>
              <w:t>Other income (see Note 3G)</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706" w:type="dxa"/>
            <w:tcBorders/>
            <w:shd w:fill="FFFFFF" w:val="clear"/>
            <w:vAlign w:val="center"/>
          </w:tcPr>
          <w:p>
            <w:pPr>
              <w:pStyle w:val="TableContents"/>
              <w:bidi w:val="0"/>
              <w:spacing w:before="0" w:after="283"/>
              <w:jc w:val="right"/>
              <w:rPr/>
            </w:pPr>
            <w:r>
              <w:rPr/>
              <w:t>316</w:t>
            </w:r>
          </w:p>
        </w:tc>
        <w:tc>
          <w:tcPr>
            <w:tcW w:w="146"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706"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75" w:name="xdx_40C_eus-gaap--InterestIncomeExpenseN"/>
            <w:bookmarkEnd w:id="75"/>
          </w:p>
        </w:tc>
      </w:tr>
      <w:tr>
        <w:trPr/>
        <w:tc>
          <w:tcPr>
            <w:tcW w:w="5948" w:type="dxa"/>
            <w:tcBorders/>
            <w:shd w:fill="CCEEFF" w:val="clear"/>
            <w:vAlign w:val="center"/>
          </w:tcPr>
          <w:p>
            <w:pPr>
              <w:pStyle w:val="TableContents"/>
              <w:bidi w:val="0"/>
              <w:spacing w:before="0" w:after="283"/>
              <w:jc w:val="left"/>
              <w:rPr/>
            </w:pPr>
            <w:r>
              <w:rPr/>
              <w:t>Financing income, net</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6" w:type="dxa"/>
            <w:tcBorders>
              <w:bottom w:val="single" w:sz="8" w:space="0" w:color="000000"/>
            </w:tcBorders>
            <w:shd w:fill="CCEEFF" w:val="clear"/>
            <w:tcMar>
              <w:bottom w:w="28" w:type="dxa"/>
            </w:tcMar>
            <w:vAlign w:val="center"/>
          </w:tcPr>
          <w:p>
            <w:pPr>
              <w:pStyle w:val="TableContents"/>
              <w:bidi w:val="0"/>
              <w:spacing w:before="0" w:after="283"/>
              <w:jc w:val="right"/>
              <w:rPr/>
            </w:pPr>
            <w:r>
              <w:rPr/>
              <w:t>104</w:t>
            </w:r>
          </w:p>
        </w:tc>
        <w:tc>
          <w:tcPr>
            <w:tcW w:w="146"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6"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114" w:type="dxa"/>
            <w:tcBorders/>
            <w:shd w:fill="CCEEFF" w:val="clear"/>
            <w:vAlign w:val="center"/>
          </w:tcPr>
          <w:p>
            <w:pPr>
              <w:pStyle w:val="TableContents"/>
              <w:bidi w:val="0"/>
              <w:spacing w:before="0" w:after="283"/>
              <w:jc w:val="left"/>
              <w:rPr/>
            </w:pPr>
            <w:r>
              <w:rPr/>
              <w:t> </w:t>
            </w:r>
            <w:bookmarkStart w:id="76" w:name="xdx_405_eus-gaap--NetIncomeLoss_iT_mtNIL"/>
            <w:bookmarkEnd w:id="76"/>
          </w:p>
        </w:tc>
      </w:tr>
      <w:tr>
        <w:trPr/>
        <w:tc>
          <w:tcPr>
            <w:tcW w:w="594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06" w:type="dxa"/>
            <w:tcBorders>
              <w:bottom w:val="double" w:sz="6" w:space="0" w:color="000000"/>
            </w:tcBorders>
            <w:shd w:fill="FFFFFF" w:val="clear"/>
            <w:tcMar>
              <w:bottom w:w="28" w:type="dxa"/>
            </w:tcMar>
            <w:vAlign w:val="center"/>
          </w:tcPr>
          <w:p>
            <w:pPr>
              <w:pStyle w:val="TableContents"/>
              <w:bidi w:val="0"/>
              <w:spacing w:before="0" w:after="283"/>
              <w:jc w:val="right"/>
              <w:rPr/>
            </w:pPr>
            <w:r>
              <w:rPr/>
              <w:t>(2,601</w:t>
            </w:r>
          </w:p>
        </w:tc>
        <w:tc>
          <w:tcPr>
            <w:tcW w:w="146"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06" w:type="dxa"/>
            <w:tcBorders>
              <w:bottom w:val="double" w:sz="6" w:space="0" w:color="000000"/>
            </w:tcBorders>
            <w:shd w:fill="FFFFFF" w:val="clear"/>
            <w:tcMar>
              <w:bottom w:w="28" w:type="dxa"/>
            </w:tcMar>
            <w:vAlign w:val="center"/>
          </w:tcPr>
          <w:p>
            <w:pPr>
              <w:pStyle w:val="TableContents"/>
              <w:bidi w:val="0"/>
              <w:spacing w:before="0" w:after="283"/>
              <w:jc w:val="right"/>
              <w:rPr/>
            </w:pPr>
            <w:r>
              <w:rPr/>
              <w:t>(2,371</w:t>
            </w:r>
          </w:p>
        </w:tc>
        <w:tc>
          <w:tcPr>
            <w:tcW w:w="114" w:type="dxa"/>
            <w:tcBorders/>
            <w:shd w:fill="FFFFFF" w:val="clear"/>
            <w:vAlign w:val="center"/>
          </w:tcPr>
          <w:p>
            <w:pPr>
              <w:pStyle w:val="TableContents"/>
              <w:bidi w:val="0"/>
              <w:spacing w:before="0" w:after="283"/>
              <w:jc w:val="left"/>
              <w:rPr/>
            </w:pPr>
            <w:r>
              <w:rPr/>
              <w:t>)</w:t>
            </w:r>
          </w:p>
        </w:tc>
      </w:tr>
      <w:tr>
        <w:trPr/>
        <w:tc>
          <w:tcPr>
            <w:tcW w:w="59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70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706"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5948"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0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7" w:name="xdx_90F_eus-gaap--EarningsPerShareDilute"/>
            <w:bookmarkStart w:id="78" w:name="xdx_90E_eus-gaap--EarningsPerShareBasic_"/>
            <w:bookmarkEnd w:id="77"/>
            <w:bookmarkEnd w:id="78"/>
            <w:r>
              <w:rPr/>
              <w:t>(0.08</w:t>
            </w:r>
          </w:p>
        </w:tc>
        <w:tc>
          <w:tcPr>
            <w:tcW w:w="146"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0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9" w:name="xdx_906_eus-gaap--EarningsPerShareDilute"/>
            <w:bookmarkStart w:id="80" w:name="xdx_900_eus-gaap--EarningsPerShareBasic_"/>
            <w:bookmarkEnd w:id="79"/>
            <w:bookmarkEnd w:id="80"/>
            <w:r>
              <w:rPr/>
              <w:t>(0.17</w:t>
            </w:r>
          </w:p>
        </w:tc>
        <w:tc>
          <w:tcPr>
            <w:tcW w:w="114" w:type="dxa"/>
            <w:tcBorders/>
            <w:shd w:fill="FFFFFF" w:val="clear"/>
            <w:vAlign w:val="center"/>
          </w:tcPr>
          <w:p>
            <w:pPr>
              <w:pStyle w:val="TableContents"/>
              <w:bidi w:val="0"/>
              <w:spacing w:before="0" w:after="283"/>
              <w:jc w:val="left"/>
              <w:rPr/>
            </w:pPr>
            <w:r>
              <w:rPr/>
              <w:t>)</w:t>
            </w:r>
          </w:p>
        </w:tc>
      </w:tr>
      <w:tr>
        <w:trPr/>
        <w:tc>
          <w:tcPr>
            <w:tcW w:w="5948" w:type="dxa"/>
            <w:tcBorders/>
            <w:shd w:fill="CCEEFF" w:val="clear"/>
            <w:vAlign w:val="center"/>
          </w:tcPr>
          <w:p>
            <w:pPr>
              <w:pStyle w:val="TableContents"/>
              <w:bidi w:val="0"/>
              <w:spacing w:before="0" w:after="283"/>
              <w:jc w:val="left"/>
              <w:rPr/>
            </w:pPr>
            <w:r>
              <w:rPr/>
              <w:t>Basic and diluted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0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81" w:name="xdx_901_eus-gaap--WeightedAverageNumberO"/>
            <w:bookmarkStart w:id="82" w:name="xdx_906_eus-gaap--WeightedAverageNumberO"/>
            <w:bookmarkEnd w:id="81"/>
            <w:bookmarkEnd w:id="82"/>
            <w:r>
              <w:rPr/>
              <w:t>31,085,606</w:t>
            </w:r>
          </w:p>
        </w:tc>
        <w:tc>
          <w:tcPr>
            <w:tcW w:w="146"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0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83" w:name="xdx_90A_eus-gaap--WeightedAverageNumberO"/>
            <w:bookmarkStart w:id="84" w:name="xdx_90E_eus-gaap--WeightedAverageNumberO"/>
            <w:bookmarkEnd w:id="83"/>
            <w:bookmarkEnd w:id="84"/>
            <w:r>
              <w:rPr/>
              <w:t>14,055,973</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85" w:name="sk_003"/>
      <w:bookmarkEnd w:id="85"/>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Interim Condensed Consolidated Statements of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6" w:name="xdx_301_114_pn3n3_zBbq3d3fpTZb"/>
      <w:bookmarkStart w:id="87" w:name="xdx_301_114_pn3n3_zBbq3d3fpTZb"/>
      <w:bookmarkEnd w:id="87"/>
    </w:p>
    <w:tbl>
      <w:tblPr>
        <w:tblW w:w="10205" w:type="dxa"/>
        <w:jc w:val="left"/>
        <w:tblInd w:w="0" w:type="dxa"/>
        <w:tblLayout w:type="fixed"/>
        <w:tblCellMar>
          <w:top w:w="0" w:type="dxa"/>
          <w:left w:w="0" w:type="dxa"/>
          <w:bottom w:w="0" w:type="dxa"/>
          <w:right w:w="0" w:type="dxa"/>
        </w:tblCellMar>
      </w:tblPr>
      <w:tblGrid>
        <w:gridCol w:w="3199"/>
        <w:gridCol w:w="60"/>
        <w:gridCol w:w="60"/>
        <w:gridCol w:w="1100"/>
        <w:gridCol w:w="60"/>
        <w:gridCol w:w="60"/>
        <w:gridCol w:w="231"/>
        <w:gridCol w:w="629"/>
        <w:gridCol w:w="60"/>
        <w:gridCol w:w="60"/>
        <w:gridCol w:w="163"/>
        <w:gridCol w:w="937"/>
        <w:gridCol w:w="60"/>
        <w:gridCol w:w="60"/>
        <w:gridCol w:w="214"/>
        <w:gridCol w:w="1156"/>
        <w:gridCol w:w="95"/>
        <w:gridCol w:w="60"/>
        <w:gridCol w:w="148"/>
        <w:gridCol w:w="1681"/>
        <w:gridCol w:w="112"/>
      </w:tblGrid>
      <w:tr>
        <w:trPr/>
        <w:tc>
          <w:tcPr>
            <w:tcW w:w="31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8" w:name="xdx_4B4_us-gaap--StatementEquityComponen"/>
            <w:bookmarkEnd w:id="88"/>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 w:name="xdx_4B5_us-gaap--StatementEquityComponen"/>
            <w:bookmarkEnd w:id="89"/>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0" w:name="xdx_4BE_us-gaap--StatementEquityComponen"/>
            <w:bookmarkEnd w:id="90"/>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1" w:name="xdx_4B8_zWg4x8yOXPo2"/>
            <w:bookmarkEnd w:id="91"/>
          </w:p>
        </w:tc>
        <w:tc>
          <w:tcPr>
            <w:tcW w:w="18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2" w:type="dxa"/>
            <w:tcBorders/>
            <w:vAlign w:val="center"/>
          </w:tcPr>
          <w:p>
            <w:pPr>
              <w:pStyle w:val="TableContents"/>
              <w:bidi w:val="0"/>
              <w:spacing w:before="0" w:after="283"/>
              <w:jc w:val="left"/>
              <w:rPr/>
            </w:pPr>
            <w:r>
              <w:rPr/>
              <w:t> </w:t>
            </w:r>
          </w:p>
        </w:tc>
      </w:tr>
      <w:tr>
        <w:trPr/>
        <w:tc>
          <w:tcPr>
            <w:tcW w:w="31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9" w:type="dxa"/>
            <w:gridSpan w:val="2"/>
            <w:tcBorders/>
            <w:vAlign w:val="center"/>
          </w:tcPr>
          <w:p>
            <w:pPr>
              <w:pStyle w:val="TableContents"/>
              <w:bidi w:val="0"/>
              <w:spacing w:before="0" w:after="283"/>
              <w:jc w:val="center"/>
              <w:rPr>
                <w:b/>
              </w:rPr>
            </w:pPr>
            <w:r>
              <w:rPr>
                <w:b/>
              </w:rPr>
              <w:t>Total Shareholders’</w:t>
            </w:r>
          </w:p>
        </w:tc>
        <w:tc>
          <w:tcPr>
            <w:tcW w:w="112" w:type="dxa"/>
            <w:tcBorders/>
            <w:vAlign w:val="center"/>
          </w:tcPr>
          <w:p>
            <w:pPr>
              <w:pStyle w:val="TableContents"/>
              <w:bidi w:val="0"/>
              <w:spacing w:before="0" w:after="283"/>
              <w:jc w:val="left"/>
              <w:rPr/>
            </w:pPr>
            <w:r>
              <w:rPr/>
              <w:t> </w:t>
            </w:r>
          </w:p>
        </w:tc>
      </w:tr>
      <w:tr>
        <w:trPr/>
        <w:tc>
          <w:tcPr>
            <w:tcW w:w="31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2" w:type="dxa"/>
            <w:tcBorders/>
            <w:vAlign w:val="center"/>
          </w:tcPr>
          <w:p>
            <w:pPr>
              <w:pStyle w:val="TableContents"/>
              <w:bidi w:val="0"/>
              <w:spacing w:before="0" w:after="283"/>
              <w:jc w:val="left"/>
              <w:rPr/>
            </w:pPr>
            <w:r>
              <w:rPr/>
              <w:t> </w:t>
            </w:r>
          </w:p>
        </w:tc>
      </w:tr>
      <w:tr>
        <w:trPr/>
        <w:tc>
          <w:tcPr>
            <w:tcW w:w="31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9"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bookmarkStart w:id="92" w:name="xdx_43B_c20240101__20240331_eus-gaap--St"/>
            <w:bookmarkEnd w:id="92"/>
          </w:p>
        </w:tc>
      </w:tr>
      <w:tr>
        <w:trPr/>
        <w:tc>
          <w:tcPr>
            <w:tcW w:w="3199" w:type="dxa"/>
            <w:tcBorders/>
            <w:shd w:fill="CCEEFF" w:val="clear"/>
            <w:vAlign w:val="center"/>
          </w:tcPr>
          <w:p>
            <w:pPr>
              <w:pStyle w:val="TableContents"/>
              <w:bidi w:val="0"/>
              <w:spacing w:before="0" w:after="283"/>
              <w:jc w:val="left"/>
              <w:rPr/>
            </w:pPr>
            <w:r>
              <w:rPr/>
              <w:t>Balances, December 31, 2023 (Audited)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3" w:name="xdx_98C_eus-gaap--SharesOutstanding_iS_p"/>
            <w:bookmarkEnd w:id="93"/>
          </w:p>
        </w:tc>
        <w:tc>
          <w:tcPr>
            <w:tcW w:w="1100" w:type="dxa"/>
            <w:tcBorders/>
            <w:shd w:fill="CCEEFF" w:val="clear"/>
            <w:vAlign w:val="center"/>
          </w:tcPr>
          <w:p>
            <w:pPr>
              <w:pStyle w:val="TableContents"/>
              <w:bidi w:val="0"/>
              <w:spacing w:before="0" w:after="283"/>
              <w:jc w:val="right"/>
              <w:rPr/>
            </w:pPr>
            <w:r>
              <w:rPr/>
              <w:t>11,707,317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83,884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(79,501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681" w:type="dxa"/>
            <w:tcBorders/>
            <w:shd w:fill="CCEEFF" w:val="clear"/>
            <w:vAlign w:val="center"/>
          </w:tcPr>
          <w:p>
            <w:pPr>
              <w:pStyle w:val="TableContents"/>
              <w:bidi w:val="0"/>
              <w:spacing w:before="0" w:after="283"/>
              <w:jc w:val="right"/>
              <w:rPr/>
            </w:pPr>
            <w:r>
              <w:rPr/>
              <w:t>                 </w:t>
            </w:r>
            <w:r>
              <w:rPr/>
              <w:t>4,501</w:t>
            </w:r>
          </w:p>
        </w:tc>
        <w:tc>
          <w:tcPr>
            <w:tcW w:w="112" w:type="dxa"/>
            <w:tcBorders/>
            <w:shd w:fill="CCEEFF" w:val="clear"/>
            <w:vAlign w:val="center"/>
          </w:tcPr>
          <w:p>
            <w:pPr>
              <w:pStyle w:val="TableContents"/>
              <w:bidi w:val="0"/>
              <w:spacing w:before="0" w:after="283"/>
              <w:jc w:val="left"/>
              <w:rPr/>
            </w:pPr>
            <w:r>
              <w:rPr/>
              <w:t> </w:t>
            </w:r>
            <w:bookmarkStart w:id="94" w:name="xdx_405_eus-gaap--StockIssuedDuringPerio"/>
            <w:bookmarkEnd w:id="94"/>
          </w:p>
        </w:tc>
      </w:tr>
      <w:tr>
        <w:trPr/>
        <w:tc>
          <w:tcPr>
            <w:tcW w:w="3199" w:type="dxa"/>
            <w:tcBorders/>
            <w:shd w:fill="FFFFFF" w:val="clear"/>
            <w:vAlign w:val="center"/>
          </w:tcPr>
          <w:p>
            <w:pPr>
              <w:pStyle w:val="TableContents"/>
              <w:bidi w:val="0"/>
              <w:spacing w:before="0" w:after="283"/>
              <w:jc w:val="left"/>
              <w:rPr/>
            </w:pPr>
            <w:r>
              <w:rPr/>
              <w:t xml:space="preserve">Issuance of common stock and warrants net of issuance costs </w:t>
            </w:r>
            <w:bookmarkStart w:id="95" w:name="xdx_F46_zWjpzPaXthri"/>
            <w:bookmarkEnd w:id="95"/>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6" w:name="xdx_984_eus-gaap--StockIssuedDuringPerio"/>
            <w:bookmarkEnd w:id="96"/>
          </w:p>
        </w:tc>
        <w:tc>
          <w:tcPr>
            <w:tcW w:w="1100" w:type="dxa"/>
            <w:tcBorders/>
            <w:shd w:fill="FFFFFF" w:val="clear"/>
            <w:vAlign w:val="center"/>
          </w:tcPr>
          <w:p>
            <w:pPr>
              <w:pStyle w:val="TableContents"/>
              <w:bidi w:val="0"/>
              <w:spacing w:before="0" w:after="283"/>
              <w:jc w:val="right"/>
              <w:rPr/>
            </w:pPr>
            <w:r>
              <w:rPr/>
              <w:t>1,685,682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2,397</w:t>
            </w:r>
          </w:p>
        </w:tc>
        <w:tc>
          <w:tcPr>
            <w:tcW w:w="112" w:type="dxa"/>
            <w:tcBorders/>
            <w:shd w:fill="FFFFFF" w:val="clear"/>
            <w:vAlign w:val="center"/>
          </w:tcPr>
          <w:p>
            <w:pPr>
              <w:pStyle w:val="TableContents"/>
              <w:bidi w:val="0"/>
              <w:spacing w:before="0" w:after="283"/>
              <w:jc w:val="left"/>
              <w:rPr/>
            </w:pPr>
            <w:r>
              <w:rPr/>
              <w:t> </w:t>
            </w:r>
            <w:bookmarkStart w:id="97" w:name="xdx_402_ecustom--StockIssuedDuringPeriod"/>
            <w:bookmarkEnd w:id="97"/>
          </w:p>
        </w:tc>
      </w:tr>
      <w:tr>
        <w:trPr/>
        <w:tc>
          <w:tcPr>
            <w:tcW w:w="3199" w:type="dxa"/>
            <w:tcBorders/>
            <w:shd w:fill="CCEEFF" w:val="clear"/>
            <w:vAlign w:val="center"/>
          </w:tcPr>
          <w:p>
            <w:pPr>
              <w:pStyle w:val="TableContents"/>
              <w:bidi w:val="0"/>
              <w:spacing w:before="0" w:after="283"/>
              <w:jc w:val="left"/>
              <w:rPr/>
            </w:pPr>
            <w:r>
              <w:rPr/>
              <w:t xml:space="preserve">Issuance of common stock relating to settlement agreement </w:t>
            </w:r>
            <w:bookmarkStart w:id="98" w:name="xdx_F47_z5xxy2J3sPjh"/>
            <w:bookmarkEnd w:id="98"/>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9" w:name="xdx_981_ecustom--StockIssuedDuringPeriod"/>
            <w:bookmarkEnd w:id="99"/>
          </w:p>
        </w:tc>
        <w:tc>
          <w:tcPr>
            <w:tcW w:w="1100" w:type="dxa"/>
            <w:tcBorders/>
            <w:shd w:fill="CCEEFF" w:val="clear"/>
            <w:vAlign w:val="center"/>
          </w:tcPr>
          <w:p>
            <w:pPr>
              <w:pStyle w:val="TableContents"/>
              <w:bidi w:val="0"/>
              <w:spacing w:before="0" w:after="283"/>
              <w:jc w:val="right"/>
              <w:rPr/>
            </w:pPr>
            <w:r>
              <w:rPr/>
              <w:t>1,005,965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1,111</w:t>
            </w:r>
          </w:p>
        </w:tc>
        <w:tc>
          <w:tcPr>
            <w:tcW w:w="112" w:type="dxa"/>
            <w:tcBorders/>
            <w:shd w:fill="CCEEFF" w:val="clear"/>
            <w:vAlign w:val="center"/>
          </w:tcPr>
          <w:p>
            <w:pPr>
              <w:pStyle w:val="TableContents"/>
              <w:bidi w:val="0"/>
              <w:spacing w:before="0" w:after="283"/>
              <w:jc w:val="left"/>
              <w:rPr/>
            </w:pPr>
            <w:r>
              <w:rPr/>
              <w:t> </w:t>
            </w:r>
            <w:bookmarkStart w:id="100" w:name="xdx_40B_eus-gaap--AdjustmentsToAdditiona"/>
            <w:bookmarkEnd w:id="100"/>
          </w:p>
        </w:tc>
      </w:tr>
      <w:tr>
        <w:trPr/>
        <w:tc>
          <w:tcPr>
            <w:tcW w:w="3199"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529</w:t>
            </w:r>
          </w:p>
        </w:tc>
        <w:tc>
          <w:tcPr>
            <w:tcW w:w="112" w:type="dxa"/>
            <w:tcBorders/>
            <w:shd w:fill="FFFFFF" w:val="clear"/>
            <w:vAlign w:val="center"/>
          </w:tcPr>
          <w:p>
            <w:pPr>
              <w:pStyle w:val="TableContents"/>
              <w:bidi w:val="0"/>
              <w:spacing w:before="0" w:after="283"/>
              <w:jc w:val="left"/>
              <w:rPr/>
            </w:pPr>
            <w:r>
              <w:rPr/>
              <w:t> </w:t>
            </w:r>
            <w:bookmarkStart w:id="101" w:name="xdx_409_eus-gaap--NetIncomeLoss_zdcfIp2o"/>
            <w:bookmarkEnd w:id="101"/>
          </w:p>
        </w:tc>
      </w:tr>
      <w:tr>
        <w:trPr/>
        <w:tc>
          <w:tcPr>
            <w:tcW w:w="3199"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(2,371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1" w:type="dxa"/>
            <w:tcBorders>
              <w:bottom w:val="single" w:sz="8" w:space="0" w:color="000000"/>
            </w:tcBorders>
            <w:shd w:fill="CCEEFF" w:val="clear"/>
            <w:tcMar>
              <w:bottom w:w="28" w:type="dxa"/>
            </w:tcMar>
            <w:vAlign w:val="center"/>
          </w:tcPr>
          <w:p>
            <w:pPr>
              <w:pStyle w:val="TableContents"/>
              <w:bidi w:val="0"/>
              <w:spacing w:before="0" w:after="283"/>
              <w:jc w:val="right"/>
              <w:rPr/>
            </w:pPr>
            <w:r>
              <w:rPr/>
              <w:t>(2,371</w:t>
            </w:r>
          </w:p>
        </w:tc>
        <w:tc>
          <w:tcPr>
            <w:tcW w:w="112" w:type="dxa"/>
            <w:tcBorders/>
            <w:shd w:fill="CCEEFF" w:val="clear"/>
            <w:vAlign w:val="center"/>
          </w:tcPr>
          <w:p>
            <w:pPr>
              <w:pStyle w:val="TableContents"/>
              <w:bidi w:val="0"/>
              <w:spacing w:before="0" w:after="283"/>
              <w:jc w:val="left"/>
              <w:rPr/>
            </w:pPr>
            <w:r>
              <w:rPr/>
              <w:t>)</w:t>
            </w:r>
            <w:bookmarkStart w:id="102" w:name="xdx_438_c20240101__20240331_eus-gaap--St"/>
            <w:bookmarkEnd w:id="102"/>
          </w:p>
        </w:tc>
      </w:tr>
      <w:tr>
        <w:trPr/>
        <w:tc>
          <w:tcPr>
            <w:tcW w:w="3199" w:type="dxa"/>
            <w:tcBorders/>
            <w:shd w:fill="FFFFFF" w:val="clear"/>
            <w:vAlign w:val="center"/>
          </w:tcPr>
          <w:p>
            <w:pPr>
              <w:pStyle w:val="TableContents"/>
              <w:bidi w:val="0"/>
              <w:spacing w:before="0" w:after="283"/>
              <w:jc w:val="left"/>
              <w:rPr/>
            </w:pPr>
            <w:r>
              <w:rPr/>
              <w:t>Balances, March 31, 2024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3" w:name="xdx_981_eus-gaap--SharesOutstanding_iE_p"/>
            <w:bookmarkEnd w:id="103"/>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14,398,964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87,894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(81,872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81" w:type="dxa"/>
            <w:tcBorders>
              <w:bottom w:val="double" w:sz="6" w:space="0" w:color="000000"/>
            </w:tcBorders>
            <w:shd w:fill="FFFFFF" w:val="clear"/>
            <w:tcMar>
              <w:bottom w:w="28" w:type="dxa"/>
            </w:tcMar>
            <w:vAlign w:val="center"/>
          </w:tcPr>
          <w:p>
            <w:pPr>
              <w:pStyle w:val="TableContents"/>
              <w:bidi w:val="0"/>
              <w:spacing w:before="0" w:after="283"/>
              <w:jc w:val="right"/>
              <w:rPr/>
            </w:pPr>
            <w:r>
              <w:rPr/>
              <w:t>6,167</w:t>
            </w:r>
          </w:p>
        </w:tc>
        <w:tc>
          <w:tcPr>
            <w:tcW w:w="112" w:type="dxa"/>
            <w:tcBorders/>
            <w:shd w:fill="FFFFFF" w:val="clear"/>
            <w:vAlign w:val="center"/>
          </w:tcPr>
          <w:p>
            <w:pPr>
              <w:pStyle w:val="TableContents"/>
              <w:bidi w:val="0"/>
              <w:spacing w:before="0" w:after="283"/>
              <w:jc w:val="left"/>
              <w:rPr/>
            </w:pPr>
            <w:r>
              <w:rPr/>
              <w:t> </w:t>
            </w:r>
          </w:p>
        </w:tc>
      </w:tr>
      <w:tr>
        <w:trPr/>
        <w:tc>
          <w:tcPr>
            <w:tcW w:w="31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4" w:name="xdx_43B_c20250101__20250331_eus-gaap--St"/>
            <w:bookmarkEnd w:id="104"/>
          </w:p>
        </w:tc>
      </w:tr>
      <w:tr>
        <w:trPr/>
        <w:tc>
          <w:tcPr>
            <w:tcW w:w="3199" w:type="dxa"/>
            <w:tcBorders/>
            <w:shd w:fill="FFFFFF" w:val="clear"/>
            <w:vAlign w:val="center"/>
          </w:tcPr>
          <w:p>
            <w:pPr>
              <w:pStyle w:val="TableContents"/>
              <w:bidi w:val="0"/>
              <w:spacing w:before="0" w:after="283"/>
              <w:jc w:val="left"/>
              <w:rPr/>
            </w:pPr>
            <w:r>
              <w:rPr/>
              <w:t>Balances, December 31, 2024 (Audited)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5" w:name="xdx_988_eus-gaap--SharesOutstanding_iS_p"/>
            <w:bookmarkEnd w:id="105"/>
          </w:p>
        </w:tc>
        <w:tc>
          <w:tcPr>
            <w:tcW w:w="1100" w:type="dxa"/>
            <w:tcBorders/>
            <w:shd w:fill="FFFFFF" w:val="clear"/>
            <w:vAlign w:val="center"/>
          </w:tcPr>
          <w:p>
            <w:pPr>
              <w:pStyle w:val="TableContents"/>
              <w:bidi w:val="0"/>
              <w:spacing w:before="0" w:after="283"/>
              <w:jc w:val="right"/>
              <w:rPr/>
            </w:pPr>
            <w:r>
              <w:rPr/>
              <w:t>19,399,513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w:t>
            </w:r>
          </w:p>
        </w:tc>
        <w:tc>
          <w:tcPr>
            <w:tcW w:w="629" w:type="dxa"/>
            <w:tcBorders/>
            <w:shd w:fill="FFFFFF" w:val="clear"/>
            <w:vAlign w:val="center"/>
          </w:tcPr>
          <w:p>
            <w:pPr>
              <w:pStyle w:val="TableContents"/>
              <w:bidi w:val="0"/>
              <w:spacing w:before="0" w:after="283"/>
              <w:jc w:val="right"/>
              <w:rPr/>
            </w:pPr>
            <w:r>
              <w:rPr/>
              <w:t>195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jc w:val="right"/>
              <w:rPr/>
            </w:pPr>
            <w:r>
              <w:rPr/>
              <w:t>94,279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156" w:type="dxa"/>
            <w:tcBorders/>
            <w:shd w:fill="FFFFFF" w:val="clear"/>
            <w:vAlign w:val="center"/>
          </w:tcPr>
          <w:p>
            <w:pPr>
              <w:pStyle w:val="TableContents"/>
              <w:bidi w:val="0"/>
              <w:spacing w:before="0" w:after="283"/>
              <w:jc w:val="right"/>
              <w:rPr/>
            </w:pPr>
            <w:r>
              <w:rPr/>
              <w:t>(90,944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681" w:type="dxa"/>
            <w:tcBorders/>
            <w:shd w:fill="FFFFFF" w:val="clear"/>
            <w:vAlign w:val="center"/>
          </w:tcPr>
          <w:p>
            <w:pPr>
              <w:pStyle w:val="TableContents"/>
              <w:bidi w:val="0"/>
              <w:spacing w:before="0" w:after="283"/>
              <w:jc w:val="right"/>
              <w:rPr/>
            </w:pPr>
            <w:r>
              <w:rPr/>
              <w:t>3,530</w:t>
            </w:r>
          </w:p>
        </w:tc>
        <w:tc>
          <w:tcPr>
            <w:tcW w:w="112" w:type="dxa"/>
            <w:tcBorders/>
            <w:shd w:fill="FFFFFF" w:val="clear"/>
            <w:vAlign w:val="center"/>
          </w:tcPr>
          <w:p>
            <w:pPr>
              <w:pStyle w:val="TableContents"/>
              <w:bidi w:val="0"/>
              <w:spacing w:before="0" w:after="283"/>
              <w:jc w:val="left"/>
              <w:rPr/>
            </w:pPr>
            <w:r>
              <w:rPr/>
              <w:t> </w:t>
            </w:r>
            <w:bookmarkStart w:id="106" w:name="xdx_43A_c20250101__20250331_eus-gaap--St"/>
            <w:bookmarkEnd w:id="106"/>
          </w:p>
        </w:tc>
      </w:tr>
      <w:tr>
        <w:trPr/>
        <w:tc>
          <w:tcPr>
            <w:tcW w:w="3199" w:type="dxa"/>
            <w:tcBorders/>
            <w:shd w:fill="CCEEFF" w:val="clear"/>
            <w:vAlign w:val="center"/>
          </w:tcPr>
          <w:p>
            <w:pPr>
              <w:pStyle w:val="TableContents"/>
              <w:bidi w:val="0"/>
              <w:spacing w:before="0" w:after="283"/>
              <w:jc w:val="left"/>
              <w:rPr/>
            </w:pPr>
            <w:r>
              <w:rPr/>
              <w:t>Balances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7" w:name="xdx_98D_eus-gaap--SharesOutstanding_iS_p"/>
            <w:bookmarkEnd w:id="107"/>
          </w:p>
        </w:tc>
        <w:tc>
          <w:tcPr>
            <w:tcW w:w="1100" w:type="dxa"/>
            <w:tcBorders/>
            <w:shd w:fill="CCEEFF" w:val="clear"/>
            <w:vAlign w:val="center"/>
          </w:tcPr>
          <w:p>
            <w:pPr>
              <w:pStyle w:val="TableContents"/>
              <w:bidi w:val="0"/>
              <w:spacing w:before="0" w:after="283"/>
              <w:jc w:val="right"/>
              <w:rPr/>
            </w:pPr>
            <w:r>
              <w:rPr/>
              <w:t>19,399,513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94,279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(90,944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681" w:type="dxa"/>
            <w:tcBorders/>
            <w:shd w:fill="CCEEFF" w:val="clear"/>
            <w:vAlign w:val="center"/>
          </w:tcPr>
          <w:p>
            <w:pPr>
              <w:pStyle w:val="TableContents"/>
              <w:bidi w:val="0"/>
              <w:spacing w:before="0" w:after="283"/>
              <w:jc w:val="right"/>
              <w:rPr/>
            </w:pPr>
            <w:r>
              <w:rPr/>
              <w:t>3,530</w:t>
            </w:r>
          </w:p>
        </w:tc>
        <w:tc>
          <w:tcPr>
            <w:tcW w:w="112" w:type="dxa"/>
            <w:tcBorders/>
            <w:shd w:fill="CCEEFF" w:val="clear"/>
            <w:vAlign w:val="center"/>
          </w:tcPr>
          <w:p>
            <w:pPr>
              <w:pStyle w:val="TableContents"/>
              <w:bidi w:val="0"/>
              <w:spacing w:before="0" w:after="283"/>
              <w:jc w:val="left"/>
              <w:rPr/>
            </w:pPr>
            <w:r>
              <w:rPr/>
              <w:t> </w:t>
            </w:r>
            <w:bookmarkStart w:id="108" w:name="xdx_405_eus-gaap--StockIssuedDuringPerio"/>
            <w:bookmarkEnd w:id="108"/>
          </w:p>
        </w:tc>
      </w:tr>
      <w:tr>
        <w:trPr/>
        <w:tc>
          <w:tcPr>
            <w:tcW w:w="3199" w:type="dxa"/>
            <w:tcBorders/>
            <w:shd w:fill="CCEEFF" w:val="clear"/>
            <w:vAlign w:val="center"/>
          </w:tcPr>
          <w:p>
            <w:pPr>
              <w:pStyle w:val="TableContents"/>
              <w:bidi w:val="0"/>
              <w:spacing w:before="0" w:after="283"/>
              <w:jc w:val="left"/>
              <w:rPr/>
            </w:pPr>
            <w:r>
              <w:rPr/>
              <w:t xml:space="preserve">Issuance of common stock and warrants net of issuance costs </w:t>
            </w:r>
            <w:bookmarkStart w:id="109" w:name="xdx_F46_zSrk2459oSKl"/>
            <w:bookmarkEnd w:id="109"/>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0" w:name="xdx_980_eus-gaap--StockIssuedDuringPerio"/>
            <w:bookmarkEnd w:id="110"/>
          </w:p>
        </w:tc>
        <w:tc>
          <w:tcPr>
            <w:tcW w:w="1100" w:type="dxa"/>
            <w:tcBorders/>
            <w:shd w:fill="CCEEFF" w:val="clear"/>
            <w:vAlign w:val="center"/>
          </w:tcPr>
          <w:p>
            <w:pPr>
              <w:pStyle w:val="TableContents"/>
              <w:bidi w:val="0"/>
              <w:spacing w:before="0" w:after="283"/>
              <w:jc w:val="right"/>
              <w:rPr/>
            </w:pPr>
            <w:r>
              <w:rPr/>
              <w:t>13,891,840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25,778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25,917</w:t>
            </w:r>
          </w:p>
        </w:tc>
        <w:tc>
          <w:tcPr>
            <w:tcW w:w="112" w:type="dxa"/>
            <w:tcBorders/>
            <w:shd w:fill="CCEEFF" w:val="clear"/>
            <w:vAlign w:val="center"/>
          </w:tcPr>
          <w:p>
            <w:pPr>
              <w:pStyle w:val="TableContents"/>
              <w:bidi w:val="0"/>
              <w:spacing w:before="0" w:after="283"/>
              <w:jc w:val="left"/>
              <w:rPr/>
            </w:pPr>
            <w:r>
              <w:rPr/>
              <w:t> </w:t>
            </w:r>
            <w:bookmarkStart w:id="111" w:name="xdx_406_eus-gaap--StockIssuedDuringPerio"/>
            <w:bookmarkEnd w:id="111"/>
          </w:p>
        </w:tc>
      </w:tr>
      <w:tr>
        <w:trPr/>
        <w:tc>
          <w:tcPr>
            <w:tcW w:w="3199" w:type="dxa"/>
            <w:tcBorders/>
            <w:shd w:fill="FFFFFF" w:val="clear"/>
            <w:vAlign w:val="center"/>
          </w:tcPr>
          <w:p>
            <w:pPr>
              <w:pStyle w:val="TableContents"/>
              <w:bidi w:val="0"/>
              <w:spacing w:before="0" w:after="283"/>
              <w:jc w:val="left"/>
              <w:rPr/>
            </w:pPr>
            <w:r>
              <w:rPr/>
              <w:t xml:space="preserve">Issuance of common stock under the at-the-market offering program </w:t>
            </w:r>
            <w:bookmarkStart w:id="112" w:name="xdx_F4F_znnk2LQrRWRg"/>
            <w:bookmarkEnd w:id="112"/>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3" w:name="xdx_98A_eus-gaap--StockIssuedDuringPerio"/>
            <w:bookmarkEnd w:id="113"/>
          </w:p>
        </w:tc>
        <w:tc>
          <w:tcPr>
            <w:tcW w:w="1100" w:type="dxa"/>
            <w:tcBorders/>
            <w:shd w:fill="FFFFFF" w:val="clear"/>
            <w:vAlign w:val="center"/>
          </w:tcPr>
          <w:p>
            <w:pPr>
              <w:pStyle w:val="TableContents"/>
              <w:bidi w:val="0"/>
              <w:spacing w:before="0" w:after="283"/>
              <w:jc w:val="right"/>
              <w:rPr/>
            </w:pPr>
            <w:r>
              <w:rPr/>
              <w:t>842,606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997</w:t>
            </w:r>
          </w:p>
        </w:tc>
        <w:tc>
          <w:tcPr>
            <w:tcW w:w="112" w:type="dxa"/>
            <w:tcBorders/>
            <w:shd w:fill="FFFFFF" w:val="clear"/>
            <w:vAlign w:val="center"/>
          </w:tcPr>
          <w:p>
            <w:pPr>
              <w:pStyle w:val="TableContents"/>
              <w:bidi w:val="0"/>
              <w:spacing w:before="0" w:after="283"/>
              <w:jc w:val="left"/>
              <w:rPr/>
            </w:pPr>
            <w:r>
              <w:rPr/>
              <w:t> </w:t>
            </w:r>
            <w:bookmarkStart w:id="114" w:name="xdx_40D_ecustom--StockIssuedDuringPeriod"/>
            <w:bookmarkEnd w:id="114"/>
          </w:p>
        </w:tc>
      </w:tr>
      <w:tr>
        <w:trPr/>
        <w:tc>
          <w:tcPr>
            <w:tcW w:w="3199" w:type="dxa"/>
            <w:tcBorders/>
            <w:shd w:fill="CCEEFF" w:val="clear"/>
            <w:vAlign w:val="center"/>
          </w:tcPr>
          <w:p>
            <w:pPr>
              <w:pStyle w:val="TableContents"/>
              <w:bidi w:val="0"/>
              <w:spacing w:before="0" w:after="283"/>
              <w:jc w:val="left"/>
              <w:rPr/>
            </w:pPr>
            <w:r>
              <w:rPr/>
              <w:t xml:space="preserve">Issuance of common stock upon exercise of warrants </w:t>
            </w:r>
            <w:bookmarkStart w:id="115" w:name="xdx_F45_zYV9OZj7DAAb"/>
            <w:bookmarkEnd w:id="115"/>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6" w:name="xdx_987_ecustom--StockIssuedDuringPeriod"/>
            <w:bookmarkEnd w:id="116"/>
          </w:p>
        </w:tc>
        <w:tc>
          <w:tcPr>
            <w:tcW w:w="1100" w:type="dxa"/>
            <w:tcBorders/>
            <w:shd w:fill="CCEEFF" w:val="clear"/>
            <w:vAlign w:val="center"/>
          </w:tcPr>
          <w:p>
            <w:pPr>
              <w:pStyle w:val="TableContents"/>
              <w:bidi w:val="0"/>
              <w:spacing w:before="0" w:after="283"/>
              <w:jc w:val="right"/>
              <w:rPr/>
            </w:pPr>
            <w:r>
              <w:rPr/>
              <w:t>610,517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852</w:t>
            </w:r>
          </w:p>
        </w:tc>
        <w:tc>
          <w:tcPr>
            <w:tcW w:w="112" w:type="dxa"/>
            <w:tcBorders/>
            <w:shd w:fill="CCEEFF" w:val="clear"/>
            <w:vAlign w:val="center"/>
          </w:tcPr>
          <w:p>
            <w:pPr>
              <w:pStyle w:val="TableContents"/>
              <w:bidi w:val="0"/>
              <w:spacing w:before="0" w:after="283"/>
              <w:jc w:val="left"/>
              <w:rPr/>
            </w:pPr>
            <w:r>
              <w:rPr/>
              <w:t> </w:t>
            </w:r>
            <w:bookmarkStart w:id="117" w:name="xdx_40B_eus-gaap--AdjustmentsToAdditiona"/>
            <w:bookmarkEnd w:id="117"/>
          </w:p>
        </w:tc>
      </w:tr>
      <w:tr>
        <w:trPr/>
        <w:tc>
          <w:tcPr>
            <w:tcW w:w="3199"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256</w:t>
            </w:r>
          </w:p>
        </w:tc>
        <w:tc>
          <w:tcPr>
            <w:tcW w:w="112" w:type="dxa"/>
            <w:tcBorders/>
            <w:shd w:fill="FFFFFF" w:val="clear"/>
            <w:vAlign w:val="center"/>
          </w:tcPr>
          <w:p>
            <w:pPr>
              <w:pStyle w:val="TableContents"/>
              <w:bidi w:val="0"/>
              <w:spacing w:before="0" w:after="283"/>
              <w:jc w:val="left"/>
              <w:rPr/>
            </w:pPr>
            <w:r>
              <w:rPr/>
              <w:t> </w:t>
            </w:r>
            <w:bookmarkStart w:id="118" w:name="xdx_409_eus-gaap--NetIncomeLoss_zhOsk6CC"/>
            <w:bookmarkEnd w:id="118"/>
          </w:p>
        </w:tc>
      </w:tr>
      <w:tr>
        <w:trPr/>
        <w:tc>
          <w:tcPr>
            <w:tcW w:w="3199"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(2,601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1" w:type="dxa"/>
            <w:tcBorders>
              <w:bottom w:val="single" w:sz="8" w:space="0" w:color="000000"/>
            </w:tcBorders>
            <w:shd w:fill="CCEEFF" w:val="clear"/>
            <w:tcMar>
              <w:bottom w:w="28" w:type="dxa"/>
            </w:tcMar>
            <w:vAlign w:val="center"/>
          </w:tcPr>
          <w:p>
            <w:pPr>
              <w:pStyle w:val="TableContents"/>
              <w:bidi w:val="0"/>
              <w:spacing w:before="0" w:after="283"/>
              <w:jc w:val="right"/>
              <w:rPr/>
            </w:pPr>
            <w:r>
              <w:rPr/>
              <w:t>(2,601</w:t>
            </w:r>
          </w:p>
        </w:tc>
        <w:tc>
          <w:tcPr>
            <w:tcW w:w="112" w:type="dxa"/>
            <w:tcBorders/>
            <w:shd w:fill="CCEEFF" w:val="clear"/>
            <w:vAlign w:val="center"/>
          </w:tcPr>
          <w:p>
            <w:pPr>
              <w:pStyle w:val="TableContents"/>
              <w:bidi w:val="0"/>
              <w:spacing w:before="0" w:after="283"/>
              <w:jc w:val="left"/>
              <w:rPr/>
            </w:pPr>
            <w:r>
              <w:rPr/>
              <w:t>)</w:t>
            </w:r>
            <w:bookmarkStart w:id="119" w:name="xdx_432_c20250101__20250331_eus-gaap--St"/>
            <w:bookmarkEnd w:id="119"/>
          </w:p>
        </w:tc>
      </w:tr>
      <w:tr>
        <w:trPr/>
        <w:tc>
          <w:tcPr>
            <w:tcW w:w="3199" w:type="dxa"/>
            <w:tcBorders/>
            <w:shd w:fill="FFFFFF" w:val="clear"/>
            <w:vAlign w:val="center"/>
          </w:tcPr>
          <w:p>
            <w:pPr>
              <w:pStyle w:val="TableContents"/>
              <w:bidi w:val="0"/>
              <w:spacing w:before="0" w:after="283"/>
              <w:jc w:val="left"/>
              <w:rPr/>
            </w:pPr>
            <w:r>
              <w:rPr/>
              <w:t>Balances, March 31, 2025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0" w:name="xdx_98E_eus-gaap--SharesOutstanding_iE_p"/>
            <w:bookmarkEnd w:id="120"/>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34,744,476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122,148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(93,545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81" w:type="dxa"/>
            <w:tcBorders>
              <w:bottom w:val="double" w:sz="6" w:space="0" w:color="000000"/>
            </w:tcBorders>
            <w:shd w:fill="FFFFFF" w:val="clear"/>
            <w:tcMar>
              <w:bottom w:w="28" w:type="dxa"/>
            </w:tcMar>
            <w:vAlign w:val="center"/>
          </w:tcPr>
          <w:p>
            <w:pPr>
              <w:pStyle w:val="TableContents"/>
              <w:bidi w:val="0"/>
              <w:spacing w:before="0" w:after="283"/>
              <w:jc w:val="right"/>
              <w:rPr/>
            </w:pPr>
            <w:r>
              <w:rPr/>
              <w:t>28,951</w:t>
            </w:r>
          </w:p>
        </w:tc>
        <w:tc>
          <w:tcPr>
            <w:tcW w:w="112" w:type="dxa"/>
            <w:tcBorders/>
            <w:shd w:fill="FFFFFF" w:val="clear"/>
            <w:vAlign w:val="center"/>
          </w:tcPr>
          <w:p>
            <w:pPr>
              <w:pStyle w:val="TableContents"/>
              <w:bidi w:val="0"/>
              <w:spacing w:before="0" w:after="283"/>
              <w:jc w:val="left"/>
              <w:rPr/>
            </w:pPr>
            <w:r>
              <w:rPr/>
              <w:t> </w:t>
            </w:r>
            <w:bookmarkStart w:id="121" w:name="xdx_432_c20250101__20250331_eus-gaap--St"/>
            <w:bookmarkEnd w:id="121"/>
          </w:p>
        </w:tc>
      </w:tr>
      <w:tr>
        <w:trPr/>
        <w:tc>
          <w:tcPr>
            <w:tcW w:w="3199" w:type="dxa"/>
            <w:tcBorders/>
            <w:shd w:fill="CCEEFF" w:val="clear"/>
            <w:vAlign w:val="center"/>
          </w:tcPr>
          <w:p>
            <w:pPr>
              <w:pStyle w:val="TableContents"/>
              <w:bidi w:val="0"/>
              <w:spacing w:before="0" w:after="283"/>
              <w:jc w:val="left"/>
              <w:rPr/>
            </w:pPr>
            <w:r>
              <w:rPr/>
              <w:t>Balances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2" w:name="xdx_983_eus-gaap--SharesOutstanding_iE_p"/>
            <w:bookmarkEnd w:id="122"/>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34,744,476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pPr>
            <w:r>
              <w:rPr/>
              <w:t>122,148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pPr>
            <w:r>
              <w:rPr/>
              <w:t>(93,545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81" w:type="dxa"/>
            <w:tcBorders>
              <w:bottom w:val="double" w:sz="6" w:space="0" w:color="000000"/>
            </w:tcBorders>
            <w:shd w:fill="CCEEFF" w:val="clear"/>
            <w:tcMar>
              <w:bottom w:w="28" w:type="dxa"/>
            </w:tcMar>
            <w:vAlign w:val="center"/>
          </w:tcPr>
          <w:p>
            <w:pPr>
              <w:pStyle w:val="TableContents"/>
              <w:bidi w:val="0"/>
              <w:spacing w:before="0" w:after="283"/>
              <w:jc w:val="right"/>
              <w:rPr/>
            </w:pPr>
            <w:r>
              <w:rPr/>
              <w:t>28,951</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305"/>
        <w:gridCol w:w="8165"/>
      </w:tblGrid>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3" w:name="xdx_F08_ztUtNhtWuSuf"/>
            <w:bookmarkEnd w:id="123"/>
            <w:r>
              <w:rPr>
                <w:rFonts w:ascii="Times New Roman;Times;Serif" w:hAnsi="Times New Roman;Times;Serif"/>
                <w:b w:val="false"/>
                <w:i w:val="false"/>
                <w:caps w:val="false"/>
                <w:smallCaps w:val="false"/>
                <w:sz w:val="20"/>
              </w:rPr>
              <w:t>(1)</w:t>
            </w:r>
          </w:p>
        </w:tc>
        <w:tc>
          <w:tcPr>
            <w:tcW w:w="8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4" w:name="xdx_F15_zzY4e3r3o5Hb"/>
            <w:bookmarkEnd w:id="124"/>
            <w:r>
              <w:rPr>
                <w:rFonts w:ascii="Times New Roman;Times;Serif" w:hAnsi="Times New Roman;Times;Serif"/>
                <w:b w:val="false"/>
                <w:i w:val="false"/>
                <w:caps w:val="false"/>
                <w:smallCaps w:val="false"/>
                <w:sz w:val="20"/>
              </w:rPr>
              <w:t>Net of issuance costs in the amount of $</w:t>
            </w:r>
            <w:bookmarkStart w:id="125" w:name="xdx_90B_eus-gaap--PaymentsOfStockIssuanc"/>
            <w:bookmarkEnd w:id="125"/>
            <w:r>
              <w:rPr>
                <w:rFonts w:ascii="Times New Roman;Times;Serif" w:hAnsi="Times New Roman;Times;Serif"/>
                <w:b w:val="false"/>
                <w:i w:val="false"/>
                <w:caps w:val="false"/>
                <w:smallCaps w:val="false"/>
                <w:sz w:val="20"/>
              </w:rPr>
              <w:t>333.</w:t>
            </w:r>
          </w:p>
        </w:tc>
      </w:tr>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6" w:name="xdx_F0D_zrtMiaAo1sL1"/>
            <w:bookmarkEnd w:id="126"/>
            <w:r>
              <w:rPr>
                <w:rFonts w:ascii="Times New Roman;Times;Serif" w:hAnsi="Times New Roman;Times;Serif"/>
                <w:b w:val="false"/>
                <w:i w:val="false"/>
                <w:caps w:val="false"/>
                <w:smallCaps w:val="false"/>
                <w:sz w:val="20"/>
              </w:rPr>
              <w:t>(2)</w:t>
            </w:r>
          </w:p>
        </w:tc>
        <w:tc>
          <w:tcPr>
            <w:tcW w:w="8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7" w:name="xdx_F1B_z9qDMAnoG67d"/>
            <w:bookmarkEnd w:id="127"/>
            <w:r>
              <w:rPr>
                <w:rFonts w:ascii="Times New Roman;Times;Serif" w:hAnsi="Times New Roman;Times;Serif"/>
                <w:b w:val="false"/>
                <w:i w:val="false"/>
                <w:caps w:val="false"/>
                <w:smallCaps w:val="false"/>
                <w:sz w:val="20"/>
              </w:rPr>
              <w:t>See Note 3F.</w:t>
            </w:r>
          </w:p>
        </w:tc>
      </w:tr>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8" w:name="xdx_F0A_zpEDX5lNKD2a"/>
            <w:bookmarkEnd w:id="128"/>
            <w:r>
              <w:rPr>
                <w:rFonts w:ascii="Times New Roman;Times;Serif" w:hAnsi="Times New Roman;Times;Serif"/>
                <w:b w:val="false"/>
                <w:i w:val="false"/>
                <w:caps w:val="false"/>
                <w:smallCaps w:val="false"/>
                <w:sz w:val="20"/>
              </w:rPr>
              <w:t xml:space="preserve">(3) </w:t>
            </w:r>
          </w:p>
        </w:tc>
        <w:tc>
          <w:tcPr>
            <w:tcW w:w="8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9" w:name="xdx_F10_zm418JmwVVui"/>
            <w:bookmarkEnd w:id="129"/>
            <w:r>
              <w:rPr>
                <w:rFonts w:ascii="Times New Roman;Times;Serif" w:hAnsi="Times New Roman;Times;Serif"/>
                <w:b w:val="false"/>
                <w:i w:val="false"/>
                <w:caps w:val="false"/>
                <w:smallCaps w:val="false"/>
                <w:sz w:val="20"/>
              </w:rPr>
              <w:t>Net of issuance costs in the amount of $</w:t>
            </w:r>
            <w:bookmarkStart w:id="130" w:name="xdx_906_eus-gaap--PaymentsOfStockIssuanc"/>
            <w:bookmarkEnd w:id="130"/>
            <w:r>
              <w:rPr>
                <w:rFonts w:ascii="Times New Roman;Times;Serif" w:hAnsi="Times New Roman;Times;Serif"/>
                <w:b w:val="false"/>
                <w:i w:val="false"/>
                <w:caps w:val="false"/>
                <w:smallCaps w:val="false"/>
                <w:sz w:val="20"/>
              </w:rPr>
              <w:t>2,683, of which $</w:t>
            </w:r>
            <w:bookmarkStart w:id="131" w:name="xdx_907_ecustom--StockIssuanceCostsPayab"/>
            <w:bookmarkEnd w:id="131"/>
            <w:r>
              <w:rPr>
                <w:rFonts w:ascii="Times New Roman;Times;Serif" w:hAnsi="Times New Roman;Times;Serif"/>
                <w:b w:val="false"/>
                <w:i w:val="false"/>
                <w:caps w:val="false"/>
                <w:smallCaps w:val="false"/>
                <w:sz w:val="20"/>
              </w:rPr>
              <w:t>10 had not been paid as of March 31, 2025.</w:t>
            </w:r>
          </w:p>
        </w:tc>
      </w:tr>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2" w:name="xdx_F0A_zYD0yAbMI1Yj"/>
            <w:bookmarkEnd w:id="132"/>
            <w:r>
              <w:rPr>
                <w:rFonts w:ascii="Times New Roman;Times;Serif" w:hAnsi="Times New Roman;Times;Serif"/>
                <w:b w:val="false"/>
                <w:i w:val="false"/>
                <w:caps w:val="false"/>
                <w:smallCaps w:val="false"/>
                <w:sz w:val="20"/>
              </w:rPr>
              <w:t>(4)</w:t>
            </w:r>
          </w:p>
        </w:tc>
        <w:tc>
          <w:tcPr>
            <w:tcW w:w="8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3" w:name="xdx_F12_zoQnwkoruYa7"/>
            <w:bookmarkEnd w:id="133"/>
            <w:r>
              <w:rPr>
                <w:rFonts w:ascii="Times New Roman;Times;Serif" w:hAnsi="Times New Roman;Times;Serif"/>
                <w:b w:val="false"/>
                <w:i w:val="false"/>
                <w:caps w:val="false"/>
                <w:smallCaps w:val="false"/>
                <w:sz w:val="20"/>
              </w:rPr>
              <w:t>Net of issuance costs in the amount of $</w:t>
            </w:r>
            <w:bookmarkStart w:id="134" w:name="xdx_90D_eus-gaap--PaymentsOfStockIssuanc"/>
            <w:bookmarkEnd w:id="134"/>
            <w:r>
              <w:rPr>
                <w:rFonts w:ascii="Times New Roman;Times;Serif" w:hAnsi="Times New Roman;Times;Serif"/>
                <w:b w:val="false"/>
                <w:i w:val="false"/>
                <w:caps w:val="false"/>
                <w:smallCaps w:val="false"/>
                <w:sz w:val="20"/>
              </w:rPr>
              <w:t>65.</w:t>
            </w:r>
            <w:bookmarkStart w:id="135" w:name="xdx_F03_z45jXEaYTVYh"/>
            <w:bookmarkEnd w:id="135"/>
          </w:p>
        </w:tc>
      </w:tr>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bookmarkStart w:id="136" w:name="xdx_F13_zCd9F4tlejUa"/>
            <w:bookmarkEnd w:id="136"/>
          </w:p>
        </w:tc>
        <w:tc>
          <w:tcPr>
            <w:tcW w:w="8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of issuance costs in the amount of $</w:t>
            </w:r>
            <w:bookmarkStart w:id="137" w:name="xdx_906_eus-gaap--PaymentsOfStockIssuanc"/>
            <w:bookmarkEnd w:id="137"/>
            <w:r>
              <w:rPr>
                <w:rFonts w:ascii="Times New Roman;Times;Serif" w:hAnsi="Times New Roman;Times;Serif"/>
                <w:b w:val="false"/>
                <w:i w:val="false"/>
                <w:caps w:val="false"/>
                <w:smallCaps w:val="false"/>
                <w:sz w:val="20"/>
              </w:rPr>
              <w:t>64.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caps w:val="false"/>
          <w:smallCaps w:val="false"/>
        </w:rPr>
      </w:pPr>
      <w:bookmarkStart w:id="138" w:name="sk_004"/>
      <w:bookmarkEnd w:id="13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Interim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9" w:name="xdx_30B_112_pn3n3_z8Q3HodeFKL"/>
      <w:bookmarkStart w:id="140" w:name="xdx_30B_112_pn3n3_z8Q3HodeFKL"/>
      <w:bookmarkEnd w:id="140"/>
    </w:p>
    <w:tbl>
      <w:tblPr>
        <w:tblW w:w="10205" w:type="dxa"/>
        <w:jc w:val="left"/>
        <w:tblInd w:w="0" w:type="dxa"/>
        <w:tblLayout w:type="fixed"/>
        <w:tblCellMar>
          <w:top w:w="0" w:type="dxa"/>
          <w:left w:w="0" w:type="dxa"/>
          <w:bottom w:w="0" w:type="dxa"/>
          <w:right w:w="0" w:type="dxa"/>
        </w:tblCellMar>
      </w:tblPr>
      <w:tblGrid>
        <w:gridCol w:w="6326"/>
        <w:gridCol w:w="60"/>
        <w:gridCol w:w="302"/>
        <w:gridCol w:w="1503"/>
        <w:gridCol w:w="188"/>
        <w:gridCol w:w="118"/>
        <w:gridCol w:w="316"/>
        <w:gridCol w:w="1277"/>
        <w:gridCol w:w="115"/>
      </w:tblGrid>
      <w:tr>
        <w:trPr/>
        <w:tc>
          <w:tcPr>
            <w:tcW w:w="63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41" w:name="xdx_49D_20250101__20250331_zDgWVv9hdFO"/>
            <w:bookmarkEnd w:id="141"/>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8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bookmarkStart w:id="142" w:name="xdx_493_20240101__20240331_z942J2UTdfAk"/>
            <w:bookmarkEnd w:id="142"/>
          </w:p>
        </w:tc>
        <w:tc>
          <w:tcPr>
            <w:tcW w:w="15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5" w:type="dxa"/>
            <w:tcBorders/>
            <w:vAlign w:val="center"/>
          </w:tcPr>
          <w:p>
            <w:pPr>
              <w:pStyle w:val="TableContents"/>
              <w:bidi w:val="0"/>
              <w:spacing w:before="0" w:after="283"/>
              <w:jc w:val="left"/>
              <w:rPr/>
            </w:pPr>
            <w:r>
              <w:rPr/>
              <w:t> </w:t>
            </w:r>
          </w:p>
        </w:tc>
      </w:tr>
      <w:tr>
        <w:trPr/>
        <w:tc>
          <w:tcPr>
            <w:tcW w:w="63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5" w:type="dxa"/>
            <w:tcBorders/>
            <w:vAlign w:val="center"/>
          </w:tcPr>
          <w:p>
            <w:pPr>
              <w:pStyle w:val="TableContents"/>
              <w:bidi w:val="0"/>
              <w:spacing w:before="0" w:after="283"/>
              <w:jc w:val="left"/>
              <w:rPr/>
            </w:pPr>
            <w:r>
              <w:rPr/>
              <w:t> </w:t>
            </w:r>
          </w:p>
        </w:tc>
      </w:tr>
      <w:tr>
        <w:trPr/>
        <w:tc>
          <w:tcPr>
            <w:tcW w:w="63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8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5" w:type="dxa"/>
            <w:tcBorders/>
            <w:vAlign w:val="center"/>
          </w:tcPr>
          <w:p>
            <w:pPr>
              <w:pStyle w:val="TableContents"/>
              <w:bidi w:val="0"/>
              <w:spacing w:before="0" w:after="283"/>
              <w:jc w:val="left"/>
              <w:rPr/>
            </w:pPr>
            <w:r>
              <w:rPr/>
              <w:t> </w:t>
            </w:r>
          </w:p>
        </w:tc>
      </w:tr>
      <w:tr>
        <w:trPr/>
        <w:tc>
          <w:tcPr>
            <w:tcW w:w="63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gridSpan w:val="2"/>
            <w:tcBorders/>
            <w:vAlign w:val="center"/>
          </w:tcPr>
          <w:p>
            <w:pPr>
              <w:pStyle w:val="TableContents"/>
              <w:bidi w:val="0"/>
              <w:spacing w:before="0" w:after="283"/>
              <w:jc w:val="center"/>
              <w:rPr/>
            </w:pPr>
            <w:r>
              <w:rPr/>
              <w:t>Unaudited</w:t>
            </w:r>
          </w:p>
        </w:tc>
        <w:tc>
          <w:tcPr>
            <w:tcW w:w="18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93" w:type="dxa"/>
            <w:gridSpan w:val="2"/>
            <w:tcBorders/>
            <w:vAlign w:val="center"/>
          </w:tcPr>
          <w:p>
            <w:pPr>
              <w:pStyle w:val="TableContents"/>
              <w:bidi w:val="0"/>
              <w:spacing w:before="0" w:after="283"/>
              <w:jc w:val="center"/>
              <w:rPr/>
            </w:pPr>
            <w:r>
              <w:rPr/>
              <w:t>Unaudited</w:t>
            </w:r>
          </w:p>
        </w:tc>
        <w:tc>
          <w:tcPr>
            <w:tcW w:w="115" w:type="dxa"/>
            <w:tcBorders/>
            <w:vAlign w:val="center"/>
          </w:tcPr>
          <w:p>
            <w:pPr>
              <w:pStyle w:val="TableContents"/>
              <w:bidi w:val="0"/>
              <w:spacing w:before="0" w:after="283"/>
              <w:jc w:val="left"/>
              <w:rPr/>
            </w:pPr>
            <w:r>
              <w:rPr/>
              <w:t> </w:t>
            </w:r>
            <w:bookmarkStart w:id="143" w:name="xdx_40C_eus-gaap--NetCashProvidedByUsedI"/>
            <w:bookmarkEnd w:id="143"/>
          </w:p>
        </w:tc>
      </w:tr>
      <w:tr>
        <w:trPr/>
        <w:tc>
          <w:tcPr>
            <w:tcW w:w="6326"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44" w:name="xdx_404_eus-gaap--NetIncomeLoss_i01_maCz"/>
            <w:bookmarkEnd w:id="144"/>
          </w:p>
        </w:tc>
      </w:tr>
      <w:tr>
        <w:trPr/>
        <w:tc>
          <w:tcPr>
            <w:tcW w:w="6326"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w:t>
            </w:r>
          </w:p>
        </w:tc>
        <w:tc>
          <w:tcPr>
            <w:tcW w:w="1503" w:type="dxa"/>
            <w:tcBorders/>
            <w:shd w:fill="FFFFFF" w:val="clear"/>
            <w:vAlign w:val="center"/>
          </w:tcPr>
          <w:p>
            <w:pPr>
              <w:pStyle w:val="TableContents"/>
              <w:bidi w:val="0"/>
              <w:spacing w:before="0" w:after="283"/>
              <w:jc w:val="right"/>
              <w:rPr/>
            </w:pPr>
            <w:r>
              <w:rPr/>
              <w:t>(2,601</w:t>
            </w:r>
          </w:p>
        </w:tc>
        <w:tc>
          <w:tcPr>
            <w:tcW w:w="188" w:type="dxa"/>
            <w:tcBorders/>
            <w:shd w:fill="FFFFFF" w:val="clear"/>
            <w:vAlign w:val="center"/>
          </w:tcPr>
          <w:p>
            <w:pPr>
              <w:pStyle w:val="TableContents"/>
              <w:bidi w:val="0"/>
              <w:spacing w:before="0" w:after="283"/>
              <w:jc w:val="left"/>
              <w:rPr/>
            </w:pPr>
            <w:r>
              <w:rPr/>
              <w:t>)</w:t>
            </w:r>
          </w:p>
        </w:tc>
        <w:tc>
          <w:tcPr>
            <w:tcW w:w="118"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w:t>
            </w:r>
          </w:p>
        </w:tc>
        <w:tc>
          <w:tcPr>
            <w:tcW w:w="1277" w:type="dxa"/>
            <w:tcBorders/>
            <w:shd w:fill="FFFFFF" w:val="clear"/>
            <w:vAlign w:val="center"/>
          </w:tcPr>
          <w:p>
            <w:pPr>
              <w:pStyle w:val="TableContents"/>
              <w:bidi w:val="0"/>
              <w:spacing w:before="0" w:after="283"/>
              <w:jc w:val="right"/>
              <w:rPr/>
            </w:pPr>
            <w:r>
              <w:rPr/>
              <w:t>(2,371</w:t>
            </w:r>
          </w:p>
        </w:tc>
        <w:tc>
          <w:tcPr>
            <w:tcW w:w="115" w:type="dxa"/>
            <w:tcBorders/>
            <w:shd w:fill="FFFFFF" w:val="clear"/>
            <w:vAlign w:val="center"/>
          </w:tcPr>
          <w:p>
            <w:pPr>
              <w:pStyle w:val="TableContents"/>
              <w:bidi w:val="0"/>
              <w:spacing w:before="0" w:after="283"/>
              <w:jc w:val="left"/>
              <w:rPr/>
            </w:pPr>
            <w:r>
              <w:rPr/>
              <w:t>)</w:t>
            </w:r>
            <w:bookmarkStart w:id="145" w:name="xdx_400_eus-gaap--AdjustmentsToReconcile"/>
            <w:bookmarkEnd w:id="145"/>
          </w:p>
        </w:tc>
      </w:tr>
      <w:tr>
        <w:trPr/>
        <w:tc>
          <w:tcPr>
            <w:tcW w:w="6326" w:type="dxa"/>
            <w:tcBorders/>
            <w:shd w:fill="CCEEFF" w:val="clear"/>
            <w:vAlign w:val="center"/>
          </w:tcPr>
          <w:p>
            <w:pPr>
              <w:pStyle w:val="TableContents"/>
              <w:bidi w:val="0"/>
              <w:spacing w:before="0" w:after="283"/>
              <w:jc w:val="left"/>
              <w:rPr/>
            </w:pPr>
            <w:r>
              <w:rPr/>
              <w:t>Adjustments to reconcile net loss to net 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46" w:name="xdx_406_eus-gaap--DepreciationDepletionA"/>
            <w:bookmarkEnd w:id="146"/>
          </w:p>
        </w:tc>
      </w:tr>
      <w:tr>
        <w:trPr/>
        <w:tc>
          <w:tcPr>
            <w:tcW w:w="6326" w:type="dxa"/>
            <w:tcBorders/>
            <w:shd w:fill="FFFFFF" w:val="clear"/>
            <w:vAlign w:val="center"/>
          </w:tcPr>
          <w:p>
            <w:pPr>
              <w:pStyle w:val="TableContents"/>
              <w:bidi w:val="0"/>
              <w:spacing w:before="0" w:after="283"/>
              <w:jc w:val="left"/>
              <w:rPr/>
            </w:pPr>
            <w:r>
              <w:rPr/>
              <w:t>Depreciation of property and equipment</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15</w:t>
            </w:r>
          </w:p>
        </w:tc>
        <w:tc>
          <w:tcPr>
            <w:tcW w:w="18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28</w:t>
            </w:r>
          </w:p>
        </w:tc>
        <w:tc>
          <w:tcPr>
            <w:tcW w:w="115" w:type="dxa"/>
            <w:tcBorders/>
            <w:shd w:fill="FFFFFF" w:val="clear"/>
            <w:vAlign w:val="center"/>
          </w:tcPr>
          <w:p>
            <w:pPr>
              <w:pStyle w:val="TableContents"/>
              <w:bidi w:val="0"/>
              <w:spacing w:before="0" w:after="283"/>
              <w:jc w:val="left"/>
              <w:rPr/>
            </w:pPr>
            <w:r>
              <w:rPr/>
              <w:t> </w:t>
            </w:r>
            <w:bookmarkStart w:id="147" w:name="xdx_406_eus-gaap--ShareBasedCompensation"/>
            <w:bookmarkEnd w:id="147"/>
          </w:p>
        </w:tc>
      </w:tr>
      <w:tr>
        <w:trPr/>
        <w:tc>
          <w:tcPr>
            <w:tcW w:w="6326"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256</w:t>
            </w:r>
          </w:p>
        </w:tc>
        <w:tc>
          <w:tcPr>
            <w:tcW w:w="18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453</w:t>
            </w:r>
          </w:p>
        </w:tc>
        <w:tc>
          <w:tcPr>
            <w:tcW w:w="115" w:type="dxa"/>
            <w:tcBorders/>
            <w:shd w:fill="CCEEFF" w:val="clear"/>
            <w:vAlign w:val="center"/>
          </w:tcPr>
          <w:p>
            <w:pPr>
              <w:pStyle w:val="TableContents"/>
              <w:bidi w:val="0"/>
              <w:spacing w:before="0" w:after="283"/>
              <w:jc w:val="left"/>
              <w:rPr/>
            </w:pPr>
            <w:r>
              <w:rPr/>
              <w:t> </w:t>
            </w:r>
            <w:bookmarkStart w:id="148" w:name="xdx_408_eus-gaap--IncreaseDecreaseInOper"/>
            <w:bookmarkEnd w:id="148"/>
          </w:p>
        </w:tc>
      </w:tr>
      <w:tr>
        <w:trPr/>
        <w:tc>
          <w:tcPr>
            <w:tcW w:w="6326"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49" w:name="xdx_403_eus-gaap--IncreaseDecreaseInPrep"/>
            <w:bookmarkEnd w:id="149"/>
          </w:p>
        </w:tc>
      </w:tr>
      <w:tr>
        <w:trPr/>
        <w:tc>
          <w:tcPr>
            <w:tcW w:w="6326"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73</w:t>
            </w:r>
          </w:p>
        </w:tc>
        <w:tc>
          <w:tcPr>
            <w:tcW w:w="18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(389</w:t>
            </w:r>
          </w:p>
        </w:tc>
        <w:tc>
          <w:tcPr>
            <w:tcW w:w="115" w:type="dxa"/>
            <w:tcBorders/>
            <w:shd w:fill="CCEEFF" w:val="clear"/>
            <w:vAlign w:val="center"/>
          </w:tcPr>
          <w:p>
            <w:pPr>
              <w:pStyle w:val="TableContents"/>
              <w:bidi w:val="0"/>
              <w:spacing w:before="0" w:after="283"/>
              <w:jc w:val="left"/>
              <w:rPr/>
            </w:pPr>
            <w:r>
              <w:rPr/>
              <w:t>)</w:t>
            </w:r>
            <w:bookmarkStart w:id="150" w:name="xdx_403_eus-gaap--IncreaseDecreaseInOthe"/>
            <w:bookmarkEnd w:id="150"/>
          </w:p>
        </w:tc>
      </w:tr>
      <w:tr>
        <w:trPr/>
        <w:tc>
          <w:tcPr>
            <w:tcW w:w="6326" w:type="dxa"/>
            <w:tcBorders/>
            <w:shd w:fill="FFFFFF" w:val="clear"/>
            <w:vAlign w:val="center"/>
          </w:tcPr>
          <w:p>
            <w:pPr>
              <w:pStyle w:val="TableContents"/>
              <w:bidi w:val="0"/>
              <w:spacing w:before="0" w:after="283"/>
              <w:jc w:val="left"/>
              <w:rPr/>
            </w:pPr>
            <w:r>
              <w:rPr/>
              <w:t>Other payables and accrued liabilities</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(617</w:t>
            </w:r>
          </w:p>
        </w:tc>
        <w:tc>
          <w:tcPr>
            <w:tcW w:w="188" w:type="dxa"/>
            <w:tcBorders/>
            <w:shd w:fill="FFFFFF" w:val="clear"/>
            <w:vAlign w:val="center"/>
          </w:tcPr>
          <w:p>
            <w:pPr>
              <w:pStyle w:val="TableContents"/>
              <w:bidi w:val="0"/>
              <w:spacing w:before="0" w:after="283"/>
              <w:jc w:val="left"/>
              <w:rPr/>
            </w:pPr>
            <w:r>
              <w:rPr/>
              <w:t>)</w:t>
            </w:r>
          </w:p>
        </w:tc>
        <w:tc>
          <w:tcPr>
            <w:tcW w:w="118"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(376</w:t>
            </w:r>
          </w:p>
        </w:tc>
        <w:tc>
          <w:tcPr>
            <w:tcW w:w="115" w:type="dxa"/>
            <w:tcBorders/>
            <w:shd w:fill="FFFFFF" w:val="clear"/>
            <w:vAlign w:val="center"/>
          </w:tcPr>
          <w:p>
            <w:pPr>
              <w:pStyle w:val="TableContents"/>
              <w:bidi w:val="0"/>
              <w:spacing w:before="0" w:after="283"/>
              <w:jc w:val="left"/>
              <w:rPr/>
            </w:pPr>
            <w:r>
              <w:rPr/>
              <w:t>)</w:t>
            </w:r>
            <w:bookmarkStart w:id="151" w:name="xdx_406_ecustom--IncreaseDecreaseInLegal"/>
            <w:bookmarkEnd w:id="151"/>
          </w:p>
        </w:tc>
      </w:tr>
      <w:tr>
        <w:trPr/>
        <w:tc>
          <w:tcPr>
            <w:tcW w:w="6326" w:type="dxa"/>
            <w:tcBorders/>
            <w:shd w:fill="CCEEFF" w:val="clear"/>
            <w:vAlign w:val="center"/>
          </w:tcPr>
          <w:p>
            <w:pPr>
              <w:pStyle w:val="TableContents"/>
              <w:bidi w:val="0"/>
              <w:spacing w:before="0" w:after="283"/>
              <w:jc w:val="left"/>
              <w:rPr/>
            </w:pPr>
            <w:r>
              <w:rPr/>
              <w:t>Insurance recovery related to legal settlement and legal expenses received in cash</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w:t>
            </w:r>
          </w:p>
        </w:tc>
        <w:tc>
          <w:tcPr>
            <w:tcW w:w="18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1,335</w:t>
            </w:r>
          </w:p>
        </w:tc>
        <w:tc>
          <w:tcPr>
            <w:tcW w:w="115" w:type="dxa"/>
            <w:tcBorders/>
            <w:shd w:fill="CCEEFF" w:val="clear"/>
            <w:vAlign w:val="center"/>
          </w:tcPr>
          <w:p>
            <w:pPr>
              <w:pStyle w:val="TableContents"/>
              <w:bidi w:val="0"/>
              <w:spacing w:before="0" w:after="283"/>
              <w:jc w:val="left"/>
              <w:rPr/>
            </w:pPr>
            <w:r>
              <w:rPr/>
              <w:t> </w:t>
            </w:r>
            <w:bookmarkStart w:id="152" w:name="xdx_404_ecustom--IncreaseDecreaseInLegal"/>
            <w:bookmarkEnd w:id="152"/>
          </w:p>
        </w:tc>
      </w:tr>
      <w:tr>
        <w:trPr/>
        <w:tc>
          <w:tcPr>
            <w:tcW w:w="6326" w:type="dxa"/>
            <w:tcBorders/>
            <w:shd w:fill="FFFFFF" w:val="clear"/>
            <w:vAlign w:val="center"/>
          </w:tcPr>
          <w:p>
            <w:pPr>
              <w:pStyle w:val="TableContents"/>
              <w:bidi w:val="0"/>
              <w:spacing w:before="0" w:after="283"/>
              <w:jc w:val="left"/>
              <w:rPr/>
            </w:pPr>
            <w:r>
              <w:rPr/>
              <w:t>Legal settlement paid in cash</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8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(1,100</w:t>
            </w:r>
          </w:p>
        </w:tc>
        <w:tc>
          <w:tcPr>
            <w:tcW w:w="115" w:type="dxa"/>
            <w:tcBorders/>
            <w:shd w:fill="FFFFFF" w:val="clear"/>
            <w:vAlign w:val="center"/>
          </w:tcPr>
          <w:p>
            <w:pPr>
              <w:pStyle w:val="TableContents"/>
              <w:bidi w:val="0"/>
              <w:spacing w:before="0" w:after="283"/>
              <w:jc w:val="left"/>
              <w:rPr/>
            </w:pPr>
            <w:r>
              <w:rPr/>
              <w:t>)</w:t>
            </w:r>
            <w:bookmarkStart w:id="153" w:name="xdx_40C_eus-gaap--NetCashProvidedByUsedI"/>
            <w:bookmarkEnd w:id="153"/>
          </w:p>
        </w:tc>
      </w:tr>
      <w:tr>
        <w:trPr/>
        <w:tc>
          <w:tcPr>
            <w:tcW w:w="6326" w:type="dxa"/>
            <w:tcBorders/>
            <w:shd w:fill="CCEEFF" w:val="clear"/>
            <w:vAlign w:val="center"/>
          </w:tcPr>
          <w:p>
            <w:pPr>
              <w:pStyle w:val="TableContents"/>
              <w:bidi w:val="0"/>
              <w:spacing w:before="0" w:after="283"/>
              <w:jc w:val="left"/>
              <w:rPr/>
            </w:pPr>
            <w:r>
              <w:rPr/>
              <w:t>Net 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3" w:type="dxa"/>
            <w:tcBorders>
              <w:bottom w:val="single" w:sz="8" w:space="0" w:color="000000"/>
            </w:tcBorders>
            <w:shd w:fill="CCEEFF" w:val="clear"/>
            <w:tcMar>
              <w:bottom w:w="28" w:type="dxa"/>
            </w:tcMar>
            <w:vAlign w:val="center"/>
          </w:tcPr>
          <w:p>
            <w:pPr>
              <w:pStyle w:val="TableContents"/>
              <w:bidi w:val="0"/>
              <w:spacing w:before="0" w:after="283"/>
              <w:jc w:val="right"/>
              <w:rPr/>
            </w:pPr>
            <w:r>
              <w:rPr/>
              <w:t>(2,874</w:t>
            </w:r>
          </w:p>
        </w:tc>
        <w:tc>
          <w:tcPr>
            <w:tcW w:w="188" w:type="dxa"/>
            <w:tcBorders/>
            <w:shd w:fill="CCEEFF" w:val="clear"/>
            <w:vAlign w:val="center"/>
          </w:tcPr>
          <w:p>
            <w:pPr>
              <w:pStyle w:val="TableContents"/>
              <w:bidi w:val="0"/>
              <w:spacing w:before="0" w:after="283"/>
              <w:jc w:val="left"/>
              <w:rPr/>
            </w:pPr>
            <w:r>
              <w:rPr/>
              <w:t>)</w:t>
            </w:r>
          </w:p>
        </w:tc>
        <w:tc>
          <w:tcPr>
            <w:tcW w:w="118" w:type="dxa"/>
            <w:tcBorders/>
            <w:shd w:fill="CCEEFF" w:val="clear"/>
            <w:vAlign w:val="center"/>
          </w:tcPr>
          <w:p>
            <w:pPr>
              <w:pStyle w:val="TableContents"/>
              <w:bidi w:val="0"/>
              <w:spacing w:before="0" w:after="283"/>
              <w:jc w:val="left"/>
              <w:rPr/>
            </w:pPr>
            <w:r>
              <w:rPr/>
              <w:t> </w:t>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(2,420</w:t>
            </w:r>
          </w:p>
        </w:tc>
        <w:tc>
          <w:tcPr>
            <w:tcW w:w="115" w:type="dxa"/>
            <w:tcBorders/>
            <w:shd w:fill="CCEEFF" w:val="clear"/>
            <w:vAlign w:val="center"/>
          </w:tcPr>
          <w:p>
            <w:pPr>
              <w:pStyle w:val="TableContents"/>
              <w:bidi w:val="0"/>
              <w:spacing w:before="0" w:after="283"/>
              <w:jc w:val="left"/>
              <w:rPr/>
            </w:pPr>
            <w:r>
              <w:rPr/>
              <w:t>)</w:t>
            </w:r>
            <w:bookmarkStart w:id="154" w:name="xdx_40B_eus-gaap--NetCashProvidedByUsedI"/>
            <w:bookmarkEnd w:id="154"/>
          </w:p>
        </w:tc>
      </w:tr>
      <w:tr>
        <w:trPr/>
        <w:tc>
          <w:tcPr>
            <w:tcW w:w="6326"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55" w:name="xdx_403_eus-gaap--PaymentsToAcquirePrope"/>
            <w:bookmarkEnd w:id="155"/>
          </w:p>
        </w:tc>
      </w:tr>
      <w:tr>
        <w:trPr/>
        <w:tc>
          <w:tcPr>
            <w:tcW w:w="6326"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(13</w:t>
            </w:r>
          </w:p>
        </w:tc>
        <w:tc>
          <w:tcPr>
            <w:tcW w:w="188" w:type="dxa"/>
            <w:tcBorders/>
            <w:shd w:fill="CCEEFF" w:val="clear"/>
            <w:vAlign w:val="center"/>
          </w:tcPr>
          <w:p>
            <w:pPr>
              <w:pStyle w:val="TableContents"/>
              <w:bidi w:val="0"/>
              <w:spacing w:before="0" w:after="283"/>
              <w:jc w:val="left"/>
              <w:rPr/>
            </w:pPr>
            <w:r>
              <w:rPr/>
              <w:t>)</w:t>
            </w:r>
          </w:p>
        </w:tc>
        <w:tc>
          <w:tcPr>
            <w:tcW w:w="118"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(14</w:t>
            </w:r>
          </w:p>
        </w:tc>
        <w:tc>
          <w:tcPr>
            <w:tcW w:w="115" w:type="dxa"/>
            <w:tcBorders/>
            <w:shd w:fill="CCEEFF" w:val="clear"/>
            <w:vAlign w:val="center"/>
          </w:tcPr>
          <w:p>
            <w:pPr>
              <w:pStyle w:val="TableContents"/>
              <w:bidi w:val="0"/>
              <w:spacing w:before="0" w:after="283"/>
              <w:jc w:val="left"/>
              <w:rPr/>
            </w:pPr>
            <w:r>
              <w:rPr/>
              <w:t>)</w:t>
            </w:r>
            <w:bookmarkStart w:id="156" w:name="xdx_40F_eus-gaap--PaymentsToAcquireHeldT"/>
            <w:bookmarkEnd w:id="156"/>
          </w:p>
        </w:tc>
      </w:tr>
      <w:tr>
        <w:trPr/>
        <w:tc>
          <w:tcPr>
            <w:tcW w:w="6326" w:type="dxa"/>
            <w:tcBorders/>
            <w:shd w:fill="FFFFFF" w:val="clear"/>
            <w:vAlign w:val="center"/>
          </w:tcPr>
          <w:p>
            <w:pPr>
              <w:pStyle w:val="TableContents"/>
              <w:bidi w:val="0"/>
              <w:spacing w:before="0" w:after="283"/>
              <w:jc w:val="left"/>
              <w:rPr/>
            </w:pPr>
            <w:r>
              <w:rPr/>
              <w:t>Purchases of marketable securities</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(28,118</w:t>
            </w:r>
          </w:p>
        </w:tc>
        <w:tc>
          <w:tcPr>
            <w:tcW w:w="188" w:type="dxa"/>
            <w:tcBorders/>
            <w:shd w:fill="FFFFFF" w:val="clear"/>
            <w:vAlign w:val="center"/>
          </w:tcPr>
          <w:p>
            <w:pPr>
              <w:pStyle w:val="TableContents"/>
              <w:bidi w:val="0"/>
              <w:spacing w:before="0" w:after="283"/>
              <w:jc w:val="left"/>
              <w:rPr/>
            </w:pPr>
            <w:r>
              <w:rPr/>
              <w:t>)</w:t>
            </w:r>
          </w:p>
        </w:tc>
        <w:tc>
          <w:tcPr>
            <w:tcW w:w="118"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(5,120</w:t>
            </w:r>
          </w:p>
        </w:tc>
        <w:tc>
          <w:tcPr>
            <w:tcW w:w="115" w:type="dxa"/>
            <w:tcBorders/>
            <w:shd w:fill="FFFFFF" w:val="clear"/>
            <w:vAlign w:val="center"/>
          </w:tcPr>
          <w:p>
            <w:pPr>
              <w:pStyle w:val="TableContents"/>
              <w:bidi w:val="0"/>
              <w:spacing w:before="0" w:after="283"/>
              <w:jc w:val="left"/>
              <w:rPr/>
            </w:pPr>
            <w:r>
              <w:rPr/>
              <w:t>)</w:t>
            </w:r>
            <w:bookmarkStart w:id="157" w:name="xdx_403_eus-gaap--ProceedsFromSaleAndMat"/>
            <w:bookmarkEnd w:id="157"/>
          </w:p>
        </w:tc>
      </w:tr>
      <w:tr>
        <w:trPr/>
        <w:tc>
          <w:tcPr>
            <w:tcW w:w="6326" w:type="dxa"/>
            <w:tcBorders/>
            <w:shd w:fill="CCEEFF" w:val="clear"/>
            <w:vAlign w:val="center"/>
          </w:tcPr>
          <w:p>
            <w:pPr>
              <w:pStyle w:val="TableContents"/>
              <w:bidi w:val="0"/>
              <w:spacing w:before="0" w:after="283"/>
              <w:jc w:val="left"/>
              <w:rPr/>
            </w:pPr>
            <w:r>
              <w:rPr/>
              <w:t>Proceeds from sales of a marketable securities</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3,301</w:t>
            </w:r>
          </w:p>
        </w:tc>
        <w:tc>
          <w:tcPr>
            <w:tcW w:w="18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1,350</w:t>
            </w:r>
          </w:p>
        </w:tc>
        <w:tc>
          <w:tcPr>
            <w:tcW w:w="115" w:type="dxa"/>
            <w:tcBorders/>
            <w:shd w:fill="CCEEFF" w:val="clear"/>
            <w:vAlign w:val="center"/>
          </w:tcPr>
          <w:p>
            <w:pPr>
              <w:pStyle w:val="TableContents"/>
              <w:bidi w:val="0"/>
              <w:spacing w:before="0" w:after="283"/>
              <w:jc w:val="left"/>
              <w:rPr/>
            </w:pPr>
            <w:r>
              <w:rPr/>
              <w:t> </w:t>
            </w:r>
            <w:bookmarkStart w:id="158" w:name="xdx_40B_eus-gaap--ProceedsFromSaleAndMat"/>
            <w:bookmarkEnd w:id="158"/>
          </w:p>
        </w:tc>
      </w:tr>
      <w:tr>
        <w:trPr/>
        <w:tc>
          <w:tcPr>
            <w:tcW w:w="6326" w:type="dxa"/>
            <w:tcBorders/>
            <w:shd w:fill="FFFFFF" w:val="clear"/>
            <w:vAlign w:val="center"/>
          </w:tcPr>
          <w:p>
            <w:pPr>
              <w:pStyle w:val="TableContents"/>
              <w:bidi w:val="0"/>
              <w:spacing w:before="0" w:after="283"/>
              <w:jc w:val="left"/>
              <w:rPr/>
            </w:pPr>
            <w:r>
              <w:rPr/>
              <w:t>Proceeds from maturities of marketable securities</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8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2,500</w:t>
            </w:r>
          </w:p>
        </w:tc>
        <w:tc>
          <w:tcPr>
            <w:tcW w:w="115" w:type="dxa"/>
            <w:tcBorders/>
            <w:shd w:fill="FFFFFF" w:val="clear"/>
            <w:vAlign w:val="center"/>
          </w:tcPr>
          <w:p>
            <w:pPr>
              <w:pStyle w:val="TableContents"/>
              <w:bidi w:val="0"/>
              <w:spacing w:before="0" w:after="283"/>
              <w:jc w:val="left"/>
              <w:rPr/>
            </w:pPr>
            <w:r>
              <w:rPr/>
              <w:t> </w:t>
            </w:r>
            <w:bookmarkStart w:id="159" w:name="xdx_403_eus-gaap--NetCashProvidedByUsedI"/>
            <w:bookmarkEnd w:id="159"/>
          </w:p>
        </w:tc>
      </w:tr>
      <w:tr>
        <w:trPr/>
        <w:tc>
          <w:tcPr>
            <w:tcW w:w="6326" w:type="dxa"/>
            <w:tcBorders/>
            <w:shd w:fill="CCEEFF" w:val="clear"/>
            <w:vAlign w:val="center"/>
          </w:tcPr>
          <w:p>
            <w:pPr>
              <w:pStyle w:val="TableContents"/>
              <w:bidi w:val="0"/>
              <w:spacing w:before="0" w:after="283"/>
              <w:jc w:val="left"/>
              <w:rPr/>
            </w:pPr>
            <w:r>
              <w:rPr/>
              <w:t>Net cash flows used in investing activities</w:t>
            </w:r>
          </w:p>
        </w:tc>
        <w:tc>
          <w:tcPr>
            <w:tcW w:w="60" w:type="dxa"/>
            <w:tcBorders/>
            <w:shd w:fill="CCEEFF" w:val="clear"/>
            <w:vAlign w:val="center"/>
          </w:tcPr>
          <w:p>
            <w:pPr>
              <w:pStyle w:val="TableContents"/>
              <w:bidi w:val="0"/>
              <w:spacing w:before="0" w:after="283"/>
              <w:jc w:val="lef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3" w:type="dxa"/>
            <w:tcBorders>
              <w:bottom w:val="single" w:sz="8" w:space="0" w:color="000000"/>
            </w:tcBorders>
            <w:shd w:fill="CCEEFF" w:val="clear"/>
            <w:tcMar>
              <w:bottom w:w="28" w:type="dxa"/>
            </w:tcMar>
            <w:vAlign w:val="center"/>
          </w:tcPr>
          <w:p>
            <w:pPr>
              <w:pStyle w:val="TableContents"/>
              <w:bidi w:val="0"/>
              <w:spacing w:before="0" w:after="283"/>
              <w:jc w:val="right"/>
              <w:rPr/>
            </w:pPr>
            <w:r>
              <w:rPr/>
              <w:t>(24,830</w:t>
            </w:r>
          </w:p>
        </w:tc>
        <w:tc>
          <w:tcPr>
            <w:tcW w:w="188" w:type="dxa"/>
            <w:tcBorders/>
            <w:shd w:fill="CCEEFF" w:val="clear"/>
            <w:vAlign w:val="center"/>
          </w:tcPr>
          <w:p>
            <w:pPr>
              <w:pStyle w:val="TableContents"/>
              <w:bidi w:val="0"/>
              <w:spacing w:before="0" w:after="283"/>
              <w:jc w:val="left"/>
              <w:rPr/>
            </w:pPr>
            <w:r>
              <w:rPr/>
              <w:t>)</w:t>
            </w:r>
          </w:p>
        </w:tc>
        <w:tc>
          <w:tcPr>
            <w:tcW w:w="118" w:type="dxa"/>
            <w:tcBorders/>
            <w:shd w:fill="CCEEFF" w:val="clear"/>
            <w:vAlign w:val="center"/>
          </w:tcPr>
          <w:p>
            <w:pPr>
              <w:pStyle w:val="TableContents"/>
              <w:bidi w:val="0"/>
              <w:spacing w:before="0" w:after="283"/>
              <w:jc w:val="left"/>
              <w:rPr/>
            </w:pPr>
            <w:r>
              <w:rPr/>
              <w:t> </w:t>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(1,284</w:t>
            </w:r>
          </w:p>
        </w:tc>
        <w:tc>
          <w:tcPr>
            <w:tcW w:w="115" w:type="dxa"/>
            <w:tcBorders/>
            <w:shd w:fill="CCEEFF" w:val="clear"/>
            <w:vAlign w:val="center"/>
          </w:tcPr>
          <w:p>
            <w:pPr>
              <w:pStyle w:val="TableContents"/>
              <w:bidi w:val="0"/>
              <w:spacing w:before="0" w:after="283"/>
              <w:jc w:val="left"/>
              <w:rPr/>
            </w:pPr>
            <w:r>
              <w:rPr/>
              <w:t>)</w:t>
            </w:r>
          </w:p>
        </w:tc>
      </w:tr>
      <w:tr>
        <w:trPr/>
        <w:tc>
          <w:tcPr>
            <w:tcW w:w="6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60" w:name="xdx_409_eus-gaap--NetCashProvidedByUsedI"/>
            <w:bookmarkEnd w:id="160"/>
          </w:p>
        </w:tc>
      </w:tr>
      <w:tr>
        <w:trPr/>
        <w:tc>
          <w:tcPr>
            <w:tcW w:w="6326"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61" w:name="xdx_403_eus-gaap--ProceedsFromIssuanceOr"/>
            <w:bookmarkEnd w:id="161"/>
          </w:p>
        </w:tc>
      </w:tr>
      <w:tr>
        <w:trPr/>
        <w:tc>
          <w:tcPr>
            <w:tcW w:w="6326" w:type="dxa"/>
            <w:tcBorders/>
            <w:shd w:fill="FFFFFF" w:val="clear"/>
            <w:vAlign w:val="center"/>
          </w:tcPr>
          <w:p>
            <w:pPr>
              <w:pStyle w:val="TableContents"/>
              <w:bidi w:val="0"/>
              <w:spacing w:before="0" w:after="283"/>
              <w:jc w:val="left"/>
              <w:rPr/>
            </w:pPr>
            <w:r>
              <w:rPr/>
              <w:t>Issuance of common stock and warrants, net of issuance costs</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3" w:type="dxa"/>
            <w:tcBorders>
              <w:bottom w:val="single" w:sz="8" w:space="0" w:color="000000"/>
            </w:tcBorders>
            <w:shd w:fill="FFFFFF" w:val="clear"/>
            <w:tcMar>
              <w:bottom w:w="28" w:type="dxa"/>
            </w:tcMar>
            <w:vAlign w:val="center"/>
          </w:tcPr>
          <w:p>
            <w:pPr>
              <w:pStyle w:val="TableContents"/>
              <w:bidi w:val="0"/>
              <w:spacing w:before="0" w:after="283"/>
              <w:jc w:val="right"/>
              <w:rPr/>
            </w:pPr>
            <w:r>
              <w:rPr/>
              <w:t>27,806</w:t>
            </w:r>
          </w:p>
        </w:tc>
        <w:tc>
          <w:tcPr>
            <w:tcW w:w="18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2,397</w:t>
            </w:r>
          </w:p>
        </w:tc>
        <w:tc>
          <w:tcPr>
            <w:tcW w:w="115" w:type="dxa"/>
            <w:tcBorders/>
            <w:shd w:fill="FFFFFF" w:val="clear"/>
            <w:vAlign w:val="center"/>
          </w:tcPr>
          <w:p>
            <w:pPr>
              <w:pStyle w:val="TableContents"/>
              <w:bidi w:val="0"/>
              <w:spacing w:before="0" w:after="283"/>
              <w:jc w:val="left"/>
              <w:rPr/>
            </w:pPr>
            <w:r>
              <w:rPr/>
              <w:t> </w:t>
            </w:r>
            <w:bookmarkStart w:id="162" w:name="xdx_402_eus-gaap--NetCashProvidedByUsedI"/>
            <w:bookmarkEnd w:id="162"/>
          </w:p>
        </w:tc>
      </w:tr>
      <w:tr>
        <w:trPr/>
        <w:tc>
          <w:tcPr>
            <w:tcW w:w="6326" w:type="dxa"/>
            <w:tcBorders/>
            <w:shd w:fill="CCEEFF" w:val="clear"/>
            <w:vAlign w:val="center"/>
          </w:tcPr>
          <w:p>
            <w:pPr>
              <w:pStyle w:val="TableContents"/>
              <w:bidi w:val="0"/>
              <w:spacing w:before="0" w:after="283"/>
              <w:jc w:val="left"/>
              <w:rPr/>
            </w:pPr>
            <w:r>
              <w:rPr/>
              <w:t>Net cash flows provided by financing activities</w:t>
            </w:r>
          </w:p>
        </w:tc>
        <w:tc>
          <w:tcPr>
            <w:tcW w:w="60" w:type="dxa"/>
            <w:tcBorders/>
            <w:shd w:fill="CCEEFF" w:val="clear"/>
            <w:vAlign w:val="center"/>
          </w:tcPr>
          <w:p>
            <w:pPr>
              <w:pStyle w:val="TableContents"/>
              <w:bidi w:val="0"/>
              <w:spacing w:before="0" w:after="283"/>
              <w:jc w:val="lef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3" w:type="dxa"/>
            <w:tcBorders>
              <w:bottom w:val="single" w:sz="8" w:space="0" w:color="000000"/>
            </w:tcBorders>
            <w:shd w:fill="CCEEFF" w:val="clear"/>
            <w:tcMar>
              <w:bottom w:w="28" w:type="dxa"/>
            </w:tcMar>
            <w:vAlign w:val="center"/>
          </w:tcPr>
          <w:p>
            <w:pPr>
              <w:pStyle w:val="TableContents"/>
              <w:bidi w:val="0"/>
              <w:spacing w:before="0" w:after="283"/>
              <w:jc w:val="right"/>
              <w:rPr/>
            </w:pPr>
            <w:r>
              <w:rPr/>
              <w:t>27,806</w:t>
            </w:r>
          </w:p>
        </w:tc>
        <w:tc>
          <w:tcPr>
            <w:tcW w:w="18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2,397</w:t>
            </w:r>
          </w:p>
        </w:tc>
        <w:tc>
          <w:tcPr>
            <w:tcW w:w="115" w:type="dxa"/>
            <w:tcBorders/>
            <w:shd w:fill="CCEEFF" w:val="clear"/>
            <w:vAlign w:val="center"/>
          </w:tcPr>
          <w:p>
            <w:pPr>
              <w:pStyle w:val="TableContents"/>
              <w:bidi w:val="0"/>
              <w:spacing w:before="0" w:after="283"/>
              <w:jc w:val="left"/>
              <w:rPr/>
            </w:pPr>
            <w:r>
              <w:rPr/>
              <w:t> </w:t>
            </w:r>
          </w:p>
        </w:tc>
      </w:tr>
      <w:tr>
        <w:trPr/>
        <w:tc>
          <w:tcPr>
            <w:tcW w:w="6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63" w:name="xdx_400_eus-gaap--CashCashEquivalentsRes"/>
            <w:bookmarkEnd w:id="163"/>
          </w:p>
        </w:tc>
      </w:tr>
      <w:tr>
        <w:trPr/>
        <w:tc>
          <w:tcPr>
            <w:tcW w:w="6326" w:type="dxa"/>
            <w:tcBorders/>
            <w:shd w:fill="CCEEFF" w:val="clear"/>
            <w:vAlign w:val="center"/>
          </w:tcPr>
          <w:p>
            <w:pPr>
              <w:pStyle w:val="TableContents"/>
              <w:bidi w:val="0"/>
              <w:spacing w:before="0" w:after="283"/>
              <w:jc w:val="left"/>
              <w:rPr/>
            </w:pPr>
            <w:r>
              <w:rPr/>
              <w:t>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102</w:t>
            </w:r>
          </w:p>
        </w:tc>
        <w:tc>
          <w:tcPr>
            <w:tcW w:w="18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(1,307</w:t>
            </w:r>
          </w:p>
        </w:tc>
        <w:tc>
          <w:tcPr>
            <w:tcW w:w="115" w:type="dxa"/>
            <w:tcBorders/>
            <w:shd w:fill="CCEEFF" w:val="clear"/>
            <w:vAlign w:val="center"/>
          </w:tcPr>
          <w:p>
            <w:pPr>
              <w:pStyle w:val="TableContents"/>
              <w:bidi w:val="0"/>
              <w:spacing w:before="0" w:after="283"/>
              <w:jc w:val="left"/>
              <w:rPr/>
            </w:pPr>
            <w:r>
              <w:rPr/>
              <w:t>)</w:t>
            </w:r>
            <w:bookmarkStart w:id="164" w:name="xdx_401_eus-gaap--CashCashEquivalentsRes"/>
            <w:bookmarkEnd w:id="164"/>
          </w:p>
        </w:tc>
      </w:tr>
      <w:tr>
        <w:trPr/>
        <w:tc>
          <w:tcPr>
            <w:tcW w:w="6326" w:type="dxa"/>
            <w:tcBorders/>
            <w:shd w:fill="FFFFFF" w:val="clear"/>
            <w:vAlign w:val="center"/>
          </w:tcPr>
          <w:p>
            <w:pPr>
              <w:pStyle w:val="TableContents"/>
              <w:bidi w:val="0"/>
              <w:spacing w:before="0" w:after="283"/>
              <w:jc w:val="left"/>
              <w:rPr/>
            </w:pPr>
            <w:r>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3" w:type="dxa"/>
            <w:tcBorders>
              <w:bottom w:val="single" w:sz="8" w:space="0" w:color="000000"/>
            </w:tcBorders>
            <w:shd w:fill="FFFFFF" w:val="clear"/>
            <w:tcMar>
              <w:bottom w:w="28" w:type="dxa"/>
            </w:tcMar>
            <w:vAlign w:val="center"/>
          </w:tcPr>
          <w:p>
            <w:pPr>
              <w:pStyle w:val="TableContents"/>
              <w:bidi w:val="0"/>
              <w:spacing w:before="0" w:after="283"/>
              <w:jc w:val="right"/>
              <w:rPr/>
            </w:pPr>
            <w:r>
              <w:rPr/>
              <w:t>3,163</w:t>
            </w:r>
          </w:p>
        </w:tc>
        <w:tc>
          <w:tcPr>
            <w:tcW w:w="18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2,517</w:t>
            </w:r>
          </w:p>
        </w:tc>
        <w:tc>
          <w:tcPr>
            <w:tcW w:w="115" w:type="dxa"/>
            <w:tcBorders/>
            <w:shd w:fill="FFFFFF" w:val="clear"/>
            <w:vAlign w:val="center"/>
          </w:tcPr>
          <w:p>
            <w:pPr>
              <w:pStyle w:val="TableContents"/>
              <w:bidi w:val="0"/>
              <w:spacing w:before="0" w:after="283"/>
              <w:jc w:val="left"/>
              <w:rPr/>
            </w:pPr>
            <w:r>
              <w:rPr/>
              <w:t> </w:t>
            </w:r>
            <w:bookmarkStart w:id="165" w:name="xdx_402_eus-gaap--CashCashEquivalentsRes"/>
            <w:bookmarkEnd w:id="165"/>
          </w:p>
        </w:tc>
      </w:tr>
      <w:tr>
        <w:trPr/>
        <w:tc>
          <w:tcPr>
            <w:tcW w:w="6326" w:type="dxa"/>
            <w:tcBorders/>
            <w:shd w:fill="CCEEFF" w:val="clear"/>
            <w:vAlign w:val="center"/>
          </w:tcPr>
          <w:p>
            <w:pPr>
              <w:pStyle w:val="TableContents"/>
              <w:bidi w:val="0"/>
              <w:spacing w:before="0" w:after="283"/>
              <w:jc w:val="left"/>
              <w:rPr/>
            </w:pPr>
            <w:r>
              <w:rPr/>
              <w:t>Cash,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3" w:type="dxa"/>
            <w:tcBorders>
              <w:bottom w:val="double" w:sz="6" w:space="0" w:color="000000"/>
            </w:tcBorders>
            <w:shd w:fill="CCEEFF" w:val="clear"/>
            <w:tcMar>
              <w:bottom w:w="28" w:type="dxa"/>
            </w:tcMar>
            <w:vAlign w:val="center"/>
          </w:tcPr>
          <w:p>
            <w:pPr>
              <w:pStyle w:val="TableContents"/>
              <w:bidi w:val="0"/>
              <w:spacing w:before="0" w:after="283"/>
              <w:jc w:val="right"/>
              <w:rPr/>
            </w:pPr>
            <w:r>
              <w:rPr/>
              <w:t>3,265</w:t>
            </w:r>
          </w:p>
        </w:tc>
        <w:tc>
          <w:tcPr>
            <w:tcW w:w="18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1,210</w:t>
            </w:r>
          </w:p>
        </w:tc>
        <w:tc>
          <w:tcPr>
            <w:tcW w:w="115" w:type="dxa"/>
            <w:tcBorders/>
            <w:shd w:fill="CCEEFF" w:val="clear"/>
            <w:vAlign w:val="center"/>
          </w:tcPr>
          <w:p>
            <w:pPr>
              <w:pStyle w:val="TableContents"/>
              <w:bidi w:val="0"/>
              <w:spacing w:before="0" w:after="283"/>
              <w:jc w:val="left"/>
              <w:rPr/>
            </w:pPr>
            <w:r>
              <w:rPr/>
              <w:t> </w:t>
            </w:r>
          </w:p>
        </w:tc>
      </w:tr>
      <w:tr>
        <w:trPr/>
        <w:tc>
          <w:tcPr>
            <w:tcW w:w="6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66" w:name="xdx_404_eus-gaap--CashFlowNoncashInvesti"/>
            <w:bookmarkEnd w:id="166"/>
          </w:p>
        </w:tc>
      </w:tr>
      <w:tr>
        <w:trPr/>
        <w:tc>
          <w:tcPr>
            <w:tcW w:w="6326" w:type="dxa"/>
            <w:tcBorders/>
            <w:shd w:fill="CCEEFF" w:val="clear"/>
            <w:vAlign w:val="center"/>
          </w:tcPr>
          <w:p>
            <w:pPr>
              <w:pStyle w:val="TableContents"/>
              <w:bidi w:val="0"/>
              <w:spacing w:before="0" w:after="283"/>
              <w:jc w:val="left"/>
              <w:rPr/>
            </w:pPr>
            <w:r>
              <w:rPr/>
              <w:t>Supplemental disclosure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67" w:name="xdx_40B_eus-gaap--RightOfUseAssetObtaine"/>
            <w:bookmarkEnd w:id="167"/>
          </w:p>
        </w:tc>
      </w:tr>
      <w:tr>
        <w:trPr/>
        <w:tc>
          <w:tcPr>
            <w:tcW w:w="6326" w:type="dxa"/>
            <w:tcBorders/>
            <w:shd w:fill="FFFFFF" w:val="clear"/>
            <w:vAlign w:val="center"/>
          </w:tcPr>
          <w:p>
            <w:pPr>
              <w:pStyle w:val="TableContents"/>
              <w:bidi w:val="0"/>
              <w:spacing w:before="0" w:after="283"/>
              <w:jc w:val="left"/>
              <w:rPr/>
            </w:pPr>
            <w:r>
              <w:rPr/>
              <w:t>Right-of-use assets obtained in exchange for lease liabilities</w:t>
            </w:r>
          </w:p>
        </w:tc>
        <w:tc>
          <w:tcPr>
            <w:tcW w:w="60"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03" w:type="dxa"/>
            <w:tcBorders>
              <w:bottom w:val="double" w:sz="6" w:space="0" w:color="000000"/>
            </w:tcBorders>
            <w:shd w:fill="FFFFFF" w:val="clear"/>
            <w:tcMar>
              <w:bottom w:w="28" w:type="dxa"/>
            </w:tcMar>
            <w:vAlign w:val="center"/>
          </w:tcPr>
          <w:p>
            <w:pPr>
              <w:pStyle w:val="TableContents"/>
              <w:bidi w:val="0"/>
              <w:spacing w:before="0" w:after="283"/>
              <w:jc w:val="right"/>
              <w:rPr/>
            </w:pPr>
            <w:r>
              <w:rPr/>
              <w:t>47</w:t>
            </w:r>
          </w:p>
        </w:tc>
        <w:tc>
          <w:tcPr>
            <w:tcW w:w="18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pPr>
            <w:r>
              <w:rPr/>
              <w:t>37</w:t>
            </w:r>
          </w:p>
        </w:tc>
        <w:tc>
          <w:tcPr>
            <w:tcW w:w="115" w:type="dxa"/>
            <w:tcBorders/>
            <w:shd w:fill="FFFFFF" w:val="clear"/>
            <w:vAlign w:val="center"/>
          </w:tcPr>
          <w:p>
            <w:pPr>
              <w:pStyle w:val="TableContents"/>
              <w:bidi w:val="0"/>
              <w:spacing w:before="0" w:after="283"/>
              <w:jc w:val="left"/>
              <w:rPr/>
            </w:pPr>
            <w:r>
              <w:rPr/>
              <w:t> </w:t>
            </w:r>
            <w:bookmarkStart w:id="168" w:name="xdx_407_ecustom--DeferredExpensesOffsetA"/>
            <w:bookmarkEnd w:id="168"/>
          </w:p>
        </w:tc>
      </w:tr>
      <w:tr>
        <w:trPr/>
        <w:tc>
          <w:tcPr>
            <w:tcW w:w="6326" w:type="dxa"/>
            <w:tcBorders/>
            <w:shd w:fill="CCEEFF" w:val="clear"/>
            <w:vAlign w:val="center"/>
          </w:tcPr>
          <w:p>
            <w:pPr>
              <w:pStyle w:val="TableContents"/>
              <w:bidi w:val="0"/>
              <w:spacing w:before="0" w:after="283"/>
              <w:jc w:val="left"/>
              <w:rPr/>
            </w:pPr>
            <w:r>
              <w:rPr/>
              <w:t>Deferred expenses offset against additional paid in capital</w:t>
            </w:r>
          </w:p>
        </w:tc>
        <w:tc>
          <w:tcPr>
            <w:tcW w:w="60" w:type="dxa"/>
            <w:tcBorders/>
            <w:shd w:fill="CCEEFF" w:val="clear"/>
            <w:vAlign w:val="center"/>
          </w:tcPr>
          <w:p>
            <w:pPr>
              <w:pStyle w:val="TableContents"/>
              <w:bidi w:val="0"/>
              <w:spacing w:before="0" w:after="283"/>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3" w:type="dxa"/>
            <w:tcBorders>
              <w:bottom w:val="double" w:sz="6" w:space="0" w:color="000000"/>
            </w:tcBorders>
            <w:shd w:fill="CCEEFF" w:val="clear"/>
            <w:tcMar>
              <w:bottom w:w="28" w:type="dxa"/>
            </w:tcMar>
            <w:vAlign w:val="center"/>
          </w:tcPr>
          <w:p>
            <w:pPr>
              <w:pStyle w:val="TableContents"/>
              <w:bidi w:val="0"/>
              <w:spacing w:before="0" w:after="283"/>
              <w:jc w:val="right"/>
              <w:rPr/>
            </w:pPr>
            <w:r>
              <w:rPr/>
              <w:t>30</w:t>
            </w:r>
          </w:p>
        </w:tc>
        <w:tc>
          <w:tcPr>
            <w:tcW w:w="18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69" w:name="xdx_407_ecustom--IssuanceExpensesNotPaid"/>
            <w:bookmarkEnd w:id="169"/>
          </w:p>
        </w:tc>
      </w:tr>
      <w:tr>
        <w:trPr/>
        <w:tc>
          <w:tcPr>
            <w:tcW w:w="6326" w:type="dxa"/>
            <w:tcBorders/>
            <w:shd w:fill="FFFFFF" w:val="clear"/>
            <w:vAlign w:val="center"/>
          </w:tcPr>
          <w:p>
            <w:pPr>
              <w:pStyle w:val="TableContents"/>
              <w:bidi w:val="0"/>
              <w:spacing w:before="0" w:after="283"/>
              <w:jc w:val="left"/>
              <w:rPr/>
            </w:pPr>
            <w:r>
              <w:rPr/>
              <w:t>Issuance expenses not paid</w:t>
            </w:r>
          </w:p>
        </w:tc>
        <w:tc>
          <w:tcPr>
            <w:tcW w:w="60"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03" w:type="dxa"/>
            <w:tcBorders>
              <w:bottom w:val="double" w:sz="6" w:space="0" w:color="000000"/>
            </w:tcBorders>
            <w:shd w:fill="FFFFFF" w:val="clear"/>
            <w:tcMar>
              <w:bottom w:w="28" w:type="dxa"/>
            </w:tcMar>
            <w:vAlign w:val="center"/>
          </w:tcPr>
          <w:p>
            <w:pPr>
              <w:pStyle w:val="TableContents"/>
              <w:bidi w:val="0"/>
              <w:spacing w:before="0" w:after="283"/>
              <w:jc w:val="right"/>
              <w:rPr/>
            </w:pPr>
            <w:r>
              <w:rPr/>
              <w:t>10</w:t>
            </w:r>
          </w:p>
        </w:tc>
        <w:tc>
          <w:tcPr>
            <w:tcW w:w="18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70" w:name="xdx_402_eus-gaap--StockIssued1_i01_zC3O1"/>
            <w:bookmarkEnd w:id="170"/>
          </w:p>
        </w:tc>
      </w:tr>
      <w:tr>
        <w:trPr/>
        <w:tc>
          <w:tcPr>
            <w:tcW w:w="6326" w:type="dxa"/>
            <w:tcBorders/>
            <w:shd w:fill="CCEEFF" w:val="clear"/>
            <w:vAlign w:val="center"/>
          </w:tcPr>
          <w:p>
            <w:pPr>
              <w:pStyle w:val="TableContents"/>
              <w:bidi w:val="0"/>
              <w:spacing w:before="0" w:after="283"/>
              <w:jc w:val="left"/>
              <w:rPr/>
            </w:pPr>
            <w:r>
              <w:rPr/>
              <w:t>Legal settlement settled through issuance of common stock</w:t>
            </w:r>
          </w:p>
        </w:tc>
        <w:tc>
          <w:tcPr>
            <w:tcW w:w="60" w:type="dxa"/>
            <w:tcBorders/>
            <w:shd w:fill="CCEEFF" w:val="clear"/>
            <w:vAlign w:val="center"/>
          </w:tcPr>
          <w:p>
            <w:pPr>
              <w:pStyle w:val="TableContents"/>
              <w:bidi w:val="0"/>
              <w:spacing w:before="0" w:after="283"/>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8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1,111</w:t>
            </w:r>
          </w:p>
        </w:tc>
        <w:tc>
          <w:tcPr>
            <w:tcW w:w="115" w:type="dxa"/>
            <w:tcBorders/>
            <w:shd w:fill="CCEEFF" w:val="clear"/>
            <w:vAlign w:val="center"/>
          </w:tcPr>
          <w:p>
            <w:pPr>
              <w:pStyle w:val="TableContents"/>
              <w:bidi w:val="0"/>
              <w:spacing w:before="0" w:after="283"/>
              <w:jc w:val="left"/>
              <w:rPr/>
            </w:pPr>
            <w:r>
              <w:rPr/>
              <w:t> </w:t>
            </w:r>
            <w:bookmarkStart w:id="171" w:name="xdx_403_ecustom--AccruedBonusSettledThro"/>
            <w:bookmarkEnd w:id="171"/>
          </w:p>
        </w:tc>
      </w:tr>
      <w:tr>
        <w:trPr/>
        <w:tc>
          <w:tcPr>
            <w:tcW w:w="6326" w:type="dxa"/>
            <w:tcBorders/>
            <w:shd w:fill="FFFFFF" w:val="clear"/>
            <w:vAlign w:val="center"/>
          </w:tcPr>
          <w:p>
            <w:pPr>
              <w:pStyle w:val="TableContents"/>
              <w:bidi w:val="0"/>
              <w:spacing w:before="0" w:after="283"/>
              <w:jc w:val="left"/>
              <w:rPr/>
            </w:pPr>
            <w:r>
              <w:rPr/>
              <w:t>Accrued bonus settled through grant of stock-option awards</w:t>
            </w:r>
          </w:p>
        </w:tc>
        <w:tc>
          <w:tcPr>
            <w:tcW w:w="60"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0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8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pPr>
            <w:r>
              <w:rPr/>
              <w:t>76</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72" w:name="sk_005"/>
      <w:bookmarkEnd w:id="172"/>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Interim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3" w:name="xdx_802_eus-gaap--NatureOfOperations_z0Y"/>
      <w:bookmarkEnd w:id="173"/>
      <w:r>
        <w:rPr>
          <w:rFonts w:ascii="Times New Roman;Times;Serif" w:hAnsi="Times New Roman;Times;Serif"/>
          <w:b/>
          <w:i w:val="false"/>
          <w:caps w:val="false"/>
          <w:smallCaps w:val="false"/>
          <w:sz w:val="20"/>
        </w:rPr>
        <w:t xml:space="preserve">NOTE 1 – </w:t>
      </w:r>
      <w:bookmarkStart w:id="174" w:name="xdx_82F_zd9LesVQ5MD2"/>
      <w:bookmarkEnd w:id="174"/>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(the “Company”) is a pre-commercial, clinical-stage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incorporated on </w:t>
      </w:r>
      <w:bookmarkStart w:id="175" w:name="xdx_909_edei--EntityIncorporationDateOfI"/>
      <w:bookmarkEnd w:id="175"/>
      <w:r>
        <w:rPr>
          <w:rFonts w:ascii="Times New Roman;Times;Serif" w:hAnsi="Times New Roman;Times;Serif"/>
          <w:b w:val="false"/>
          <w:i w:val="false"/>
          <w:caps w:val="false"/>
          <w:smallCaps w:val="false"/>
          <w:sz w:val="20"/>
        </w:rPr>
        <w:t>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Microbot Israel, its sole subsidiary, are sometimes collectively referred to as the “Company” as the context may require.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Risk Factors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not generated revenues from its operations. As of March 31, 2025, the Company had cash equivalents and marketable securities balance of approximately $</w:t>
      </w:r>
      <w:bookmarkStart w:id="176" w:name="xdx_903_eus-gaap--CashCashEquivalentsAnd"/>
      <w:bookmarkEnd w:id="176"/>
      <w:r>
        <w:rPr>
          <w:rFonts w:ascii="Times New Roman;Times;Serif" w:hAnsi="Times New Roman;Times;Serif"/>
          <w:b w:val="false"/>
          <w:i w:val="false"/>
          <w:caps w:val="false"/>
          <w:smallCaps w:val="false"/>
          <w:sz w:val="20"/>
        </w:rPr>
        <w:t>30,390, excluding restricted cash. Due to continuing research and development and pre-commercialization activities, the Company expects to continue to incur additional losses for the foreseeable future. Notwithstanding these conditions, the Company’s management has concluded that the available funds as of the balance sheet date, combined with the capital raises completed as described in Note 6, are sufficient to fund the Company’s operations for more than twelve months from the issuance date of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raise additional funds through future issuances of either debt and/or equity securities, including upon the cash exercise of outstanding investment options,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Israel-Hamas War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issuance date of these financial statements, although there have been temporary cease fires from time to time.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considered various ongoing risks relating to the military operations and related matters,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our Israeli subcontractors, vendors, suppliers and other companies in which the Company relies, are currently only partially active, as instructed by the relevant authorities; and</w:t>
            </w:r>
          </w:p>
        </w:tc>
      </w:tr>
    </w:tbl>
    <w:p>
      <w:pPr>
        <w:pStyle w:val="TextBody"/>
        <w:bidi w:val="0"/>
        <w:spacing w:before="0" w:after="0"/>
        <w:ind w:left="720" w:right="0" w:hanging="36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issuance date of these financial statements, the Company has determined that there have not been any materially adverse effects on its business or operations, but the Company continues to monitor the situation, as any collapse of a cease-fire with Hamas or Hezbollah that may be in effect from time to time, or any further or future escalation or change could result in a material adverse effect on the ability of  the Company’s Israeli office to support its clinical and regulatory activities. The Company does not have any specific contingency plans in the event of any such escalation or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Unaudited Interim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have been prepared in accordance with generally accepted accounting principles in the United States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 These interim consolidated condensed financial statements should be read in conjunction with the Company’s latest 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results for the three-month period ended March 31, 2025 are not necessarily indicative of the results that may be expected for the year ending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7" w:name="xdx_803_eus-gaap--SignificantAccountingP"/>
      <w:bookmarkEnd w:id="177"/>
      <w:r>
        <w:rPr>
          <w:rFonts w:ascii="Times New Roman;Times;Serif" w:hAnsi="Times New Roman;Times;Serif"/>
          <w:b/>
          <w:i w:val="false"/>
          <w:caps w:val="false"/>
          <w:smallCaps w:val="false"/>
          <w:sz w:val="20"/>
        </w:rPr>
        <w:t xml:space="preserve">NOTE 2 - </w:t>
      </w:r>
      <w:bookmarkStart w:id="178" w:name="xdx_820_zKt5XDaoyx6f"/>
      <w:bookmarkEnd w:id="178"/>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followed in the preparation of these unaudited interim condensed consolidated financial statements are identical to those applied in the preparation of the Company’s latest annual audited financial statements, except if noted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9" w:name="xdx_84E_eus-gaap--BasisOfAccountingPolic"/>
      <w:bookmarkEnd w:id="179"/>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have been prepared in conformity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0" w:name="xdx_842_eus-gaap--UseOfEstimates_z1BbpOc"/>
      <w:bookmarkEnd w:id="180"/>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1" w:name="xdx_841_eus-gaap--FairValueOfFinancialIn"/>
      <w:bookmarkEnd w:id="181"/>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cash and cash equivalents, other receivable and other accounts payable and accrued liabilities approximate their fair value due to the short-term maturity of these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hierarchy is used to rank the quality and reliability of the information used to determine fair values. Financial assets and liabilities carried at fair value will be classified and disclosed in one of the following three categories: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 Quoted prices (unadjusted) in active markets for identical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 xml:space="preserve">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xml:space="preserve"> - Unobservable inputs that are supported by little or no market activity and that are significant to the fair value of the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182" w:name="xdx_89E_eus-gaap--ScheduleOfFairValueAss"/>
      <w:bookmarkEnd w:id="182"/>
      <w:r>
        <w:rPr>
          <w:rFonts w:ascii="Times New Roman;Times;Serif" w:hAnsi="Times New Roman;Times;Serif"/>
          <w:b w:val="false"/>
          <w:i w:val="false"/>
          <w:caps w:val="false"/>
          <w:smallCaps w:val="false"/>
          <w:sz w:val="20"/>
        </w:rPr>
        <w:t>The following tables summarizes the Company’s financial assets subject to fair value measurement and the level of inputs used in such measurements as of March 31, 2025 and December 31, 2024:</w:t>
      </w:r>
    </w:p>
    <w:p>
      <w:pPr>
        <w:pStyle w:val="TextBody"/>
        <w:shd w:fill="FFFFFF" w:val="clear"/>
        <w:bidi w:val="0"/>
        <w:spacing w:before="0" w:after="0"/>
        <w:jc w:val="both"/>
        <w:rPr>
          <w:rFonts w:ascii="Times New Roman;Times;Serif" w:hAnsi="Times New Roman;Times;Serif"/>
          <w:b w:val="false"/>
          <w:i w:val="false"/>
          <w:caps w:val="false"/>
          <w:smallCaps w:val="false"/>
          <w:sz w:val="20"/>
        </w:rPr>
      </w:pPr>
      <w:bookmarkStart w:id="183" w:name="xdx_8BF_zVwfdyRi5Lz6"/>
      <w:bookmarkEnd w:id="183"/>
      <w:r>
        <w:rPr>
          <w:rFonts w:ascii="Times New Roman;Times;Serif" w:hAnsi="Times New Roman;Times;Serif"/>
          <w:b w:val="false"/>
          <w:i w:val="false"/>
          <w:caps w:val="false"/>
          <w:smallCaps w:val="false"/>
          <w:sz w:val="20"/>
        </w:rPr>
        <w:t>SCHEDULE OF FAIR VALUE MEASUREMENT INPUTS AND VALUATION TECHNIQUES </w:t>
      </w:r>
    </w:p>
    <w:tbl>
      <w:tblPr>
        <w:tblW w:w="6348" w:type="dxa"/>
        <w:jc w:val="left"/>
        <w:tblInd w:w="0" w:type="dxa"/>
        <w:tblLayout w:type="fixed"/>
        <w:tblCellMar>
          <w:top w:w="0" w:type="dxa"/>
          <w:left w:w="0" w:type="dxa"/>
          <w:bottom w:w="0" w:type="dxa"/>
          <w:right w:w="0" w:type="dxa"/>
        </w:tblCellMar>
      </w:tblPr>
      <w:tblGrid>
        <w:gridCol w:w="2705"/>
        <w:gridCol w:w="60"/>
        <w:gridCol w:w="140"/>
        <w:gridCol w:w="680"/>
        <w:gridCol w:w="60"/>
        <w:gridCol w:w="60"/>
        <w:gridCol w:w="140"/>
        <w:gridCol w:w="680"/>
        <w:gridCol w:w="60"/>
        <w:gridCol w:w="60"/>
        <w:gridCol w:w="211"/>
        <w:gridCol w:w="543"/>
        <w:gridCol w:w="60"/>
        <w:gridCol w:w="60"/>
        <w:gridCol w:w="187"/>
        <w:gridCol w:w="567"/>
        <w:gridCol w:w="75"/>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84" w:name="xdx_498_20250331_ztbuNiAxsh3i"/>
            <w:bookmarkEnd w:id="184"/>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5" w:name="xdx_497_20250331__us-gaap--FairValueByFa"/>
            <w:bookmarkEnd w:id="185"/>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6" w:name="xdx_493_20250331__us-gaap--FairValueByFa"/>
            <w:bookmarkEnd w:id="186"/>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7" w:name="xdx_490_20250331__us-gaap--FairValueByFa"/>
            <w:bookmarkEnd w:id="187"/>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March 31, 2025</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88" w:name="xdx_407_eus-gaap--AssetsFairValueDisclos"/>
            <w:bookmarkEnd w:id="188"/>
          </w:p>
        </w:tc>
      </w:tr>
      <w:tr>
        <w:trPr/>
        <w:tc>
          <w:tcPr>
            <w:tcW w:w="2705" w:type="dxa"/>
            <w:tcBorders/>
            <w:shd w:fill="FFFFFF" w:val="clear"/>
            <w:vAlign w:val="center"/>
          </w:tcPr>
          <w:p>
            <w:pPr>
              <w:pStyle w:val="TableContents"/>
              <w:bidi w:val="0"/>
              <w:spacing w:before="0" w:after="283"/>
              <w:jc w:val="left"/>
              <w:rPr/>
            </w:pPr>
            <w:r>
              <w:rPr/>
              <w:t>Money market mutual funds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27,173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27,173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4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89" w:name="xdx_406_eus-gaap--AssetsFairValueDisclos"/>
            <w:bookmarkEnd w:id="189"/>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27,173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27,173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4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6163" w:type="dxa"/>
        <w:jc w:val="left"/>
        <w:tblInd w:w="0" w:type="dxa"/>
        <w:tblLayout w:type="fixed"/>
        <w:tblCellMar>
          <w:top w:w="0" w:type="dxa"/>
          <w:left w:w="0" w:type="dxa"/>
          <w:bottom w:w="0" w:type="dxa"/>
          <w:right w:w="0" w:type="dxa"/>
        </w:tblCellMar>
      </w:tblPr>
      <w:tblGrid>
        <w:gridCol w:w="2705"/>
        <w:gridCol w:w="60"/>
        <w:gridCol w:w="140"/>
        <w:gridCol w:w="560"/>
        <w:gridCol w:w="60"/>
        <w:gridCol w:w="60"/>
        <w:gridCol w:w="151"/>
        <w:gridCol w:w="604"/>
        <w:gridCol w:w="60"/>
        <w:gridCol w:w="60"/>
        <w:gridCol w:w="211"/>
        <w:gridCol w:w="543"/>
        <w:gridCol w:w="60"/>
        <w:gridCol w:w="60"/>
        <w:gridCol w:w="187"/>
        <w:gridCol w:w="567"/>
        <w:gridCol w:w="75"/>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90" w:name="xdx_490_20241231_zMGN38d7LlZ2"/>
            <w:bookmarkEnd w:id="190"/>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1" w:name="xdx_490_20241231__us-gaap--FairValueByFa"/>
            <w:bookmarkEnd w:id="191"/>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2" w:name="xdx_492_20241231__us-gaap--FairValueByFa"/>
            <w:bookmarkEnd w:id="192"/>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3" w:name="xdx_495_20241231__us-gaap--FairValueByFa"/>
            <w:bookmarkEnd w:id="193"/>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2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December 31, 2024</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94" w:name="xdx_407_eus-gaap--AssetsFairValueDisclos"/>
            <w:bookmarkEnd w:id="194"/>
          </w:p>
        </w:tc>
      </w:tr>
      <w:tr>
        <w:trPr/>
        <w:tc>
          <w:tcPr>
            <w:tcW w:w="2705" w:type="dxa"/>
            <w:tcBorders/>
            <w:shd w:fill="FFFFFF" w:val="clear"/>
            <w:vAlign w:val="center"/>
          </w:tcPr>
          <w:p>
            <w:pPr>
              <w:pStyle w:val="TableContents"/>
              <w:bidi w:val="0"/>
              <w:spacing w:before="0" w:after="283"/>
              <w:jc w:val="left"/>
              <w:rPr/>
            </w:pPr>
            <w:r>
              <w:rPr/>
              <w:t>Money market mutual funds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pPr>
            <w:r>
              <w:rPr/>
              <w:t>2,356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4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95" w:name="xdx_406_eus-gaap--AssetsFairValueDisclos"/>
            <w:bookmarkEnd w:id="195"/>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jc w:val="right"/>
              <w:rPr/>
            </w:pPr>
            <w:r>
              <w:rPr/>
              <w:t>2,356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4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196" w:name="xdx_8A6_zBGMua6O7fEk"/>
      <w:bookmarkEnd w:id="196"/>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are measured at fair value on a recurring basis by level within the fair value hierarchy. The Company’s money market funds are classified as Level 1. Other than that, the Company doesn’t have any other financial assets or financial liabilities marked to market at fair value as of March 31, 2025 and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97" w:name="xdx_84B_eus-gaap--ShareBasedCompensation"/>
      <w:bookmarkEnd w:id="197"/>
      <w:r>
        <w:rPr>
          <w:rFonts w:ascii="Times New Roman;Times;Serif" w:hAnsi="Times New Roman;Times;Serif"/>
          <w:b/>
          <w:i w:val="false"/>
          <w:caps w:val="false"/>
          <w:smallCaps w:val="false"/>
          <w:sz w:val="20"/>
        </w:rPr>
        <w:t xml:space="preserve">Share-based compensation: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no future services are required to be performed by the grantee in exchange for an award of equity instruments, and if such award does not contain a performance condition, the cost of the award is expensed on the grant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stock options that qualify as “plain-vanilla,” the expected term is calculated using the simplified method. For stock options that do not qualify as “plain-vanilla”, the Company’s management estimated that the expected stock option term is the contractual term of the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determination of each of the inputs can affect the fair value of the stock options granted and the results of operations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98" w:name="xdx_846_eus-gaap--NewAccountingPronounce"/>
      <w:bookmarkEnd w:id="198"/>
      <w:r>
        <w:rPr>
          <w:rFonts w:ascii="Times New Roman;Times;Serif" w:hAnsi="Times New Roman;Times;Serif"/>
          <w:b/>
          <w:i w:val="false"/>
          <w:caps w:val="false"/>
          <w:smallCaps w:val="false"/>
          <w:sz w:val="20"/>
        </w:rPr>
        <w:t>Recently adopted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(“ASU 2023-07”) to improve reportable segment disclosure requirements through enhanced disclosures about significant segment expenses on an interim and annual basis. All disclosure requirements of ASU 2023-07 are required also for entities with a single reportable segment. The ASU was effective for the Company’s Annual Report on Form 10-K for the fiscal year ended December 31, 2024, and subsequent interim periods. As part of the Annual Report for the year ended December 31, 2024, the Company adopted ASU 2023-07, which was applied retrospectively to all prior periods presented. Refer to Note 5 herein for further details regarding this adoption.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993" w:right="0" w:hanging="993"/>
        <w:jc w:val="both"/>
        <w:rPr>
          <w:rFonts w:ascii="Times New Roman;Times;Serif" w:hAnsi="Times New Roman;Times;Serif"/>
          <w:b/>
          <w:i w:val="false"/>
          <w:caps w:val="false"/>
          <w:smallCaps w:val="false"/>
          <w:sz w:val="20"/>
        </w:rPr>
      </w:pPr>
      <w:bookmarkStart w:id="199" w:name="xdx_844_ecustom--AccountingPronouncement"/>
      <w:bookmarkEnd w:id="199"/>
      <w:r>
        <w:rPr>
          <w:rFonts w:ascii="Times New Roman;Times;Serif" w:hAnsi="Times New Roman;Times;Serif"/>
          <w:b/>
          <w:i w:val="false"/>
          <w:caps w:val="false"/>
          <w:smallCaps w:val="false"/>
          <w:sz w:val="20"/>
        </w:rPr>
        <w:t>Accounting pronouncements not yet effective:</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220- 40): Disaggregation of Income Statement Expenses” (“ASU 2024-03”), which requires the disaggregation of certain expenses in the financial statements notes, to provide enhanced transparency into the expense captions presented on the face of the consolidated statement of operations. The ASU is effective for annual fiscal years beginning after December 15, 2026, and interim periods within fiscal years beginning after December 15, 2027. Early adoption is permitted. Adoption of this ASU should be applied on a prospective basis, although retrospective application is permitted. The Company is currently evaluating the impact that ASU 2024-03 will have on its related disclosures.</w:t>
      </w:r>
    </w:p>
    <w:p>
      <w:pPr>
        <w:pStyle w:val="TextBody"/>
        <w:bidi w:val="0"/>
        <w:spacing w:before="0" w:after="0"/>
        <w:jc w:val="center"/>
        <w:rPr>
          <w:caps w:val="false"/>
          <w:smallCaps w:val="false"/>
        </w:rPr>
      </w:pPr>
      <w:bookmarkStart w:id="200" w:name="xdx_854_z0eEUMqgD5sj"/>
      <w:bookmarkEnd w:id="200"/>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1" w:name="xdx_806_eus-gaap--CommitmentsAndContinge"/>
      <w:bookmarkEnd w:id="201"/>
      <w:r>
        <w:rPr>
          <w:rFonts w:ascii="Times New Roman;Times;Serif" w:hAnsi="Times New Roman;Times;Serif"/>
          <w:b/>
          <w:i w:val="false"/>
          <w:caps w:val="false"/>
          <w:smallCaps w:val="false"/>
          <w:sz w:val="20"/>
        </w:rPr>
        <w:t xml:space="preserve">NOTE 3 - </w:t>
      </w:r>
      <w:bookmarkStart w:id="202" w:name="xdx_82B_ztpvAk6coQXj"/>
      <w:bookmarkEnd w:id="202"/>
      <w:r>
        <w:rPr>
          <w:rFonts w:ascii="Times New Roman;Times;Serif" w:hAnsi="Times New Roman;Times;Serif"/>
          <w:b/>
          <w:i w:val="false"/>
          <w:caps w:val="false"/>
          <w:smallCaps w:val="false"/>
          <w:sz w:val="20"/>
        </w:rPr>
        <w:t>COMMITMENTS AND CONTINGENCIES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Government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has received grants from the IIA for participation in research and development since 2013 through March 31, 2025 totaling approximately $</w:t>
      </w:r>
      <w:bookmarkStart w:id="203" w:name="xdx_90B_eus-gaap--RevenueFromContractWit"/>
      <w:bookmarkEnd w:id="203"/>
      <w:r>
        <w:rPr>
          <w:rFonts w:ascii="Times New Roman;Times;Serif" w:hAnsi="Times New Roman;Times;Serif"/>
          <w:b w:val="false"/>
          <w:i w:val="false"/>
          <w:caps w:val="false"/>
          <w:smallCaps w:val="false"/>
          <w:sz w:val="20"/>
        </w:rPr>
        <w:t>1,878. This includes amounts received of approximately $</w:t>
      </w:r>
      <w:bookmarkStart w:id="204" w:name="xdx_909_eus-gaap--GrantsReceivable_iI_pn"/>
      <w:bookmarkStart w:id="205" w:name="xdx_904_eus-gaap--GrantsReceivable_iI_pn"/>
      <w:bookmarkEnd w:id="204"/>
      <w:bookmarkEnd w:id="205"/>
      <w:r>
        <w:rPr>
          <w:rFonts w:ascii="Times New Roman;Times;Serif" w:hAnsi="Times New Roman;Times;Serif"/>
          <w:b w:val="false"/>
          <w:i w:val="false"/>
          <w:caps w:val="false"/>
          <w:smallCaps w:val="false"/>
          <w:sz w:val="20"/>
        </w:rPr>
        <w:t xml:space="preserve">378, in 2023 and 2024 which is a portion of an additional grant from the IIA in the amount of approximately NIS </w:t>
      </w:r>
      <w:bookmarkStart w:id="206" w:name="xdx_907_ecustom--AdditionalGrantReceivab"/>
      <w:bookmarkStart w:id="207" w:name="xdx_90A_ecustom--AdditionalGrantReceivab"/>
      <w:bookmarkEnd w:id="206"/>
      <w:bookmarkEnd w:id="207"/>
      <w:r>
        <w:rPr>
          <w:rFonts w:ascii="Times New Roman;Times;Serif" w:hAnsi="Times New Roman;Times;Serif"/>
          <w:b w:val="false"/>
          <w:i w:val="false"/>
          <w:caps w:val="false"/>
          <w:smallCaps w:val="false"/>
          <w:sz w:val="20"/>
        </w:rPr>
        <w:t>1,620,000 (approximately $</w:t>
      </w:r>
      <w:bookmarkStart w:id="208" w:name="xdx_907_ecustom--AdditionalGrantReceivab"/>
      <w:bookmarkStart w:id="209" w:name="xdx_902_ecustom--AdditionalGrantReceivab"/>
      <w:bookmarkEnd w:id="208"/>
      <w:bookmarkEnd w:id="209"/>
      <w:r>
        <w:rPr>
          <w:rFonts w:ascii="Times New Roman;Times;Serif" w:hAnsi="Times New Roman;Times;Serif"/>
          <w:b w:val="false"/>
          <w:i w:val="false"/>
          <w:caps w:val="false"/>
          <w:smallCaps w:val="false"/>
          <w:sz w:val="20"/>
        </w:rPr>
        <w:t>447) approved by the IIA on June 1, 2023, to further finance the development of the manufacturing process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agreement with Nitiloop, on October 6, 2022, Microbot Israel took over the liability to repay Nitiloop’s IIA grants in the aggregate amount of approximately $</w:t>
      </w:r>
      <w:bookmarkStart w:id="210" w:name="xdx_901_ecustom--RepaymentOfGovernmentGr"/>
      <w:bookmarkEnd w:id="210"/>
      <w:r>
        <w:rPr>
          <w:rFonts w:ascii="Times New Roman;Times;Serif" w:hAnsi="Times New Roman;Times;Serif"/>
          <w:b w:val="false"/>
          <w:i w:val="false"/>
          <w:caps w:val="false"/>
          <w:smallCaps w:val="false"/>
          <w:sz w:val="20"/>
        </w:rPr>
        <w:t>925.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relation to the IIA grants described above, the Company is obligated to pay royalties amounting to </w:t>
      </w:r>
      <w:bookmarkStart w:id="211" w:name="xdx_90F_ecustom--NetSalesRoyaltyPercenta"/>
      <w:bookmarkEnd w:id="211"/>
      <w:r>
        <w:rPr>
          <w:rFonts w:ascii="Times New Roman;Times;Serif" w:hAnsi="Times New Roman;Times;Serif"/>
          <w:b w:val="false"/>
          <w:i w:val="false"/>
          <w:caps w:val="false"/>
          <w:smallCaps w:val="false"/>
          <w:sz w:val="20"/>
        </w:rPr>
        <w:t>3.0%-</w:t>
      </w:r>
      <w:bookmarkStart w:id="212" w:name="xdx_90A_ecustom--NetSalesRoyaltyPercenta"/>
      <w:bookmarkEnd w:id="212"/>
      <w:r>
        <w:rPr>
          <w:rFonts w:ascii="Times New Roman;Times;Serif" w:hAnsi="Times New Roman;Times;Serif"/>
          <w:b w:val="false"/>
          <w:i w:val="false"/>
          <w:caps w:val="false"/>
          <w:smallCaps w:val="false"/>
          <w:sz w:val="20"/>
        </w:rPr>
        <w:t>5% of its future sales of the products relating to such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grants are linked to the exchange rate of the dollar to the New Israeli Shekel and bears interest of SOFR per year (SOFR is a benchmark interest rate which replaced LIBOR).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 by-project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11, 2022, the Company received approval for a grant from the Ministry of Economy, in the amount of NIS </w:t>
      </w:r>
      <w:bookmarkStart w:id="213" w:name="xdx_905_eus-gaap--GrantsReceivable_iI_uI"/>
      <w:bookmarkEnd w:id="213"/>
      <w:r>
        <w:rPr>
          <w:rFonts w:ascii="Times New Roman;Times;Serif" w:hAnsi="Times New Roman;Times;Serif"/>
          <w:b w:val="false"/>
          <w:i w:val="false"/>
          <w:caps w:val="false"/>
          <w:smallCaps w:val="false"/>
          <w:sz w:val="20"/>
        </w:rPr>
        <w:t>300,000 (approximately $</w:t>
      </w:r>
      <w:bookmarkStart w:id="214" w:name="xdx_906_eus-gaap--GrantsReceivable_iI_pn"/>
      <w:bookmarkEnd w:id="214"/>
      <w:r>
        <w:rPr>
          <w:rFonts w:ascii="Times New Roman;Times;Serif" w:hAnsi="Times New Roman;Times;Serif"/>
          <w:b w:val="false"/>
          <w:i w:val="false"/>
          <w:caps w:val="false"/>
          <w:smallCaps w:val="false"/>
          <w:sz w:val="20"/>
        </w:rPr>
        <w:t>83), for participation in expenses related to the LIBERTY® Endovascular Robotic Surgical System in the U.S. market. As of March 31, 2025, the Company received approximately $</w:t>
      </w:r>
      <w:bookmarkStart w:id="215" w:name="xdx_908_eus-gaap--GrantsReceivable_iI_pn"/>
      <w:bookmarkEnd w:id="215"/>
      <w:r>
        <w:rPr>
          <w:rFonts w:ascii="Times New Roman;Times;Serif" w:hAnsi="Times New Roman;Times;Serif"/>
          <w:b w:val="false"/>
          <w:i w:val="false"/>
          <w:caps w:val="false"/>
          <w:smallCaps w:val="false"/>
          <w:sz w:val="20"/>
        </w:rPr>
        <w:t xml:space="preserve">50 of such grant. In relation with the Ministry of Economy grant, the Company is obligated to pay royalties amounting to </w:t>
      </w:r>
      <w:bookmarkStart w:id="216" w:name="xdx_900_ecustom--NetSalesRoyaltyPercenta"/>
      <w:bookmarkEnd w:id="216"/>
      <w:r>
        <w:rPr>
          <w:rFonts w:ascii="Times New Roman;Times;Serif" w:hAnsi="Times New Roman;Times;Serif"/>
          <w:b w:val="false"/>
          <w:i w:val="false"/>
          <w:caps w:val="false"/>
          <w:smallCaps w:val="false"/>
          <w:sz w:val="20"/>
        </w:rPr>
        <w:t>3% of future sales of the LIBERTY® Endovascular Robotic Surgical System up to the grant amount plus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TRDF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signed an agreement with the Technion Research and Development Foundation (“TRDF”) in June 2012 by which TRDF transferred to Microbot Israel a global, exclusive, royalty-bearing license (as amended, the “License Agreement”) with respect to its then Self-Cleaning Shunt (SCS) project and TipCat assets, which also governed certain technology relating to the Company’s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 xml:space="preserve">Endovascular Robotic Surgical System. As partial consideration for the license, Microbot Israel shall pay TRDF royalties on net sales (between </w:t>
      </w:r>
      <w:bookmarkStart w:id="217" w:name="xdx_906_ecustom--NetSalesRoyaltyPercenta"/>
      <w:bookmarkEnd w:id="217"/>
      <w:r>
        <w:rPr>
          <w:rFonts w:ascii="Times New Roman;Times;Serif" w:hAnsi="Times New Roman;Times;Serif"/>
          <w:b w:val="false"/>
          <w:i w:val="false"/>
          <w:caps w:val="false"/>
          <w:smallCaps w:val="false"/>
          <w:sz w:val="20"/>
        </w:rPr>
        <w:t>1.5%-</w:t>
      </w:r>
      <w:bookmarkStart w:id="218" w:name="xdx_908_ecustom--NetSalesRoyaltyPercenta"/>
      <w:bookmarkEnd w:id="218"/>
      <w:r>
        <w:rPr>
          <w:rFonts w:ascii="Times New Roman;Times;Serif" w:hAnsi="Times New Roman;Times;Serif"/>
          <w:b w:val="false"/>
          <w:i w:val="false"/>
          <w:caps w:val="false"/>
          <w:smallCaps w:val="false"/>
          <w:sz w:val="20"/>
        </w:rPr>
        <w:t>3.0%) and on sublicense income as detailed in the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Company’s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w:t>
      </w:r>
      <w:bookmarkStart w:id="219" w:name="xdx_90E_ecustom--OfferingCosts_iI_pn3n3_"/>
      <w:bookmarkEnd w:id="219"/>
      <w:r>
        <w:rPr>
          <w:rFonts w:ascii="Times New Roman;Times;Serif" w:hAnsi="Times New Roman;Times;Serif"/>
          <w:b w:val="false"/>
          <w:i w:val="false"/>
          <w:caps w:val="false"/>
          <w:smallCaps w:val="false"/>
          <w:sz w:val="20"/>
        </w:rPr>
        <w:t>10,000 at market prices or as otherwise agreed with Wainwright. The Company entered into an amendment, dated July 1, 2024, to the ATM Agreement with Wainwright dated June 10, 2021, relating to the offer and sale of shares of the Company’s common stock having an aggregate offering price of up to approximately $</w:t>
      </w:r>
      <w:bookmarkStart w:id="220" w:name="xdx_907_eus-gaap--SaleOfStockConsiderati"/>
      <w:bookmarkEnd w:id="220"/>
      <w:r>
        <w:rPr>
          <w:rFonts w:ascii="Times New Roman;Times;Serif" w:hAnsi="Times New Roman;Times;Serif"/>
          <w:b w:val="false"/>
          <w:i w:val="false"/>
          <w:caps w:val="false"/>
          <w:smallCaps w:val="false"/>
          <w:sz w:val="20"/>
        </w:rPr>
        <w:t xml:space="preserve">4,820 from time to time through Wainwright, acting as sales agent. The compensation to Wainwright for sales of the shares is a placement fee of </w:t>
      </w:r>
      <w:bookmarkStart w:id="221" w:name="xdx_902_ecustom--PlacementFeePercent_pid"/>
      <w:bookmarkEnd w:id="221"/>
      <w:r>
        <w:rPr>
          <w:rFonts w:ascii="Times New Roman;Times;Serif" w:hAnsi="Times New Roman;Times;Serif"/>
          <w:b w:val="false"/>
          <w:i w:val="false"/>
          <w:caps w:val="false"/>
          <w:smallCaps w:val="false"/>
          <w:sz w:val="20"/>
        </w:rPr>
        <w:t>3.0% of the gross sales price of the shares of common stock sold pursuant to this ATM Agreement. See also Note 4B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Engagement letters with H.C. Wainwright: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registered direct and private placement offerings, the Company entered into engagement letters (the “Engagement Letters”) with Wainwright on October 3, 2022, on May 16, 2023, on October 24, 2023, and on May 29, 2024 which was amended most recently on February 9, 2025, in each case pursuant to which Wainwright agreed to serve as the exclusive placement agent for the issuance and sale of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compensation for such placement agent services, the Company has agreed to pay Wainwright an aggregate cash fee equal to </w:t>
      </w:r>
      <w:bookmarkStart w:id="222" w:name="xdx_906_ecustom--GrossProceedsFromCashFe"/>
      <w:bookmarkEnd w:id="222"/>
      <w:r>
        <w:rPr>
          <w:rFonts w:ascii="Times New Roman;Times;Serif" w:hAnsi="Times New Roman;Times;Serif"/>
          <w:b w:val="false"/>
          <w:i w:val="false"/>
          <w:caps w:val="false"/>
          <w:smallCaps w:val="false"/>
          <w:sz w:val="20"/>
        </w:rPr>
        <w:t xml:space="preserve">7.0% of the gross proceeds received by the Company from offerings contemplated by the Engagement Letters, plus a management fee equal to </w:t>
      </w:r>
      <w:bookmarkStart w:id="223" w:name="xdx_901_ecustom--GrossProceedsFromManage"/>
      <w:bookmarkEnd w:id="223"/>
      <w:r>
        <w:rPr>
          <w:rFonts w:ascii="Times New Roman;Times;Serif" w:hAnsi="Times New Roman;Times;Serif"/>
          <w:b w:val="false"/>
          <w:i w:val="false"/>
          <w:caps w:val="false"/>
          <w:smallCaps w:val="false"/>
          <w:sz w:val="20"/>
        </w:rPr>
        <w:t xml:space="preserve">1.0% of the gross proceeds received by the Company from such offerings, as well as other reimbursable expenses. </w:t>
      </w:r>
      <w:bookmarkStart w:id="224" w:name="xdx_90C_eus-gaap--ClassOfWarrantOrRightR"/>
      <w:bookmarkEnd w:id="224"/>
      <w:r>
        <w:rPr>
          <w:rFonts w:ascii="Times New Roman;Times;Serif" w:hAnsi="Times New Roman;Times;Serif"/>
          <w:b w:val="false"/>
          <w:i w:val="false"/>
          <w:caps w:val="false"/>
          <w:smallCaps w:val="false"/>
          <w:sz w:val="20"/>
        </w:rPr>
        <w:t>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 See also Note 4B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Acquisition of Nitiloop’s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the Assets, Microbot Israel shall pay royalties to Nitiloop, which shall not, in the aggregate, exceed $</w:t>
      </w:r>
      <w:bookmarkStart w:id="225" w:name="xdx_904_eus-gaap--StockIssuedDuringPerio"/>
      <w:bookmarkEnd w:id="225"/>
      <w:r>
        <w:rPr>
          <w:rFonts w:ascii="Times New Roman;Times;Serif" w:hAnsi="Times New Roman;Times;Serif"/>
          <w:b w:val="false"/>
          <w:i w:val="false"/>
          <w:caps w:val="false"/>
          <w:smallCaps w:val="false"/>
          <w:sz w:val="20"/>
        </w:rPr>
        <w:t>8,000,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Royalties at a rate of </w:t>
      </w:r>
      <w:bookmarkStart w:id="226" w:name="xdx_903_ecustom--RoyaltiesPercentage1_pi"/>
      <w:bookmarkEnd w:id="226"/>
      <w:r>
        <w:rPr>
          <w:rFonts w:ascii="Times New Roman;Times;Serif" w:hAnsi="Times New Roman;Times;Serif"/>
          <w:b w:val="false"/>
          <w:i w:val="false"/>
          <w:caps w:val="false"/>
          <w:smallCaps w:val="false"/>
          <w:sz w:val="20"/>
        </w:rPr>
        <w:t>3% of net revenue generated as a result of sales, license or other exploitation of the Devices;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Royalties at a rate of </w:t>
      </w:r>
      <w:bookmarkStart w:id="227" w:name="xdx_903_ecustom--RoyaltiesPercentage1_pi"/>
      <w:bookmarkEnd w:id="227"/>
      <w:r>
        <w:rPr>
          <w:rFonts w:ascii="Times New Roman;Times;Serif" w:hAnsi="Times New Roman;Times;Serif"/>
          <w:b w:val="false"/>
          <w:i w:val="false"/>
          <w:caps w:val="false"/>
          <w:smallCaps w:val="false"/>
          <w:sz w:val="20"/>
        </w:rPr>
        <w:t>1.5% of net revenue generated from the sale, license or other exploitation of commercialization of the technology as part of an integrated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Litigation resulting from the 2017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w:t>
      </w:r>
      <w:bookmarkStart w:id="228" w:name="xdx_909_eus-gaap--LossContingencyDamages"/>
      <w:bookmarkEnd w:id="228"/>
      <w:r>
        <w:rPr>
          <w:rFonts w:ascii="Times New Roman;Times;Serif" w:hAnsi="Times New Roman;Times;Serif"/>
          <w:b w:val="false"/>
          <w:i w:val="false"/>
          <w:caps w:val="false"/>
          <w:smallCaps w:val="false"/>
          <w:sz w:val="20"/>
        </w:rPr>
        <w:t>6,750 purchase price with respect to the 2017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2024 (the “Effective Date”), the Company entered into a settlement agreement and release with the Plaintiffs (the “Settlement Agreement”), effectively resolving the Lawsuit.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Settlement Agreement, the Company paid $</w:t>
      </w:r>
      <w:bookmarkStart w:id="229" w:name="xdx_90C_eus-gaap--LitigationSettlementAm"/>
      <w:bookmarkEnd w:id="229"/>
      <w:r>
        <w:rPr>
          <w:rFonts w:ascii="Times New Roman;Times;Serif" w:hAnsi="Times New Roman;Times;Serif"/>
          <w:b w:val="false"/>
          <w:i w:val="false"/>
          <w:caps w:val="false"/>
          <w:smallCaps w:val="false"/>
          <w:sz w:val="20"/>
        </w:rPr>
        <w:t>2,154 consisting of a cash payment of $</w:t>
      </w:r>
      <w:bookmarkStart w:id="230" w:name="xdx_901_eus-gaap--PaymentsForLegalSettle"/>
      <w:bookmarkEnd w:id="230"/>
      <w:r>
        <w:rPr>
          <w:rFonts w:ascii="Times New Roman;Times;Serif" w:hAnsi="Times New Roman;Times;Serif"/>
          <w:b w:val="false"/>
          <w:i w:val="false"/>
          <w:caps w:val="false"/>
          <w:smallCaps w:val="false"/>
          <w:sz w:val="20"/>
        </w:rPr>
        <w:t xml:space="preserve">1,100, covered by the Company’s insurance company, and </w:t>
      </w:r>
      <w:bookmarkStart w:id="231" w:name="xdx_901_eus-gaap--StockIssuedDuringPerio"/>
      <w:bookmarkEnd w:id="231"/>
      <w:r>
        <w:rPr>
          <w:rFonts w:ascii="Times New Roman;Times;Serif" w:hAnsi="Times New Roman;Times;Serif"/>
          <w:b w:val="false"/>
          <w:i w:val="false"/>
          <w:caps w:val="false"/>
          <w:smallCaps w:val="false"/>
          <w:sz w:val="20"/>
        </w:rPr>
        <w:t>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loss contingency should be recognized as non-operating losses, offset by loss recoveries received from the Company’s insurance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Settlement Agreement and the insurance recovery received from the insurance company, as of December 31, 2023, the Company recorded a current liability and a current asset on its consolidated balance sheet totaling $</w:t>
      </w:r>
      <w:bookmarkStart w:id="232" w:name="xdx_90C_eus-gaap--LiabilitiesCurrent_iI_"/>
      <w:bookmarkEnd w:id="232"/>
      <w:r>
        <w:rPr>
          <w:rFonts w:ascii="Times New Roman;Times;Serif" w:hAnsi="Times New Roman;Times;Serif"/>
          <w:b w:val="false"/>
          <w:i w:val="false"/>
          <w:caps w:val="false"/>
          <w:smallCaps w:val="false"/>
          <w:sz w:val="20"/>
        </w:rPr>
        <w:t>2,211 and $</w:t>
      </w:r>
      <w:bookmarkStart w:id="233" w:name="xdx_905_eus-gaap--AssetsCurrent_iI_pn3n3"/>
      <w:bookmarkEnd w:id="233"/>
      <w:r>
        <w:rPr>
          <w:rFonts w:ascii="Times New Roman;Times;Serif" w:hAnsi="Times New Roman;Times;Serif"/>
          <w:b w:val="false"/>
          <w:i w:val="false"/>
          <w:caps w:val="false"/>
          <w:smallCaps w:val="false"/>
          <w:sz w:val="20"/>
        </w:rPr>
        <w:t>1,335, respectively. Within this asset, $</w:t>
      </w:r>
      <w:bookmarkStart w:id="234" w:name="xdx_909_eus-gaap--LossContingencyReceiva"/>
      <w:bookmarkEnd w:id="234"/>
      <w:r>
        <w:rPr>
          <w:rFonts w:ascii="Times New Roman;Times;Serif" w:hAnsi="Times New Roman;Times;Serif"/>
          <w:b w:val="false"/>
          <w:i w:val="false"/>
          <w:caps w:val="false"/>
          <w:smallCaps w:val="false"/>
          <w:sz w:val="20"/>
        </w:rPr>
        <w:t>1,100 represents the recovery of the cash payment of the settlement amount, and $</w:t>
      </w:r>
      <w:bookmarkStart w:id="235" w:name="xdx_902_eus-gaap--LegalFees_pn3n3_c20230"/>
      <w:bookmarkEnd w:id="235"/>
      <w:r>
        <w:rPr>
          <w:rFonts w:ascii="Times New Roman;Times;Serif" w:hAnsi="Times New Roman;Times;Serif"/>
          <w:b w:val="false"/>
          <w:i w:val="false"/>
          <w:caps w:val="false"/>
          <w:smallCaps w:val="false"/>
          <w:sz w:val="20"/>
        </w:rPr>
        <w:t>235 represents recovery of legal expenses. A net non-operating loss of $</w:t>
      </w:r>
      <w:bookmarkStart w:id="236" w:name="xdx_908_eus-gaap--GainLossRelatedToLitig"/>
      <w:bookmarkEnd w:id="236"/>
      <w:r>
        <w:rPr>
          <w:rFonts w:ascii="Times New Roman;Times;Serif" w:hAnsi="Times New Roman;Times;Serif"/>
          <w:b w:val="false"/>
          <w:i w:val="false"/>
          <w:caps w:val="false"/>
          <w:smallCaps w:val="false"/>
          <w:sz w:val="20"/>
        </w:rPr>
        <w:t>1,111 from legal settlement was reflected in the Company’s consolidated statement of comprehensive loss for the year ended December 31, 2023. In the first quarter of 2024, the Company received $</w:t>
      </w:r>
      <w:bookmarkStart w:id="237" w:name="xdx_902_ecustom--InsuranceRecoveryAmount"/>
      <w:bookmarkEnd w:id="237"/>
      <w:r>
        <w:rPr>
          <w:rFonts w:ascii="Times New Roman;Times;Serif" w:hAnsi="Times New Roman;Times;Serif"/>
          <w:b w:val="false"/>
          <w:i w:val="false"/>
          <w:caps w:val="false"/>
          <w:smallCaps w:val="false"/>
          <w:sz w:val="20"/>
        </w:rPr>
        <w:t>1,335 from the insurance company. Additionally, during the first quarter of 2024, the Company paid the settlement amount by transferring $</w:t>
      </w:r>
      <w:bookmarkStart w:id="238" w:name="xdx_90C_eus-gaap--PaymentsForLegalSettle"/>
      <w:bookmarkEnd w:id="238"/>
      <w:r>
        <w:rPr>
          <w:rFonts w:ascii="Times New Roman;Times;Serif" w:hAnsi="Times New Roman;Times;Serif"/>
          <w:b w:val="false"/>
          <w:i w:val="false"/>
          <w:caps w:val="false"/>
          <w:smallCaps w:val="false"/>
          <w:sz w:val="20"/>
        </w:rPr>
        <w:t xml:space="preserve">1,100 in cash to the Plaintiffs and issuing </w:t>
      </w:r>
      <w:bookmarkStart w:id="239" w:name="xdx_90B_eus-gaap--StockIssuedDuringPerio"/>
      <w:bookmarkEnd w:id="239"/>
      <w:r>
        <w:rPr>
          <w:rFonts w:ascii="Times New Roman;Times;Serif" w:hAnsi="Times New Roman;Times;Serif"/>
          <w:b w:val="false"/>
          <w:i w:val="false"/>
          <w:caps w:val="false"/>
          <w:smallCaps w:val="false"/>
          <w:sz w:val="20"/>
        </w:rPr>
        <w:t>1,005,965 shares of the Company’s common stock, thereby settling the liability recorded as of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Mona litigation: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an appellate court held in favor of the Company with respect to a 2019 action against Alliance Investment Management, Ltd.,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As a result, the Company received a judgmet in the amount of approximately $</w:t>
      </w:r>
      <w:bookmarkStart w:id="240" w:name="xdx_900_eus-gaap--ProceedsFromLegalSettl"/>
      <w:bookmarkEnd w:id="240"/>
      <w:r>
        <w:rPr>
          <w:rFonts w:ascii="Times New Roman;Times;Serif" w:hAnsi="Times New Roman;Times;Serif"/>
          <w:b w:val="false"/>
          <w:i w:val="false"/>
          <w:caps w:val="false"/>
          <w:smallCaps w:val="false"/>
          <w:sz w:val="20"/>
        </w:rPr>
        <w:t>316, net of legal fees and expenses. The amount received was recorded as other income in the Company’s condensed consolidated statement of comprehensive loss. Although the defendant has subsequently petitioned the United States Supreme Court for review to overturn the appellate court’s ruling, the Company believes the likelihood of the ruling being overturned to be remote.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Accrued 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Company recorded accrued bonuses to the CEO and other executives, in the aggregate amount of $</w:t>
      </w:r>
      <w:bookmarkStart w:id="241" w:name="xdx_900_eus-gaap--AccruedBonusesCurrentA"/>
      <w:bookmarkStart w:id="242" w:name="xdx_90F_eus-gaap--AccruedBonusesCurrentA"/>
      <w:bookmarkEnd w:id="241"/>
      <w:bookmarkEnd w:id="242"/>
      <w:r>
        <w:rPr>
          <w:rFonts w:ascii="Times New Roman;Times;Serif" w:hAnsi="Times New Roman;Times;Serif"/>
          <w:b w:val="false"/>
          <w:i w:val="false"/>
          <w:caps w:val="false"/>
          <w:smallCaps w:val="false"/>
          <w:sz w:val="20"/>
        </w:rPr>
        <w:t>176.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3" w:name="xdx_804_eus-gaap--StockholdersEquityNote"/>
      <w:bookmarkEnd w:id="243"/>
      <w:r>
        <w:rPr>
          <w:rFonts w:ascii="Times New Roman;Times;Serif" w:hAnsi="Times New Roman;Times;Serif"/>
          <w:b/>
          <w:i w:val="false"/>
          <w:caps w:val="false"/>
          <w:smallCaps w:val="false"/>
          <w:sz w:val="20"/>
        </w:rPr>
        <w:t xml:space="preserve">NOTE 4 - </w:t>
      </w:r>
      <w:bookmarkStart w:id="244" w:name="xdx_829_za7nIapVrys1"/>
      <w:bookmarkEnd w:id="244"/>
      <w:r>
        <w:rPr>
          <w:rFonts w:ascii="Times New Roman;Times;Serif" w:hAnsi="Times New Roman;Times;Serif"/>
          <w:b/>
          <w:i w:val="false"/>
          <w:caps w:val="false"/>
          <w:smallCaps w:val="false"/>
          <w:sz w:val="20"/>
        </w:rPr>
        <w:t>SHARE CAPITAL</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Registered direct and private placement offerings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6, 2025, the Company entered into Securities Purchase Agreements with institutional investors, pursuant to which the Company agreed to issue and sell, in a registered direct offering priced at-the-market under the rules of the Nasdaq Stock Market, an aggregate of </w:t>
      </w:r>
      <w:bookmarkStart w:id="245" w:name="xdx_90E_eus-gaap--StockIssuedDuringPerio"/>
      <w:bookmarkEnd w:id="245"/>
      <w:r>
        <w:rPr>
          <w:rFonts w:ascii="Times New Roman;Times;Serif" w:hAnsi="Times New Roman;Times;Serif"/>
          <w:b w:val="false"/>
          <w:i w:val="false"/>
          <w:caps w:val="false"/>
          <w:smallCaps w:val="false"/>
          <w:sz w:val="20"/>
        </w:rPr>
        <w:t>4,000,001 shares of the Company’s common stock, par value $</w:t>
      </w:r>
      <w:bookmarkStart w:id="246" w:name="xdx_905_eus-gaap--CommonStockParOrStated"/>
      <w:bookmarkEnd w:id="246"/>
      <w:r>
        <w:rPr>
          <w:rFonts w:ascii="Times New Roman;Times;Serif" w:hAnsi="Times New Roman;Times;Serif"/>
          <w:b w:val="false"/>
          <w:i w:val="false"/>
          <w:caps w:val="false"/>
          <w:smallCaps w:val="false"/>
          <w:sz w:val="20"/>
        </w:rPr>
        <w:t>0.01 per share, at an offering price of $</w:t>
      </w:r>
      <w:bookmarkStart w:id="247" w:name="xdx_90D_eus-gaap--SharesIssuedPricePerSh"/>
      <w:bookmarkEnd w:id="247"/>
      <w:r>
        <w:rPr>
          <w:rFonts w:ascii="Times New Roman;Times;Serif" w:hAnsi="Times New Roman;Times;Serif"/>
          <w:b w:val="false"/>
          <w:i w:val="false"/>
          <w:caps w:val="false"/>
          <w:smallCaps w:val="false"/>
          <w:sz w:val="20"/>
        </w:rPr>
        <w:t>1.75 per share, for aggregate gross proceeds from the offerings of approximately $</w:t>
      </w:r>
      <w:bookmarkStart w:id="248" w:name="xdx_90E_eus-gaap--ProceedsFromIssuanceOf"/>
      <w:bookmarkEnd w:id="248"/>
      <w:r>
        <w:rPr>
          <w:rFonts w:ascii="Times New Roman;Times;Serif" w:hAnsi="Times New Roman;Times;Serif"/>
          <w:b w:val="false"/>
          <w:i w:val="false"/>
          <w:caps w:val="false"/>
          <w:smallCaps w:val="false"/>
          <w:sz w:val="20"/>
        </w:rPr>
        <w:t>7,000 before deducting the placement agent fee and related offering expenses of approximately $</w:t>
      </w:r>
      <w:bookmarkStart w:id="249" w:name="xdx_901_eus-gaap--DeferredOfferingCosts_"/>
      <w:bookmarkEnd w:id="249"/>
      <w:r>
        <w:rPr>
          <w:rFonts w:ascii="Times New Roman;Times;Serif" w:hAnsi="Times New Roman;Times;Serif"/>
          <w:b w:val="false"/>
          <w:i w:val="false"/>
          <w:caps w:val="false"/>
          <w:smallCaps w:val="false"/>
          <w:sz w:val="20"/>
        </w:rPr>
        <w:t xml:space="preserve">690. In a concurrent private placement, the Company agreed to issue to the investors series G preferred investment options to purchase up to </w:t>
      </w:r>
      <w:bookmarkStart w:id="250" w:name="xdx_90A_eus-gaap--StockIssuedDuringPerio"/>
      <w:bookmarkEnd w:id="250"/>
      <w:r>
        <w:rPr>
          <w:rFonts w:ascii="Times New Roman;Times;Serif" w:hAnsi="Times New Roman;Times;Serif"/>
          <w:b w:val="false"/>
          <w:i w:val="false"/>
          <w:caps w:val="false"/>
          <w:smallCaps w:val="false"/>
          <w:sz w:val="20"/>
        </w:rPr>
        <w:t>8,000,002 shares of common stock at an exercise price of $</w:t>
      </w:r>
      <w:bookmarkStart w:id="251" w:name="xdx_908_eus-gaap--SharesIssuedPricePerSh"/>
      <w:bookmarkEnd w:id="251"/>
      <w:r>
        <w:rPr>
          <w:rFonts w:ascii="Times New Roman;Times;Serif" w:hAnsi="Times New Roman;Times;Serif"/>
          <w:b w:val="false"/>
          <w:i w:val="false"/>
          <w:caps w:val="false"/>
          <w:smallCaps w:val="false"/>
          <w:sz w:val="20"/>
        </w:rPr>
        <w:t xml:space="preserve">1.75 per share. Each Series G preferred investment option is exercisable immediately and will expire two years from the initial exercise date. The Company also issued to Wainwright or its designees preferred investment options to purchase up to </w:t>
      </w:r>
      <w:bookmarkStart w:id="252" w:name="xdx_907_eus-gaap--StockIssuedDuringPerio"/>
      <w:bookmarkEnd w:id="252"/>
      <w:r>
        <w:rPr>
          <w:rFonts w:ascii="Times New Roman;Times;Serif" w:hAnsi="Times New Roman;Times;Serif"/>
          <w:b w:val="false"/>
          <w:i w:val="false"/>
          <w:caps w:val="false"/>
          <w:smallCaps w:val="false"/>
          <w:sz w:val="20"/>
        </w:rPr>
        <w:t>200,000 shares of common stock which have the same terms as investors’ preferred investment options except for an exercise price equal to $</w:t>
      </w:r>
      <w:bookmarkStart w:id="253" w:name="xdx_908_eus-gaap--SharesIssuedPricePerSh"/>
      <w:bookmarkEnd w:id="253"/>
      <w:r>
        <w:rPr>
          <w:rFonts w:ascii="Times New Roman;Times;Serif" w:hAnsi="Times New Roman;Times;Serif"/>
          <w:b w:val="false"/>
          <w:i w:val="false"/>
          <w:caps w:val="false"/>
          <w:smallCaps w:val="false"/>
          <w:sz w:val="20"/>
        </w:rPr>
        <w:t>2.1875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7, 2025, the Company entered into Securities Purchase Agreements with institutional investors, pursuant to which the Company agreed to issue and sell, in a registered direct offering priced at-the-market under the rules of the Nasdaq Stock Market, an aggregate of </w:t>
      </w:r>
      <w:bookmarkStart w:id="254" w:name="xdx_902_eus-gaap--StockIssuedDuringPerio"/>
      <w:bookmarkEnd w:id="254"/>
      <w:r>
        <w:rPr>
          <w:rFonts w:ascii="Times New Roman;Times;Serif" w:hAnsi="Times New Roman;Times;Serif"/>
          <w:b w:val="false"/>
          <w:i w:val="false"/>
          <w:caps w:val="false"/>
          <w:smallCaps w:val="false"/>
          <w:sz w:val="20"/>
        </w:rPr>
        <w:t>3,788,550 shares of the Company’s common stock, par value $</w:t>
      </w:r>
      <w:bookmarkStart w:id="255" w:name="xdx_900_eus-gaap--CommonStockParOrStated"/>
      <w:bookmarkEnd w:id="255"/>
      <w:r>
        <w:rPr>
          <w:rFonts w:ascii="Times New Roman;Times;Serif" w:hAnsi="Times New Roman;Times;Serif"/>
          <w:b w:val="false"/>
          <w:i w:val="false"/>
          <w:caps w:val="false"/>
          <w:smallCaps w:val="false"/>
          <w:sz w:val="20"/>
        </w:rPr>
        <w:t>0.01 per share, at an offering price of $</w:t>
      </w:r>
      <w:bookmarkStart w:id="256" w:name="xdx_908_eus-gaap--SharesIssuedPricePerSh"/>
      <w:bookmarkEnd w:id="256"/>
      <w:r>
        <w:rPr>
          <w:rFonts w:ascii="Times New Roman;Times;Serif" w:hAnsi="Times New Roman;Times;Serif"/>
          <w:b w:val="false"/>
          <w:i w:val="false"/>
          <w:caps w:val="false"/>
          <w:smallCaps w:val="false"/>
          <w:sz w:val="20"/>
        </w:rPr>
        <w:t>2.27 per share, for aggregate gross proceeds from the offerings of approximately $</w:t>
      </w:r>
      <w:bookmarkStart w:id="257" w:name="xdx_90D_eus-gaap--ProceedsFromIssuanceOf"/>
      <w:bookmarkEnd w:id="257"/>
      <w:r>
        <w:rPr>
          <w:rFonts w:ascii="Times New Roman;Times;Serif" w:hAnsi="Times New Roman;Times;Serif"/>
          <w:b w:val="false"/>
          <w:i w:val="false"/>
          <w:caps w:val="false"/>
          <w:smallCaps w:val="false"/>
          <w:sz w:val="20"/>
        </w:rPr>
        <w:t>8,600 before deducting the placement agent fee and related offering expenses of approximately $</w:t>
      </w:r>
      <w:bookmarkStart w:id="258" w:name="xdx_904_eus-gaap--DeferredOfferingCosts_"/>
      <w:bookmarkEnd w:id="258"/>
      <w:r>
        <w:rPr>
          <w:rFonts w:ascii="Times New Roman;Times;Serif" w:hAnsi="Times New Roman;Times;Serif"/>
          <w:b w:val="false"/>
          <w:i w:val="false"/>
          <w:caps w:val="false"/>
          <w:smallCaps w:val="false"/>
          <w:sz w:val="20"/>
        </w:rPr>
        <w:t xml:space="preserve">818. In a concurrent private placement, the Company agreed to issue to the investors series H preferred investment options to purchase up to </w:t>
      </w:r>
      <w:bookmarkStart w:id="259" w:name="xdx_906_eus-gaap--StockIssuedDuringPerio"/>
      <w:bookmarkEnd w:id="259"/>
      <w:r>
        <w:rPr>
          <w:rFonts w:ascii="Times New Roman;Times;Serif" w:hAnsi="Times New Roman;Times;Serif"/>
          <w:b w:val="false"/>
          <w:i w:val="false"/>
          <w:caps w:val="false"/>
          <w:smallCaps w:val="false"/>
          <w:sz w:val="20"/>
        </w:rPr>
        <w:t>7,577,100 shares of common stock at an exercise price of $</w:t>
      </w:r>
      <w:bookmarkStart w:id="260" w:name="xdx_90D_eus-gaap--SharesIssuedPricePerSh"/>
      <w:bookmarkEnd w:id="260"/>
      <w:r>
        <w:rPr>
          <w:rFonts w:ascii="Times New Roman;Times;Serif" w:hAnsi="Times New Roman;Times;Serif"/>
          <w:b w:val="false"/>
          <w:i w:val="false"/>
          <w:caps w:val="false"/>
          <w:smallCaps w:val="false"/>
          <w:sz w:val="20"/>
        </w:rPr>
        <w:t xml:space="preserve">2.10 per share. Each Series H preferred investment option is exercisable immediately and will expire two years from the initial exercise date. The Company also issued to Wainwright or its designees preferred investment options to purchase up to </w:t>
      </w:r>
      <w:bookmarkStart w:id="261" w:name="xdx_907_eus-gaap--StockIssuedDuringPerio"/>
      <w:bookmarkEnd w:id="261"/>
      <w:r>
        <w:rPr>
          <w:rFonts w:ascii="Times New Roman;Times;Serif" w:hAnsi="Times New Roman;Times;Serif"/>
          <w:b w:val="false"/>
          <w:i w:val="false"/>
          <w:caps w:val="false"/>
          <w:smallCaps w:val="false"/>
          <w:sz w:val="20"/>
        </w:rPr>
        <w:t>189,428 shares of common stock which have the same terms as investors’ preferred investment options except for an exercise price equal to $</w:t>
      </w:r>
      <w:bookmarkStart w:id="262" w:name="xdx_901_eus-gaap--SharesIssuedPricePerSh"/>
      <w:bookmarkEnd w:id="262"/>
      <w:r>
        <w:rPr>
          <w:rFonts w:ascii="Times New Roman;Times;Serif" w:hAnsi="Times New Roman;Times;Serif"/>
          <w:b w:val="false"/>
          <w:i w:val="false"/>
          <w:caps w:val="false"/>
          <w:smallCaps w:val="false"/>
          <w:sz w:val="20"/>
        </w:rPr>
        <w:t>2.8375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9, 2025, the Company entered into Securities Purchase Agreements with institutional investors, pursuant to which the Company agreed to issue and sell, in a registered direct offering priced at-the-market under the rules of the Nasdaq Stock Market, an aggregate of </w:t>
      </w:r>
      <w:bookmarkStart w:id="263" w:name="xdx_900_eus-gaap--StockIssuedDuringPerio"/>
      <w:bookmarkEnd w:id="263"/>
      <w:r>
        <w:rPr>
          <w:rFonts w:ascii="Times New Roman;Times;Serif" w:hAnsi="Times New Roman;Times;Serif"/>
          <w:b w:val="false"/>
          <w:i w:val="false"/>
          <w:caps w:val="false"/>
          <w:smallCaps w:val="false"/>
          <w:sz w:val="20"/>
        </w:rPr>
        <w:t>6,103,289 shares of the Company’s common stock, par value $</w:t>
      </w:r>
      <w:bookmarkStart w:id="264" w:name="xdx_90A_eus-gaap--CommonStockParOrStated"/>
      <w:bookmarkEnd w:id="264"/>
      <w:r>
        <w:rPr>
          <w:rFonts w:ascii="Times New Roman;Times;Serif" w:hAnsi="Times New Roman;Times;Serif"/>
          <w:b w:val="false"/>
          <w:i w:val="false"/>
          <w:caps w:val="false"/>
          <w:smallCaps w:val="false"/>
          <w:sz w:val="20"/>
        </w:rPr>
        <w:t>0.01 per share, at an offering price of $</w:t>
      </w:r>
      <w:bookmarkStart w:id="265" w:name="xdx_90E_eus-gaap--SharesIssuedPricePerSh"/>
      <w:bookmarkEnd w:id="265"/>
      <w:r>
        <w:rPr>
          <w:rFonts w:ascii="Times New Roman;Times;Serif" w:hAnsi="Times New Roman;Times;Serif"/>
          <w:b w:val="false"/>
          <w:i w:val="false"/>
          <w:caps w:val="false"/>
          <w:smallCaps w:val="false"/>
          <w:sz w:val="20"/>
        </w:rPr>
        <w:t>2.13 per share, for aggregate gross proceeds from the offerings of approximately $</w:t>
      </w:r>
      <w:bookmarkStart w:id="266" w:name="xdx_901_eus-gaap--ProceedsFromIssuanceOf"/>
      <w:bookmarkEnd w:id="266"/>
      <w:r>
        <w:rPr>
          <w:rFonts w:ascii="Times New Roman;Times;Serif" w:hAnsi="Times New Roman;Times;Serif"/>
          <w:b w:val="false"/>
          <w:i w:val="false"/>
          <w:caps w:val="false"/>
          <w:smallCaps w:val="false"/>
          <w:sz w:val="20"/>
        </w:rPr>
        <w:t>13,000 before deducting the placement agent fee and related offering expenses of approximately $</w:t>
      </w:r>
      <w:bookmarkStart w:id="267" w:name="xdx_90C_eus-gaap--DeferredOfferingCosts_"/>
      <w:bookmarkEnd w:id="267"/>
      <w:r>
        <w:rPr>
          <w:rFonts w:ascii="Times New Roman;Times;Serif" w:hAnsi="Times New Roman;Times;Serif"/>
          <w:b w:val="false"/>
          <w:i w:val="false"/>
          <w:caps w:val="false"/>
          <w:smallCaps w:val="false"/>
          <w:sz w:val="20"/>
        </w:rPr>
        <w:t xml:space="preserve">1,176. In a concurrent private placement, the Company agreed to issue to the investors series I preferred investment options to purchase up to </w:t>
      </w:r>
      <w:bookmarkStart w:id="268" w:name="xdx_903_eus-gaap--StockIssuedDuringPerio"/>
      <w:bookmarkEnd w:id="268"/>
      <w:r>
        <w:rPr>
          <w:rFonts w:ascii="Times New Roman;Times;Serif" w:hAnsi="Times New Roman;Times;Serif"/>
          <w:b w:val="false"/>
          <w:i w:val="false"/>
          <w:caps w:val="false"/>
          <w:smallCaps w:val="false"/>
          <w:sz w:val="20"/>
        </w:rPr>
        <w:t>12,206,578 shares of common stock at an exercise price of $</w:t>
      </w:r>
      <w:bookmarkStart w:id="269" w:name="xdx_905_eus-gaap--SharesIssuedPricePerSh"/>
      <w:bookmarkEnd w:id="269"/>
      <w:r>
        <w:rPr>
          <w:rFonts w:ascii="Times New Roman;Times;Serif" w:hAnsi="Times New Roman;Times;Serif"/>
          <w:b w:val="false"/>
          <w:i w:val="false"/>
          <w:caps w:val="false"/>
          <w:smallCaps w:val="false"/>
          <w:sz w:val="20"/>
        </w:rPr>
        <w:t>2.13 per share. Each Series I preferred investment option is exercisable on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law (the “Initial exercise date”), and will expire two years from the initial exercise date. Net cash settlements are not permitted under any event under the Securities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issued to Wainwright or its designees preferred investment options to purchase up to </w:t>
      </w:r>
      <w:bookmarkStart w:id="270" w:name="xdx_900_eus-gaap--StockIssuedDuringPerio"/>
      <w:bookmarkEnd w:id="270"/>
      <w:r>
        <w:rPr>
          <w:rFonts w:ascii="Times New Roman;Times;Serif" w:hAnsi="Times New Roman;Times;Serif"/>
          <w:b w:val="false"/>
          <w:i w:val="false"/>
          <w:caps w:val="false"/>
          <w:smallCaps w:val="false"/>
          <w:sz w:val="20"/>
        </w:rPr>
        <w:t>305,164 shares of common stock which have the same terms as investors’ preferred investment options except for an exercise price equal to $</w:t>
      </w:r>
      <w:bookmarkStart w:id="271" w:name="xdx_904_eus-gaap--SharesIssuedPricePerSh"/>
      <w:bookmarkEnd w:id="271"/>
      <w:r>
        <w:rPr>
          <w:rFonts w:ascii="Times New Roman;Times;Serif" w:hAnsi="Times New Roman;Times;Serif"/>
          <w:b w:val="false"/>
          <w:i w:val="false"/>
          <w:caps w:val="false"/>
          <w:smallCaps w:val="false"/>
          <w:sz w:val="20"/>
        </w:rPr>
        <w:t>2.6625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At-the-market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the Company filed with the SEC a prospectus supplement relating to the offer, issuance and sale of up to $</w:t>
      </w:r>
      <w:bookmarkStart w:id="272" w:name="xdx_90F_eus-gaap--SaleOfStockConsiderati"/>
      <w:bookmarkEnd w:id="272"/>
      <w:r>
        <w:rPr>
          <w:rFonts w:ascii="Times New Roman;Times;Serif" w:hAnsi="Times New Roman;Times;Serif"/>
          <w:b w:val="false"/>
          <w:i w:val="false"/>
          <w:caps w:val="false"/>
          <w:smallCaps w:val="false"/>
          <w:sz w:val="20"/>
        </w:rPr>
        <w:t xml:space="preserve">4,820 of the Company’s shares of common stock pursuant to the ATM Agreement. During the year 2024, the Company issued </w:t>
      </w:r>
      <w:bookmarkStart w:id="273" w:name="xdx_903_eus-gaap--StockIssuedDuringPerio"/>
      <w:bookmarkEnd w:id="273"/>
      <w:r>
        <w:rPr>
          <w:rFonts w:ascii="Times New Roman;Times;Serif" w:hAnsi="Times New Roman;Times;Serif"/>
          <w:b w:val="false"/>
          <w:i w:val="false"/>
          <w:caps w:val="false"/>
          <w:smallCaps w:val="false"/>
          <w:sz w:val="20"/>
        </w:rPr>
        <w:t>3,433,880 shares of the Company’s common stock pursuant to the ATM Agreement, for total gross proceeds of approximately $</w:t>
      </w:r>
      <w:bookmarkStart w:id="274" w:name="xdx_908_eus-gaap--ProceedsFromIssuanceOf"/>
      <w:bookmarkEnd w:id="274"/>
      <w:r>
        <w:rPr>
          <w:rFonts w:ascii="Times New Roman;Times;Serif" w:hAnsi="Times New Roman;Times;Serif"/>
          <w:b w:val="false"/>
          <w:i w:val="false"/>
          <w:caps w:val="false"/>
          <w:smallCaps w:val="false"/>
          <w:sz w:val="20"/>
        </w:rPr>
        <w:t>3,756 before deducting sales agent commissions and other offering expenses of $</w:t>
      </w:r>
      <w:bookmarkStart w:id="275" w:name="xdx_90E_eus-gaap--OtherExpenses_pn3n3_c2"/>
      <w:bookmarkEnd w:id="275"/>
      <w:r>
        <w:rPr>
          <w:rFonts w:ascii="Times New Roman;Times;Serif" w:hAnsi="Times New Roman;Times;Serif"/>
          <w:b w:val="false"/>
          <w:i w:val="false"/>
          <w:caps w:val="false"/>
          <w:smallCaps w:val="false"/>
          <w:sz w:val="20"/>
        </w:rPr>
        <w:t>239.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2025, the Company issued </w:t>
      </w:r>
      <w:bookmarkStart w:id="276" w:name="xdx_90A_eus-gaap--StockIssuedDuringPerio"/>
      <w:bookmarkEnd w:id="276"/>
      <w:r>
        <w:rPr>
          <w:rFonts w:ascii="Times New Roman;Times;Serif" w:hAnsi="Times New Roman;Times;Serif"/>
          <w:b w:val="false"/>
          <w:i w:val="false"/>
          <w:caps w:val="false"/>
          <w:smallCaps w:val="false"/>
          <w:sz w:val="20"/>
        </w:rPr>
        <w:t>842,606 shares of the Company’s common stock pursuant to the ATM Agreement, for total gross proceeds of approximately $</w:t>
      </w:r>
      <w:bookmarkStart w:id="277" w:name="xdx_909_eus-gaap--ProceedsFromIssuanceOf"/>
      <w:bookmarkEnd w:id="277"/>
      <w:r>
        <w:rPr>
          <w:rFonts w:ascii="Times New Roman;Times;Serif" w:hAnsi="Times New Roman;Times;Serif"/>
          <w:b w:val="false"/>
          <w:i w:val="false"/>
          <w:caps w:val="false"/>
          <w:smallCaps w:val="false"/>
          <w:sz w:val="20"/>
        </w:rPr>
        <w:t>1,062 before deducting sales agent commissions and other offering expenses of $</w:t>
      </w:r>
      <w:bookmarkStart w:id="278" w:name="xdx_903_eus-gaap--OtherExpenses_pn3n3_c2"/>
      <w:bookmarkEnd w:id="278"/>
      <w:r>
        <w:rPr>
          <w:rFonts w:ascii="Times New Roman;Times;Serif" w:hAnsi="Times New Roman;Times;Serif"/>
          <w:b w:val="false"/>
          <w:i w:val="false"/>
          <w:caps w:val="false"/>
          <w:smallCaps w:val="false"/>
          <w:sz w:val="20"/>
        </w:rPr>
        <w:t>65. The Company is no longer selling its securities pursuant to the ATM Agreement and has not as of the filing of these financial statements entered into a new or replacement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Exercise of Investment Options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raised approximately $</w:t>
      </w:r>
      <w:bookmarkStart w:id="279" w:name="xdx_902_eus-gaap--StockIssuedDuringPerio"/>
      <w:bookmarkEnd w:id="279"/>
      <w:r>
        <w:rPr>
          <w:rFonts w:ascii="Times New Roman;Times;Serif" w:hAnsi="Times New Roman;Times;Serif"/>
          <w:b w:val="false"/>
          <w:i w:val="false"/>
          <w:caps w:val="false"/>
          <w:smallCaps w:val="false"/>
          <w:sz w:val="20"/>
        </w:rPr>
        <w:t xml:space="preserve">916 in gross proceeds from the exercise of </w:t>
      </w:r>
      <w:bookmarkStart w:id="280" w:name="xdx_902_eus-gaap--StockIssuedDuringPerio"/>
      <w:bookmarkEnd w:id="280"/>
      <w:r>
        <w:rPr>
          <w:rFonts w:ascii="Times New Roman;Times;Serif" w:hAnsi="Times New Roman;Times;Serif"/>
          <w:b w:val="false"/>
          <w:i w:val="false"/>
          <w:caps w:val="false"/>
          <w:smallCaps w:val="false"/>
          <w:sz w:val="20"/>
        </w:rPr>
        <w:t>610,517 outstanding Series E preferred investment options, before deducting placement agent fee of $</w:t>
      </w:r>
      <w:bookmarkStart w:id="281" w:name="xdx_90F_eus-gaap--PaymentsOfStockIssuanc"/>
      <w:bookmarkEnd w:id="281"/>
      <w:r>
        <w:rPr>
          <w:rFonts w:ascii="Times New Roman;Times;Serif" w:hAnsi="Times New Roman;Times;Serif"/>
          <w:b w:val="false"/>
          <w:i w:val="false"/>
          <w:caps w:val="false"/>
          <w:smallCaps w:val="false"/>
          <w:sz w:val="20"/>
        </w:rPr>
        <w:t>64.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Equity classification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of the Company are recognized as equity under the requirements of ASC Topic 505 Equity.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analyzed the accounting treatment for all of the outstanding preferred investment options. Based on the Company’s analysis all such warrants were classified as equity.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analyzed the accounting treatment for all of the outstanding preferred investment options issued to Wainwright. Since the Company did not identify any features causing liability classification according to ASC 718, it concluded that all such preferred investment options are equity-classified awards.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Employee Stock Option Grants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granted the CEO, its executives and management, fully vested options to purchase an aggregate of </w:t>
            </w:r>
            <w:bookmarkStart w:id="282" w:name="xdx_907_eus-gaap--ShareBasedCompensation"/>
            <w:bookmarkEnd w:id="282"/>
            <w:r>
              <w:rPr>
                <w:rFonts w:ascii="Times New Roman;Times;Serif" w:hAnsi="Times New Roman;Times;Serif"/>
                <w:b w:val="false"/>
                <w:i w:val="false"/>
                <w:caps w:val="false"/>
                <w:smallCaps w:val="false"/>
                <w:sz w:val="20"/>
              </w:rPr>
              <w:t xml:space="preserve">80,000 and </w:t>
            </w:r>
            <w:bookmarkStart w:id="283" w:name="xdx_905_eus-gaap--ShareBasedCompensation"/>
            <w:bookmarkEnd w:id="283"/>
            <w:r>
              <w:rPr>
                <w:rFonts w:ascii="Times New Roman;Times;Serif" w:hAnsi="Times New Roman;Times;Serif"/>
                <w:b w:val="false"/>
                <w:i w:val="false"/>
                <w:caps w:val="false"/>
                <w:smallCaps w:val="false"/>
                <w:sz w:val="20"/>
              </w:rPr>
              <w:t>50,000 shares of the Company’s common stock, respectively, at an exercise price per share of $</w:t>
            </w:r>
            <w:bookmarkStart w:id="284" w:name="xdx_905_eus-gaap--ShareBasedCompensation"/>
            <w:bookmarkEnd w:id="284"/>
            <w:r>
              <w:rPr>
                <w:rFonts w:ascii="Times New Roman;Times;Serif" w:hAnsi="Times New Roman;Times;Serif"/>
                <w:b w:val="false"/>
                <w:i w:val="false"/>
                <w:caps w:val="false"/>
                <w:smallCaps w:val="false"/>
                <w:sz w:val="20"/>
              </w:rPr>
              <w:t>1.2684.</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granted the CEO and certain executives, options to purchase an aggregate of </w:t>
            </w:r>
            <w:bookmarkStart w:id="285" w:name="xdx_90D_ecustom--AdditionalShareBasedCom"/>
            <w:bookmarkEnd w:id="285"/>
            <w:r>
              <w:rPr>
                <w:rFonts w:ascii="Times New Roman;Times;Serif" w:hAnsi="Times New Roman;Times;Serif"/>
                <w:b w:val="false"/>
                <w:i w:val="false"/>
                <w:caps w:val="false"/>
                <w:smallCaps w:val="false"/>
                <w:sz w:val="20"/>
              </w:rPr>
              <w:t xml:space="preserve">80,000 and </w:t>
            </w:r>
            <w:bookmarkStart w:id="286" w:name="xdx_902_ecustom--AdditionalShareBasedCom"/>
            <w:bookmarkEnd w:id="286"/>
            <w:r>
              <w:rPr>
                <w:rFonts w:ascii="Times New Roman;Times;Serif" w:hAnsi="Times New Roman;Times;Serif"/>
                <w:b w:val="false"/>
                <w:i w:val="false"/>
                <w:caps w:val="false"/>
                <w:smallCaps w:val="false"/>
                <w:sz w:val="20"/>
              </w:rPr>
              <w:t>52,500 shares of the Company’s common stock, respectively, at an exercise price per share of $</w:t>
            </w:r>
            <w:bookmarkStart w:id="287" w:name="xdx_908_eus-gaap--SharesIssuedPricePerSh"/>
            <w:bookmarkEnd w:id="287"/>
            <w:r>
              <w:rPr>
                <w:rFonts w:ascii="Times New Roman;Times;Serif" w:hAnsi="Times New Roman;Times;Serif"/>
                <w:b w:val="false"/>
                <w:i w:val="false"/>
                <w:caps w:val="false"/>
                <w:smallCaps w:val="false"/>
                <w:sz w:val="20"/>
              </w:rPr>
              <w:t>1.25. The vesting of these options is subject to the achievement of specified performance conditions. For the year ended December 31, 2024, the Company recorded an expense of $</w:t>
            </w:r>
            <w:bookmarkStart w:id="288" w:name="xdx_90A_eus-gaap--AllocatedShareBasedCom"/>
            <w:bookmarkEnd w:id="288"/>
            <w:r>
              <w:rPr>
                <w:rFonts w:ascii="Times New Roman;Times;Serif" w:hAnsi="Times New Roman;Times;Serif"/>
                <w:b w:val="false"/>
                <w:i w:val="false"/>
                <w:caps w:val="false"/>
                <w:smallCaps w:val="false"/>
                <w:sz w:val="20"/>
              </w:rPr>
              <w:t xml:space="preserve">38, reflecting management’s assessment that the specified performance milestones for </w:t>
            </w:r>
            <w:bookmarkStart w:id="289" w:name="xdx_90C_eus-gaap--StockIssuedDuringPerio"/>
            <w:bookmarkEnd w:id="289"/>
            <w:r>
              <w:rPr>
                <w:rFonts w:ascii="Times New Roman;Times;Serif" w:hAnsi="Times New Roman;Times;Serif"/>
                <w:b w:val="false"/>
                <w:i w:val="false"/>
                <w:caps w:val="false"/>
                <w:smallCaps w:val="false"/>
                <w:sz w:val="20"/>
              </w:rPr>
              <w:t xml:space="preserve">35,625 of the </w:t>
            </w:r>
            <w:bookmarkStart w:id="290" w:name="xdx_90C_eus-gaap--ShareBasedCompensation"/>
            <w:bookmarkEnd w:id="290"/>
            <w:r>
              <w:rPr>
                <w:rFonts w:ascii="Times New Roman;Times;Serif" w:hAnsi="Times New Roman;Times;Serif"/>
                <w:b w:val="false"/>
                <w:i w:val="false"/>
                <w:caps w:val="false"/>
                <w:smallCaps w:val="false"/>
                <w:sz w:val="20"/>
              </w:rPr>
              <w:t>132,500 options were achieved by their due date.</w:t>
            </w:r>
          </w:p>
        </w:tc>
      </w:tr>
    </w:tbl>
    <w:p>
      <w:pPr>
        <w:pStyle w:val="TextBody"/>
        <w:bidi w:val="0"/>
        <w:spacing w:before="0" w:after="0"/>
        <w:ind w:left="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granted the CEO, its executives, and certain employees, options to purchase an aggregate of </w:t>
            </w:r>
            <w:bookmarkStart w:id="291" w:name="xdx_908_eus-gaap--ShareBasedCompensation"/>
            <w:bookmarkEnd w:id="291"/>
            <w:r>
              <w:rPr>
                <w:rFonts w:ascii="Times New Roman;Times;Serif" w:hAnsi="Times New Roman;Times;Serif"/>
                <w:b w:val="false"/>
                <w:i w:val="false"/>
                <w:caps w:val="false"/>
                <w:smallCaps w:val="false"/>
                <w:sz w:val="20"/>
              </w:rPr>
              <w:t xml:space="preserve">80,000 and </w:t>
            </w:r>
            <w:bookmarkStart w:id="292" w:name="xdx_90F_eus-gaap--ShareBasedCompensation"/>
            <w:bookmarkEnd w:id="292"/>
            <w:r>
              <w:rPr>
                <w:rFonts w:ascii="Times New Roman;Times;Serif" w:hAnsi="Times New Roman;Times;Serif"/>
                <w:b w:val="false"/>
                <w:i w:val="false"/>
                <w:caps w:val="false"/>
                <w:smallCaps w:val="false"/>
                <w:sz w:val="20"/>
              </w:rPr>
              <w:t>115,000 shares of the Company’s common stock, respectively, at an exercise price per share of $</w:t>
            </w:r>
            <w:bookmarkStart w:id="293" w:name="xdx_902_eus-gaap--SharesIssuedPricePerSh"/>
            <w:bookmarkStart w:id="294" w:name="xdx_90D_eus-gaap--SharesIssuedPricePerSh"/>
            <w:bookmarkEnd w:id="293"/>
            <w:bookmarkEnd w:id="294"/>
            <w:r>
              <w:rPr>
                <w:rFonts w:ascii="Times New Roman;Times;Serif" w:hAnsi="Times New Roman;Times;Serif"/>
                <w:b w:val="false"/>
                <w:i w:val="false"/>
                <w:caps w:val="false"/>
                <w:smallCaps w:val="false"/>
                <w:sz w:val="20"/>
              </w:rPr>
              <w:t>1.2684, with a vesting period of three years.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granted an advisor options to purchase an aggregate of </w:t>
            </w:r>
            <w:bookmarkStart w:id="295" w:name="xdx_903_eus-gaap--ShareBasedCompensation"/>
            <w:bookmarkEnd w:id="295"/>
            <w:r>
              <w:rPr>
                <w:rFonts w:ascii="Times New Roman;Times;Serif" w:hAnsi="Times New Roman;Times;Serif"/>
                <w:b w:val="false"/>
                <w:i w:val="false"/>
                <w:caps w:val="false"/>
                <w:smallCaps w:val="false"/>
                <w:sz w:val="20"/>
              </w:rPr>
              <w:t>25,000 shares of the Company’s common stock, at an exercise price per share of $</w:t>
            </w:r>
            <w:bookmarkStart w:id="296" w:name="xdx_90B_eus-gaap--SharesIssuedPricePerSh"/>
            <w:bookmarkEnd w:id="296"/>
            <w:r>
              <w:rPr>
                <w:rFonts w:ascii="Times New Roman;Times;Serif" w:hAnsi="Times New Roman;Times;Serif"/>
                <w:b w:val="false"/>
                <w:i w:val="false"/>
                <w:caps w:val="false"/>
                <w:smallCaps w:val="false"/>
                <w:sz w:val="20"/>
              </w:rPr>
              <w:t>0.881, with a vesting period of three years.</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the CEO’s 2023 annual bonus, during February 2024, the Company paid </w:t>
      </w:r>
      <w:bookmarkStart w:id="297" w:name="xdx_90F_eus-gaap--SharebasedCompensation"/>
      <w:bookmarkEnd w:id="297"/>
      <w:r>
        <w:rPr>
          <w:rFonts w:ascii="Times New Roman;Times;Serif" w:hAnsi="Times New Roman;Times;Serif"/>
          <w:b w:val="false"/>
          <w:i w:val="false"/>
          <w:caps w:val="false"/>
          <w:smallCaps w:val="false"/>
          <w:sz w:val="20"/>
        </w:rPr>
        <w:t>25% of the CEO’s total 2023 bonus – amounting to approximately $</w:t>
      </w:r>
      <w:bookmarkStart w:id="298" w:name="xdx_903_ecustom--AnnualBonus_pn3n3_c2024"/>
      <w:bookmarkEnd w:id="298"/>
      <w:r>
        <w:rPr>
          <w:rFonts w:ascii="Times New Roman;Times;Serif" w:hAnsi="Times New Roman;Times;Serif"/>
          <w:b w:val="false"/>
          <w:i w:val="false"/>
          <w:caps w:val="false"/>
          <w:smallCaps w:val="false"/>
          <w:sz w:val="20"/>
        </w:rPr>
        <w:t xml:space="preserve">99, through the grant of fully vested options to purchase an aggregate of </w:t>
      </w:r>
      <w:bookmarkStart w:id="299" w:name="xdx_906_eus-gaap--ShareBasedCompensation"/>
      <w:bookmarkEnd w:id="299"/>
      <w:r>
        <w:rPr>
          <w:rFonts w:ascii="Times New Roman;Times;Serif" w:hAnsi="Times New Roman;Times;Serif"/>
          <w:b w:val="false"/>
          <w:i w:val="false"/>
          <w:caps w:val="false"/>
          <w:smallCaps w:val="false"/>
          <w:sz w:val="20"/>
        </w:rPr>
        <w:t>79,567 shares of the Company’s common stock with an exercise price per share of $</w:t>
      </w:r>
      <w:bookmarkStart w:id="300" w:name="xdx_906_eus-gaap--SharesIssuedPricePerSh"/>
      <w:bookmarkEnd w:id="300"/>
      <w:r>
        <w:rPr>
          <w:rFonts w:ascii="Times New Roman;Times;Serif" w:hAnsi="Times New Roman;Times;Serif"/>
          <w:b w:val="false"/>
          <w:i w:val="false"/>
          <w:caps w:val="false"/>
          <w:smallCaps w:val="false"/>
          <w:sz w:val="20"/>
        </w:rPr>
        <w:t>1.25.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2025, the Company granted the CEO, executives and certain employees, and certain board members, </w:t>
      </w:r>
      <w:bookmarkStart w:id="301" w:name="xdx_90E_eus-gaap--ShareBasedCompensation"/>
      <w:bookmarkEnd w:id="301"/>
      <w:r>
        <w:rPr>
          <w:rFonts w:ascii="Times New Roman;Times;Serif" w:hAnsi="Times New Roman;Times;Serif"/>
          <w:b w:val="false"/>
          <w:i w:val="false"/>
          <w:caps w:val="false"/>
          <w:smallCaps w:val="false"/>
          <w:sz w:val="20"/>
        </w:rPr>
        <w:t xml:space="preserve">228,000, </w:t>
      </w:r>
      <w:bookmarkStart w:id="302" w:name="xdx_90A_eus-gaap--ShareBasedCompensation"/>
      <w:bookmarkEnd w:id="302"/>
      <w:r>
        <w:rPr>
          <w:rFonts w:ascii="Times New Roman;Times;Serif" w:hAnsi="Times New Roman;Times;Serif"/>
          <w:b w:val="false"/>
          <w:i w:val="false"/>
          <w:caps w:val="false"/>
          <w:smallCaps w:val="false"/>
          <w:sz w:val="20"/>
        </w:rPr>
        <w:t xml:space="preserve">313,875 and </w:t>
      </w:r>
      <w:bookmarkStart w:id="303" w:name="xdx_90F_eus-gaap--ShareBasedCompensation"/>
      <w:bookmarkEnd w:id="303"/>
      <w:r>
        <w:rPr>
          <w:rFonts w:ascii="Times New Roman;Times;Serif" w:hAnsi="Times New Roman;Times;Serif"/>
          <w:b w:val="false"/>
          <w:i w:val="false"/>
          <w:caps w:val="false"/>
          <w:smallCaps w:val="false"/>
          <w:sz w:val="20"/>
        </w:rPr>
        <w:t xml:space="preserve">70,000 options, respectively. In addition, in February 2025, the Company determined that </w:t>
      </w:r>
      <w:bookmarkStart w:id="304" w:name="xdx_90B_eus-gaap--ShareBasedCompensation"/>
      <w:bookmarkEnd w:id="304"/>
      <w:r>
        <w:rPr>
          <w:rFonts w:ascii="Times New Roman;Times;Serif" w:hAnsi="Times New Roman;Times;Serif"/>
          <w:b w:val="false"/>
          <w:i w:val="false"/>
          <w:caps w:val="false"/>
          <w:smallCaps w:val="false"/>
          <w:sz w:val="20"/>
        </w:rPr>
        <w:t xml:space="preserve">35,625 out of </w:t>
      </w:r>
      <w:bookmarkStart w:id="305" w:name="xdx_90B_eus-gaap--SharebasedCompensation"/>
      <w:bookmarkEnd w:id="305"/>
      <w:r>
        <w:rPr>
          <w:rFonts w:ascii="Times New Roman;Times;Serif" w:hAnsi="Times New Roman;Times;Serif"/>
          <w:b w:val="false"/>
          <w:i w:val="false"/>
          <w:caps w:val="false"/>
          <w:smallCaps w:val="false"/>
          <w:sz w:val="20"/>
        </w:rPr>
        <w:t xml:space="preserve">132,500 performance-based options granted in February 2024 had met their milestones and been vested, while the remainder </w:t>
      </w:r>
      <w:bookmarkStart w:id="306" w:name="xdx_90A_eus-gaap--SharebasedCompensation"/>
      <w:bookmarkEnd w:id="306"/>
      <w:r>
        <w:rPr>
          <w:rFonts w:ascii="Times New Roman;Times;Serif" w:hAnsi="Times New Roman;Times;Serif"/>
          <w:b w:val="false"/>
          <w:i w:val="false"/>
          <w:caps w:val="false"/>
          <w:smallCaps w:val="false"/>
          <w:sz w:val="20"/>
        </w:rPr>
        <w:t>96,875 options which did not meet their milestones had been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7" w:name="xdx_894_eus-gaap--ScheduleOfStockholders"/>
      <w:bookmarkEnd w:id="307"/>
      <w:r>
        <w:rPr>
          <w:rFonts w:ascii="Times New Roman;Times;Serif" w:hAnsi="Times New Roman;Times;Serif"/>
          <w:b w:val="false"/>
          <w:i w:val="false"/>
          <w:caps w:val="false"/>
          <w:smallCaps w:val="false"/>
          <w:sz w:val="20"/>
        </w:rPr>
        <w:t>The remaining outstanding warrants and terms as of March 31, 2025 and December 31, 2024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8" w:name="xdx_8B9_zY3WdcLqk9wb"/>
      <w:bookmarkEnd w:id="308"/>
      <w:r>
        <w:rPr>
          <w:rFonts w:ascii="Times New Roman;Times;Serif" w:hAnsi="Times New Roman;Times;Serif"/>
          <w:b w:val="false"/>
          <w:i w:val="false"/>
          <w:caps w:val="false"/>
          <w:smallCaps w:val="false"/>
          <w:sz w:val="20"/>
        </w:rPr>
        <w:t>SCHEDULE OF WARRANTS OUTSTANDING </w:t>
      </w:r>
    </w:p>
    <w:tbl>
      <w:tblPr>
        <w:tblW w:w="10205" w:type="dxa"/>
        <w:jc w:val="left"/>
        <w:tblInd w:w="0" w:type="dxa"/>
        <w:tblLayout w:type="fixed"/>
        <w:tblCellMar>
          <w:top w:w="0" w:type="dxa"/>
          <w:left w:w="0" w:type="dxa"/>
          <w:bottom w:w="28" w:type="dxa"/>
          <w:right w:w="0" w:type="dxa"/>
        </w:tblCellMar>
      </w:tblPr>
      <w:tblGrid>
        <w:gridCol w:w="2988"/>
        <w:gridCol w:w="60"/>
        <w:gridCol w:w="60"/>
        <w:gridCol w:w="1790"/>
        <w:gridCol w:w="60"/>
        <w:gridCol w:w="60"/>
        <w:gridCol w:w="60"/>
        <w:gridCol w:w="2090"/>
        <w:gridCol w:w="60"/>
        <w:gridCol w:w="60"/>
        <w:gridCol w:w="208"/>
        <w:gridCol w:w="998"/>
        <w:gridCol w:w="60"/>
        <w:gridCol w:w="60"/>
        <w:gridCol w:w="1591"/>
      </w:tblGrid>
      <w:tr>
        <w:trPr/>
        <w:tc>
          <w:tcPr>
            <w:tcW w:w="298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and</w:t>
              <w:br/>
              <w:t xml:space="preserve">exercisable as of </w:t>
              <w:br/>
              <w:t>March 31,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and </w:t>
              <w:br/>
              <w:t>exercisable as of</w:t>
              <w:br/>
              <w:t>December 31, 2024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w:t>
            </w:r>
          </w:p>
        </w:tc>
      </w:tr>
      <w:tr>
        <w:trPr/>
        <w:tc>
          <w:tcPr>
            <w:tcW w:w="298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underwriters October 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09" w:name="xdx_980_eus-gaap--ClassOfWarrantOrRightO"/>
            <w:bookmarkEnd w:id="309"/>
          </w:p>
        </w:tc>
        <w:tc>
          <w:tcPr>
            <w:tcW w:w="179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51,125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10" w:name="xdx_98A_eus-gaap--ClassOfWarrantOrRightO"/>
            <w:bookmarkEnd w:id="310"/>
          </w:p>
        </w:tc>
        <w:tc>
          <w:tcPr>
            <w:tcW w:w="209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51,125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11" w:name="xdx_982_eus-gaap--ClassOfWarrantOrRightE"/>
            <w:bookmarkEnd w:id="311"/>
          </w:p>
        </w:tc>
        <w:tc>
          <w:tcPr>
            <w:tcW w:w="9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12" w:name="xdx_909_ecustom--ClassOfWarrantOrRighstM"/>
            <w:bookmarkEnd w:id="312"/>
            <w:r>
              <w:rPr>
                <w:rFonts w:ascii="Times New Roman;Times;Serif" w:hAnsi="Times New Roman;Times;Serif"/>
                <w:b w:val="false"/>
                <w:i w:val="false"/>
                <w:caps w:val="false"/>
                <w:smallCaps w:val="false"/>
                <w:sz w:val="20"/>
              </w:rPr>
              <w:t>October 21, 2027</w:t>
            </w:r>
          </w:p>
        </w:tc>
      </w:tr>
      <w:tr>
        <w:trPr/>
        <w:tc>
          <w:tcPr>
            <w:tcW w:w="298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underwriters May 2023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13" w:name="xdx_980_eus-gaap--ClassOfWarrantOrRightO"/>
            <w:bookmarkEnd w:id="313"/>
          </w:p>
        </w:tc>
        <w:tc>
          <w:tcPr>
            <w:tcW w:w="17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14" w:name="xdx_987_eus-gaap--ClassOfWarrantOrRightO"/>
            <w:bookmarkEnd w:id="314"/>
          </w:p>
        </w:tc>
        <w:tc>
          <w:tcPr>
            <w:tcW w:w="20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15" w:name="xdx_98D_eus-gaap--ClassOfWarrantOrRightE"/>
            <w:bookmarkEnd w:id="315"/>
          </w:p>
        </w:tc>
        <w:tc>
          <w:tcPr>
            <w:tcW w:w="99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16" w:name="xdx_907_ecustom--ClassOfWarrantOrRighstM"/>
            <w:bookmarkEnd w:id="316"/>
            <w:r>
              <w:rPr>
                <w:rFonts w:ascii="Times New Roman;Times;Serif" w:hAnsi="Times New Roman;Times;Serif"/>
                <w:b w:val="false"/>
                <w:i w:val="false"/>
                <w:caps w:val="false"/>
                <w:smallCaps w:val="false"/>
                <w:sz w:val="20"/>
              </w:rPr>
              <w:t>November 23, 2026</w:t>
            </w:r>
          </w:p>
        </w:tc>
      </w:tr>
      <w:tr>
        <w:trPr/>
        <w:tc>
          <w:tcPr>
            <w:tcW w:w="298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underwriters May 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17" w:name="xdx_981_eus-gaap--ClassOfWarrantOrRightO"/>
            <w:bookmarkEnd w:id="317"/>
          </w:p>
        </w:tc>
        <w:tc>
          <w:tcPr>
            <w:tcW w:w="17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18" w:name="xdx_985_eus-gaap--ClassOfWarrantOrRightO"/>
            <w:bookmarkEnd w:id="318"/>
          </w:p>
        </w:tc>
        <w:tc>
          <w:tcPr>
            <w:tcW w:w="20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19" w:name="xdx_98B_eus-gaap--ClassOfWarrantOrRightE"/>
            <w:bookmarkEnd w:id="319"/>
          </w:p>
        </w:tc>
        <w:tc>
          <w:tcPr>
            <w:tcW w:w="9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20" w:name="xdx_90B_ecustom--ClassOfWarrantOrRighstM"/>
            <w:bookmarkEnd w:id="320"/>
            <w:r>
              <w:rPr>
                <w:rFonts w:ascii="Times New Roman;Times;Serif" w:hAnsi="Times New Roman;Times;Serif"/>
                <w:b w:val="false"/>
                <w:i w:val="false"/>
                <w:caps w:val="false"/>
                <w:smallCaps w:val="false"/>
                <w:sz w:val="20"/>
              </w:rPr>
              <w:t>November 24, 2026</w:t>
            </w:r>
          </w:p>
        </w:tc>
      </w:tr>
      <w:tr>
        <w:trPr/>
        <w:tc>
          <w:tcPr>
            <w:tcW w:w="298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underwriters June 2023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21" w:name="xdx_985_eus-gaap--ClassOfWarrantOrRightO"/>
            <w:bookmarkEnd w:id="321"/>
          </w:p>
        </w:tc>
        <w:tc>
          <w:tcPr>
            <w:tcW w:w="17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35,088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22" w:name="xdx_986_eus-gaap--ClassOfWarrantOrRightO"/>
            <w:bookmarkEnd w:id="322"/>
          </w:p>
        </w:tc>
        <w:tc>
          <w:tcPr>
            <w:tcW w:w="20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35,088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23" w:name="xdx_985_eus-gaap--ClassOfWarrantOrRightE"/>
            <w:bookmarkEnd w:id="323"/>
          </w:p>
        </w:tc>
        <w:tc>
          <w:tcPr>
            <w:tcW w:w="99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24" w:name="xdx_901_ecustom--ClassOfWarrantOrRighstM"/>
            <w:bookmarkEnd w:id="324"/>
            <w:r>
              <w:rPr>
                <w:rFonts w:ascii="Times New Roman;Times;Serif" w:hAnsi="Times New Roman;Times;Serif"/>
                <w:b w:val="false"/>
                <w:i w:val="false"/>
                <w:caps w:val="false"/>
                <w:smallCaps w:val="false"/>
                <w:sz w:val="20"/>
              </w:rPr>
              <w:t>June 2, 2028</w:t>
            </w:r>
          </w:p>
        </w:tc>
      </w:tr>
      <w:tr>
        <w:trPr/>
        <w:tc>
          <w:tcPr>
            <w:tcW w:w="298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underwriters June 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25" w:name="xdx_989_eus-gaap--ClassOfWarrantOrRightO"/>
            <w:bookmarkEnd w:id="325"/>
          </w:p>
        </w:tc>
        <w:tc>
          <w:tcPr>
            <w:tcW w:w="17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26" w:name="xdx_986_eus-gaap--ClassOfWarrantOrRightO"/>
            <w:bookmarkEnd w:id="326"/>
          </w:p>
        </w:tc>
        <w:tc>
          <w:tcPr>
            <w:tcW w:w="20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27" w:name="xdx_981_eus-gaap--ClassOfWarrantOrRightE"/>
            <w:bookmarkEnd w:id="327"/>
          </w:p>
        </w:tc>
        <w:tc>
          <w:tcPr>
            <w:tcW w:w="9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28" w:name="xdx_905_ecustom--ClassOfWarrantOrRighstM"/>
            <w:bookmarkEnd w:id="328"/>
            <w:r>
              <w:rPr>
                <w:rFonts w:ascii="Times New Roman;Times;Serif" w:hAnsi="Times New Roman;Times;Serif"/>
                <w:b w:val="false"/>
                <w:i w:val="false"/>
                <w:caps w:val="false"/>
                <w:smallCaps w:val="false"/>
                <w:sz w:val="20"/>
              </w:rPr>
              <w:t>June 28, 2028</w:t>
            </w:r>
          </w:p>
        </w:tc>
      </w:tr>
      <w:tr>
        <w:trPr/>
        <w:tc>
          <w:tcPr>
            <w:tcW w:w="298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series E January 2024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29" w:name="xdx_98A_eus-gaap--ClassOfWarrantOrRightO"/>
            <w:bookmarkEnd w:id="329"/>
          </w:p>
        </w:tc>
        <w:tc>
          <w:tcPr>
            <w:tcW w:w="17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1,075,165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30" w:name="xdx_98F_eus-gaap--ClassOfWarrantOrRightO"/>
            <w:bookmarkEnd w:id="330"/>
          </w:p>
        </w:tc>
        <w:tc>
          <w:tcPr>
            <w:tcW w:w="20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1,685,682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31" w:name="xdx_98C_eus-gaap--ClassOfWarrantOrRightE"/>
            <w:bookmarkEnd w:id="331"/>
          </w:p>
        </w:tc>
        <w:tc>
          <w:tcPr>
            <w:tcW w:w="99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32" w:name="xdx_905_ecustom--ClassOfWarrantOrRighstM"/>
            <w:bookmarkEnd w:id="332"/>
            <w:r>
              <w:rPr>
                <w:rFonts w:ascii="Times New Roman;Times;Serif" w:hAnsi="Times New Roman;Times;Serif"/>
                <w:b w:val="false"/>
                <w:i w:val="false"/>
                <w:caps w:val="false"/>
                <w:smallCaps w:val="false"/>
                <w:sz w:val="20"/>
              </w:rPr>
              <w:t>July 3, 2029</w:t>
            </w:r>
          </w:p>
        </w:tc>
      </w:tr>
      <w:tr>
        <w:trPr/>
        <w:tc>
          <w:tcPr>
            <w:tcW w:w="298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underwriters January 2024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33" w:name="xdx_986_eus-gaap--ClassOfWarrantOrRightO"/>
            <w:bookmarkEnd w:id="333"/>
          </w:p>
        </w:tc>
        <w:tc>
          <w:tcPr>
            <w:tcW w:w="17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84,284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34" w:name="xdx_984_eus-gaap--ClassOfWarrantOrRightO"/>
            <w:bookmarkEnd w:id="334"/>
          </w:p>
        </w:tc>
        <w:tc>
          <w:tcPr>
            <w:tcW w:w="20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84,284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35" w:name="xdx_983_eus-gaap--ClassOfWarrantOrRightE"/>
            <w:bookmarkEnd w:id="335"/>
          </w:p>
        </w:tc>
        <w:tc>
          <w:tcPr>
            <w:tcW w:w="9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36" w:name="xdx_90B_ecustom--ClassOfWarrantOrRighstM"/>
            <w:bookmarkEnd w:id="336"/>
            <w:r>
              <w:rPr>
                <w:rFonts w:ascii="Times New Roman;Times;Serif" w:hAnsi="Times New Roman;Times;Serif"/>
                <w:b w:val="false"/>
                <w:i w:val="false"/>
                <w:caps w:val="false"/>
                <w:smallCaps w:val="false"/>
                <w:sz w:val="20"/>
              </w:rPr>
              <w:t>July 3, 2029</w:t>
            </w:r>
          </w:p>
        </w:tc>
      </w:tr>
      <w:tr>
        <w:trPr/>
        <w:tc>
          <w:tcPr>
            <w:tcW w:w="298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series F June 2024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37" w:name="xdx_986_eus-gaap--ClassOfWarrantOrRightO"/>
            <w:bookmarkEnd w:id="337"/>
          </w:p>
        </w:tc>
        <w:tc>
          <w:tcPr>
            <w:tcW w:w="17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3,133,338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38" w:name="xdx_98E_eus-gaap--ClassOfWarrantOrRightO"/>
            <w:bookmarkEnd w:id="338"/>
          </w:p>
        </w:tc>
        <w:tc>
          <w:tcPr>
            <w:tcW w:w="20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3,133,338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39" w:name="xdx_981_eus-gaap--ClassOfWarrantOrRightE"/>
            <w:bookmarkEnd w:id="339"/>
          </w:p>
        </w:tc>
        <w:tc>
          <w:tcPr>
            <w:tcW w:w="99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40" w:name="xdx_900_ecustom--ClassOfWarrantOrRighstM"/>
            <w:bookmarkEnd w:id="340"/>
            <w:r>
              <w:rPr>
                <w:rFonts w:ascii="Times New Roman;Times;Serif" w:hAnsi="Times New Roman;Times;Serif"/>
                <w:b w:val="false"/>
                <w:i w:val="false"/>
                <w:caps w:val="false"/>
                <w:smallCaps w:val="false"/>
                <w:sz w:val="20"/>
              </w:rPr>
              <w:t>June 3, 2026</w:t>
            </w:r>
          </w:p>
        </w:tc>
      </w:tr>
      <w:tr>
        <w:trPr/>
        <w:tc>
          <w:tcPr>
            <w:tcW w:w="298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underwriters June 2024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41" w:name="xdx_98A_eus-gaap--ClassOfWarrantOrRightO"/>
            <w:bookmarkEnd w:id="341"/>
          </w:p>
        </w:tc>
        <w:tc>
          <w:tcPr>
            <w:tcW w:w="17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42" w:name="xdx_981_eus-gaap--ClassOfWarrantOrRightO"/>
            <w:bookmarkEnd w:id="342"/>
          </w:p>
        </w:tc>
        <w:tc>
          <w:tcPr>
            <w:tcW w:w="20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43" w:name="xdx_98B_eus-gaap--ClassOfWarrantOrRightE"/>
            <w:bookmarkEnd w:id="343"/>
          </w:p>
        </w:tc>
        <w:tc>
          <w:tcPr>
            <w:tcW w:w="9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44" w:name="xdx_90B_ecustom--ClassOfWarrantOrRighstM"/>
            <w:bookmarkEnd w:id="344"/>
            <w:r>
              <w:rPr>
                <w:rFonts w:ascii="Times New Roman;Times;Serif" w:hAnsi="Times New Roman;Times;Serif"/>
                <w:b w:val="false"/>
                <w:i w:val="false"/>
                <w:caps w:val="false"/>
                <w:smallCaps w:val="false"/>
                <w:sz w:val="20"/>
              </w:rPr>
              <w:t>June 3, 2026</w:t>
            </w:r>
          </w:p>
        </w:tc>
      </w:tr>
      <w:tr>
        <w:trPr/>
        <w:tc>
          <w:tcPr>
            <w:tcW w:w="298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series G January 2025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45" w:name="xdx_98D_eus-gaap--ClassOfWarrantOrRightO"/>
            <w:bookmarkEnd w:id="345"/>
          </w:p>
        </w:tc>
        <w:tc>
          <w:tcPr>
            <w:tcW w:w="17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46" w:name="xdx_982_eus-gaap--ClassOfWarrantOrRightO"/>
            <w:bookmarkEnd w:id="346"/>
          </w:p>
        </w:tc>
        <w:tc>
          <w:tcPr>
            <w:tcW w:w="20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47" w:name="xdx_98B_eus-gaap--ClassOfWarrantOrRightE"/>
            <w:bookmarkEnd w:id="347"/>
          </w:p>
        </w:tc>
        <w:tc>
          <w:tcPr>
            <w:tcW w:w="99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48" w:name="xdx_908_ecustom--ClassOfWarrantOrRighstM"/>
            <w:bookmarkEnd w:id="348"/>
            <w:r>
              <w:rPr>
                <w:rFonts w:ascii="Times New Roman;Times;Serif" w:hAnsi="Times New Roman;Times;Serif"/>
                <w:b w:val="false"/>
                <w:i w:val="false"/>
                <w:caps w:val="false"/>
                <w:smallCaps w:val="false"/>
                <w:sz w:val="20"/>
              </w:rPr>
              <w:t>January 7, 2027</w:t>
            </w:r>
          </w:p>
        </w:tc>
      </w:tr>
      <w:tr>
        <w:trPr/>
        <w:tc>
          <w:tcPr>
            <w:tcW w:w="298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underwriters January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49" w:name="xdx_984_eus-gaap--ClassOfWarrantOrRightO"/>
            <w:bookmarkEnd w:id="349"/>
          </w:p>
        </w:tc>
        <w:tc>
          <w:tcPr>
            <w:tcW w:w="17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50" w:name="xdx_980_eus-gaap--ClassOfWarrantOrRightO"/>
            <w:bookmarkEnd w:id="350"/>
          </w:p>
        </w:tc>
        <w:tc>
          <w:tcPr>
            <w:tcW w:w="20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51" w:name="xdx_98F_eus-gaap--ClassOfWarrantOrRightE"/>
            <w:bookmarkEnd w:id="351"/>
          </w:p>
        </w:tc>
        <w:tc>
          <w:tcPr>
            <w:tcW w:w="9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2.1875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52" w:name="xdx_90C_ecustom--ClassOfWarrantOrRighstM"/>
            <w:bookmarkEnd w:id="352"/>
            <w:r>
              <w:rPr>
                <w:rFonts w:ascii="Times New Roman;Times;Serif" w:hAnsi="Times New Roman;Times;Serif"/>
                <w:b w:val="false"/>
                <w:i w:val="false"/>
                <w:caps w:val="false"/>
                <w:smallCaps w:val="false"/>
                <w:sz w:val="20"/>
              </w:rPr>
              <w:t>January 7, 2027</w:t>
            </w:r>
          </w:p>
        </w:tc>
      </w:tr>
      <w:tr>
        <w:trPr/>
        <w:tc>
          <w:tcPr>
            <w:tcW w:w="298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series H January 2025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53" w:name="xdx_988_eus-gaap--ClassOfWarrantOrRightO"/>
            <w:bookmarkEnd w:id="353"/>
          </w:p>
        </w:tc>
        <w:tc>
          <w:tcPr>
            <w:tcW w:w="17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7,577,100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54" w:name="xdx_981_eus-gaap--ClassOfWarrantOrRightO"/>
            <w:bookmarkEnd w:id="354"/>
          </w:p>
        </w:tc>
        <w:tc>
          <w:tcPr>
            <w:tcW w:w="20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55" w:name="xdx_980_eus-gaap--ClassOfWarrantOrRightE"/>
            <w:bookmarkEnd w:id="355"/>
          </w:p>
        </w:tc>
        <w:tc>
          <w:tcPr>
            <w:tcW w:w="99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56" w:name="xdx_903_ecustom--ClassOfWarrantOrRighstM"/>
            <w:bookmarkEnd w:id="356"/>
            <w:r>
              <w:rPr>
                <w:rFonts w:ascii="Times New Roman;Times;Serif" w:hAnsi="Times New Roman;Times;Serif"/>
                <w:b w:val="false"/>
                <w:i w:val="false"/>
                <w:caps w:val="false"/>
                <w:smallCaps w:val="false"/>
                <w:sz w:val="20"/>
              </w:rPr>
              <w:t>January 10, 2027</w:t>
            </w:r>
          </w:p>
        </w:tc>
      </w:tr>
      <w:tr>
        <w:trPr/>
        <w:tc>
          <w:tcPr>
            <w:tcW w:w="298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underwriters January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57" w:name="xdx_98F_eus-gaap--ClassOfWarrantOrRightO"/>
            <w:bookmarkEnd w:id="357"/>
          </w:p>
        </w:tc>
        <w:tc>
          <w:tcPr>
            <w:tcW w:w="17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189,428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58" w:name="xdx_98C_eus-gaap--ClassOfWarrantOrRightO"/>
            <w:bookmarkEnd w:id="358"/>
          </w:p>
        </w:tc>
        <w:tc>
          <w:tcPr>
            <w:tcW w:w="20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59" w:name="xdx_98F_eus-gaap--ClassOfWarrantOrRightE"/>
            <w:bookmarkEnd w:id="359"/>
          </w:p>
        </w:tc>
        <w:tc>
          <w:tcPr>
            <w:tcW w:w="9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2.8375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60" w:name="xdx_909_ecustom--ClassOfWarrantOrRighstM"/>
            <w:bookmarkEnd w:id="360"/>
            <w:r>
              <w:rPr>
                <w:rFonts w:ascii="Times New Roman;Times;Serif" w:hAnsi="Times New Roman;Times;Serif"/>
                <w:b w:val="false"/>
                <w:i w:val="false"/>
                <w:caps w:val="false"/>
                <w:smallCaps w:val="false"/>
                <w:sz w:val="20"/>
              </w:rPr>
              <w:t>January 10, 2027</w:t>
            </w:r>
          </w:p>
        </w:tc>
      </w:tr>
      <w:tr>
        <w:trPr/>
        <w:tc>
          <w:tcPr>
            <w:tcW w:w="298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underwriters January 2025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shd w:fill="FFFFFF" w:val="clear"/>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20"/>
              </w:rPr>
            </w:pPr>
            <w:bookmarkStart w:id="361" w:name="xdx_98B_eus-gaap--ClassOfWarrantOrRightO"/>
            <w:bookmarkEnd w:id="361"/>
            <w:r>
              <w:rPr>
                <w:rFonts w:ascii="Times New Roman;Times;Serif" w:hAnsi="Times New Roman;Times;Serif"/>
                <w:b w:val="false"/>
                <w:i w:val="false"/>
                <w:caps w:val="false"/>
                <w:smallCaps w:val="false"/>
                <w:sz w:val="20"/>
              </w:rPr>
              <w:t>30,526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62" w:name="xdx_98B_eus-gaap--ClassOfWarrantOrRightO"/>
            <w:bookmarkEnd w:id="362"/>
          </w:p>
        </w:tc>
        <w:tc>
          <w:tcPr>
            <w:tcW w:w="20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shd w:fill="FFFFFF" w:val="clear"/>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20"/>
              </w:rPr>
            </w:pPr>
            <w:bookmarkStart w:id="363" w:name="xdx_98F_eus-gaap--ClassOfWarrantOrRightE"/>
            <w:bookmarkEnd w:id="363"/>
            <w:r>
              <w:rPr>
                <w:rFonts w:ascii="Times New Roman;Times;Serif" w:hAnsi="Times New Roman;Times;Serif"/>
                <w:b w:val="false"/>
                <w:i w:val="false"/>
                <w:caps w:val="false"/>
                <w:smallCaps w:val="false"/>
                <w:sz w:val="20"/>
              </w:rPr>
              <w:t>1.875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1" w:type="dxa"/>
            <w:tcBorders/>
            <w:shd w:fill="FFFFFF" w:val="clear"/>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bookmarkStart w:id="364" w:name="xdx_903_ecustom--ClassOfWarrantOrRighstM"/>
            <w:bookmarkEnd w:id="364"/>
            <w:r>
              <w:rPr>
                <w:rFonts w:ascii="Times New Roman;Times;Serif" w:hAnsi="Times New Roman;Times;Serif"/>
                <w:b w:val="false"/>
                <w:i w:val="false"/>
                <w:caps w:val="false"/>
                <w:smallCaps w:val="false"/>
                <w:sz w:val="20"/>
              </w:rPr>
              <w:t>July 8, 2030</w:t>
            </w:r>
          </w:p>
        </w:tc>
      </w:tr>
      <w:tr>
        <w:trPr/>
        <w:tc>
          <w:tcPr>
            <w:tcW w:w="298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series I February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65" w:name="xdx_98A_eus-gaap--ClassOfWarrantOrRightO"/>
            <w:bookmarkEnd w:id="365"/>
          </w:p>
        </w:tc>
        <w:tc>
          <w:tcPr>
            <w:tcW w:w="17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12,206,578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66" w:name="xdx_983_eus-gaap--ClassOfWarrantOrRightO"/>
            <w:bookmarkEnd w:id="366"/>
          </w:p>
        </w:tc>
        <w:tc>
          <w:tcPr>
            <w:tcW w:w="20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67" w:name="xdx_98E_eus-gaap--ClassOfWarrantOrRightE"/>
            <w:bookmarkEnd w:id="367"/>
          </w:p>
        </w:tc>
        <w:tc>
          <w:tcPr>
            <w:tcW w:w="9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68" w:name="xdx_90C_ecustom--ClassOfWarrantOrRighstM"/>
            <w:bookmarkEnd w:id="368"/>
            <w:r>
              <w:rPr>
                <w:rFonts w:ascii="Times New Roman;Times;Serif" w:hAnsi="Times New Roman;Times;Serif"/>
                <w:b w:val="false"/>
                <w:i w:val="false"/>
                <w:caps w:val="false"/>
                <w:smallCaps w:val="false"/>
                <w:sz w:val="20"/>
              </w:rPr>
              <w:t>(*)</w:t>
            </w:r>
          </w:p>
        </w:tc>
      </w:tr>
      <w:tr>
        <w:trPr/>
        <w:tc>
          <w:tcPr>
            <w:tcW w:w="298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underwriters February 2025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69" w:name="xdx_981_eus-gaap--ClassOfWarrantOrRightO"/>
            <w:bookmarkEnd w:id="369"/>
          </w:p>
        </w:tc>
        <w:tc>
          <w:tcPr>
            <w:tcW w:w="17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305,164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70" w:name="xdx_989_eus-gaap--ClassOfWarrantOrRightO"/>
            <w:bookmarkEnd w:id="370"/>
          </w:p>
        </w:tc>
        <w:tc>
          <w:tcPr>
            <w:tcW w:w="20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71" w:name="xdx_988_eus-gaap--ClassOfWarrantOrRightE"/>
            <w:bookmarkEnd w:id="371"/>
          </w:p>
        </w:tc>
        <w:tc>
          <w:tcPr>
            <w:tcW w:w="99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72" w:name="xdx_90F_ecustom--ClassOfWarrantOrRighstM"/>
            <w:bookmarkEnd w:id="372"/>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60"/>
        <w:gridCol w:w="11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73" w:name="xdx_F09_zDCDKdjOots4"/>
            <w:bookmarkEnd w:id="373"/>
            <w:r>
              <w:rPr>
                <w:rFonts w:ascii="Times New Roman;Times;Serif" w:hAnsi="Times New Roman;Times;Serif"/>
                <w:b w:val="false"/>
                <w:i w:val="false"/>
                <w:caps w:val="false"/>
                <w:smallCaps w:val="false"/>
                <w:sz w:val="20"/>
              </w:rPr>
              <w:t>(*)</w:t>
            </w:r>
          </w:p>
        </w:tc>
        <w:tc>
          <w:tcPr>
            <w:tcW w:w="1145" w:type="dxa"/>
            <w:tcBorders/>
            <w:vAlign w:val="center"/>
          </w:tcPr>
          <w:p>
            <w:pPr>
              <w:pStyle w:val="TableContents"/>
              <w:bidi w:val="0"/>
              <w:spacing w:before="0" w:after="283"/>
              <w:jc w:val="both"/>
              <w:rPr>
                <w:caps w:val="false"/>
                <w:smallCaps w:val="false"/>
              </w:rPr>
            </w:pPr>
            <w:bookmarkStart w:id="374" w:name="xdx_F13_zLbf9eOo5Hfc"/>
            <w:bookmarkEnd w:id="374"/>
            <w:r>
              <w:rPr>
                <w:caps w:val="false"/>
                <w:smallCaps w:val="false"/>
              </w:rPr>
              <w:t> </w:t>
            </w:r>
            <w:r>
              <w:rPr>
                <w:rFonts w:ascii="Times New Roman;Times;Serif" w:hAnsi="Times New Roman;Times;Serif"/>
                <w:b w:val="false"/>
                <w:i w:val="false"/>
                <w:caps w:val="false"/>
                <w:smallCaps w:val="false"/>
                <w:sz w:val="20"/>
              </w:rPr>
              <w:t>See Note 4A.</w:t>
            </w:r>
          </w:p>
        </w:tc>
      </w:tr>
    </w:tbl>
    <w:p>
      <w:pPr>
        <w:pStyle w:val="TextBody"/>
        <w:bidi w:val="0"/>
        <w:spacing w:before="0" w:after="0"/>
        <w:ind w:left="0" w:right="0" w:hanging="0"/>
        <w:jc w:val="both"/>
        <w:rPr>
          <w:caps w:val="false"/>
          <w:smallCaps w:val="false"/>
        </w:rPr>
      </w:pPr>
      <w:bookmarkStart w:id="375" w:name="xdx_8AB_z5rHV9q8OD91"/>
      <w:bookmarkEnd w:id="375"/>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6" w:name="xdx_80F_eus-gaap--SegmentReportingDisclo"/>
      <w:bookmarkEnd w:id="376"/>
      <w:r>
        <w:rPr>
          <w:rFonts w:ascii="Times New Roman;Times;Serif" w:hAnsi="Times New Roman;Times;Serif"/>
          <w:b/>
          <w:i w:val="false"/>
          <w:caps w:val="false"/>
          <w:smallCaps w:val="false"/>
          <w:sz w:val="20"/>
        </w:rPr>
        <w:t xml:space="preserve">NOTE 5 – </w:t>
      </w:r>
      <w:bookmarkStart w:id="377" w:name="xdx_82E_zCQBAoBKoi3e"/>
      <w:bookmarkEnd w:id="377"/>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information is prepared on the same basis that the Company’s chief operating decision maker (“CODM”), the Chief Executive Officer, manages the business, makes business decisions and assesses performance. The Company has one operating and reportable segment, which is the development of robotic devices for endoluminal surgery. See Note 1A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assesses performance for this segment and decides how to allocate resources based on net loss. The measure of segment assets is reported on the balance sheet as cash and cash equivalents and marketable securities. The chief executive officer performs the assessment of segment performance by using the reported measure of segment loss to monitor actual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8" w:name="xdx_897_eus-gaap--ScheduleOfSegmentRepor"/>
      <w:bookmarkEnd w:id="378"/>
      <w:r>
        <w:rPr>
          <w:rFonts w:ascii="Times New Roman;Times;Serif" w:hAnsi="Times New Roman;Times;Serif"/>
          <w:b w:val="false"/>
          <w:i w:val="false"/>
          <w:caps w:val="false"/>
          <w:smallCaps w:val="false"/>
          <w:sz w:val="20"/>
        </w:rPr>
        <w:t>The table below summarizes the significant expense categories regularly reviewed by the CODM for the three months ended March 31, 2025 and 2024:</w:t>
      </w:r>
    </w:p>
    <w:p>
      <w:pPr>
        <w:pStyle w:val="TextBody"/>
        <w:bidi w:val="0"/>
        <w:spacing w:before="0" w:after="0"/>
        <w:ind w:left="0" w:right="0" w:hanging="0"/>
        <w:jc w:val="both"/>
        <w:rPr>
          <w:caps w:val="false"/>
          <w:smallCaps w:val="false"/>
        </w:rPr>
      </w:pPr>
      <w:r>
        <w:rPr>
          <w:caps w:val="false"/>
          <w:smallCaps w:val="false"/>
        </w:rPr>
        <w:t> </w:t>
      </w:r>
      <w:bookmarkStart w:id="379" w:name="xdx_8BA_z0AkJ3fYwzJ6"/>
      <w:bookmarkEnd w:id="379"/>
      <w:r>
        <w:rPr>
          <w:rFonts w:ascii="Times New Roman;Times;Serif" w:hAnsi="Times New Roman;Times;Serif"/>
          <w:b w:val="false"/>
          <w:i w:val="false"/>
          <w:caps w:val="false"/>
          <w:smallCaps w:val="false"/>
          <w:sz w:val="20"/>
        </w:rPr>
        <w:t>SCHEDULE OF STATEMENT OF OPERATION BY SEGMENT</w:t>
      </w:r>
    </w:p>
    <w:tbl>
      <w:tblPr>
        <w:tblW w:w="5798" w:type="dxa"/>
        <w:jc w:val="left"/>
        <w:tblInd w:w="0" w:type="dxa"/>
        <w:tblLayout w:type="fixed"/>
        <w:tblCellMar>
          <w:top w:w="0" w:type="dxa"/>
          <w:left w:w="0" w:type="dxa"/>
          <w:bottom w:w="0" w:type="dxa"/>
          <w:right w:w="0" w:type="dxa"/>
        </w:tblCellMar>
      </w:tblPr>
      <w:tblGrid>
        <w:gridCol w:w="2435"/>
        <w:gridCol w:w="60"/>
        <w:gridCol w:w="316"/>
        <w:gridCol w:w="1228"/>
        <w:gridCol w:w="152"/>
        <w:gridCol w:w="152"/>
        <w:gridCol w:w="152"/>
        <w:gridCol w:w="1228"/>
        <w:gridCol w:w="75"/>
      </w:tblGrid>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80" w:name="xdx_497_20250101__20250331__us-gaap--Sta"/>
            <w:bookmarkEnd w:id="380"/>
          </w:p>
        </w:tc>
        <w:tc>
          <w:tcPr>
            <w:tcW w:w="15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bookmarkStart w:id="381" w:name="xdx_498_20240101__20240331__us-gaap--Sta"/>
            <w:bookmarkEnd w:id="381"/>
          </w:p>
        </w:tc>
        <w:tc>
          <w:tcPr>
            <w:tcW w:w="13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28"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13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segment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82" w:name="xdx_405_ecustom--PayrollAndPayrollRelate"/>
            <w:bookmarkEnd w:id="382"/>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and payroll related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1,548</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83" w:name="xdx_404_ecustom--MaterialsAndSubcontract"/>
            <w:bookmarkEnd w:id="383"/>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and subcontractors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84" w:name="xdx_402_eus-gaap--ShareBasedCompensation"/>
            <w:bookmarkEnd w:id="384"/>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85" w:name="xdx_407_eus-gaap--SegmentReportingOtherI"/>
            <w:bookmarkEnd w:id="385"/>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segment items </w:t>
            </w:r>
            <w:bookmarkStart w:id="386" w:name="xdx_F46_z5PJ0MkngNhl"/>
            <w:bookmarkEnd w:id="386"/>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87" w:name="xdx_406_eus-gaap--NetIncomeLoss_iT_mtNIL"/>
            <w:bookmarkEnd w:id="387"/>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2,601</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88" w:name="xdx_F00_zo6BiC6RJMyk"/>
            <w:bookmarkEnd w:id="388"/>
            <w:r>
              <w:rPr>
                <w:rFonts w:ascii="Times New Roman;Times;Serif" w:hAnsi="Times New Roman;Times;Serif"/>
                <w:b w:val="false"/>
                <w:i w:val="false"/>
                <w:caps w:val="false"/>
                <w:smallCaps w:val="false"/>
                <w:sz w:val="20"/>
              </w:rPr>
              <w:t>(*)</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89" w:name="xdx_F15_zGe1OUuybs93"/>
            <w:bookmarkEnd w:id="389"/>
            <w:r>
              <w:rPr>
                <w:rFonts w:ascii="Times New Roman;Times;Serif" w:hAnsi="Times New Roman;Times;Serif"/>
                <w:b w:val="false"/>
                <w:i w:val="false"/>
                <w:caps w:val="false"/>
                <w:smallCaps w:val="false"/>
                <w:sz w:val="20"/>
              </w:rPr>
              <w:t>Other segment items included within net loss include professional services, patents, overhead and depreciation, travel expenses, insurance expenses, financial income, net, other income and other miscellaneous expenses net of grants received. See the consolidated financial statements for other financial information regarding the Company’s operating segment.</w:t>
            </w:r>
          </w:p>
        </w:tc>
      </w:tr>
    </w:tbl>
    <w:p>
      <w:pPr>
        <w:pStyle w:val="TextBody"/>
        <w:bidi w:val="0"/>
        <w:spacing w:before="0" w:after="0"/>
        <w:ind w:left="0" w:right="0" w:hanging="0"/>
        <w:jc w:val="both"/>
        <w:rPr>
          <w:caps w:val="false"/>
          <w:smallCaps w:val="false"/>
        </w:rPr>
      </w:pPr>
      <w:bookmarkStart w:id="390" w:name="xdx_8AC_zwkMObjQYEy8"/>
      <w:bookmarkEnd w:id="39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1" w:name="xdx_801_eus-gaap--SubsequentEventsTextBl"/>
      <w:bookmarkEnd w:id="391"/>
      <w:r>
        <w:rPr>
          <w:rFonts w:ascii="Times New Roman;Times;Serif" w:hAnsi="Times New Roman;Times;Serif"/>
          <w:b/>
          <w:i w:val="false"/>
          <w:caps w:val="false"/>
          <w:smallCaps w:val="false"/>
          <w:sz w:val="20"/>
        </w:rPr>
        <w:t>NOTE 6 –</w:t>
      </w:r>
      <w:bookmarkStart w:id="392" w:name="xdx_824_z4Hsi1yUnsW"/>
      <w:bookmarkEnd w:id="392"/>
      <w:r>
        <w:rPr>
          <w:rFonts w:ascii="Times New Roman;Times;Serif" w:hAnsi="Times New Roman;Times;Serif"/>
          <w:b/>
          <w:i w:val="false"/>
          <w:caps w:val="false"/>
          <w:smallCaps w:val="false"/>
          <w:sz w:val="20"/>
        </w:rPr>
        <w:t xml:space="preserve">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the Company raised approximately $</w:t>
      </w:r>
      <w:bookmarkStart w:id="393" w:name="xdx_901_eus-gaap--ProceedsFromStockOptio"/>
      <w:bookmarkEnd w:id="393"/>
      <w:r>
        <w:rPr>
          <w:rFonts w:ascii="Times New Roman;Times;Serif" w:hAnsi="Times New Roman;Times;Serif"/>
          <w:b w:val="false"/>
          <w:i w:val="false"/>
          <w:caps w:val="false"/>
          <w:smallCaps w:val="false"/>
          <w:sz w:val="20"/>
        </w:rPr>
        <w:t xml:space="preserve">2,300 in gross proceeds from the exercise of an aggregate of </w:t>
      </w:r>
      <w:bookmarkStart w:id="394" w:name="xdx_90B_eus-gaap--ShareBasedCompensation"/>
      <w:bookmarkEnd w:id="394"/>
      <w:r>
        <w:rPr>
          <w:rFonts w:ascii="Times New Roman;Times;Serif" w:hAnsi="Times New Roman;Times;Serif"/>
          <w:b w:val="false"/>
          <w:i w:val="false"/>
          <w:caps w:val="false"/>
          <w:smallCaps w:val="false"/>
          <w:sz w:val="20"/>
        </w:rPr>
        <w:t>1,533,336 outstanding Series E and Series F preferred investment options. As a result of these exercises, and in accordance with the Company’s engagement letters with its placement agent, as mentioned in Note 3D, the Company paid a cash fee of approximately $</w:t>
      </w:r>
      <w:bookmarkStart w:id="395" w:name="xdx_900_eus-gaap--PaymentsForFees_pn3n3_"/>
      <w:bookmarkEnd w:id="395"/>
      <w:r>
        <w:rPr>
          <w:rFonts w:ascii="Times New Roman;Times;Serif" w:hAnsi="Times New Roman;Times;Serif"/>
          <w:b w:val="false"/>
          <w:i w:val="false"/>
          <w:caps w:val="false"/>
          <w:smallCaps w:val="false"/>
          <w:sz w:val="20"/>
        </w:rPr>
        <w:t xml:space="preserve">161 to its placement agent and issued an aggregate of </w:t>
      </w:r>
      <w:bookmarkStart w:id="396" w:name="xdx_90D_eus-gaap--ShareBasedCompensation"/>
      <w:bookmarkEnd w:id="396"/>
      <w:r>
        <w:rPr>
          <w:rFonts w:ascii="Times New Roman;Times;Serif" w:hAnsi="Times New Roman;Times;Serif"/>
          <w:b w:val="false"/>
          <w:i w:val="false"/>
          <w:caps w:val="false"/>
          <w:smallCaps w:val="false"/>
          <w:sz w:val="20"/>
        </w:rPr>
        <w:t>76,667 placement agent options.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raised approximately $</w:t>
      </w:r>
      <w:bookmarkStart w:id="397" w:name="xdx_906_eus-gaap--ProceedsFromStockOptio"/>
      <w:bookmarkEnd w:id="397"/>
      <w:r>
        <w:rPr>
          <w:rFonts w:ascii="Times New Roman;Times;Serif" w:hAnsi="Times New Roman;Times;Serif"/>
          <w:b w:val="false"/>
          <w:i w:val="false"/>
          <w:caps w:val="false"/>
          <w:smallCaps w:val="false"/>
          <w:sz w:val="20"/>
        </w:rPr>
        <w:t xml:space="preserve">263 in gross proceeds from the exercise of an aggregate of </w:t>
      </w:r>
      <w:bookmarkStart w:id="398" w:name="xdx_90D_eus-gaap--ShareBasedCompensation"/>
      <w:bookmarkEnd w:id="398"/>
      <w:r>
        <w:rPr>
          <w:rFonts w:ascii="Times New Roman;Times;Serif" w:hAnsi="Times New Roman;Times;Serif"/>
          <w:b w:val="false"/>
          <w:i w:val="false"/>
          <w:caps w:val="false"/>
          <w:smallCaps w:val="false"/>
          <w:sz w:val="20"/>
        </w:rPr>
        <w:t>175,000 outstanding Series F preferred investment options. As a result of these exercises, and in accordance with the Company’s engagement letters with its placement agent, as mentioned in Note 3D, the Company will pay a cash fee of approximately $</w:t>
      </w:r>
      <w:bookmarkStart w:id="399" w:name="xdx_900_eus-gaap--PaymentsForFees_pn3n3_"/>
      <w:bookmarkEnd w:id="399"/>
      <w:r>
        <w:rPr>
          <w:rFonts w:ascii="Times New Roman;Times;Serif" w:hAnsi="Times New Roman;Times;Serif"/>
          <w:b w:val="false"/>
          <w:i w:val="false"/>
          <w:caps w:val="false"/>
          <w:smallCaps w:val="false"/>
          <w:sz w:val="20"/>
        </w:rPr>
        <w:t xml:space="preserve">18 to its placement agent and will issue an aggregate of </w:t>
      </w:r>
      <w:bookmarkStart w:id="400" w:name="xdx_903_eus-gaap--ShareBasedCompensation"/>
      <w:bookmarkEnd w:id="400"/>
      <w:r>
        <w:rPr>
          <w:rFonts w:ascii="Times New Roman;Times;Serif" w:hAnsi="Times New Roman;Times;Serif"/>
          <w:b w:val="false"/>
          <w:i w:val="false"/>
          <w:caps w:val="false"/>
          <w:smallCaps w:val="false"/>
          <w:sz w:val="20"/>
        </w:rPr>
        <w:t>8,750 placement agent options.</w:t>
      </w:r>
    </w:p>
    <w:p>
      <w:pPr>
        <w:pStyle w:val="TextBody"/>
        <w:shd w:fill="FFFFFF" w:val="clear"/>
        <w:bidi w:val="0"/>
        <w:spacing w:before="0" w:after="0"/>
        <w:ind w:left="0" w:right="0" w:hanging="0"/>
        <w:jc w:val="both"/>
        <w:rPr>
          <w:caps w:val="false"/>
          <w:smallCaps w:val="false"/>
        </w:rPr>
      </w:pPr>
      <w:bookmarkStart w:id="401" w:name="xdx_81E_z1Mq6ZZHnpTe"/>
      <w:bookmarkEnd w:id="40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2" w:name="sk_006"/>
      <w:bookmarkEnd w:id="402"/>
      <w:r>
        <w:rPr>
          <w:rFonts w:ascii="Times New Roman;Times;Serif" w:hAnsi="Times New Roman;Times;Serif"/>
          <w:b/>
          <w:i w:val="false"/>
          <w:caps w:val="false"/>
          <w:smallCaps w:val="false"/>
          <w:sz w:val="20"/>
        </w:rPr>
        <w:t>Item 2 -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2024.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pre-commercial, clinical stage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we are developing the first ever fully disposable robot for various endovascular interventional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Technological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LIBERTY</w:t>
      </w:r>
      <w:r>
        <w:rPr>
          <w:rFonts w:ascii="Times New Roman;Times;Serif" w:hAnsi="Times New Roman;Times;Serif"/>
          <w:b w:val="false"/>
          <w:i/>
          <w:caps w:val="false"/>
          <w:smallCaps w:val="false"/>
          <w:position w:val="7"/>
          <w:sz w:val="16"/>
          <w:sz w:val="20"/>
        </w:rPr>
        <w:t xml:space="preserve">® </w:t>
      </w:r>
      <w:r>
        <w:rPr>
          <w:rFonts w:ascii="Times New Roman;Times;Serif" w:hAnsi="Times New Roman;Times;Serif"/>
          <w:b w:val="false"/>
          <w:i/>
          <w:caps w:val="false"/>
          <w:smallCaps w:val="false"/>
          <w:sz w:val="20"/>
        </w:rPr>
        <w:t>Endovascular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 Endovascular Robotic Surgical System features a unique compact design with the capability to be operated remotely, reduce radiation exposure and physical strain to the physician, as well as the potential to eliminate the use of multiple consumables when used with its NovaCross® platform or possibly other guidewire/microcatheter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addressable markets for the LIBERTY® Endovascular Robotic Surgical System in its current version includes the peripheral interventional radiology market, with future versions expected to include the Interventional Cardiology and Interventional Neuroradiology markets.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the LIBERTY® Endovascular Robotic Surgical System - compact, mobile, disposable and remotely controlled – also may open the opportunity of expanding telerobotic interventions to patients with limited access to life-saving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 Endovascular Robotic Surgical System is being designed to have the following attributes:</w:t>
      </w:r>
    </w:p>
    <w:p>
      <w:pPr>
        <w:pStyle w:val="TextBody"/>
        <w:bidi w:val="0"/>
        <w:spacing w:before="0" w:after="0"/>
        <w:ind w:left="0" w:right="0" w:hanging="0"/>
        <w:jc w:val="both"/>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38"/>
        <w:gridCol w:w="17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size - Eliminates the need for large capital equipment in dedicated cath-lab rooms with dedicated staff.</w:t>
            </w:r>
          </w:p>
        </w:tc>
      </w:tr>
    </w:tbl>
    <w:p>
      <w:pPr>
        <w:pStyle w:val="TextBody"/>
        <w:bidi w:val="0"/>
        <w:spacing w:before="0" w:after="0"/>
        <w:ind w:left="0" w:right="0" w:hanging="360"/>
        <w:jc w:val="both"/>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17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disposable - To our knowledge, the first fully disposable, robotic system for endovascular procedures.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 Has the potential to be compatible with Microbot’s NitiLoop’s NovaCross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products or possibly other instruments that combines guidewire and microcatheter into a single device. We are currently evaluating this combination in different applications.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the art maneuverability - Provides linear and rotational control of its guidewire, as well as linear and rotational control of a guide catheter, and the linear motion for an additional microcatheter (“over the wire”) device.</w:t>
            </w:r>
          </w:p>
        </w:tc>
      </w:tr>
    </w:tbl>
    <w:p>
      <w:pPr>
        <w:pStyle w:val="TextBody"/>
        <w:bidi w:val="0"/>
        <w:spacing w:before="0" w:after="0"/>
        <w:ind w:left="0" w:right="0" w:hanging="360"/>
        <w:jc w:val="both"/>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17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Compatibility with a wide range of commercially-available guidewires, microcatheters and guide-catheters.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operator safety and comfort - Aims to reduce exposure to ionizing radiation and reduce physical strain due to the need for heavy lead vests otherwise to be worn during procedures.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use - Its intuitive remote controls aims to simplify advanced procedures while shortening the physician’s learning curve.</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Telemedicine capability – May serve as a platform for supporting tele-catheterization, carried out remotely by highly trained specialists. The Company’s research collaboration with Corewell Health™ has demonstrated the feasibility of using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between separate and remote facilities in a coronary simulation model. The project assesses the feasibility of using LIBERTY® to perform simulated cardiovascular interventional procedures across two sites within the Corewell Health™ system located 5 miles apart. The telesurgery feature of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still being evaluated and is not covered under the Company’s pending 510(k) premarket submission with the U.S. Food and Drug Administration (“FDA”).</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2020, Microbot announced the successful conclusion of its feasibility animal study using the LIBERTY®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2023, we announced the successful completion of a two-day preclinical study held by leading key opinion leaders at a New York-based research lab, where they performed dozens of catheterizations, including the utilization of the LIBERTY® Endovascular Robotic Surgical System’s remote operation capabilities, to pre-determined vascular targets, with a 100% success rate of reaching the intended target with no observable on-site complications.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announced the successful initial outcomes from our pivotal preclinical study with the LIBERTY® Endovascular Robotic Surgical System. The pivotal study was conducted by three leading interventional radiologists that utilized the LIBERTY® Endovascular Robotic Surgical System to reach a total of 48 animal targets. A total of 6 LIBERTY® Endovascular Robotic Surgical Systems were used in the study. All 6 LIBERTY®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a human clinical study. On January 29, 2024, the Company submitted an IDE application with the U.S. Food and Drug Administration, in order to commence its pivotal clinical trial in humans.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we announced that we submitted a 510(k) premarket notification to the FDA for our LIBERTY® Endovascular Robotic System. The 510(k) submission follows the successful completion of our multi-center, single-arm, human trial to evaluate the performance and safety of LIBERTY® in human subjects undergoing Peripheral Vascular Interventions.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FDA marketing clearance during the second quarter of 2025, with U.S. commercialization activities expected to commence after the clearance. However, we can give no assurance that we will meet this projected milestone, if ever. See “Risk Factors-Risks Relating to the Development and Commercialization of Microbot’s Product Candidates”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 (MDR 2017/745) and supporting our future CE Mark approval, and to ultimately allow us to market the LIBERTY® 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FDA regarding the quality system management regulation and its incorporation by reference of the ISO 13485 standard, we believe it will help streamline our transition into this revised FDA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 exploring the feasibility of integrating the LIBERTY® Endovascular Robotic Surgical System with an imaging system to create an autonomous robotic system for endovascular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NovaCross</w:t>
      </w:r>
      <w:r>
        <w:rPr>
          <w:rFonts w:ascii="Times New Roman;Times;Serif" w:hAnsi="Times New Roman;Times;Serif"/>
          <w:b w:val="false"/>
          <w:i/>
          <w:caps w:val="false"/>
          <w:smallCaps w:val="false"/>
          <w:position w:val="7"/>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Israel-Hamas War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issuance date of these financial statements, although there have been temporary cease fires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considered various ongoing risks relating to the military operations and related matters,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our Israeli subcontractors, vendors, suppliers and other companies in which the Company relies, are currently only partially active, as instructed by the relevant authorities; and</w:t>
            </w:r>
          </w:p>
        </w:tc>
      </w:tr>
    </w:tbl>
    <w:p>
      <w:pPr>
        <w:pStyle w:val="TextBody"/>
        <w:bidi w:val="0"/>
        <w:spacing w:before="0" w:after="0"/>
        <w:ind w:left="0" w:right="0" w:hanging="36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filing date of this Quarterly Report on Form 10-Q, the Company has determined that there have not been any materially adverse effects on its business or operations, but the Company continues to monitor the situation, as any collapse of </w:t>
      </w:r>
      <w:r>
        <w:rPr>
          <w:rFonts w:ascii="Times New Roman;Times;Serif" w:hAnsi="Times New Roman;Times;Serif"/>
          <w:b w:val="false"/>
          <w:i w:val="false"/>
          <w:caps w:val="false"/>
          <w:smallCaps w:val="false"/>
          <w:strike/>
          <w:sz w:val="20"/>
        </w:rPr>
        <w:t>a</w:t>
      </w:r>
      <w:r>
        <w:rPr>
          <w:rFonts w:ascii="Times New Roman;Times;Serif" w:hAnsi="Times New Roman;Times;Serif"/>
          <w:b w:val="false"/>
          <w:i w:val="false"/>
          <w:caps w:val="false"/>
          <w:smallCaps w:val="false"/>
          <w:sz w:val="20"/>
        </w:rPr>
        <w:t xml:space="preserve"> cease-fire with Hamas or Hezbollah that may be in effect from time to time, or any future or further escalation or change could result in a material adverse effect on the ability  of the Company’s Israeli office to support its clinical and regulatory activities. The Company do not have any specific contingency plans in the event of any such escalation or change.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 net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costs associated with management salaries and benefits, professional fees for accounting, auditing, consulting, legal services, and insurance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Accounting Policies and Significant Judgments and Estimates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 of Microbot’s financial condition and results of operations are based on its condensed consolidated financial statements, which have been prepared in accordance with U.S. generally accepted accounting principles, or GAAP. The preparation of these condensed consolidated financial statements requires Microbot to make estimates and judgments that affect the reported amounts of assets, liabilities, and expenses and the disclosure of contingent assets and liabilities at the date of the condensed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Contingencies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records and discloses legal contingencies in accordance with Accounting Standards Codification (“ASC”) Topic 450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A provision is recorded when it is both probable that a liability has been incurred and the amount of the loss can be reasonably estimated. The Company monitors the stage of progress of its litigation matters to determine if any adjustments are required.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Financial Instruments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certain of its financial instruments on a recurring basis.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hierarchy is used to rank the quality and reliability of the information used to determine fair values. Financial assets and liabilities carried at fair value will be classified and disclosed in one of the following three categories: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(unadjusted) in active markets for identical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and that are significant to the fair value of the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Three Months Ended March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key components of Microbot’s results of operations for the three-month periods ended March 31, 2025 and 2024 (in thousands):</w:t>
      </w:r>
    </w:p>
    <w:p>
      <w:pPr>
        <w:pStyle w:val="TextBody"/>
        <w:bidi w:val="0"/>
        <w:spacing w:before="0" w:after="0"/>
        <w:ind w:left="0" w:right="0" w:hanging="0"/>
        <w:jc w:val="both"/>
        <w:rPr>
          <w:caps w:val="false"/>
          <w:smallCaps w:val="false"/>
        </w:rPr>
      </w:pPr>
      <w:r>
        <w:rPr>
          <w:caps w:val="false"/>
          <w:smallCaps w:val="false"/>
        </w:rPr>
        <w:t> </w:t>
      </w:r>
    </w:p>
    <w:tbl>
      <w:tblPr>
        <w:tblW w:w="6141" w:type="dxa"/>
        <w:jc w:val="left"/>
        <w:tblInd w:w="0" w:type="dxa"/>
        <w:tblLayout w:type="fixed"/>
        <w:tblCellMar>
          <w:top w:w="0" w:type="dxa"/>
          <w:left w:w="0" w:type="dxa"/>
          <w:bottom w:w="0" w:type="dxa"/>
          <w:right w:w="0" w:type="dxa"/>
        </w:tblCellMar>
      </w:tblPr>
      <w:tblGrid>
        <w:gridCol w:w="3350"/>
        <w:gridCol w:w="60"/>
        <w:gridCol w:w="154"/>
        <w:gridCol w:w="675"/>
        <w:gridCol w:w="99"/>
        <w:gridCol w:w="74"/>
        <w:gridCol w:w="154"/>
        <w:gridCol w:w="675"/>
        <w:gridCol w:w="80"/>
        <w:gridCol w:w="60"/>
        <w:gridCol w:w="159"/>
        <w:gridCol w:w="506"/>
        <w:gridCol w:w="95"/>
      </w:tblGrid>
      <w:tr>
        <w:trPr/>
        <w:tc>
          <w:tcPr>
            <w:tcW w:w="3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(1,459</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The increase in research and development expenses for the three months ended March 31, 2025 compared to March 31, 2024 was primarily due to an increase in payroll and manufacturing of the Company’s LIBERTY product, offset by deduction of government grants and a decrease in share-based compensation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The increase in general and administrative expenses for the three months ended March 31, 2025 compared to March 31, 2024 was primarily due to an increases in payroll and professional services, rent and travel expenses over the prior period, offset by a decrease in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Income</w:t>
      </w:r>
      <w:r>
        <w:rPr>
          <w:rFonts w:ascii="Times New Roman;Times;Serif" w:hAnsi="Times New Roman;Times;Serif"/>
          <w:b w:val="false"/>
          <w:i w:val="false"/>
          <w:caps w:val="false"/>
          <w:smallCaps w:val="false"/>
          <w:sz w:val="20"/>
        </w:rPr>
        <w:t>. The increase in other income for the three months ended March 31, 2025, compared to the same period in 2024, was due to funds received in connection with the Mona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Financing Income</w:t>
      </w:r>
      <w:r>
        <w:rPr>
          <w:rFonts w:ascii="Times New Roman;Times;Serif" w:hAnsi="Times New Roman;Times;Serif"/>
          <w:b w:val="false"/>
          <w:i w:val="false"/>
          <w:caps w:val="false"/>
          <w:smallCaps w:val="false"/>
          <w:sz w:val="20"/>
        </w:rPr>
        <w:t xml:space="preserve">. The increase in financing income, net for the three months ended March 31, 2025 compared to March 31, 2024, was primarily due to higher interest income from short-term investments. This increase resulted from the increase in short-term investments due to capital raised in January and February 2025.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Microbot has not generated revenues from operations. Microbot has incurred losses since inception and negative cash flows from operating activities for all periods presented. As of March 31, 2025, Microbot had a net working capital of approximately $28.8 million, consisting primarily of cash and cash equivalents and marketable securities. This compares to net working capital of approximately $3.4 million as of December 31, 2024. Microbot anticipates that it will continue to incur net losses for the foreseeable future as it continues research and development efforts of its primary product candidate, continues increasing its commercialization capabilities, and continues to incur costs associated with being a public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funded its operations through the issuance of capital stock, grants from the Israeli Innovation Authority, and convertible debt. Since inception (November 2010) through March 31, 2025, Microbot has raised cash proceeds of approximately $105.49 million and incurred a total cumulative loss of approximately $93.5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2025, we have raised the following amounts: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aggregate of approximately $1.1 million in January 2025, before fees and expenses of $65,452, through our ATM Agreement;</w:t>
            </w:r>
          </w:p>
        </w:tc>
      </w:tr>
    </w:tbl>
    <w:p>
      <w:pPr>
        <w:pStyle w:val="TextBody"/>
        <w:shd w:fill="FFFFFF" w:val="clear"/>
        <w:bidi w:val="0"/>
        <w:spacing w:before="0" w:after="0"/>
        <w:ind w:left="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an aggregate of approximately $15.6 million in gross proceeds, before fees and expenses of approximately $1.4 million, from institutional investors;</w:t>
            </w:r>
          </w:p>
        </w:tc>
      </w:tr>
    </w:tbl>
    <w:p>
      <w:pPr>
        <w:pStyle w:val="TextBody"/>
        <w:shd w:fill="FFFFFF" w:val="clear"/>
        <w:bidi w:val="0"/>
        <w:spacing w:before="0" w:after="0"/>
        <w:ind w:left="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approximately $916,000 in gross proceeds from the exercise of certain outstanding Series E preferred investment options, before fees and expenses of $64,164;</w:t>
            </w:r>
          </w:p>
        </w:tc>
      </w:tr>
    </w:tbl>
    <w:p>
      <w:pPr>
        <w:pStyle w:val="TextBody"/>
        <w:shd w:fill="FFFFFF" w:val="clear"/>
        <w:bidi w:val="0"/>
        <w:spacing w:before="0" w:after="0"/>
        <w:ind w:left="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an aggregate of approximately $13.0 million in gross proceeds, before fees and expenses of approximately $1.2 million, from institutional investors; and</w:t>
            </w:r>
          </w:p>
        </w:tc>
      </w:tr>
    </w:tbl>
    <w:p>
      <w:pPr>
        <w:pStyle w:val="TextBody"/>
        <w:shd w:fill="FFFFFF" w:val="clear"/>
        <w:bidi w:val="0"/>
        <w:spacing w:before="0" w:after="0"/>
        <w:ind w:left="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approximately $2.3 million in gross proceeds from the exercise of outstanding Series E and Series F preferred investment options, before fees and expenses of $161.</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approximately $262,500 in gross proceeds from the exercise of 175,000 outstanding Series F preferred investment options, before fees and expenses.</w:t>
            </w:r>
          </w:p>
        </w:tc>
      </w:tr>
    </w:tbl>
    <w:p>
      <w:pPr>
        <w:pStyle w:val="TextBody"/>
        <w:shd w:fill="FFFFFF" w:val="clear"/>
        <w:bidi w:val="0"/>
        <w:spacing w:before="0" w:after="0"/>
        <w:ind w:left="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obtained from the Israeli Innovation Authority (“IIA”) grants for participation in research and development for the years 2013 through March 31, 2025 in the total amount of approximately $1.9 million. This amount includes amounts received in 2023 and 2024 of approximately $378,000, which is a portion of an additional grant from the IIA in the amount of approximately NIS 1.6 million (approximately $447,000) approved by the IIA on June 1, 2023, to further finance the development of the manufacturing process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The financial risk is assumed completely by the IIA.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2023, the Company announced that it received approval for a grant from the Ministry of Economy in the amount of approximately NIS 300,000 to further finance the marketing activities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the U.S.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Ministry of Economy grant, the Company is obligated to pay royalties amounting to 3% of future sales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up to the grant amount plus interest.</w:t>
      </w:r>
    </w:p>
    <w:p>
      <w:pPr>
        <w:pStyle w:val="TextBody"/>
        <w:shd w:fill="FFFFFF" w:val="clear"/>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available, Microbot intends to continue to raise capital through future public and private issuances of debt and/or equity securities, including upon the cash exercise of its outstanding investment options, to fund its commercial activities and working capital and general business purposes.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 and will need additional funds to continue the commercialization process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filing date of this Quarterly Report on Form 10-Q, management believes we have sufficient funds for our operations for in excess of one year.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the net cash flow activity for each of the periods presented (in thousands):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008" w:type="dxa"/>
        <w:jc w:val="left"/>
        <w:tblInd w:w="0" w:type="dxa"/>
        <w:tblLayout w:type="fixed"/>
        <w:tblCellMar>
          <w:top w:w="0" w:type="dxa"/>
          <w:left w:w="0" w:type="dxa"/>
          <w:bottom w:w="0" w:type="dxa"/>
          <w:right w:w="0" w:type="dxa"/>
        </w:tblCellMar>
      </w:tblPr>
      <w:tblGrid>
        <w:gridCol w:w="5150"/>
        <w:gridCol w:w="60"/>
        <w:gridCol w:w="213"/>
        <w:gridCol w:w="1109"/>
        <w:gridCol w:w="136"/>
        <w:gridCol w:w="102"/>
        <w:gridCol w:w="213"/>
        <w:gridCol w:w="930"/>
        <w:gridCol w:w="95"/>
      </w:tblGrid>
      <w:tr>
        <w:trPr/>
        <w:tc>
          <w:tcPr>
            <w:tcW w:w="51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1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(24,830</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27,806</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2025 in net cash flows used in operating activities was primarily from an increase in research and development expenses relating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as we shift to commercialization of the product and due to an increase in bonus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2025 in net cash flows used in investing activities was mainly due to an increase in the acquisition of marketable securities, due to the increase in capital we raised in January and February 2025, as described elsewhere in this Item 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2025 in net cash flows provided by financing activities was due to the Company’s raising of capital pursuant to its issuance of common stock and investment options, as well as the exercise of certain outstanding Series E investment options.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3" w:name="sk_007"/>
      <w:bookmarkEnd w:id="403"/>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cash and cash equivalents as of March 31, 2025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Risks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pStyle w:val="TextBody"/>
        <w:shd w:fill="FFFFFF" w:val="clear"/>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Effects of Inflation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generally affects Microbot by increasing its research and development expenses. Microbot does not believe that inflation and changing prices had a significant impact on its results of operations for any periods presented herein.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4" w:name="sk_008"/>
      <w:bookmarkEnd w:id="404"/>
      <w:r>
        <w:rPr>
          <w:rFonts w:ascii="Times New Roman;Times;Serif" w:hAnsi="Times New Roman;Times;Serif"/>
          <w:b/>
          <w:i w:val="false"/>
          <w:caps w:val="false"/>
          <w:smallCaps w:val="false"/>
          <w:sz w:val="20"/>
        </w:rPr>
        <w:t>Item 4. Controls and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Controls and Procedures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March 31, 2025. Based on that review and evaluation, the Chief Executive Officer and Chief Financial Officer, along with the management of the Company, have determined that as of March 31, 2025,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5" w:name="sk_009"/>
      <w:bookmarkEnd w:id="405"/>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6" w:name="sk_010"/>
      <w:bookmarkEnd w:id="406"/>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3G to the unaudited financial statements for the fiscal quarter ended March 31, 2025, earlier in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7" w:name="sk_011"/>
      <w:bookmarkEnd w:id="407"/>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for a 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8" w:name="sk_012"/>
      <w:bookmarkEnd w:id="408"/>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we issued 610,517 shares of our common stock, upon the exercise of a like number of outstanding Series E preferred investment options, by the holder thereof. The exercise price per share was $1.50, generating gross proceeds to the Company, before deducting placement agent fees and expenses, of approximately $916,000. The shares were issued pursuant to the exemption provided in Section 4(a)(2) under the Securities Act of 1933, as amended, as a transaction by an issuer not involving any public offering.</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we issued an aggregate of 1,533,336 shares of our common stock, upon the exercise of a like number of outstanding Series E and Series F preferred investment options, by the holders thereof. The exercise price per share was $1.50, generating gross proceeds to the Company, before deducting placement agent fees and expenses, of approximately $2,300,000. The shares were issued pursuant to the exemption provided in Section 4(a)(2) under the Securities Act of 1933, as amended, as a transaction by an issuer not involving any public offering.</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we issued an aggregate of 175,000 shares of our common stock, upon the exercise of a like number of outstanding Series F preferred investment options, by the holder thereof. The exercise price per share was $1.50, generating gross proceeds to the Company, before deducting placement agent fees and expenses, of approximately $262,500. The shares were issued pursuant to the exemption provided in Section 4(a)(2) under the Securities Act of 1933, as amended, as a transaction by an issuer not involving any public offering.</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9" w:name="sk_013"/>
      <w:bookmarkEnd w:id="409"/>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0" w:name="sk_014"/>
      <w:bookmarkEnd w:id="410"/>
      <w:r>
        <w:rPr>
          <w:rFonts w:ascii="Times New Roman;Times;Serif" w:hAnsi="Times New Roman;Times;Serif"/>
          <w:b/>
          <w:i w:val="false"/>
          <w:caps w:val="false"/>
          <w:smallCaps w:val="false"/>
          <w:sz w:val="20"/>
        </w:rPr>
        <w:t>Item 4. Mine Safety Disclosures.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1" w:name="sk_015"/>
      <w:bookmarkEnd w:id="411"/>
      <w:r>
        <w:rPr>
          <w:rFonts w:ascii="Times New Roman;Times;Serif" w:hAnsi="Times New Roman;Times;Serif"/>
          <w:b/>
          <w:i w:val="false"/>
          <w:caps w:val="false"/>
          <w:smallCaps w:val="false"/>
          <w:sz w:val="20"/>
        </w:rPr>
        <w:t>Item 5. Other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2025, no director or officer, as defined in Rule 16a-1(f) under the Securities Exchange Act of 1934, as amended, of the Company </w:t>
      </w:r>
      <w:bookmarkStart w:id="412" w:name="xdx_90A_eecd--NonRule10b51ArrAdoptedFlag"/>
      <w:bookmarkStart w:id="413" w:name="xdx_90E_eecd--Rule10b51ArrAdoptedFlag_db"/>
      <w:bookmarkEnd w:id="412"/>
      <w:bookmarkEnd w:id="413"/>
      <w:r>
        <w:rPr>
          <w:rFonts w:ascii="Times New Roman;Times;Serif" w:hAnsi="Times New Roman;Times;Serif"/>
          <w:b w:val="false"/>
          <w:i w:val="false"/>
          <w:caps w:val="false"/>
          <w:smallCaps w:val="false"/>
          <w:sz w:val="20"/>
        </w:rPr>
        <w:t xml:space="preserve">adopted or </w:t>
      </w:r>
      <w:bookmarkStart w:id="414" w:name="xdx_905_eecd--NonRule10b51ArrTrmntdFlag_"/>
      <w:bookmarkStart w:id="415" w:name="xdx_90D_eecd--Rule10b51ArrTrmntdFlag_dbF"/>
      <w:bookmarkEnd w:id="414"/>
      <w:bookmarkEnd w:id="415"/>
      <w:r>
        <w:rPr>
          <w:rFonts w:ascii="Times New Roman;Times;Serif" w:hAnsi="Times New Roman;Times;Serif"/>
          <w:b w:val="false"/>
          <w:i w:val="false"/>
          <w:caps w:val="false"/>
          <w:smallCaps w:val="false"/>
          <w:sz w:val="20"/>
        </w:rPr>
        <w:t>terminated a “Rule 10b5-1 trading arrangement” or “non-Rule 10b5-1 trading arrangement,” as each term is defined in Item 408(a) of Regulation S-K.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6" w:name="sk_016"/>
      <w:bookmarkEnd w:id="416"/>
      <w:r>
        <w:rPr>
          <w:rFonts w:ascii="Times New Roman;Times;Serif" w:hAnsi="Times New Roman;Times;Serif"/>
          <w:b/>
          <w:i w:val="false"/>
          <w:caps w:val="false"/>
          <w:smallCaps w:val="false"/>
          <w:sz w:val="20"/>
        </w:rPr>
        <w:t>Item 6. Exhibits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p>
        </w:tc>
        <w:tc>
          <w:tcPr>
            <w:tcW w:w="9810"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Agreement and Plan of Merger and Reorganization, dated as of August 15, 2016, by and among StemCells, Inc., C&amp;RD Israel Ltd. and Microbot Medical Ltd. (incorporated by reference to the Company’s Current Report on Form 8-K filed on August 15, 2016).</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p>
        </w:tc>
        <w:tc>
          <w:tcPr>
            <w:tcW w:w="9810"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Restated Certificate of Incorporation of the Company (incorporated by reference to the Company’s Annual Report on Form 10-K for the fiscal year ended December 31, 2006 and filed on March 15, 2007).</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p>
        </w:tc>
        <w:tc>
          <w:tcPr>
            <w:tcW w:w="9810"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to the Restated Certificate of Incorporation of the Company (incorporated by reference to the Company’s Current Report on Form 8-K filed on November 29, 2016).</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p>
        </w:tc>
        <w:tc>
          <w:tcPr>
            <w:tcW w:w="9810"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4, 2018).</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p>
        </w:tc>
        <w:tc>
          <w:tcPr>
            <w:tcW w:w="9810"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Amended and Restated By-Laws of the Company (incorporated by reference to the Company’s Current Report on Form 8-K filed on May 3, 2016).</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p>
        </w:tc>
        <w:tc>
          <w:tcPr>
            <w:tcW w:w="9810"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Elimination (incorporated by reference to the Company’s Current Report on Form 8-K filed on December 12, 2018).</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p>
        </w:tc>
        <w:tc>
          <w:tcPr>
            <w:tcW w:w="9810"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11, 2019).</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p>
        </w:tc>
        <w:tc>
          <w:tcPr>
            <w:tcW w:w="9810"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Amendment to Section 5 of the Amended and Restated By-Laws of the Company (incorporated by reference to the Company’s Current Report on Form 8-K filed on May 3, 2021).</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9810"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Amendment to Section 2.5 of the Amended and Restated By-Laws (incorporated by reference to the Company’s Current Report on Form 8-K filed on April 14, 2025).</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810"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Description of the Company’s Securities (incorporated by reference to the Registrant’s Annual Report on Form 10-K for the fiscal year ended December 31, 2019).</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p>
        </w:tc>
        <w:tc>
          <w:tcPr>
            <w:tcW w:w="9810"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Form of Series A Warrant (incorporated by reference to the Registrant’s Current Report on Form 8-K filed on October 25, 2022)</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p>
        </w:tc>
        <w:tc>
          <w:tcPr>
            <w:tcW w:w="9810"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October 25, 2022)</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p>
        </w:tc>
        <w:tc>
          <w:tcPr>
            <w:tcW w:w="9810"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23,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p>
        </w:tc>
        <w:tc>
          <w:tcPr>
            <w:tcW w:w="9810"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24,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p>
        </w:tc>
        <w:tc>
          <w:tcPr>
            <w:tcW w:w="9810"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Warrant Amendment Agreement (incorporated by reference to the Registrant’s Current Report on Form 8-K filed on May 24,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p>
        </w:tc>
        <w:tc>
          <w:tcPr>
            <w:tcW w:w="9810"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Series C Warrant (incorporated by reference to the Registrant’s Current Report on Form 8-K filed on June 6,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p>
        </w:tc>
        <w:tc>
          <w:tcPr>
            <w:tcW w:w="9810"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6,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810"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Form of Series D Warrant (incorporated by reference to the Registrant’s Current Report on Form 8-K filed on June 28,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810"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28, 2023)</w:t>
              </w:r>
            </w:hyperlink>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9"/>
        <w:gridCol w:w="9576"/>
      </w:tblGrid>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9576"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Form of Inducement Investment Option (incorporated by reference to the Registrant’s Current Report on Form 8-K filed on January 2, 2024)</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9576"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2, 2024)</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9576"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Form of Series F Preferred Investment Option (incorporated by reference to the Registrant’s Current Report on Form 8-K filed on June 4, 2024)</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9576"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June 4, 2024)</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9576"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Form of Series G Preferred Investment Option (incorporated by reference to the Registrant’s Current Report on Form 8-K filed on January 7, 2025)</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9576"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7, 2025)</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9576"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Form of Series H Preferred Investment Option (incorporated by reference to the Registrant’s Current Report on Form 8-K filed on January 10, 2025)</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9576"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10, 2025)</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9576"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Form of Series I Preferred Investment Option (incorporated by reference to the Registrant’s Current Report on Form 8-K filed on February 11, 2025)</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9576"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February 11, 2025)</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576"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Form of Securities Purchase Agreement, dated as of January 6, 2025, by and among Microbot Medical Inc. and the purchasers party thereto (incorporated by reference to the Registrant’s Current Report on Form 8-K filed on January 7, 2025)</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576"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Securities Purchase Agreement, dated as of January 7, 2025, by and among Microbot Medical Inc. and the purchasers party thereto (incorporated by reference to the Registrant’s Current Report on Form 8-K filed on January 10, 2025)</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576"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Addendum #2 to Employment Agreement, dated as of February 5, 2025, with Simon Sharon (incorporated by reference to the Registrant’s Current Report on Form 8-K filed on February 7, 2025)</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576"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Addendum #2 to Employment Agreement, dated as of February 5, 2025, with Rachel Vaknin (incorporated by reference to the Registrant’s Current Report on Form 8-K filed on February 7, 2025)</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9576"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Amendment to Employment Agreement, dated as of February 5, 2025, with Juan Diaz-Cartelle (incorporated by reference to the Registrant’s Current Report on Form 8-K filed on February 7, 2025)</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576"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Form of Securities Purchase Agreement, dated as of February 9, 2025, by and among the Company and the purchasers party thereto (incorporated by reference to the Registrant’s Current Report on Form 8-K filed on February 11, 2025)</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576"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Harel Gadot, Chairman, President and Chief Executive Officer</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576"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Rachel Vaknin, Chief Financial Officer</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9576"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Harel Gadot, Chairman, President and Chief Executive Officer, pursuant to 18 U.S.C. Section 1350, as adopted pursuant to Section 906 of the Sarbanes-Oxley Act of 2002</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576"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Rachel Vaknin, Chief Financial Officer, pursuant to 18 U.S.C. Section 1350, as adopted pursuant to Section 906 of the Sarbanes-Oxley Act of 2002</w:t>
              </w:r>
            </w:hyperlink>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95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 The instance document does not appear in the Interactive Data File because its XBRL tags are embedded within the Inline XBRL document.</w:t>
            </w:r>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95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w:t>
            </w:r>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95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w:t>
            </w:r>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95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w:t>
            </w:r>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95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w:t>
            </w:r>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95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w:t>
            </w:r>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5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7" w:name="sk_017"/>
      <w:bookmarkEnd w:id="417"/>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 this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May, 2025.</w:t>
      </w:r>
    </w:p>
    <w:p>
      <w:pPr>
        <w:pStyle w:val="TextBody"/>
        <w:bidi w:val="0"/>
        <w:spacing w:before="0" w:after="0"/>
        <w:ind w:left="0" w:right="0" w:hanging="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Rachel Vaknin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Vaknin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righ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18" w:name="ex31-1.htm"/>
      <w:bookmarkStart w:id="419" w:name="ksex311"/>
      <w:bookmarkEnd w:id="418"/>
      <w:bookmarkEnd w:id="41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of Principal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Harel Gadot,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of Microbot Medical Inc.;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3980"/>
        <w:gridCol w:w="75"/>
      </w:tblGrid>
      <w:tr>
        <w:trPr/>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14,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20" w:name="ex31-2.htm"/>
      <w:bookmarkStart w:id="421" w:name="ksex312"/>
      <w:bookmarkEnd w:id="420"/>
      <w:bookmarkEnd w:id="42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of Principal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Rachel Vaknin,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of Microbot Medical Inc.;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center"/>
        <w:rPr>
          <w:caps w:val="false"/>
          <w:smallCaps w:val="false"/>
        </w:rPr>
      </w:pPr>
      <w:r>
        <w:rPr>
          <w:caps w:val="false"/>
          <w:smallCaps w:val="false"/>
        </w:rPr>
        <w:t> </w:t>
      </w:r>
    </w:p>
    <w:tbl>
      <w:tblPr>
        <w:tblW w:w="3770" w:type="dxa"/>
        <w:jc w:val="left"/>
        <w:tblInd w:w="0" w:type="dxa"/>
        <w:tblLayout w:type="fixed"/>
        <w:tblCellMar>
          <w:top w:w="0" w:type="dxa"/>
          <w:left w:w="0" w:type="dxa"/>
          <w:bottom w:w="0" w:type="dxa"/>
          <w:right w:w="0" w:type="dxa"/>
        </w:tblCellMar>
      </w:tblPr>
      <w:tblGrid>
        <w:gridCol w:w="3695"/>
        <w:gridCol w:w="75"/>
      </w:tblGrid>
      <w:tr>
        <w:trPr/>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14,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Rachel Vaknin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22" w:name="ex32-1.htm"/>
      <w:bookmarkStart w:id="423" w:name="ksex321"/>
      <w:bookmarkEnd w:id="422"/>
      <w:bookmarkEnd w:id="4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 as adopted pursuant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March 31, 2025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pStyle w:val="TextBody"/>
        <w:bidi w:val="0"/>
        <w:spacing w:before="0" w:after="0"/>
        <w:ind w:left="0" w:right="0" w:hanging="0"/>
        <w:jc w:val="both"/>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1760"/>
        <w:gridCol w:w="3980"/>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14, 2025</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24" w:name="ex32-2.htm"/>
      <w:bookmarkStart w:id="425" w:name="ksex322"/>
      <w:bookmarkEnd w:id="424"/>
      <w:bookmarkEnd w:id="4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 as adopted pursuant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Rachel Vaknin, Chief Financial Officer of Microbot Medical Inc., hereby certify, pursuant to 18 U.S.C. Section 1350, as adopted pursuant to Section 906 of the Sarbanes-Oxley Act of 2002, that to my knowledge, the quarterly report on Form 10-Q for the period ending March 31, 2025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pStyle w:val="TextBody"/>
        <w:bidi w:val="0"/>
        <w:spacing w:before="0" w:after="0"/>
        <w:ind w:left="0" w:right="0" w:hanging="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1805"/>
        <w:gridCol w:w="3650"/>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May 14, 2025 </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Rachel Vaknin</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Vaknin</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3975/000119312516682077/d161430dex21.htm" TargetMode="External"/><Relationship Id="rId3" Type="http://schemas.openxmlformats.org/officeDocument/2006/relationships/hyperlink" Target="https://www.sec.gov/Archives/edgar/data/883975/000095013407005808/f27726exv3w1.htm" TargetMode="External"/><Relationship Id="rId4" Type="http://schemas.openxmlformats.org/officeDocument/2006/relationships/hyperlink" Target="https://www.sec.gov/Archives/edgar/data/883975/000119312516779729/d296933dex31.htm" TargetMode="External"/><Relationship Id="rId5" Type="http://schemas.openxmlformats.org/officeDocument/2006/relationships/hyperlink" Target="https://www.sec.gov/Archives/edgar/data/883975/000149315218012872/ex3-1.htm" TargetMode="External"/><Relationship Id="rId6" Type="http://schemas.openxmlformats.org/officeDocument/2006/relationships/hyperlink" Target="https://www.sec.gov/Archives/edgar/data/883975/000129993316002374/exhibit1.htm" TargetMode="External"/><Relationship Id="rId7" Type="http://schemas.openxmlformats.org/officeDocument/2006/relationships/hyperlink" Target="https://www.sec.gov/Archives/edgar/data/883975/000149315218017395/ex3-1.htm" TargetMode="External"/><Relationship Id="rId8" Type="http://schemas.openxmlformats.org/officeDocument/2006/relationships/hyperlink" Target="https://www.sec.gov/Archives/edgar/data/883975/000149315219013998/ex3-1.htm" TargetMode="External"/><Relationship Id="rId9" Type="http://schemas.openxmlformats.org/officeDocument/2006/relationships/hyperlink" Target="https://www.sec.gov/Archives/edgar/data/883975/000149315221010347/ex3-1.htm" TargetMode="External"/><Relationship Id="rId10" Type="http://schemas.openxmlformats.org/officeDocument/2006/relationships/hyperlink" Target="https://www.sec.gov/Archives/edgar/data/883975/000164117225004707/ex3-1.htm" TargetMode="External"/><Relationship Id="rId11" Type="http://schemas.openxmlformats.org/officeDocument/2006/relationships/hyperlink" Target="https://www.sec.gov/Archives/edgar/data/883975/000149315220006338/ex4-10.htm" TargetMode="External"/><Relationship Id="rId12" Type="http://schemas.openxmlformats.org/officeDocument/2006/relationships/hyperlink" Target="https://www.sec.gov/Archives/edgar/data/883975/000149315222029541/ex4-2.htm" TargetMode="External"/><Relationship Id="rId13" Type="http://schemas.openxmlformats.org/officeDocument/2006/relationships/hyperlink" Target="https://www.sec.gov/Archives/edgar/data/883975/000149315222029541/ex4-4.htm" TargetMode="External"/><Relationship Id="rId14" Type="http://schemas.openxmlformats.org/officeDocument/2006/relationships/hyperlink" Target="https://www.sec.gov/Archives/edgar/data/883975/000149315223018718/ex4-1.htm" TargetMode="External"/><Relationship Id="rId15" Type="http://schemas.openxmlformats.org/officeDocument/2006/relationships/hyperlink" Target="https://www.sec.gov/Archives/edgar/data/883975/000149315223018932/ex4-2.htm" TargetMode="External"/><Relationship Id="rId16" Type="http://schemas.openxmlformats.org/officeDocument/2006/relationships/hyperlink" Target="https://www.sec.gov/Archives/edgar/data/883975/000149315223018932/ex10-2.htm" TargetMode="External"/><Relationship Id="rId17" Type="http://schemas.openxmlformats.org/officeDocument/2006/relationships/hyperlink" Target="https://www.sec.gov/Archives/edgar/data/883975/000149315223020309/ex4-1.htm" TargetMode="External"/><Relationship Id="rId18" Type="http://schemas.openxmlformats.org/officeDocument/2006/relationships/hyperlink" Target="https://www.sec.gov/Archives/edgar/data/883975/000149315223020309/ex4-2.htm" TargetMode="External"/><Relationship Id="rId19" Type="http://schemas.openxmlformats.org/officeDocument/2006/relationships/hyperlink" Target="https://www.sec.gov/Archives/edgar/data/883975/000149315223022814/ex4-1.htm" TargetMode="External"/><Relationship Id="rId20" Type="http://schemas.openxmlformats.org/officeDocument/2006/relationships/hyperlink" Target="https://www.sec.gov/ix?doc=/Archives/edgar/data/883975/000149315223022814/form8-k.htm" TargetMode="External"/><Relationship Id="rId21" Type="http://schemas.openxmlformats.org/officeDocument/2006/relationships/hyperlink" Target="https://www.sec.gov/Archives/edgar/data/883975/000149315224000109/ex4-1.htm" TargetMode="External"/><Relationship Id="rId22" Type="http://schemas.openxmlformats.org/officeDocument/2006/relationships/hyperlink" Target="https://www.sec.gov/Archives/edgar/data/883975/000149315224000109/ex4-2.htm" TargetMode="External"/><Relationship Id="rId23" Type="http://schemas.openxmlformats.org/officeDocument/2006/relationships/hyperlink" Target="https://www.sec.gov/Archives/edgar/data/883975/000149315224022560/ex4-1.htm" TargetMode="External"/><Relationship Id="rId24" Type="http://schemas.openxmlformats.org/officeDocument/2006/relationships/hyperlink" Target="https://www.sec.gov/Archives/edgar/data/883975/000149315224022560/ex4-2.htm" TargetMode="External"/><Relationship Id="rId25" Type="http://schemas.openxmlformats.org/officeDocument/2006/relationships/hyperlink" Target="https://www.sec.gov/Archives/edgar/data/883975/000149315225001133/ex4-1.htm" TargetMode="External"/><Relationship Id="rId26" Type="http://schemas.openxmlformats.org/officeDocument/2006/relationships/hyperlink" Target="https://www.sec.gov/Archives/edgar/data/883975/000149315225001133/ex4-2.htm" TargetMode="External"/><Relationship Id="rId27" Type="http://schemas.openxmlformats.org/officeDocument/2006/relationships/hyperlink" Target="https://www.sec.gov/Archives/edgar/data/883975/000149315225001559/ex4-1.htm" TargetMode="External"/><Relationship Id="rId28" Type="http://schemas.openxmlformats.org/officeDocument/2006/relationships/hyperlink" Target="https://www.sec.gov/Archives/edgar/data/883975/000149315225001559/ex4-2.htm" TargetMode="External"/><Relationship Id="rId29" Type="http://schemas.openxmlformats.org/officeDocument/2006/relationships/hyperlink" Target="https://www.sec.gov/Archives/edgar/data/883975/000149315225005820/ex4-1.htm" TargetMode="External"/><Relationship Id="rId30" Type="http://schemas.openxmlformats.org/officeDocument/2006/relationships/hyperlink" Target="https://www.sec.gov/Archives/edgar/data/883975/000149315225005820/ex4-2.htm" TargetMode="External"/><Relationship Id="rId31" Type="http://schemas.openxmlformats.org/officeDocument/2006/relationships/hyperlink" Target="https://www.sec.gov/Archives/edgar/data/883975/000149315225001133/ex10-1.htm" TargetMode="External"/><Relationship Id="rId32" Type="http://schemas.openxmlformats.org/officeDocument/2006/relationships/hyperlink" Target="https://www.sec.gov/Archives/edgar/data/883975/000149315225001559/ex10-1.htm" TargetMode="External"/><Relationship Id="rId33" Type="http://schemas.openxmlformats.org/officeDocument/2006/relationships/hyperlink" Target="https://www.sec.gov/Archives/edgar/data/883975/000149315225005410/ex10-1.htm" TargetMode="External"/><Relationship Id="rId34" Type="http://schemas.openxmlformats.org/officeDocument/2006/relationships/hyperlink" Target="https://www.sec.gov/Archives/edgar/data/883975/000149315225005410/ex10-2.htm" TargetMode="External"/><Relationship Id="rId35" Type="http://schemas.openxmlformats.org/officeDocument/2006/relationships/hyperlink" Target="https://www.sec.gov/Archives/edgar/data/883975/000149315225005410/ex10-2.htm" TargetMode="External"/><Relationship Id="rId36" Type="http://schemas.openxmlformats.org/officeDocument/2006/relationships/hyperlink" Target="https://www.sec.gov/Archives/edgar/data/883975/000149315225005820/ex10-1.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14531</Words>
  <Characters>80189</Characters>
  <CharactersWithSpaces>95360</CharactersWithSpaces>
  <Paragraphs>2886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