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 - 102)</w:t>
      </w: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INFORMATION TO BE INCLUDED IN STATEMENTS FILED PURSUANT TO 13d-1(b), (c) AND</w:t>
      </w:r>
    </w:p>
    <w:p>
      <w:pPr>
        <w:spacing w:after="0" w:line="21" w:lineRule="exact"/>
        <w:rPr>
          <w:sz w:val="24"/>
          <w:szCs w:val="24"/>
          <w:color w:val="auto"/>
        </w:rPr>
      </w:pPr>
    </w:p>
    <w:p>
      <w:pPr>
        <w:ind w:left="2960" w:right="3259" w:hanging="1583"/>
        <w:spacing w:after="0" w:line="470" w:lineRule="auto"/>
        <w:tabs>
          <w:tab w:leader="none" w:pos="180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AMENDMENTS THERETO FILED PURSUANT TO 13d-2(b) (Amendment No. _______)*</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Stephen M. Schultz, Esq., Kleinberg, Kaplan, Wolff &amp; Cohen, P.C., 551 Fifth</w:t>
      </w:r>
    </w:p>
    <w:p>
      <w:pPr>
        <w:spacing w:after="0"/>
        <w:tabs>
          <w:tab w:leader="none" w:pos="2940" w:val="left"/>
        </w:tabs>
        <w:rPr>
          <w:sz w:val="20"/>
          <w:szCs w:val="20"/>
          <w:color w:val="auto"/>
        </w:rPr>
      </w:pPr>
      <w:r>
        <w:rPr>
          <w:rFonts w:ascii="Courier New" w:cs="Courier New" w:eastAsia="Courier New" w:hAnsi="Courier New"/>
          <w:sz w:val="18"/>
          <w:szCs w:val="18"/>
          <w:color w:val="auto"/>
        </w:rPr>
        <w:t>Avenue, New York, New York</w:t>
      </w:r>
      <w:r>
        <w:rPr>
          <w:sz w:val="20"/>
          <w:szCs w:val="20"/>
          <w:color w:val="auto"/>
        </w:rPr>
        <w:tab/>
      </w:r>
      <w:r>
        <w:rPr>
          <w:rFonts w:ascii="Courier New" w:cs="Courier New" w:eastAsia="Courier New" w:hAnsi="Courier New"/>
          <w:sz w:val="16"/>
          <w:szCs w:val="16"/>
          <w:color w:val="auto"/>
        </w:rPr>
        <w:t>10176</w:t>
      </w:r>
    </w:p>
    <w:p>
      <w:pPr>
        <w:spacing w:after="0"/>
        <w:rPr>
          <w:sz w:val="20"/>
          <w:szCs w:val="20"/>
          <w:color w:val="auto"/>
        </w:rPr>
      </w:pPr>
      <w:r>
        <w:rPr>
          <w:rFonts w:ascii="Courier New" w:cs="Courier New" w:eastAsia="Courier New" w:hAnsi="Courier New"/>
          <w:sz w:val="18"/>
          <w:szCs w:val="18"/>
          <w:color w:val="auto"/>
        </w:rPr>
        <w:t>Tel: (212) 986-6000</w:t>
      </w:r>
    </w:p>
    <w:p>
      <w:pPr>
        <w:spacing w:after="0" w:line="3"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30, 2000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7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Millennium Partners, L.P.</w:t>
      </w:r>
    </w:p>
    <w:p>
      <w:pPr>
        <w:spacing w:after="0" w:line="201"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900" w:hanging="944"/>
        <w:spacing w:after="0" w:line="238"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Cayman Islands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447" w:right="1440" w:bottom="0" w:gutter="0" w:footer="0" w:header="0"/>
        </w:sectPr>
      </w:pPr>
    </w:p>
    <w:bookmarkStart w:id="1" w:name="page2"/>
    <w:bookmarkEnd w:id="1"/>
    <w:p>
      <w:pPr>
        <w:ind w:left="1892"/>
        <w:spacing w:after="0"/>
        <w:rPr>
          <w:sz w:val="20"/>
          <w:szCs w:val="20"/>
          <w:color w:val="auto"/>
        </w:rPr>
      </w:pPr>
      <w:r>
        <w:rPr>
          <w:rFonts w:ascii="Courier New" w:cs="Courier New" w:eastAsia="Courier New" w:hAnsi="Courier New"/>
          <w:sz w:val="18"/>
          <w:szCs w:val="18"/>
          <w:color w:val="auto"/>
        </w:rPr>
        <w:t>1,472,588 (See Item 4 below)</w:t>
      </w:r>
    </w:p>
    <w:p>
      <w:pPr>
        <w:spacing w:after="0" w:line="207" w:lineRule="exact"/>
        <w:rPr>
          <w:sz w:val="20"/>
          <w:szCs w:val="20"/>
          <w:color w:val="auto"/>
        </w:rPr>
      </w:pPr>
    </w:p>
    <w:p>
      <w:pPr>
        <w:ind w:left="1892" w:right="7259" w:hanging="1892"/>
        <w:spacing w:after="0" w:line="470"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1,472,588 (See Item 4 below)</w:t>
      </w:r>
    </w:p>
    <w:p>
      <w:pPr>
        <w:spacing w:after="0" w:line="207" w:lineRule="exact"/>
        <w:rPr>
          <w:sz w:val="20"/>
          <w:szCs w:val="20"/>
          <w:color w:val="auto"/>
        </w:rPr>
      </w:pPr>
    </w:p>
    <w:p>
      <w:pPr>
        <w:ind w:left="1892" w:right="673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1892" w:right="293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1,472,588 (See Item 4 below)</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spacing w:after="0" w:line="200" w:lineRule="exact"/>
        <w:rPr>
          <w:sz w:val="20"/>
          <w:szCs w:val="20"/>
          <w:color w:val="auto"/>
        </w:rPr>
      </w:pPr>
    </w:p>
    <w:p>
      <w:pPr>
        <w:spacing w:after="0" w:line="209" w:lineRule="exact"/>
        <w:rPr>
          <w:sz w:val="20"/>
          <w:szCs w:val="20"/>
          <w:color w:val="auto"/>
        </w:rPr>
      </w:pPr>
    </w:p>
    <w:p>
      <w:pPr>
        <w:ind w:left="1892" w:right="4099" w:hanging="1892"/>
        <w:spacing w:after="0" w:line="470" w:lineRule="auto"/>
        <w:tabs>
          <w:tab w:leader="none" w:pos="9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6.98% (See Item 4 below)</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PN</w:t>
      </w:r>
    </w:p>
    <w:p>
      <w:pPr>
        <w:spacing w:after="0" w:line="20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StemCells, Inc. (the "Company")</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525 Del Rey Avenue, Suite C</w:t>
      </w:r>
    </w:p>
    <w:p>
      <w:pPr>
        <w:ind w:left="960"/>
        <w:spacing w:after="0" w:line="238" w:lineRule="auto"/>
        <w:rPr>
          <w:sz w:val="20"/>
          <w:szCs w:val="20"/>
          <w:color w:val="auto"/>
        </w:rPr>
      </w:pPr>
      <w:r>
        <w:rPr>
          <w:rFonts w:ascii="Courier New" w:cs="Courier New" w:eastAsia="Courier New" w:hAnsi="Courier New"/>
          <w:sz w:val="18"/>
          <w:szCs w:val="18"/>
          <w:color w:val="auto"/>
        </w:rPr>
        <w:t>Sunnyvale, California 94085</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Millennium Partners, L.P.</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 Millennium Management, L.L.C.</w:t>
      </w:r>
    </w:p>
    <w:p>
      <w:pPr>
        <w:ind w:left="960"/>
        <w:spacing w:after="0" w:line="238" w:lineRule="auto"/>
        <w:rPr>
          <w:sz w:val="20"/>
          <w:szCs w:val="20"/>
          <w:color w:val="auto"/>
        </w:rPr>
      </w:pPr>
      <w:r>
        <w:rPr>
          <w:rFonts w:ascii="Courier New" w:cs="Courier New" w:eastAsia="Courier New" w:hAnsi="Courier New"/>
          <w:sz w:val="18"/>
          <w:szCs w:val="18"/>
          <w:color w:val="auto"/>
        </w:rPr>
        <w:t>666 Fifth Avenue</w:t>
      </w:r>
    </w:p>
    <w:p>
      <w:pPr>
        <w:ind w:left="960"/>
        <w:spacing w:after="0"/>
        <w:rPr>
          <w:sz w:val="20"/>
          <w:szCs w:val="20"/>
          <w:color w:val="auto"/>
        </w:rPr>
      </w:pPr>
      <w:r>
        <w:rPr>
          <w:rFonts w:ascii="Courier New" w:cs="Courier New" w:eastAsia="Courier New" w:hAnsi="Courier New"/>
          <w:sz w:val="18"/>
          <w:szCs w:val="18"/>
          <w:color w:val="auto"/>
        </w:rPr>
        <w:t>New York, New York 10103</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Cayman Islands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Common Stock, par value $.01 per share, of the Company (the "Common Stock")</w:t>
      </w:r>
    </w:p>
    <w:p>
      <w:pPr>
        <w:sectPr>
          <w:pgSz w:w="11900" w:h="16838" w:orient="portrait"/>
          <w:cols w:equalWidth="0" w:num="1">
            <w:col w:w="10219"/>
          </w:cols>
          <w:pgMar w:left="240" w:top="112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 85857R105</w:t>
      </w:r>
    </w:p>
    <w:p>
      <w:pPr>
        <w:spacing w:after="0" w:line="200" w:lineRule="exact"/>
        <w:rPr>
          <w:sz w:val="20"/>
          <w:szCs w:val="20"/>
          <w:color w:val="auto"/>
        </w:rPr>
      </w:pPr>
    </w:p>
    <w:p>
      <w:pPr>
        <w:sectPr>
          <w:pgSz w:w="11900" w:h="16838" w:orient="portrait"/>
          <w:cols w:equalWidth="0" w:num="2">
            <w:col w:w="1180" w:space="720"/>
            <w:col w:w="8319"/>
          </w:cols>
          <w:pgMar w:left="240" w:top="112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hanging="319"/>
        <w:spacing w:after="0" w:line="290" w:lineRule="auto"/>
        <w:rPr>
          <w:sz w:val="20"/>
          <w:szCs w:val="20"/>
          <w:color w:val="auto"/>
        </w:rPr>
      </w:pPr>
      <w:r>
        <w:rPr>
          <w:rFonts w:ascii="Courier New" w:cs="Courier New" w:eastAsia="Courier New" w:hAnsi="Courier New"/>
          <w:sz w:val="16"/>
          <w:szCs w:val="16"/>
          <w:color w:val="auto"/>
        </w:rPr>
        <w:t>3.</w:t>
      </w:r>
      <w:r>
        <w:rPr>
          <w:sz w:val="20"/>
          <w:szCs w:val="20"/>
          <w:color w:val="auto"/>
        </w:rPr>
        <w:t xml:space="preserve"> </w:t>
      </w:r>
      <w:r>
        <w:rPr>
          <w:rFonts w:ascii="Courier New" w:cs="Courier New" w:eastAsia="Courier New" w:hAnsi="Courier New"/>
          <w:sz w:val="16"/>
          <w:szCs w:val="16"/>
          <w:color w:val="auto"/>
        </w:rPr>
        <w:t>If This Statement is Filed Pursuant to Rule 13d-1(b), or 13d-2(b) or (c), Check Whether the Person Filing is a:</w:t>
      </w:r>
    </w:p>
    <w:p>
      <w:pPr>
        <w:spacing w:after="0" w:line="170" w:lineRule="exact"/>
        <w:rPr>
          <w:sz w:val="20"/>
          <w:szCs w:val="20"/>
          <w:color w:val="auto"/>
        </w:rPr>
      </w:pPr>
    </w:p>
    <w:p>
      <w:pPr>
        <w:sectPr>
          <w:pgSz w:w="11900" w:h="16838" w:orient="portrait"/>
          <w:cols w:equalWidth="0" w:num="2">
            <w:col w:w="1500" w:space="720"/>
            <w:col w:w="7999"/>
          </w:cols>
          <w:pgMar w:left="240" w:top="1122" w:right="1440" w:bottom="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 [ ] Broker or dealer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under Section 15 of the Exchange</w:t>
      </w:r>
    </w:p>
    <w:p>
      <w:pPr>
        <w:spacing w:after="0" w:line="21" w:lineRule="exact"/>
        <w:rPr>
          <w:sz w:val="20"/>
          <w:szCs w:val="20"/>
          <w:color w:val="auto"/>
        </w:rPr>
      </w:pPr>
    </w:p>
    <w:p>
      <w:pPr>
        <w:sectPr>
          <w:pgSz w:w="11900" w:h="16838" w:orient="portrait"/>
          <w:cols w:equalWidth="0" w:num="3">
            <w:col w:w="3580" w:space="220"/>
            <w:col w:w="1060" w:space="200"/>
            <w:col w:w="5159"/>
          </w:cols>
          <w:pgMar w:left="240" w:top="112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Act.</w:t>
      </w:r>
    </w:p>
    <w:p>
      <w:pPr>
        <w:sectPr>
          <w:pgSz w:w="11900" w:h="16838" w:orient="portrait"/>
          <w:cols w:equalWidth="0" w:num="1">
            <w:col w:w="10219"/>
          </w:cols>
          <w:pgMar w:left="240" w:top="1122" w:right="1440" w:bottom="0" w:gutter="0" w:footer="0" w:header="0"/>
          <w:type w:val="continuous"/>
        </w:sectPr>
      </w:pPr>
    </w:p>
    <w:p>
      <w:pPr>
        <w:spacing w:after="0" w:line="218" w:lineRule="exact"/>
        <w:rPr>
          <w:sz w:val="20"/>
          <w:szCs w:val="20"/>
          <w:color w:val="auto"/>
        </w:rPr>
      </w:pPr>
    </w:p>
    <w:p>
      <w:pPr>
        <w:ind w:left="1480" w:hanging="419"/>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defined in Section 3(a)(19) of the Exchange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left="2540" w:right="1779" w:hanging="1479"/>
        <w:spacing w:after="0" w:line="235"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2540" w:right="1779" w:hanging="1479"/>
        <w:spacing w:after="0" w:line="235"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540" w:right="1779" w:hanging="1479"/>
        <w:spacing w:after="0" w:line="235"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540" w:right="1779" w:hanging="1479"/>
        <w:spacing w:after="0" w:line="235"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jc w:val="both"/>
        <w:ind w:left="2540" w:right="1779" w:hanging="1479"/>
        <w:spacing w:after="0" w:line="236"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2000" w:right="4739" w:hanging="939"/>
        <w:spacing w:after="0" w:line="536" w:lineRule="auto"/>
        <w:tabs>
          <w:tab w:leader="none" w:pos="20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1,472,588 shares of Common Stock*</w:t>
      </w:r>
    </w:p>
    <w:p>
      <w:pPr>
        <w:ind w:left="2000" w:hanging="939"/>
        <w:spacing w:after="0"/>
        <w:tabs>
          <w:tab w:leader="none" w:pos="20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ectPr>
          <w:pgSz w:w="11900" w:h="16838" w:orient="portrait"/>
          <w:cols w:equalWidth="0" w:num="1">
            <w:col w:w="10219"/>
          </w:cols>
          <w:pgMar w:left="240" w:top="1122" w:right="1440" w:bottom="0" w:gutter="0" w:footer="0" w:header="0"/>
          <w:type w:val="continuous"/>
        </w:sectPr>
      </w:pPr>
    </w:p>
    <w:bookmarkStart w:id="3" w:name="page4"/>
    <w:bookmarkEnd w:id="3"/>
    <w:p>
      <w:pPr>
        <w:jc w:val="both"/>
        <w:ind w:left="2000" w:right="1779"/>
        <w:spacing w:after="0" w:line="271" w:lineRule="auto"/>
        <w:rPr>
          <w:sz w:val="20"/>
          <w:szCs w:val="20"/>
          <w:color w:val="auto"/>
        </w:rPr>
      </w:pPr>
      <w:r>
        <w:rPr>
          <w:rFonts w:ascii="Courier New" w:cs="Courier New" w:eastAsia="Courier New" w:hAnsi="Courier New"/>
          <w:sz w:val="16"/>
          <w:szCs w:val="16"/>
          <w:color w:val="auto"/>
        </w:rPr>
        <w:t>6.98% (based on the sum of (i) 19,612,677 shares of Common Stock outstanding as reported in the Company's Quarterly Report on Form 10Q for the quarter ended June 30, 2000, (ii) 143,931 shares of Common Stock issuable to the reporting person upon its exercise of the warrants (including the Option Warrants) described in the footnote to Item 4(a) above; and (iii) 222,222 shares of Common Stock issuable to the reporting person upon its exercise of the Option)</w:t>
      </w:r>
    </w:p>
    <w:p>
      <w:pPr>
        <w:spacing w:after="0" w:line="180" w:lineRule="exact"/>
        <w:rPr>
          <w:sz w:val="20"/>
          <w:szCs w:val="20"/>
          <w:color w:val="auto"/>
        </w:rPr>
      </w:pPr>
    </w:p>
    <w:p>
      <w:pPr>
        <w:ind w:left="1480" w:hanging="41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540" w:right="3479" w:hanging="530"/>
        <w:spacing w:after="0" w:line="536" w:lineRule="auto"/>
        <w:tabs>
          <w:tab w:leader="none" w:pos="243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1,472,588 shares of Common Stock.</w:t>
      </w:r>
    </w:p>
    <w:p>
      <w:pPr>
        <w:ind w:left="2540" w:right="3259" w:hanging="530"/>
        <w:spacing w:after="0" w:line="470" w:lineRule="auto"/>
        <w:tabs>
          <w:tab w:leader="none" w:pos="2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1" w:lineRule="exact"/>
        <w:rPr>
          <w:rFonts w:ascii="Courier New" w:cs="Courier New" w:eastAsia="Courier New" w:hAnsi="Courier New"/>
          <w:sz w:val="18"/>
          <w:szCs w:val="18"/>
          <w:color w:val="auto"/>
        </w:rPr>
      </w:pPr>
    </w:p>
    <w:p>
      <w:pPr>
        <w:ind w:left="2540" w:right="1999" w:hanging="530"/>
        <w:spacing w:after="0" w:line="470" w:lineRule="auto"/>
        <w:tabs>
          <w:tab w:leader="none" w:pos="264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1,472,588 shares of Common Stock.</w:t>
      </w:r>
    </w:p>
    <w:p>
      <w:pPr>
        <w:spacing w:after="0" w:line="12" w:lineRule="exact"/>
        <w:rPr>
          <w:sz w:val="20"/>
          <w:szCs w:val="20"/>
          <w:color w:val="auto"/>
        </w:rPr>
      </w:pPr>
    </w:p>
    <w:p>
      <w:pPr>
        <w:ind w:left="2540" w:right="1999" w:hanging="636"/>
        <w:spacing w:after="0" w:line="470" w:lineRule="auto"/>
        <w:tabs>
          <w:tab w:leader="none" w:pos="24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11, 2000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Terry Feeney</w:t>
      </w:r>
    </w:p>
    <w:p>
      <w:pPr>
        <w:ind w:left="3800"/>
        <w:spacing w:after="0" w:line="238" w:lineRule="auto"/>
        <w:rPr>
          <w:sz w:val="20"/>
          <w:szCs w:val="20"/>
          <w:color w:val="auto"/>
        </w:rPr>
      </w:pPr>
      <w:r>
        <w:rPr>
          <w:rFonts w:ascii="Courier New" w:cs="Courier New" w:eastAsia="Courier New" w:hAnsi="Courier New"/>
          <w:sz w:val="18"/>
          <w:szCs w:val="18"/>
          <w:color w:val="auto"/>
        </w:rPr>
        <w:t>Terry Feeney</w:t>
      </w:r>
    </w:p>
    <w:p>
      <w:pPr>
        <w:ind w:left="3800"/>
        <w:spacing w:after="0"/>
        <w:rPr>
          <w:sz w:val="20"/>
          <w:szCs w:val="20"/>
          <w:color w:val="auto"/>
        </w:rPr>
      </w:pPr>
      <w:r>
        <w:rPr>
          <w:rFonts w:ascii="Courier New" w:cs="Courier New" w:eastAsia="Courier New" w:hAnsi="Courier New"/>
          <w:sz w:val="18"/>
          <w:szCs w:val="18"/>
          <w:color w:val="auto"/>
        </w:rPr>
        <w:t>Chief Administration Officer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bookmarkStart w:id="4" w:name="page5"/>
    <w:bookmarkEnd w:id="4"/>
    <w:p>
      <w:pPr>
        <w:jc w:val="both"/>
        <w:ind w:left="-8" w:right="1779" w:firstLine="8"/>
        <w:spacing w:after="0" w:line="269" w:lineRule="auto"/>
        <w:tabs>
          <w:tab w:leader="none" w:pos="30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1,104,435 shares of Common Stock previously issued to the reporting person; (ii) 101,587 shares of Common Stock currently issuable to the reporting person upon the exercise of warrants issued to it by the Company on August 3, 2000; (iii) 19,900 shares of Common Stock currently issuable to the reporting person upon the exercise of warrants issued to it by the Company on August 30, 2000; (iv) 222,222 of Common Stock currently issuable to the reporting person upon exercise of an option issued to the reporting person on August 3, 2000 to purchase up to $2 million of Common Stock based upon the market price of the Common Stock at the time of the exercise (as further described below) (the "Option"); and (v) 24,444 shares of Common Stock issuable to the reporting person upon the exercise of warrants issuable to it by the Company upon the reporting person's exercise of the Option (the "Option Warrants"). The number of shares into which the Option is exercisable is determined by dividing the dollar amount exercised by a purchase price per share equal to 110% of the average of the closing bid prices for the Company's Common Stock (as reported on NASDAQ or another market on which the Common Stock is principally traded) over the five (5) trading days immediately preceding the exercise date of the Option (which purchase price per share may not be less than $4.33). Using a purchase price of $9.00 (which is a reasonable approximation based on current market prices), the number of shares upon exercise of the Option would be 222,222 ($2,000,000/$9.00). Such 24,444 shares of Common Stock issuable upon exercise by the reporting person of the Option Warrants is the number of shares equal to 11% multiplied by the number of shares issued under the Option, which based on a $9.00 purchase price per share under the Option would yield 24,444 shares (11% x 222,222). The reporting person is prohibited from exercising the Option and warrants described above to acquire shares of Common Stock to the extent that such acquisition would result in the reporting person, together with any affiliate thereof, beneficially owning in excess of 9.99% of the outstanding shares of Common Stock following such acquisition.</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4"/>
    </w:lvl>
  </w:abstractNum>
  <w:abstractNum w:abstractNumId="1">
    <w:nsid w:val="79E2A9E3"/>
    <w:multiLevelType w:val="hybridMultilevel"/>
    <w:lvl w:ilvl="0">
      <w:lvlJc w:val="left"/>
      <w:lvlText w:val="[%1]"/>
      <w:numFmt w:val="lowerRoman"/>
      <w:start w:val="10"/>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4"/>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2019-12-13T21:48:26Z</dcterms:created>
  <dcterms:modified xsi:type="dcterms:W3CDTF">2019-12-13T21:48:26Z</dcterms:modified>
</cp:coreProperties>
</file>