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20"/>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2745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34290"/>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SECURITIES AND EXCHANGE COMMISSION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124460</wp:posOffset>
            </wp:positionV>
            <wp:extent cx="21888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8845" cy="698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FORM 8-K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Pursuant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Section 13 or 15(d)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 of Report (Date of Earliest Event Reported): May 15,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124460</wp:posOffset>
            </wp:positionV>
            <wp:extent cx="218884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8845" cy="698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STEMCELLS,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860" w:type="dxa"/>
            <w:vAlign w:val="bottom"/>
          </w:tcPr>
          <w:p>
            <w:pPr>
              <w:jc w:val="center"/>
              <w:ind w:left="2087"/>
              <w:spacing w:after="0"/>
              <w:rPr>
                <w:sz w:val="20"/>
                <w:szCs w:val="20"/>
                <w:color w:val="auto"/>
              </w:rPr>
            </w:pPr>
            <w:r>
              <w:rPr>
                <w:rFonts w:ascii="Arial" w:cs="Arial" w:eastAsia="Arial" w:hAnsi="Arial"/>
                <w:sz w:val="15"/>
                <w:szCs w:val="15"/>
                <w:b w:val="1"/>
                <w:bCs w:val="1"/>
                <w:color w:val="auto"/>
                <w:w w:val="87"/>
              </w:rPr>
              <w:t>Delaware</w:t>
            </w:r>
          </w:p>
        </w:tc>
        <w:tc>
          <w:tcPr>
            <w:tcW w:w="3580" w:type="dxa"/>
            <w:vAlign w:val="bottom"/>
            <w:gridSpan w:val="2"/>
          </w:tcPr>
          <w:p>
            <w:pPr>
              <w:jc w:val="right"/>
              <w:ind w:right="927"/>
              <w:spacing w:after="0"/>
              <w:rPr>
                <w:sz w:val="20"/>
                <w:szCs w:val="20"/>
                <w:color w:val="auto"/>
              </w:rPr>
            </w:pPr>
            <w:r>
              <w:rPr>
                <w:rFonts w:ascii="Arial" w:cs="Arial" w:eastAsia="Arial" w:hAnsi="Arial"/>
                <w:sz w:val="15"/>
                <w:szCs w:val="15"/>
                <w:b w:val="1"/>
                <w:bCs w:val="1"/>
                <w:color w:val="auto"/>
              </w:rPr>
              <w:t>0-19871</w:t>
            </w:r>
          </w:p>
        </w:tc>
        <w:tc>
          <w:tcPr>
            <w:tcW w:w="400" w:type="dxa"/>
            <w:vAlign w:val="bottom"/>
          </w:tcPr>
          <w:p>
            <w:pPr>
              <w:spacing w:after="0"/>
              <w:rPr>
                <w:sz w:val="16"/>
                <w:szCs w:val="16"/>
                <w:color w:val="auto"/>
              </w:rPr>
            </w:pPr>
          </w:p>
        </w:tc>
        <w:tc>
          <w:tcPr>
            <w:tcW w:w="3600" w:type="dxa"/>
            <w:vAlign w:val="bottom"/>
          </w:tcPr>
          <w:p>
            <w:pPr>
              <w:jc w:val="center"/>
              <w:ind w:right="1427"/>
              <w:spacing w:after="0"/>
              <w:rPr>
                <w:sz w:val="20"/>
                <w:szCs w:val="20"/>
                <w:color w:val="auto"/>
              </w:rPr>
            </w:pPr>
            <w:r>
              <w:rPr>
                <w:rFonts w:ascii="Arial" w:cs="Arial" w:eastAsia="Arial" w:hAnsi="Arial"/>
                <w:sz w:val="15"/>
                <w:szCs w:val="15"/>
                <w:b w:val="1"/>
                <w:bCs w:val="1"/>
                <w:color w:val="auto"/>
                <w:w w:val="87"/>
              </w:rPr>
              <w:t>94-3078125</w:t>
            </w:r>
          </w:p>
        </w:tc>
      </w:tr>
      <w:tr>
        <w:trPr>
          <w:trHeight w:val="378"/>
        </w:trPr>
        <w:tc>
          <w:tcPr>
            <w:tcW w:w="20" w:type="dxa"/>
            <w:vAlign w:val="bottom"/>
          </w:tcPr>
          <w:p>
            <w:pPr>
              <w:spacing w:after="0"/>
              <w:rPr>
                <w:sz w:val="24"/>
                <w:szCs w:val="24"/>
                <w:color w:val="auto"/>
              </w:rPr>
            </w:pPr>
          </w:p>
        </w:tc>
        <w:tc>
          <w:tcPr>
            <w:tcW w:w="3860" w:type="dxa"/>
            <w:vAlign w:val="bottom"/>
          </w:tcPr>
          <w:p>
            <w:pPr>
              <w:jc w:val="center"/>
              <w:ind w:left="2087"/>
              <w:spacing w:after="0"/>
              <w:rPr>
                <w:sz w:val="20"/>
                <w:szCs w:val="20"/>
                <w:color w:val="auto"/>
              </w:rPr>
            </w:pPr>
            <w:r>
              <w:rPr>
                <w:rFonts w:ascii="Arial" w:cs="Arial" w:eastAsia="Arial" w:hAnsi="Arial"/>
                <w:sz w:val="15"/>
                <w:szCs w:val="15"/>
                <w:color w:val="auto"/>
                <w:w w:val="90"/>
              </w:rPr>
              <w:t>(State or other jurisdiction</w:t>
            </w:r>
          </w:p>
        </w:tc>
        <w:tc>
          <w:tcPr>
            <w:tcW w:w="140" w:type="dxa"/>
            <w:vAlign w:val="bottom"/>
          </w:tcPr>
          <w:p>
            <w:pPr>
              <w:spacing w:after="0"/>
              <w:rPr>
                <w:sz w:val="24"/>
                <w:szCs w:val="24"/>
                <w:color w:val="auto"/>
              </w:rPr>
            </w:pPr>
          </w:p>
        </w:tc>
        <w:tc>
          <w:tcPr>
            <w:tcW w:w="3840" w:type="dxa"/>
            <w:vAlign w:val="bottom"/>
            <w:gridSpan w:val="2"/>
          </w:tcPr>
          <w:p>
            <w:pPr>
              <w:jc w:val="center"/>
              <w:ind w:left="467"/>
              <w:spacing w:after="0"/>
              <w:rPr>
                <w:sz w:val="20"/>
                <w:szCs w:val="20"/>
                <w:color w:val="auto"/>
              </w:rPr>
            </w:pPr>
            <w:r>
              <w:rPr>
                <w:rFonts w:ascii="Arial" w:cs="Arial" w:eastAsia="Arial" w:hAnsi="Arial"/>
                <w:sz w:val="15"/>
                <w:szCs w:val="15"/>
                <w:color w:val="auto"/>
                <w:w w:val="90"/>
              </w:rPr>
              <w:t>(Commission File Number)</w:t>
            </w:r>
          </w:p>
        </w:tc>
        <w:tc>
          <w:tcPr>
            <w:tcW w:w="3600" w:type="dxa"/>
            <w:vAlign w:val="bottom"/>
          </w:tcPr>
          <w:p>
            <w:pPr>
              <w:jc w:val="center"/>
              <w:ind w:right="1427"/>
              <w:spacing w:after="0"/>
              <w:rPr>
                <w:sz w:val="20"/>
                <w:szCs w:val="20"/>
                <w:color w:val="auto"/>
              </w:rPr>
            </w:pPr>
            <w:r>
              <w:rPr>
                <w:rFonts w:ascii="Arial" w:cs="Arial" w:eastAsia="Arial" w:hAnsi="Arial"/>
                <w:sz w:val="15"/>
                <w:szCs w:val="15"/>
                <w:color w:val="auto"/>
                <w:w w:val="92"/>
              </w:rPr>
              <w:t>(I.R.S. Employer</w:t>
            </w:r>
          </w:p>
        </w:tc>
      </w:tr>
      <w:tr>
        <w:trPr>
          <w:trHeight w:val="187"/>
        </w:trPr>
        <w:tc>
          <w:tcPr>
            <w:tcW w:w="20" w:type="dxa"/>
            <w:vAlign w:val="bottom"/>
          </w:tcPr>
          <w:p>
            <w:pPr>
              <w:spacing w:after="0"/>
              <w:rPr>
                <w:sz w:val="16"/>
                <w:szCs w:val="16"/>
                <w:color w:val="auto"/>
              </w:rPr>
            </w:pPr>
          </w:p>
        </w:tc>
        <w:tc>
          <w:tcPr>
            <w:tcW w:w="3860" w:type="dxa"/>
            <w:vAlign w:val="bottom"/>
          </w:tcPr>
          <w:p>
            <w:pPr>
              <w:jc w:val="center"/>
              <w:ind w:left="2107"/>
              <w:spacing w:after="0"/>
              <w:rPr>
                <w:sz w:val="20"/>
                <w:szCs w:val="20"/>
                <w:color w:val="auto"/>
              </w:rPr>
            </w:pPr>
            <w:r>
              <w:rPr>
                <w:rFonts w:ascii="Arial" w:cs="Arial" w:eastAsia="Arial" w:hAnsi="Arial"/>
                <w:sz w:val="15"/>
                <w:szCs w:val="15"/>
                <w:color w:val="auto"/>
                <w:w w:val="92"/>
              </w:rPr>
              <w:t>of incorporation)</w:t>
            </w:r>
          </w:p>
        </w:tc>
        <w:tc>
          <w:tcPr>
            <w:tcW w:w="1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0" w:type="dxa"/>
            <w:vAlign w:val="bottom"/>
          </w:tcPr>
          <w:p>
            <w:pPr>
              <w:jc w:val="center"/>
              <w:ind w:right="1427"/>
              <w:spacing w:after="0"/>
              <w:rPr>
                <w:sz w:val="20"/>
                <w:szCs w:val="20"/>
                <w:color w:val="auto"/>
              </w:rPr>
            </w:pPr>
            <w:r>
              <w:rPr>
                <w:rFonts w:ascii="Arial" w:cs="Arial" w:eastAsia="Arial" w:hAnsi="Arial"/>
                <w:sz w:val="15"/>
                <w:szCs w:val="15"/>
                <w:color w:val="auto"/>
                <w:w w:val="91"/>
              </w:rPr>
              <w:t>Identification Number)</w:t>
            </w:r>
          </w:p>
        </w:tc>
      </w:tr>
      <w:tr>
        <w:trPr>
          <w:trHeight w:val="35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0"/>
              </w:rPr>
              <w:t>3155 Porter Drive</w:t>
            </w:r>
          </w:p>
        </w:tc>
        <w:tc>
          <w:tcPr>
            <w:tcW w:w="360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0"/>
              </w:rPr>
              <w:t>Palo Alto, California 94304</w:t>
            </w:r>
          </w:p>
        </w:tc>
        <w:tc>
          <w:tcPr>
            <w:tcW w:w="3600" w:type="dxa"/>
            <w:vAlign w:val="bottom"/>
          </w:tcPr>
          <w:p>
            <w:pPr>
              <w:spacing w:after="0"/>
              <w:rPr>
                <w:sz w:val="16"/>
                <w:szCs w:val="16"/>
                <w:color w:val="auto"/>
              </w:rPr>
            </w:pPr>
          </w:p>
        </w:tc>
      </w:tr>
      <w:tr>
        <w:trPr>
          <w:trHeight w:val="36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980" w:type="dxa"/>
            <w:vAlign w:val="bottom"/>
            <w:gridSpan w:val="3"/>
          </w:tcPr>
          <w:p>
            <w:pPr>
              <w:jc w:val="center"/>
              <w:ind w:right="260"/>
              <w:spacing w:after="0"/>
              <w:rPr>
                <w:sz w:val="20"/>
                <w:szCs w:val="20"/>
                <w:color w:val="auto"/>
              </w:rPr>
            </w:pPr>
            <w:r>
              <w:rPr>
                <w:rFonts w:ascii="Arial" w:cs="Arial" w:eastAsia="Arial" w:hAnsi="Arial"/>
                <w:sz w:val="15"/>
                <w:szCs w:val="15"/>
                <w:color w:val="auto"/>
                <w:w w:val="90"/>
              </w:rPr>
              <w:t>(Address, of principal executive offices, including zip code)</w:t>
            </w:r>
          </w:p>
        </w:tc>
        <w:tc>
          <w:tcPr>
            <w:tcW w:w="3600" w:type="dxa"/>
            <w:vAlign w:val="bottom"/>
          </w:tcPr>
          <w:p>
            <w:pPr>
              <w:spacing w:after="0"/>
              <w:rPr>
                <w:sz w:val="24"/>
                <w:szCs w:val="24"/>
                <w:color w:val="auto"/>
              </w:rPr>
            </w:pPr>
          </w:p>
        </w:tc>
      </w:tr>
      <w:tr>
        <w:trPr>
          <w:trHeight w:val="36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580" w:type="dxa"/>
            <w:vAlign w:val="bottom"/>
            <w:gridSpan w:val="2"/>
          </w:tcPr>
          <w:p>
            <w:pPr>
              <w:jc w:val="center"/>
              <w:ind w:left="67"/>
              <w:spacing w:after="0"/>
              <w:rPr>
                <w:sz w:val="20"/>
                <w:szCs w:val="20"/>
                <w:color w:val="auto"/>
              </w:rPr>
            </w:pPr>
            <w:r>
              <w:rPr>
                <w:rFonts w:ascii="Arial" w:cs="Arial" w:eastAsia="Arial" w:hAnsi="Arial"/>
                <w:sz w:val="15"/>
                <w:szCs w:val="15"/>
                <w:b w:val="1"/>
                <w:bCs w:val="1"/>
                <w:color w:val="auto"/>
                <w:w w:val="89"/>
              </w:rPr>
              <w:t>(650) 475-3100</w:t>
            </w:r>
          </w:p>
        </w:tc>
        <w:tc>
          <w:tcPr>
            <w:tcW w:w="4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62"/>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2"/>
          </w:tcPr>
          <w:p>
            <w:pPr>
              <w:jc w:val="center"/>
              <w:ind w:right="400"/>
              <w:spacing w:after="0"/>
              <w:rPr>
                <w:sz w:val="20"/>
                <w:szCs w:val="20"/>
                <w:color w:val="auto"/>
              </w:rPr>
            </w:pPr>
            <w:r>
              <w:rPr>
                <w:rFonts w:ascii="Arial" w:cs="Arial" w:eastAsia="Arial" w:hAnsi="Arial"/>
                <w:sz w:val="15"/>
                <w:szCs w:val="15"/>
                <w:color w:val="auto"/>
                <w:w w:val="88"/>
              </w:rPr>
              <w:t>(Registrant’s Telephone number including area code)</w:t>
            </w:r>
          </w:p>
        </w:tc>
        <w:tc>
          <w:tcPr>
            <w:tcW w:w="360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tcBorders>
              <w:bottom w:val="single" w:sz="8" w:color="808080"/>
            </w:tcBorders>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168"/>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r>
      <w:tr>
        <w:trPr>
          <w:trHeight w:val="545"/>
        </w:trPr>
        <w:tc>
          <w:tcPr>
            <w:tcW w:w="20" w:type="dxa"/>
            <w:vAlign w:val="bottom"/>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7265670</wp:posOffset>
            </wp:positionH>
            <wp:positionV relativeFrom="paragraph">
              <wp:posOffset>-392430</wp:posOffset>
            </wp:positionV>
            <wp:extent cx="1270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-392430</wp:posOffset>
            </wp:positionV>
            <wp:extent cx="1270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7265670</wp:posOffset>
            </wp:positionH>
            <wp:positionV relativeFrom="paragraph">
              <wp:posOffset>-12700</wp:posOffset>
            </wp:positionV>
            <wp:extent cx="12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 w:name="page3"/>
    <w:bookmarkEnd w:id="2"/>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82" w:lineRule="exact"/>
        <w:rPr>
          <w:sz w:val="20"/>
          <w:szCs w:val="20"/>
          <w:color w:val="auto"/>
        </w:rPr>
      </w:pPr>
    </w:p>
    <w:p>
      <w:pPr>
        <w:ind w:left="3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5. Other Events</w:t>
        </w:r>
      </w:hyperlink>
    </w:p>
    <w:p>
      <w:pPr>
        <w:spacing w:after="0" w:line="12" w:lineRule="exact"/>
        <w:rPr>
          <w:sz w:val="20"/>
          <w:szCs w:val="20"/>
          <w:color w:val="auto"/>
        </w:rPr>
      </w:pPr>
    </w:p>
    <w:p>
      <w:pPr>
        <w:ind w:left="32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Item 7. Financial Statements, Pro Forma Financial Information and Exhibits</w:t>
        </w:r>
      </w:hyperlink>
    </w:p>
    <w:p>
      <w:pPr>
        <w:spacing w:after="0" w:line="4"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SIGNATURES</w:t>
        </w:r>
      </w:hyperlink>
    </w:p>
    <w:p>
      <w:pPr>
        <w:spacing w:after="0" w:line="235"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111760</wp:posOffset>
            </wp:positionV>
            <wp:extent cx="727456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9659"/>
          </w:cols>
          <w:pgMar w:left="800" w:top="115"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Other Events</w:t>
      </w:r>
    </w:p>
    <w:p>
      <w:pPr>
        <w:spacing w:after="0" w:line="193" w:lineRule="exact"/>
        <w:rPr>
          <w:sz w:val="20"/>
          <w:szCs w:val="20"/>
          <w:color w:val="auto"/>
        </w:rPr>
      </w:pPr>
    </w:p>
    <w:p>
      <w:pPr>
        <w:ind w:right="440" w:firstLine="184"/>
        <w:spacing w:after="0" w:line="271" w:lineRule="auto"/>
        <w:rPr>
          <w:sz w:val="20"/>
          <w:szCs w:val="20"/>
          <w:color w:val="auto"/>
        </w:rPr>
      </w:pPr>
      <w:r>
        <w:rPr>
          <w:rFonts w:ascii="Arial" w:cs="Arial" w:eastAsia="Arial" w:hAnsi="Arial"/>
          <w:sz w:val="15"/>
          <w:szCs w:val="15"/>
          <w:color w:val="auto"/>
        </w:rPr>
        <w:t>On May 15, 2003, the Company issued 4,000,000 shares of common stock and warrants to purchase 1,898,000 shares of common stock to The Riverview Group, LLC (“Riverview”) in exchange for total consideration of $6.5 million.</w:t>
      </w:r>
    </w:p>
    <w:p>
      <w:pPr>
        <w:spacing w:after="0" w:line="153" w:lineRule="exact"/>
        <w:rPr>
          <w:sz w:val="20"/>
          <w:szCs w:val="20"/>
          <w:color w:val="auto"/>
        </w:rPr>
      </w:pPr>
    </w:p>
    <w:p>
      <w:pPr>
        <w:ind w:firstLine="176"/>
        <w:spacing w:after="0" w:line="258" w:lineRule="auto"/>
        <w:rPr>
          <w:sz w:val="20"/>
          <w:szCs w:val="20"/>
          <w:color w:val="auto"/>
        </w:rPr>
      </w:pPr>
      <w:r>
        <w:rPr>
          <w:rFonts w:ascii="Arial" w:cs="Arial" w:eastAsia="Arial" w:hAnsi="Arial"/>
          <w:sz w:val="15"/>
          <w:szCs w:val="15"/>
          <w:color w:val="auto"/>
        </w:rPr>
        <w:t>A copy of the Securities Purchase Agreement dated as of May 7, 2003 between the Company and Riverview is being filed as Exhibit 99.1 hereto in order to correct certain typographical errors which appeared in Exhibit 99.1 to the Company’s Current Report on Form 8-K filed on May 13, 2003. Specifically, the Schedule of Buyers to the Securities Purchase Agreement has been corrected to properly reflect the number of shares of common stock (4,000,000) and the number of shares of common stock issuable upon exercise of the warrants (1,898,000) issued to Riverview in the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 Financial Statements, Pro Forma Financial Information and Exhibits.</w:t>
      </w:r>
    </w:p>
    <w:p>
      <w:pPr>
        <w:spacing w:after="0" w:line="397" w:lineRule="exact"/>
        <w:rPr>
          <w:sz w:val="20"/>
          <w:szCs w:val="20"/>
          <w:color w:val="auto"/>
        </w:rPr>
      </w:pPr>
    </w:p>
    <w:p>
      <w:pPr>
        <w:ind w:left="920" w:hanging="704"/>
        <w:spacing w:after="0"/>
        <w:tabs>
          <w:tab w:leader="none" w:pos="920" w:val="left"/>
        </w:tabs>
        <w:numPr>
          <w:ilvl w:val="0"/>
          <w:numId w:val="1"/>
        </w:numPr>
        <w:rPr>
          <w:rFonts w:ascii="Arial" w:cs="Arial" w:eastAsia="Arial" w:hAnsi="Arial"/>
          <w:sz w:val="15"/>
          <w:szCs w:val="15"/>
          <w:color w:val="auto"/>
        </w:rPr>
      </w:pPr>
      <w:r>
        <w:rPr>
          <w:rFonts w:ascii="Arial" w:cs="Arial" w:eastAsia="Arial" w:hAnsi="Arial"/>
          <w:sz w:val="15"/>
          <w:szCs w:val="15"/>
          <w:color w:val="auto"/>
        </w:rPr>
        <w:t>Exhibits</w:t>
      </w:r>
    </w:p>
    <w:p>
      <w:pPr>
        <w:spacing w:after="0" w:line="189"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3"/>
          <w:szCs w:val="13"/>
          <w:color w:val="auto"/>
        </w:rPr>
        <w:t>Securities Purchase Agreement dated as of May 7, 2003 between StemCells, Inc. and Riverview Group, LLC.</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27456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SIGNATURES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6"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STEMCELLS, INC</w:t>
      </w:r>
    </w:p>
    <w:p>
      <w:pPr>
        <w:spacing w:after="0" w:line="234"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By: /s/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81915</wp:posOffset>
            </wp:positionV>
            <wp:extent cx="26047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4770" cy="6985"/>
                    </a:xfrm>
                    <a:prstGeom prst="rect">
                      <a:avLst/>
                    </a:prstGeom>
                    <a:noFill/>
                  </pic:spPr>
                </pic:pic>
              </a:graphicData>
            </a:graphic>
          </wp:anchor>
        </w:drawing>
      </w:r>
    </w:p>
    <w:p>
      <w:pPr>
        <w:spacing w:after="0" w:line="214"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Martin McGlynn</w:t>
      </w:r>
    </w:p>
    <w:p>
      <w:pPr>
        <w:spacing w:after="0" w:line="14"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President and 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Date: May 15,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351790</wp:posOffset>
            </wp:positionV>
            <wp:extent cx="727456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19685"/>
                    </a:xfrm>
                    <a:prstGeom prst="rect">
                      <a:avLst/>
                    </a:prstGeom>
                    <a:noFill/>
                  </pic:spPr>
                </pic:pic>
              </a:graphicData>
            </a:graphic>
          </wp:anchor>
        </w:drawing>
      </w:r>
    </w:p>
    <w:p>
      <w:pPr>
        <w:sectPr>
          <w:pgSz w:w="11900" w:h="16838" w:orient="portrait"/>
          <w:cols w:equalWidth="0" w:num="1">
            <w:col w:w="10860"/>
          </w:cols>
          <w:pgMar w:left="240" w:top="374" w:right="79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tbl>
      <w:tblPr>
        <w:tblLayout w:type="fixed"/>
        <w:tblInd w:w="2000" w:type="dxa"/>
        <w:tblCellMar>
          <w:top w:w="0" w:type="dxa"/>
          <w:left w:w="0" w:type="dxa"/>
          <w:bottom w:w="0" w:type="dxa"/>
          <w:right w:w="0" w:type="dxa"/>
        </w:tblCellMar>
      </w:tblPr>
      <w:tr>
        <w:trPr>
          <w:trHeight w:val="187"/>
        </w:trPr>
        <w:tc>
          <w:tcPr>
            <w:tcW w:w="660" w:type="dxa"/>
            <w:vAlign w:val="bottom"/>
          </w:tcPr>
          <w:p>
            <w:pPr>
              <w:spacing w:after="0"/>
              <w:rPr>
                <w:sz w:val="16"/>
                <w:szCs w:val="16"/>
                <w:color w:val="auto"/>
              </w:rPr>
            </w:pPr>
          </w:p>
        </w:tc>
        <w:tc>
          <w:tcPr>
            <w:tcW w:w="6760" w:type="dxa"/>
            <w:vAlign w:val="bottom"/>
          </w:tcPr>
          <w:p>
            <w:pPr>
              <w:jc w:val="center"/>
              <w:ind w:right="567"/>
              <w:spacing w:after="0"/>
              <w:rPr>
                <w:sz w:val="20"/>
                <w:szCs w:val="20"/>
                <w:color w:val="auto"/>
              </w:rPr>
            </w:pPr>
            <w:r>
              <w:rPr>
                <w:rFonts w:ascii="Arial" w:cs="Arial" w:eastAsia="Arial" w:hAnsi="Arial"/>
                <w:sz w:val="15"/>
                <w:szCs w:val="15"/>
                <w:color w:val="auto"/>
                <w:w w:val="99"/>
              </w:rPr>
              <w:t>EXHIBIT INDEX</w:t>
            </w:r>
          </w:p>
        </w:tc>
      </w:tr>
      <w:tr>
        <w:trPr>
          <w:trHeight w:val="559"/>
        </w:trPr>
        <w:tc>
          <w:tcPr>
            <w:tcW w:w="660" w:type="dxa"/>
            <w:vAlign w:val="bottom"/>
          </w:tcPr>
          <w:p>
            <w:pPr>
              <w:jc w:val="right"/>
              <w:ind w:right="327"/>
              <w:spacing w:after="0"/>
              <w:rPr>
                <w:sz w:val="20"/>
                <w:szCs w:val="20"/>
                <w:color w:val="auto"/>
              </w:rPr>
            </w:pPr>
            <w:r>
              <w:rPr>
                <w:rFonts w:ascii="Arial" w:cs="Arial" w:eastAsia="Arial" w:hAnsi="Arial"/>
                <w:sz w:val="15"/>
                <w:szCs w:val="15"/>
                <w:color w:val="auto"/>
                <w:w w:val="82"/>
              </w:rPr>
              <w:t>99.1</w:t>
            </w:r>
          </w:p>
        </w:tc>
        <w:tc>
          <w:tcPr>
            <w:tcW w:w="6760" w:type="dxa"/>
            <w:vAlign w:val="bottom"/>
          </w:tcPr>
          <w:p>
            <w:pPr>
              <w:ind w:left="380"/>
              <w:spacing w:after="0"/>
              <w:rPr>
                <w:sz w:val="20"/>
                <w:szCs w:val="20"/>
                <w:color w:val="auto"/>
              </w:rPr>
            </w:pPr>
            <w:r>
              <w:rPr>
                <w:rFonts w:ascii="Arial" w:cs="Arial" w:eastAsia="Arial" w:hAnsi="Arial"/>
                <w:sz w:val="15"/>
                <w:szCs w:val="15"/>
                <w:color w:val="auto"/>
                <w:w w:val="88"/>
              </w:rPr>
              <w:t>Securities Purchase Agreement dated as of May 7, 2003 between StemCells, Inc. and The Riverview Group,</w:t>
            </w:r>
          </w:p>
        </w:tc>
      </w:tr>
      <w:tr>
        <w:trPr>
          <w:trHeight w:val="187"/>
        </w:trPr>
        <w:tc>
          <w:tcPr>
            <w:tcW w:w="660" w:type="dxa"/>
            <w:vAlign w:val="bottom"/>
          </w:tcPr>
          <w:p>
            <w:pPr>
              <w:spacing w:after="0"/>
              <w:rPr>
                <w:sz w:val="16"/>
                <w:szCs w:val="16"/>
                <w:color w:val="auto"/>
              </w:rPr>
            </w:pPr>
          </w:p>
        </w:tc>
        <w:tc>
          <w:tcPr>
            <w:tcW w:w="6760" w:type="dxa"/>
            <w:vAlign w:val="bottom"/>
          </w:tcPr>
          <w:p>
            <w:pPr>
              <w:ind w:left="380"/>
              <w:spacing w:after="0"/>
              <w:rPr>
                <w:sz w:val="20"/>
                <w:szCs w:val="20"/>
                <w:color w:val="auto"/>
              </w:rPr>
            </w:pPr>
            <w:r>
              <w:rPr>
                <w:rFonts w:ascii="Arial" w:cs="Arial" w:eastAsia="Arial" w:hAnsi="Arial"/>
                <w:sz w:val="15"/>
                <w:szCs w:val="15"/>
                <w:color w:val="auto"/>
              </w:rPr>
              <w:t>LLC.</w:t>
            </w:r>
          </w:p>
        </w:tc>
      </w:tr>
      <w:tr>
        <w:trPr>
          <w:trHeight w:val="542"/>
        </w:trPr>
        <w:tc>
          <w:tcPr>
            <w:tcW w:w="660" w:type="dxa"/>
            <w:vAlign w:val="bottom"/>
          </w:tcPr>
          <w:p>
            <w:pPr>
              <w:spacing w:after="0"/>
              <w:rPr>
                <w:sz w:val="24"/>
                <w:szCs w:val="24"/>
                <w:color w:val="auto"/>
              </w:rPr>
            </w:pPr>
          </w:p>
        </w:tc>
        <w:tc>
          <w:tcPr>
            <w:tcW w:w="6760" w:type="dxa"/>
            <w:vAlign w:val="bottom"/>
          </w:tcPr>
          <w:p>
            <w:pPr>
              <w:jc w:val="right"/>
              <w:ind w:right="3547"/>
              <w:spacing w:after="0"/>
              <w:rPr>
                <w:sz w:val="20"/>
                <w:szCs w:val="20"/>
                <w:color w:val="auto"/>
              </w:rPr>
            </w:pPr>
            <w:r>
              <w:rPr>
                <w:rFonts w:ascii="Arial" w:cs="Arial" w:eastAsia="Arial" w:hAnsi="Arial"/>
                <w:sz w:val="15"/>
                <w:szCs w:val="15"/>
                <w:color w:val="auto"/>
              </w:rPr>
              <w:t>-4-</w:t>
            </w:r>
          </w:p>
        </w:tc>
      </w:tr>
    </w:tbl>
    <w:p>
      <w:pPr>
        <w:sectPr>
          <w:pgSz w:w="11900" w:h="16838" w:orient="portrait"/>
          <w:cols w:equalWidth="0" w:num="1">
            <w:col w:w="10219"/>
          </w:cols>
          <w:pgMar w:left="240" w:top="374" w:right="1440" w:bottom="1440" w:gutter="0" w:footer="0" w:header="0"/>
        </w:sectPr>
      </w:pPr>
    </w:p>
    <w:bookmarkStart w:id="6" w:name="page7"/>
    <w:bookmarkEnd w:id="6"/>
    <w:p>
      <w:pPr>
        <w:jc w:val="right"/>
        <w:ind w:right="3179"/>
        <w:spacing w:after="0"/>
        <w:rPr>
          <w:sz w:val="20"/>
          <w:szCs w:val="20"/>
          <w:color w:val="auto"/>
        </w:rPr>
      </w:pPr>
      <w:r>
        <w:rPr>
          <w:rFonts w:ascii="Courier New" w:cs="Courier New" w:eastAsia="Courier New" w:hAnsi="Courier New"/>
          <w:sz w:val="15"/>
          <w:szCs w:val="15"/>
          <w:color w:val="auto"/>
        </w:rPr>
        <w:t>EXHIBIT 99.1</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SECURITIES PURCHASE AGREEMENT</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SECURITIES PURCHASE AGREEMENT (the "AGREEMENT"), dated as of May 7, 2003, by and among StemCells, Inc., a Delaware corporation, with headquarters located at 3155 Porter Drive, Palo Alto, California 94304 (the "COMPANY"), and the investors listed on the Schedule of Buyers attached hereto (individually, a "BUYER" and collectively, the "BUYERS").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WHEREAS:</w:t>
      </w:r>
    </w:p>
    <w:p>
      <w:pPr>
        <w:spacing w:after="0" w:line="175" w:lineRule="exact"/>
        <w:rPr>
          <w:sz w:val="20"/>
          <w:szCs w:val="20"/>
          <w:color w:val="auto"/>
        </w:rPr>
      </w:pPr>
    </w:p>
    <w:p>
      <w:pPr>
        <w:ind w:right="3259" w:firstLine="784"/>
        <w:spacing w:after="0" w:line="258" w:lineRule="auto"/>
        <w:tabs>
          <w:tab w:leader="none" w:pos="158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Buyer is executing and delivering this Agreement in reliance upon the exemption from securities registration afforded by Section 4(2) of the Securities Act of 1933, as amended (the "1933 ACT"), and Rule 506 of Regulation D ("REGULATION D") as promulgated by the United States Securities and Exchange Commission (the "SEC") under the 1933 Act;</w:t>
      </w:r>
    </w:p>
    <w:p>
      <w:pPr>
        <w:spacing w:after="0" w:line="164" w:lineRule="exact"/>
        <w:rPr>
          <w:rFonts w:ascii="Courier New" w:cs="Courier New" w:eastAsia="Courier New" w:hAnsi="Courier New"/>
          <w:sz w:val="14"/>
          <w:szCs w:val="14"/>
          <w:color w:val="auto"/>
        </w:rPr>
      </w:pPr>
    </w:p>
    <w:p>
      <w:pPr>
        <w:ind w:right="3179" w:firstLine="784"/>
        <w:spacing w:after="0" w:line="238" w:lineRule="auto"/>
        <w:tabs>
          <w:tab w:leader="none" w:pos="15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Buyer wishes to purchase, and the Company wishes to sell, upon the terms and conditions stated in this Agreement, (i) that aggregate principal amount of shares of the Company's Common Stock, par value $0.01 per share (the "COMMON STOCK") set forth opposite such Buyer's name in column (3) on the Schedule of Buyers (which aggregate amount for all Buyers together shall be $6,500,000 and shall collectively be referred to herein as the "COMMON SHARES") and (ii) warrants, in substantially the form attached hereto as Exhibit A (the "WARRANTS"), to acquire 1,898,000 shares of Common Stock (as exercised, collectively, the "WARRANT SHARES");</w:t>
      </w:r>
    </w:p>
    <w:p>
      <w:pPr>
        <w:spacing w:after="0" w:line="178" w:lineRule="exact"/>
        <w:rPr>
          <w:rFonts w:ascii="Courier New" w:cs="Courier New" w:eastAsia="Courier New" w:hAnsi="Courier New"/>
          <w:sz w:val="15"/>
          <w:szCs w:val="15"/>
          <w:color w:val="auto"/>
        </w:rPr>
      </w:pPr>
    </w:p>
    <w:p>
      <w:pPr>
        <w:ind w:right="3179" w:firstLine="784"/>
        <w:spacing w:after="0" w:line="238" w:lineRule="auto"/>
        <w:tabs>
          <w:tab w:leader="none" w:pos="15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the consummation of the transactions contemplated by this Agreement, the parties have agreed to execute and deliver a Registration Rights Agreement, substantially in the form attached hereto as Exhibit B (the "REGISTRATION RIGHTS AGREEMENT"), pursuant to which the Company will agree to provide certain registration rights with respect to the Common Shares, and the Warrant Shares under the 1933 Act and the rules and regulations promulgated thereunder, and applicable state securities laws.</w:t>
      </w:r>
    </w:p>
    <w:p>
      <w:pPr>
        <w:spacing w:after="0" w:line="176" w:lineRule="exact"/>
        <w:rPr>
          <w:rFonts w:ascii="Courier New" w:cs="Courier New" w:eastAsia="Courier New" w:hAnsi="Courier New"/>
          <w:sz w:val="15"/>
          <w:szCs w:val="15"/>
          <w:color w:val="auto"/>
        </w:rPr>
      </w:pPr>
    </w:p>
    <w:p>
      <w:pPr>
        <w:ind w:right="3879" w:firstLine="784"/>
        <w:spacing w:after="0" w:line="235" w:lineRule="auto"/>
        <w:tabs>
          <w:tab w:leader="none" w:pos="15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Shares, the Warrants and the Warrant Shares collectively are referred to herein as the "SECURITIES".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NOW, THEREFORE, the Company and each Buyer hereby agree as follows:</w:t>
      </w:r>
    </w:p>
    <w:p>
      <w:pPr>
        <w:spacing w:after="0" w:line="169" w:lineRule="exact"/>
        <w:rPr>
          <w:sz w:val="20"/>
          <w:szCs w:val="20"/>
          <w:color w:val="auto"/>
        </w:rPr>
      </w:pPr>
    </w:p>
    <w:p>
      <w:pPr>
        <w:ind w:left="1580" w:hanging="796"/>
        <w:spacing w:after="0"/>
        <w:tabs>
          <w:tab w:leader="none" w:pos="15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AND SALE OF COMMON SHARES AND WARRANTS.</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Common Shares and Warrants.</w:t>
      </w:r>
    </w:p>
    <w:p>
      <w:pPr>
        <w:spacing w:after="0" w:line="175" w:lineRule="exact"/>
        <w:rPr>
          <w:sz w:val="20"/>
          <w:szCs w:val="20"/>
          <w:color w:val="auto"/>
        </w:rPr>
      </w:pPr>
    </w:p>
    <w:p>
      <w:pPr>
        <w:ind w:right="3179" w:firstLine="2380"/>
        <w:spacing w:after="0" w:line="238" w:lineRule="auto"/>
        <w:rPr>
          <w:sz w:val="20"/>
          <w:szCs w:val="20"/>
          <w:color w:val="auto"/>
        </w:rPr>
      </w:pPr>
      <w:r>
        <w:rPr>
          <w:rFonts w:ascii="Courier New" w:cs="Courier New" w:eastAsia="Courier New" w:hAnsi="Courier New"/>
          <w:sz w:val="15"/>
          <w:szCs w:val="15"/>
          <w:color w:val="auto"/>
        </w:rPr>
        <w:t>Subject to the satisfaction (or waiver) of the conditions set forth in Sections 6(a) and 7(a) below, the Company shall issue and sell to each Buyer, and each Buyer severally, but not jointly, agrees to purchase from the Company on the Closing Date (as defined below), the number of Common Shares as is set forth opposite such Buyer's name in column (3) on the Schedule of Buyers, along with Warrants to acquire that number of Warrant Shares as is set forth opposite such Buyer's name in column (4) on the Schedule of Buyers (the "CLOSING").</w:t>
      </w:r>
    </w:p>
    <w:p>
      <w:pPr>
        <w:sectPr>
          <w:pgSz w:w="11900" w:h="16838" w:orient="portrait"/>
          <w:cols w:equalWidth="0" w:num="1">
            <w:col w:w="10219"/>
          </w:cols>
          <w:pgMar w:left="240" w:top="475" w:right="1440" w:bottom="1440" w:gutter="0" w:footer="0" w:header="0"/>
        </w:sectPr>
      </w:pPr>
    </w:p>
    <w:bookmarkStart w:id="7" w:name="page8"/>
    <w:bookmarkEnd w:id="7"/>
    <w:p>
      <w:pPr>
        <w:ind w:right="3179" w:firstLine="1577"/>
        <w:spacing w:after="0" w:line="259" w:lineRule="auto"/>
        <w:tabs>
          <w:tab w:leader="none" w:pos="23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 The purchase price for each Buyer (the "PURCHASE PRICE") of the Common Shares and related Warrants to be purchased by each such Buyer at Closing shall be equal to $1.625 for each Common Share and related Warrants being purchased by such Buyer at the Closing.</w:t>
      </w:r>
    </w:p>
    <w:p>
      <w:pPr>
        <w:spacing w:after="0" w:line="162" w:lineRule="exact"/>
        <w:rPr>
          <w:rFonts w:ascii="Courier New" w:cs="Courier New" w:eastAsia="Courier New" w:hAnsi="Courier New"/>
          <w:sz w:val="14"/>
          <w:szCs w:val="14"/>
          <w:color w:val="auto"/>
        </w:rPr>
      </w:pPr>
    </w:p>
    <w:p>
      <w:pPr>
        <w:ind w:right="3259" w:firstLine="1577"/>
        <w:spacing w:after="0" w:line="237" w:lineRule="auto"/>
        <w:tabs>
          <w:tab w:leader="none" w:pos="23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The date and time of the Closing (the "CLOSING DATE") shall be 10:00 a.m., New York City Time, on the second Business Day after notification of satisfaction (or waiver) of the conditions to the Closing set forth in Sections 6(a) and 7(a) below (or such later date as is mutually agreed to by the Company and each Buyer).</w:t>
      </w:r>
    </w:p>
    <w:p>
      <w:pPr>
        <w:spacing w:after="0" w:line="178" w:lineRule="exact"/>
        <w:rPr>
          <w:rFonts w:ascii="Courier New" w:cs="Courier New" w:eastAsia="Courier New" w:hAnsi="Courier New"/>
          <w:sz w:val="15"/>
          <w:szCs w:val="15"/>
          <w:color w:val="auto"/>
        </w:rPr>
      </w:pPr>
    </w:p>
    <w:p>
      <w:pPr>
        <w:ind w:right="3259" w:firstLine="1577"/>
        <w:spacing w:after="0" w:line="238" w:lineRule="auto"/>
        <w:tabs>
          <w:tab w:leader="none" w:pos="238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Payment. On the Closing Date, (i) each Buyer shall pay its Purchase Price to the Company for the Common Shares and Warrants to be issued and sold to such Buyer at the Closing, by wire transfer of immediately available funds in accordance with the Company's written wire instructions, and (ii) the Company shall deliver to each Buyer, the Common Shares (in the amounts as such Buyer shall request) that such Buyer is then purchasing along with the Warrants (in the amounts as such Buyer shall request) such Buyer is purchasing, duly executed on behalf of the Company and registered in the name of such Buyer or its designee.</w:t>
      </w:r>
    </w:p>
    <w:p>
      <w:pPr>
        <w:spacing w:after="0" w:line="172"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BUYER'S REPRESENTATIONS AND WARRANTIES.</w:t>
      </w:r>
    </w:p>
    <w:p>
      <w:pPr>
        <w:spacing w:after="0" w:line="174"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Each Buyer represents and warrants with respect to only itself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the date hereof and as of the Closing Date that:</w:t>
      </w:r>
    </w:p>
    <w:p>
      <w:pPr>
        <w:spacing w:after="0" w:line="175" w:lineRule="exact"/>
        <w:rPr>
          <w:sz w:val="20"/>
          <w:szCs w:val="20"/>
          <w:color w:val="auto"/>
        </w:rPr>
      </w:pPr>
    </w:p>
    <w:p>
      <w:pPr>
        <w:ind w:right="3179" w:firstLine="1577"/>
        <w:spacing w:after="0" w:line="238" w:lineRule="auto"/>
        <w:tabs>
          <w:tab w:leader="none" w:pos="23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Public Sale or Distribution; Prior Sales. Such Buyer is (i) acquiring the Common Shares and the Warrants and (ii) upon exercise of the Warrants will acquire the Warrant Shares issuable upon exercise thereof, for its own account in the ordinary course of its business for investment purposes only and not with a view towards, or for resale in connection with, the public sale or distribution thereof, except pursuant to sales registered or exempted under the 1933 Act and has no agreement or understanding, directly or indirectly, with any Person to distribute any of the Securities; provided, however, that by making the representations herein, such Buyer does not agree to hold any of the Securities for any minimum or other specific term and reserves the right to dispose of the Securities at any time in accordance with or pursuant to a registration statement or an exemption under the 1933 Act. On each of May 6, 2003 and May 7, 2003, such Buyer has not sold any shares of Common Stock.</w:t>
      </w:r>
    </w:p>
    <w:p>
      <w:pPr>
        <w:spacing w:after="0" w:line="178"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Accredited Investor Status. Such Buyer is an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"accredited investor" as that term is defined in Rule 501(a) of Regulation D.</w:t>
      </w:r>
    </w:p>
    <w:p>
      <w:pPr>
        <w:spacing w:after="0" w:line="168"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on Exemptions. Such Buyer understands that</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ectPr>
          <w:pgSz w:w="11900" w:h="16838" w:orient="portrait"/>
          <w:cols w:equalWidth="0" w:num="1">
            <w:col w:w="10219"/>
          </w:cols>
          <w:pgMar w:left="240" w:top="627" w:right="1440" w:bottom="1440" w:gutter="0" w:footer="0" w:header="0"/>
        </w:sectPr>
      </w:pPr>
    </w:p>
    <w:bookmarkStart w:id="8" w:name="page9"/>
    <w:bookmarkEnd w:id="8"/>
    <w:p>
      <w:pPr>
        <w:ind w:left="2380" w:hanging="803"/>
        <w:spacing w:after="0"/>
        <w:tabs>
          <w:tab w:leader="none" w:pos="23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Such Buyer and its advisors, if any,</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have been furnished with all materials relating to the business, finances, prospects and operations of the Company and each Subsidiary and materials relating to the offer and sale of the Securities which have been requested by such Buyer. Such Buyer and its advisors, if any, have been afforded the opportunity to ask questions of the Company. Neither such inquiries nor any other due diligence investigations conducted by such Buyer or its advisors, if any, or its representatives shall modify, amend or affect such Buyer's right to rely on the Company's representations and warranties contained herein. Such Buyer understands that its investment in the Securities involves a high degree of risk and is able to afford a complete loss of such investment. Such Buyer has sought such accounting, legal and tax advice as it has considered necessary to make an informed investment decision with respect to its acquisition of the Securities.</w:t>
      </w:r>
    </w:p>
    <w:p>
      <w:pPr>
        <w:spacing w:after="0" w:line="182"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Review.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5" w:lineRule="exact"/>
        <w:rPr>
          <w:rFonts w:ascii="Courier New" w:cs="Courier New" w:eastAsia="Courier New" w:hAnsi="Courier New"/>
          <w:sz w:val="15"/>
          <w:szCs w:val="15"/>
          <w:color w:val="auto"/>
        </w:rPr>
      </w:pPr>
    </w:p>
    <w:p>
      <w:pPr>
        <w:ind w:right="3179" w:firstLine="1577"/>
        <w:spacing w:after="0" w:line="256" w:lineRule="auto"/>
        <w:tabs>
          <w:tab w:leader="none" w:pos="23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or Resale. Such Buyer understands that except as provided in the Registration Rights Agreement: (i) the Securities have not been and are not being registered under the 1933 Act or any state securities laws, and may not be offered for sale, sold, assigned or transferred unless (A) subsequently registered thereunder, (B) such Buyer shall have delivered to the Company an opinion of counsel, in a form reasonably acceptable to the Company, to the effect that such Securities to be sold, assigned or transferred may be sold, assigned or transferred pursuant to an exemption from such registration, or (C) such Buyer provides the Company with reasonable assurance that such Securities can be sold, assigned or transferred pursuant to Rule 144 or Rule</w:t>
      </w:r>
    </w:p>
    <w:p>
      <w:pPr>
        <w:spacing w:after="0" w:line="3" w:lineRule="exact"/>
        <w:rPr>
          <w:rFonts w:ascii="Courier New" w:cs="Courier New" w:eastAsia="Courier New" w:hAnsi="Courier New"/>
          <w:sz w:val="14"/>
          <w:szCs w:val="14"/>
          <w:color w:val="auto"/>
        </w:rPr>
      </w:pPr>
    </w:p>
    <w:p>
      <w:pPr>
        <w:ind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144A promulgated under the 1933 Act, as amended, (or a successor rule thereto) (collectively, "RULE 144"); (ii) any sale of the Securities made in reliance on Rule 144 may be made only in accordance with the terms of Rule 144 and further, if Rule 144 is not applicable, any resale of the Securities under circumstances in which the seller (or the Person (as defined in Section 3(r))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the Securities under the 1933 Act or any state securities laws or to comply with the terms and conditions of any exemption thereunder. The Securities may be pledged in connection with a bona fide margin account or other loan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this Section 2(f); provided, that in order to make any sale, transfer or assignment of Securities, such Buyer and its pledgee makes such disposition in accordance with or pursuant to a registration statement or an exemption under the 1933 Act.</w:t>
      </w:r>
    </w:p>
    <w:p>
      <w:pPr>
        <w:spacing w:after="0" w:line="176" w:lineRule="exact"/>
        <w:rPr>
          <w:rFonts w:ascii="Courier New" w:cs="Courier New" w:eastAsia="Courier New" w:hAnsi="Courier New"/>
          <w:sz w:val="14"/>
          <w:szCs w:val="14"/>
          <w:color w:val="auto"/>
        </w:rPr>
      </w:pPr>
    </w:p>
    <w:p>
      <w:pPr>
        <w:ind w:right="3179" w:firstLine="1577"/>
        <w:spacing w:after="0" w:line="237" w:lineRule="auto"/>
        <w:tabs>
          <w:tab w:leader="none" w:pos="23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Such Buyer understands that the certificates or other instruments representing the Common Shares and the Warrants and, until such time as the resale</w:t>
      </w:r>
    </w:p>
    <w:p>
      <w:pPr>
        <w:sectPr>
          <w:pgSz w:w="11900" w:h="16838" w:orient="portrait"/>
          <w:cols w:equalWidth="0" w:num="1">
            <w:col w:w="10219"/>
          </w:cols>
          <w:pgMar w:left="240" w:top="622" w:right="1440" w:bottom="1440" w:gutter="0" w:footer="0" w:header="0"/>
        </w:sectPr>
      </w:pPr>
    </w:p>
    <w:bookmarkStart w:id="9" w:name="page10"/>
    <w:bookmarkEnd w:id="9"/>
    <w:p>
      <w:pPr>
        <w:ind w:right="3179"/>
        <w:spacing w:after="0" w:line="258" w:lineRule="auto"/>
        <w:rPr>
          <w:sz w:val="20"/>
          <w:szCs w:val="20"/>
          <w:color w:val="auto"/>
        </w:rPr>
      </w:pPr>
      <w:r>
        <w:rPr>
          <w:rFonts w:ascii="Courier New" w:cs="Courier New" w:eastAsia="Courier New" w:hAnsi="Courier New"/>
          <w:sz w:val="14"/>
          <w:szCs w:val="14"/>
          <w:color w:val="auto"/>
        </w:rPr>
        <w:t>of the Common Shares and the Warrant Shares have been registered under the 1933 Act as contemplated by the Registration Rights Agreement, the stock certificates representing the Common Shares and the Warrant Shares, except as set forth below, shall bear any legend as required by the "blue sky" laws of any state and a restrictive legend in substantially the following form (and a stop-transfer order may be placed against transfer of such stock certificates):</w:t>
      </w:r>
    </w:p>
    <w:p>
      <w:pPr>
        <w:spacing w:after="0" w:line="164" w:lineRule="exact"/>
        <w:rPr>
          <w:sz w:val="20"/>
          <w:szCs w:val="20"/>
          <w:color w:val="auto"/>
        </w:rPr>
      </w:pPr>
    </w:p>
    <w:p>
      <w:pPr>
        <w:ind w:left="780" w:right="3179"/>
        <w:spacing w:after="0" w:line="257" w:lineRule="auto"/>
        <w:rPr>
          <w:sz w:val="20"/>
          <w:szCs w:val="20"/>
          <w:color w:val="auto"/>
        </w:rPr>
      </w:pPr>
      <w:r>
        <w:rPr>
          <w:rFonts w:ascii="Courier New" w:cs="Courier New" w:eastAsia="Courier New" w:hAnsi="Courier New"/>
          <w:sz w:val="14"/>
          <w:szCs w:val="14"/>
          <w:color w:val="auto"/>
        </w:rPr>
        <w:t>[NEITHER THE ISSUANCE AND SALE OF THE SECURITIES REPRESENTED BY THIS CERTIFICATE NOR THE SECURITIES INTO WHICH THESE SECURITIES ARE EXERCISABLE HAVE BEEN] [THE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APPLICABLE STATE SECURITIES LAWS, OR (B) AN OPINION OF COUNSEL, IN A FORM REASONABLY ACCEPTABLE TO THE COMPANY, THAT REGISTRATION IS NOT REQUIRED UNDER SAID ACT OR APPLICABLE STATE SECURITIES LAWS OR (II) UNLESS SOLD PURSUANT TO RULE 144 OR RULE 144A UNDER SAID ACT. NOTWITHSTANDING THE FOREGOING, THE SECURITIES MAY BE PLEDGED IN CONNECTION WITH A BONA FIDE MARGIN ACCOUNT OR OTHER LOAN OR FINANCING ARRANGEMENT SECURED BY THE SECURITIES.</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legend set forth above shall be removed and the Company shall issue a certificate without such legend to the holder of the Securities upon which it is stamped, if, unless otherwise required by state securities laws, (i) such Securities are registered for sale under the 1933 Act, (ii) in connection with a sale, assignment or other transfer, such holder provides the Company with an opinion of counsel, in a form reasonably acceptable to the Company, to the effect that such sale, assignment or transfer of the Securities may be made without registration under the 1933 Act and that such legend is no longer required, or (iii) such holder provides the Company with reasonable assurance that the Securities can be sold, assigned or transferred pursuant to Rule 144 and that such legend is no longer required.</w:t>
      </w:r>
    </w:p>
    <w:p>
      <w:pPr>
        <w:spacing w:after="0" w:line="181" w:lineRule="exact"/>
        <w:rPr>
          <w:sz w:val="20"/>
          <w:szCs w:val="20"/>
          <w:color w:val="auto"/>
        </w:rPr>
      </w:pPr>
    </w:p>
    <w:p>
      <w:pPr>
        <w:ind w:right="3259" w:firstLine="1577"/>
        <w:spacing w:after="0" w:line="238" w:lineRule="auto"/>
        <w:tabs>
          <w:tab w:leader="none" w:pos="23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Enforcement. This Agreement has been, and the Registration Rights Agreement will be on the Closing Date, duly and validly authorized, executed and delivered on behalf of such Buyer and shall constitute the legal, valid and binding obligations of such Buyer enforceable against such Buyer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72"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Residency. Such Buyer is a resident of that country</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 state specified below its address on the Schedule of Buyers.</w:t>
      </w:r>
    </w:p>
    <w:p>
      <w:pPr>
        <w:sectPr>
          <w:pgSz w:w="11900" w:h="16838" w:orient="portrait"/>
          <w:cols w:equalWidth="0" w:num="1">
            <w:col w:w="10219"/>
          </w:cols>
          <w:pgMar w:left="240" w:top="627" w:right="1440" w:bottom="1440" w:gutter="0" w:footer="0" w:header="0"/>
        </w:sectPr>
      </w:pPr>
    </w:p>
    <w:bookmarkStart w:id="10" w:name="page11"/>
    <w:bookmarkEnd w:id="10"/>
    <w:p>
      <w:pPr>
        <w:ind w:left="2390" w:hanging="803"/>
        <w:spacing w:after="0"/>
        <w:tabs>
          <w:tab w:leader="none" w:pos="2390"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Such Buyer duly organized and validly</w:t>
      </w:r>
    </w:p>
    <w:p>
      <w:pPr>
        <w:spacing w:after="0" w:line="5" w:lineRule="exact"/>
        <w:rPr>
          <w:rFonts w:ascii="Courier New" w:cs="Courier New" w:eastAsia="Courier New" w:hAnsi="Courier New"/>
          <w:sz w:val="15"/>
          <w:szCs w:val="15"/>
          <w:color w:val="auto"/>
        </w:rPr>
      </w:pPr>
    </w:p>
    <w:p>
      <w:pPr>
        <w:ind w:left="10" w:right="343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existing in good standing under the laws of the jurisdiction of its organization, and has the requisite power and authorization to execute and deliver this Agreement and to consummate the transaction contemplated hereby.</w:t>
      </w:r>
    </w:p>
    <w:p>
      <w:pPr>
        <w:spacing w:after="0" w:line="162" w:lineRule="exact"/>
        <w:rPr>
          <w:rFonts w:ascii="Courier New" w:cs="Courier New" w:eastAsia="Courier New" w:hAnsi="Courier New"/>
          <w:sz w:val="15"/>
          <w:szCs w:val="15"/>
          <w:color w:val="auto"/>
        </w:rPr>
      </w:pPr>
    </w:p>
    <w:p>
      <w:pPr>
        <w:ind w:left="2390" w:hanging="803"/>
        <w:spacing w:after="0"/>
        <w:tabs>
          <w:tab w:leader="none" w:pos="2390"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Conflicts. The execution, delivery and performance</w:t>
      </w:r>
    </w:p>
    <w:p>
      <w:pPr>
        <w:spacing w:after="0" w:line="10" w:lineRule="exact"/>
        <w:rPr>
          <w:rFonts w:ascii="Courier New" w:cs="Courier New" w:eastAsia="Courier New" w:hAnsi="Courier New"/>
          <w:sz w:val="14"/>
          <w:szCs w:val="14"/>
          <w:color w:val="auto"/>
        </w:rPr>
      </w:pPr>
    </w:p>
    <w:p>
      <w:pPr>
        <w:ind w:left="1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this Agreement and the Registration Rights Agreement by such Buyer and the consummation by such Buyer of the transactions contemplated hereby and thereby will not (i) result in a violation of the constituent documents of such Buyer or</w:t>
      </w:r>
    </w:p>
    <w:p>
      <w:pPr>
        <w:ind w:left="10" w:right="3259" w:hanging="10"/>
        <w:spacing w:after="0" w:line="238"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or constitute a default (or an event which with notice or lapse of time or both would become a default) under, or give to others any rights of termination, amendment, acceleration or cancellation of, any material agreement, indenture or instrument to which such Buyer is a party, or (iii) result in a violation of any law, rule, regulation, order, judgment or decree applicable to such Buyer or by which any property or asset of such Buyer is bound or affected, except in the case of clauses (ii) and (iii), for such breaches or defaults as would not be reasonably expected to have a material adverse effect on such Buyer's ability to consummate the transactions contemplated hereby.</w:t>
      </w:r>
    </w:p>
    <w:p>
      <w:pPr>
        <w:spacing w:after="0" w:line="179" w:lineRule="exact"/>
        <w:rPr>
          <w:rFonts w:ascii="Courier New" w:cs="Courier New" w:eastAsia="Courier New" w:hAnsi="Courier New"/>
          <w:sz w:val="15"/>
          <w:szCs w:val="15"/>
          <w:color w:val="auto"/>
        </w:rPr>
      </w:pPr>
    </w:p>
    <w:p>
      <w:pPr>
        <w:ind w:left="10" w:right="3179" w:firstLine="1577"/>
        <w:spacing w:after="0" w:line="237" w:lineRule="auto"/>
        <w:tabs>
          <w:tab w:leader="none" w:pos="2389" w:val="left"/>
        </w:tabs>
        <w:numPr>
          <w:ilvl w:val="2"/>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Representations and Warranties. Each Buyer acknowledges that, except for the representations and warranties contained in the Transaction Documents, the Seller is not making any other express or implied representation or warranty on its behalf.</w:t>
      </w:r>
    </w:p>
    <w:p>
      <w:pPr>
        <w:spacing w:after="0" w:line="170" w:lineRule="exact"/>
        <w:rPr>
          <w:rFonts w:ascii="Courier New" w:cs="Courier New" w:eastAsia="Courier New" w:hAnsi="Courier New"/>
          <w:sz w:val="15"/>
          <w:szCs w:val="15"/>
          <w:color w:val="auto"/>
        </w:rPr>
      </w:pPr>
    </w:p>
    <w:p>
      <w:pPr>
        <w:ind w:left="2390" w:hanging="803"/>
        <w:spacing w:after="0"/>
        <w:tabs>
          <w:tab w:leader="none" w:pos="2390" w:val="left"/>
        </w:tabs>
        <w:numPr>
          <w:ilvl w:val="2"/>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Solicitation. Such Buyer is not purchasing</w:t>
      </w:r>
    </w:p>
    <w:p>
      <w:pPr>
        <w:spacing w:after="0" w:line="5" w:lineRule="exact"/>
        <w:rPr>
          <w:rFonts w:ascii="Courier New" w:cs="Courier New" w:eastAsia="Courier New" w:hAnsi="Courier New"/>
          <w:sz w:val="15"/>
          <w:szCs w:val="15"/>
          <w:color w:val="auto"/>
        </w:rPr>
      </w:pPr>
    </w:p>
    <w:p>
      <w:pPr>
        <w:ind w:left="1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spacing w:after="0" w:line="170" w:lineRule="exact"/>
        <w:rPr>
          <w:rFonts w:ascii="Courier New" w:cs="Courier New" w:eastAsia="Courier New" w:hAnsi="Courier New"/>
          <w:sz w:val="15"/>
          <w:szCs w:val="15"/>
          <w:color w:val="auto"/>
        </w:rPr>
      </w:pPr>
    </w:p>
    <w:p>
      <w:pPr>
        <w:ind w:left="1590" w:hanging="796"/>
        <w:spacing w:after="0"/>
        <w:tabs>
          <w:tab w:leader="none" w:pos="159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COMPANY.</w:t>
      </w:r>
    </w:p>
    <w:p>
      <w:pPr>
        <w:spacing w:after="0" w:line="174" w:lineRule="exact"/>
        <w:rPr>
          <w:rFonts w:ascii="Courier New" w:cs="Courier New" w:eastAsia="Courier New" w:hAnsi="Courier New"/>
          <w:sz w:val="15"/>
          <w:szCs w:val="15"/>
          <w:color w:val="auto"/>
        </w:rPr>
      </w:pPr>
    </w:p>
    <w:p>
      <w:pPr>
        <w:ind w:left="159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Except as is set forth in the SEC Documents (as defined below)</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or the Disclosure Schedules, the Company represents and warrants to each of the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Buyers as of the date hereof and as of the Closing Date that:</w:t>
      </w:r>
    </w:p>
    <w:p>
      <w:pPr>
        <w:spacing w:after="0" w:line="169" w:lineRule="exact"/>
        <w:rPr>
          <w:sz w:val="20"/>
          <w:szCs w:val="20"/>
          <w:color w:val="auto"/>
        </w:rPr>
      </w:pPr>
    </w:p>
    <w:p>
      <w:pPr>
        <w:ind w:left="2390" w:hanging="803"/>
        <w:spacing w:after="0"/>
        <w:tabs>
          <w:tab w:leader="none" w:pos="23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Qualification. Each of the Company</w:t>
      </w:r>
    </w:p>
    <w:p>
      <w:pPr>
        <w:spacing w:after="0" w:line="5" w:lineRule="exact"/>
        <w:rPr>
          <w:rFonts w:ascii="Courier New" w:cs="Courier New" w:eastAsia="Courier New" w:hAnsi="Courier New"/>
          <w:sz w:val="15"/>
          <w:szCs w:val="15"/>
          <w:color w:val="auto"/>
        </w:rPr>
      </w:pPr>
    </w:p>
    <w:p>
      <w:pPr>
        <w:ind w:left="1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and its Subsidiaries are corporations duly organized and validly existing in good standing under the laws of the jurisdiction in which they are incorporated, and have the requisite corporate power and authorization to own their properties and to carry on their business as now being conducted. Each of the Company and each Subsidiary is duly qualified as a foreign corporation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 As used in this Agreement, "MATERIAL ADVERSE EFFECT" means any material adverse effect on the business, properties, assets, operations, results of operations, or financial condition of the Company and its Subsidiaries, taken as a whole, or on the transactions contemplated hereby or by the agreements and instruments to be entered into in connection herewith, or on the authority or ability of the Company to perform its obligations under the Transaction Documents (as defined below). For purposes of this Agreement, "SUBSIDIARY" means any entity in which</w:t>
      </w:r>
    </w:p>
    <w:p>
      <w:pPr>
        <w:sectPr>
          <w:pgSz w:w="11900" w:h="16838" w:orient="portrait"/>
          <w:cols w:equalWidth="0" w:num="1">
            <w:col w:w="10229"/>
          </w:cols>
          <w:pgMar w:left="230" w:top="622" w:right="1440" w:bottom="1440" w:gutter="0" w:footer="0" w:header="0"/>
        </w:sectPr>
      </w:pPr>
    </w:p>
    <w:bookmarkStart w:id="11" w:name="page12"/>
    <w:bookmarkEnd w:id="11"/>
    <w:p>
      <w:pPr>
        <w:ind w:right="3439"/>
        <w:spacing w:after="0" w:line="237" w:lineRule="auto"/>
        <w:rPr>
          <w:sz w:val="20"/>
          <w:szCs w:val="20"/>
          <w:color w:val="auto"/>
        </w:rPr>
      </w:pPr>
      <w:r>
        <w:rPr>
          <w:rFonts w:ascii="Courier New" w:cs="Courier New" w:eastAsia="Courier New" w:hAnsi="Courier New"/>
          <w:sz w:val="15"/>
          <w:szCs w:val="15"/>
          <w:color w:val="auto"/>
        </w:rPr>
        <w:t>the Company, directly or indirectly, owns capital stock or holds an equity or similar interest. The Company has no Subsidiaries other than StemCells California, Inc., a California corporation.</w:t>
      </w:r>
    </w:p>
    <w:p>
      <w:pPr>
        <w:spacing w:after="0" w:line="175" w:lineRule="exact"/>
        <w:rPr>
          <w:sz w:val="20"/>
          <w:szCs w:val="20"/>
          <w:color w:val="auto"/>
        </w:rPr>
      </w:pPr>
    </w:p>
    <w:p>
      <w:pPr>
        <w:ind w:left="2380" w:hanging="803"/>
        <w:spacing w:after="0"/>
        <w:tabs>
          <w:tab w:leader="none" w:pos="23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Enforcement; Validity. The Company has</w:t>
      </w:r>
    </w:p>
    <w:p>
      <w:pPr>
        <w:spacing w:after="0" w:line="10" w:lineRule="exact"/>
        <w:rPr>
          <w:rFonts w:ascii="Courier New" w:cs="Courier New" w:eastAsia="Courier New" w:hAnsi="Courier New"/>
          <w:sz w:val="14"/>
          <w:szCs w:val="14"/>
          <w:color w:val="auto"/>
        </w:rPr>
      </w:pPr>
    </w:p>
    <w:p>
      <w:pPr>
        <w:ind w:right="317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requisite corporate power and authority to enter into and perform its obligations under this Agreement, the Registration Rights Agreement, the Irrevocable Transfer Agent Instructions (as defined in Section 5(b)), the Warrants and each of the other agreements entered into or to be entered into on the Closing Date by the parties hereto in connection with the transactions contemplated by this Agreement (collectively, the "TRANSACTION DOCUMENTS") and, to issue the Securities in accordance with the terms hereof and thereof. The execution and delivery of the Transaction Documents by the Company and the consummation by the Company of the transactions contemplated hereby and thereby, including, without limitation, the issuance of the Common Shares and the Warrants and the reservation for issuance and the issuance of the Warrant Shares issuable upon exercise thereof have been duly authorized by the Company's Board of Directors and no further consent or authorization is required by the Company, its Board of Directors or its stockholders. This Agreement and the other Transaction Documents of even date herewith have been duly executed and delivered by the Company, and constitute the legal, valid and binding obligations of the Company enforceable against the Company in accordance with their respective terms, except (i) as such enforceability may be limited by general principles of equity or applicable bankruptcy, insolvency, reorganization, moratorium, liquidation or similar laws relating to, or affecting generally, the enforcement of applicable creditors' rights and remedies, or (ii) as any rights to indemnity or contribution hereunder may be limited by federal and state securities laws and public policy consideration. As of the Closing, the Transaction Documents dated as of the Closing Date and required to have been executed and delivered with respect to the Closing shall have been duly executed and delivered by the Company, and shall constitute the legal, valid and binding obligations of the Company enforceable against the Company in accordance with their respective terms, except (i) as such enforceability may be limited by general principles of equity or applicable bankruptcy, insolvency, reorganization, moratorium, liquidation or similar laws relating to, or affecting generally, the enforcement of applicable creditor's rights and remedies or (ii) as any rights to indemnity or contribution hereunder may be limited by federal and state securities laws and public policy consideration.</w:t>
      </w:r>
    </w:p>
    <w:p>
      <w:pPr>
        <w:spacing w:after="0" w:line="174" w:lineRule="exact"/>
        <w:rPr>
          <w:rFonts w:ascii="Courier New" w:cs="Courier New" w:eastAsia="Courier New" w:hAnsi="Courier New"/>
          <w:sz w:val="14"/>
          <w:szCs w:val="14"/>
          <w:color w:val="auto"/>
        </w:rPr>
      </w:pPr>
    </w:p>
    <w:p>
      <w:pPr>
        <w:ind w:left="2380" w:hanging="803"/>
        <w:spacing w:after="0"/>
        <w:tabs>
          <w:tab w:leader="none" w:pos="23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Securities. The Common Shares and</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are duly authorized and, upon issuance in accordance with the terms hereof, shall be free from all taxes, liens and charges with respect to the issue thereof. As of the Closing Date, the Company shall have duly authorized and reserved for issuance a number of shares of Common Stock which equals the number of Warrant Shares. The Company shall, so long as any of the Warrants are outstanding, take all action necessary to reserve and keep available out of its authorized and unissued Capital Stock, solely for the purpose of effecting the exercise of the Warrants, 120% of the number of shares of Common Stock issuable upon exercise of the Warrants. Upon exercise in accordance with the Warrants, the Warrant Shares will be validly issued, fully paid and nonassessable and free from all taxes, liens and charges with respect to the issue thereof, with the holders being entitled to all rights accorded to a holder of Common Stock. Assuming the accuracy of each of the representations and warranties set forth in Section 2 hereof, the offer and sale by the Company of the Securities is exempt from registration under the 1933 Act.</w:t>
      </w:r>
    </w:p>
    <w:p>
      <w:pPr>
        <w:sectPr>
          <w:pgSz w:w="11900" w:h="16838" w:orient="portrait"/>
          <w:cols w:equalWidth="0" w:num="1">
            <w:col w:w="10219"/>
          </w:cols>
          <w:pgMar w:left="240" w:top="627" w:right="1440" w:bottom="1440" w:gutter="0" w:footer="0" w:header="0"/>
        </w:sectPr>
      </w:pPr>
    </w:p>
    <w:bookmarkStart w:id="12" w:name="page13"/>
    <w:bookmarkEnd w:id="12"/>
    <w:p>
      <w:pPr>
        <w:ind w:left="2380" w:hanging="803"/>
        <w:spacing w:after="0"/>
        <w:tabs>
          <w:tab w:leader="none" w:pos="23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Conflicts. Assuming the accuracy of all</w:t>
      </w:r>
    </w:p>
    <w:p>
      <w:pPr>
        <w:spacing w:after="0" w:line="5" w:lineRule="exact"/>
        <w:rPr>
          <w:rFonts w:ascii="Courier New" w:cs="Courier New" w:eastAsia="Courier New" w:hAnsi="Courier New"/>
          <w:sz w:val="15"/>
          <w:szCs w:val="15"/>
          <w:color w:val="auto"/>
        </w:rPr>
      </w:pPr>
    </w:p>
    <w:p>
      <w:pPr>
        <w:ind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made by the Buyers herein, the execution, delivery and performance of the Transaction Documents by the Company and the consummation by the Company of the transactions contemplated hereby and thereby (including, without limitation, the issuance of the Common Shares and Warrants and reservation for issuance and issuance of the Warrant Shares) will not (i) result in a violation of the certificate of incorporation, any certificate of designations, preferences and rights of any outstanding series of preferred stock or Bylaws of the Company or any Subsidiary or (ii) conflict with, or constitute a default (or an event which with notice or lapse of time or both would become a default) under, or give to others any rights of termination, amendment, acceleration or cancellation of, any material agreement, indenture or instrument to which the Company or any Subsidiary is a party, or (iii) result in a violation of any law, rule, regulation, order, judgment or decree (including federal and state securities laws and regulations and the rules and regulations of the NASDAQ SmallCap Market (the "PRINCIPAL MARKET")) applicable to the Company or any Subsidiary or by which any property or asset of the Company or any Subsidiary is bound or affected, except in the case of clauses (ii) and (iii), for such breaches or defaults as would not be reasonably expected to have a Material Adverse Effect.</w:t>
      </w:r>
    </w:p>
    <w:p>
      <w:pPr>
        <w:spacing w:after="0" w:line="175" w:lineRule="exact"/>
        <w:rPr>
          <w:rFonts w:ascii="Courier New" w:cs="Courier New" w:eastAsia="Courier New" w:hAnsi="Courier New"/>
          <w:sz w:val="15"/>
          <w:szCs w:val="15"/>
          <w:color w:val="auto"/>
        </w:rPr>
      </w:pPr>
    </w:p>
    <w:p>
      <w:pPr>
        <w:ind w:right="3179" w:firstLine="1577"/>
        <w:spacing w:after="0" w:line="239" w:lineRule="auto"/>
        <w:tabs>
          <w:tab w:leader="none" w:pos="23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The Company is not required to obtain any consent, authorization or order of, or make any filing or registration with, any court, governmental agency or any regulatory or self-regulatory agency or any other Person in order for it to execute, deliver or perform any of its obligations under or contemplated by the Transaction Documents, in each case in accordance with the terms hereof or thereof. All consents, authorizations, orders, filings and registrations which the Company is required to obtain pursuant to the preceding sentence have been obtained or effected on or prior to the Closing Date other than (i) the filing with the Commission of the Registration Statement, the application(s) to the Principal Market for the listing of the Common Shares and Warrant Shares for trading thereon in the time and manner required thereby, and applicable Blue Sky filings, (b) such as have already been obtained and the filing of a Form D with the SEC, and (c) compliance with Rule 4310(c)(17) of the National Association of Securities Dealers, Inc. The Company and each Subsidiary are unaware of any facts or circumstances that might prevent the Company from obtaining or effecting any of the foregoing. Except (i) for the facts that the Common Stock has previously traded below $1.00 and the Company's shareholders equity is (as of the date hereof) less than $2.5 million and (ii) as disclosed on Schedule 3(e), the Company is not in violation of the listing requirements of the Principal Market and has no knowledge of any facts that would reasonably lead to delisting or suspension of the Common Stock in the foreseeable future.</w:t>
      </w:r>
    </w:p>
    <w:p>
      <w:pPr>
        <w:spacing w:after="0" w:line="176"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Regarding Buyer's Purchase of Securities. The Company acknowledges and agrees that each Buyer is acting solely in the capacity of arm's length purchaser with respect to the Transaction Documents and the transactions contemplated hereby and thereby. The Company further acknowledges that no Buyer is acting as a financial advisor or fiduciary of the Company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has been based solely on the independent evaluation by the Company and its representatives.</w:t>
      </w:r>
    </w:p>
    <w:p>
      <w:pPr>
        <w:sectPr>
          <w:pgSz w:w="11900" w:h="16838" w:orient="portrait"/>
          <w:cols w:equalWidth="0" w:num="1">
            <w:col w:w="10219"/>
          </w:cols>
          <w:pgMar w:left="240" w:top="622" w:right="1440" w:bottom="1440" w:gutter="0" w:footer="0" w:header="0"/>
        </w:sectPr>
      </w:pPr>
    </w:p>
    <w:bookmarkStart w:id="13" w:name="page14"/>
    <w:bookmarkEnd w:id="13"/>
    <w:p>
      <w:pPr>
        <w:ind w:right="3179" w:firstLine="1577"/>
        <w:spacing w:after="0" w:line="238" w:lineRule="auto"/>
        <w:tabs>
          <w:tab w:leader="none" w:pos="23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General Solicitation; Placement Agent's Fees. Neither the Company, nor any of its affiliates, nor any Person acting on its or their behalf, has engaged in any form of general solicitation or general advertising (within the meaning of Regulation D) in connection with the offer or sale of the Securities. The Company shall be responsible for the payment of any placement agent's fees, financial advisory fees, or brokers' commissions (other than for persons engaged by any Buyer or its investment advisor, or at the direction of any of them) relating to or arising out of the transactions contemplated hereby. The Company shall pay, and hold each Buyer harmless against, any liability, loss or expense (including, without limitation, attorney's fees and out-of-pocket expenses) arising in connection with any such claim.</w:t>
      </w:r>
    </w:p>
    <w:p>
      <w:pPr>
        <w:spacing w:after="0" w:line="181" w:lineRule="exact"/>
        <w:rPr>
          <w:rFonts w:ascii="Courier New" w:cs="Courier New" w:eastAsia="Courier New" w:hAnsi="Courier New"/>
          <w:sz w:val="15"/>
          <w:szCs w:val="15"/>
          <w:color w:val="auto"/>
        </w:rPr>
      </w:pPr>
    </w:p>
    <w:p>
      <w:pPr>
        <w:ind w:right="3179" w:firstLine="1577"/>
        <w:spacing w:after="0" w:line="257" w:lineRule="auto"/>
        <w:tabs>
          <w:tab w:leader="none" w:pos="23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Integrated Offering. None of the Company, any Subsidiary, any of their affiliates, and any Person acting on their behalf has, directly or indirectly, made any offers or sales of any security or solicited any offers to buy any security, under circumstances that would require registration of any of the Securities under the 1933 Act or cause this offering of the Securities to be integrated with prior offerings by the Company for purposes of the 1933 Act or any applicable stockholder approval provisions, including, without limitation, under the rules and regulations of any exchange or automated quotation system on which any of the securities of the Company are listed or designated. None of the Company, any Subsidiary, their affiliates and any Person acting on their behalf will take any action or steps referred to in the preceding sentence that would require registration of any of the Securities under the 1933 Act (other than pursuant to the Registration Rights Agreement) or cause the offering of the Securities to be integrated with other offerings.</w:t>
      </w:r>
    </w:p>
    <w:p>
      <w:pPr>
        <w:spacing w:after="0" w:line="159" w:lineRule="exact"/>
        <w:rPr>
          <w:rFonts w:ascii="Courier New" w:cs="Courier New" w:eastAsia="Courier New" w:hAnsi="Courier New"/>
          <w:sz w:val="14"/>
          <w:szCs w:val="14"/>
          <w:color w:val="auto"/>
        </w:rPr>
      </w:pPr>
    </w:p>
    <w:p>
      <w:pPr>
        <w:ind w:left="2380" w:hanging="803"/>
        <w:spacing w:after="0"/>
        <w:tabs>
          <w:tab w:leader="none" w:pos="23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Dilutive Effect. The Company understands and</w:t>
      </w:r>
    </w:p>
    <w:p>
      <w:pPr>
        <w:spacing w:after="0" w:line="5" w:lineRule="exact"/>
        <w:rPr>
          <w:rFonts w:ascii="Courier New" w:cs="Courier New" w:eastAsia="Courier New" w:hAnsi="Courier New"/>
          <w:sz w:val="15"/>
          <w:szCs w:val="15"/>
          <w:color w:val="auto"/>
        </w:rPr>
      </w:pPr>
    </w:p>
    <w:p>
      <w:pPr>
        <w:ind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acknowledges that the number of Warrant Shares issuable upon exercise of the Warrants will increase in certain circumstances. The Company further acknowledges that its obligation to issue the Warrant Shares upon exercise of the Warrants in accordance with this Agreement and the Warrants is absolute and unconditional regardless of the dilutive effect that such issuance may have on the ownership interests of other stockholders of the Company.</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Takeover Protections; Rights</w:t>
      </w:r>
    </w:p>
    <w:p>
      <w:pPr>
        <w:spacing w:after="0" w:line="5" w:lineRule="exact"/>
        <w:rPr>
          <w:rFonts w:ascii="Courier New" w:cs="Courier New" w:eastAsia="Courier New" w:hAnsi="Courier New"/>
          <w:sz w:val="15"/>
          <w:szCs w:val="15"/>
          <w:color w:val="auto"/>
        </w:rPr>
      </w:pPr>
    </w:p>
    <w:p>
      <w:pPr>
        <w:ind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The Company and its board of directors have taken all necessary action, if any, in order to render inapplicable any control share acquisition, business combination, poison pill (including any distribution under a rights agreement) or other similar anti-takeover provision under the Certificate of Incorporation (as defined in Section 3(q)) or the laws of the state of its incorporation which is or could become applicable to any Buyer as a result of the transactions contemplated by this Agreement, including, without limitation, the Company's issuance of the Securities and any Buyer's ownership of the Securities.</w:t>
      </w:r>
    </w:p>
    <w:p>
      <w:pPr>
        <w:spacing w:after="0" w:line="178" w:lineRule="exact"/>
        <w:rPr>
          <w:rFonts w:ascii="Courier New" w:cs="Courier New" w:eastAsia="Courier New" w:hAnsi="Courier New"/>
          <w:sz w:val="15"/>
          <w:szCs w:val="15"/>
          <w:color w:val="auto"/>
        </w:rPr>
      </w:pPr>
    </w:p>
    <w:p>
      <w:pPr>
        <w:ind w:right="3179" w:firstLine="1577"/>
        <w:spacing w:after="0" w:line="257" w:lineRule="auto"/>
        <w:tabs>
          <w:tab w:leader="none" w:pos="23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Financial Statements. Since December 31, 2001, the Company has timely filed all reports, schedules, forms, statements and other documents required to be filed by it with the SEC pursuant to the reporting requirements of the 1934 Act (all of the foregoing filed prior to the date hereof or prior to the date of the Closing, and all exhibits included therein and financial statements and schedules thereto and documents incorporated by reference therein being hereinafter referred to as the "SEC DOCUMENTS"). The Company has delivered to the Buyers or their respective representatives true, correct and complete copies of the SEC Documents not available on the EDGAR system. As of their respective dates, the SEC</w:t>
      </w:r>
    </w:p>
    <w:p>
      <w:pPr>
        <w:sectPr>
          <w:pgSz w:w="11900" w:h="16838" w:orient="portrait"/>
          <w:cols w:equalWidth="0" w:num="1">
            <w:col w:w="10219"/>
          </w:cols>
          <w:pgMar w:left="240" w:top="627" w:right="1440" w:bottom="1440" w:gutter="0" w:footer="0" w:header="0"/>
        </w:sectPr>
      </w:pPr>
    </w:p>
    <w:bookmarkStart w:id="14" w:name="page15"/>
    <w:bookmarkEnd w:id="14"/>
    <w:p>
      <w:pPr>
        <w:ind w:left="10" w:right="3179"/>
        <w:spacing w:after="0" w:line="256" w:lineRule="auto"/>
        <w:rPr>
          <w:sz w:val="20"/>
          <w:szCs w:val="20"/>
          <w:color w:val="auto"/>
        </w:rPr>
      </w:pPr>
      <w:r>
        <w:rPr>
          <w:rFonts w:ascii="Courier New" w:cs="Courier New" w:eastAsia="Courier New" w:hAnsi="Courier New"/>
          <w:sz w:val="14"/>
          <w:szCs w:val="14"/>
          <w:color w:val="auto"/>
        </w:rPr>
        <w:t>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and each Subsidiary as of the dates thereof and the results of its operations and cash flows for the periods then ended (subject, in the case of unaudited statements, to normal year-end audit adjustments). After giving effect to the 8-K Filing (as defined below), no other information provided by or on behalf of the Company to the Buyers which is not included in the SEC Documents, including, without limitation, information referred to in Section 2(d) of this Agreement, contains any untrue statement of a material fact or omits to state any material fact necessary in order to make the statements therein, in the light of the circumstance under which they are or were made, not misleading.</w:t>
      </w:r>
    </w:p>
    <w:p>
      <w:pPr>
        <w:spacing w:after="0" w:line="341" w:lineRule="exact"/>
        <w:rPr>
          <w:sz w:val="20"/>
          <w:szCs w:val="20"/>
          <w:color w:val="auto"/>
        </w:rPr>
      </w:pPr>
    </w:p>
    <w:p>
      <w:pPr>
        <w:ind w:left="2390" w:hanging="803"/>
        <w:spacing w:after="0"/>
        <w:tabs>
          <w:tab w:leader="none" w:pos="239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Changes. Except as disclosed in</w:t>
      </w:r>
    </w:p>
    <w:p>
      <w:pPr>
        <w:spacing w:after="0" w:line="5" w:lineRule="exact"/>
        <w:rPr>
          <w:rFonts w:ascii="Courier New" w:cs="Courier New" w:eastAsia="Courier New" w:hAnsi="Courier New"/>
          <w:sz w:val="15"/>
          <w:szCs w:val="15"/>
          <w:color w:val="auto"/>
        </w:rPr>
      </w:pPr>
    </w:p>
    <w:p>
      <w:pPr>
        <w:ind w:left="10" w:right="325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Schedule 3(l), since December 31, 2002, there has been no material adverse change and no material adverse development in the business, properties, operations, financial condition, or results of operations of the Company or any Subsidiary. Since December 31, 2002, the Company has not (i) declared or paid any dividends (other than in connection with the Company's 3% Cumulative Convertible Preferred Stock), (ii) sold any assets, individually or in the aggregate, in excess of $100,000 outside of the ordinary course of business or</w:t>
      </w:r>
    </w:p>
    <w:p>
      <w:pPr>
        <w:ind w:left="530" w:hanging="530"/>
        <w:spacing w:after="0"/>
        <w:tabs>
          <w:tab w:leader="none" w:pos="5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had capital expenditures, individually or in the aggregate, in excess of</w:t>
      </w:r>
    </w:p>
    <w:p>
      <w:pPr>
        <w:spacing w:after="0" w:line="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$500,000. The Company has not taken any steps to seek protection pursuant to any bankruptcy law nor does the Company have any knowledge or reason to believe that its creditors intend to initiate involuntary bankruptcy proceedings or any actual knowledge of any fact which would reasonably lead a creditor to do so. The Company, after giving effect to the transactions contemplated hereby to occur at each Closing, will not be Insolvent (as defined below). For purposes of this Section 3(l), "INSOLVENT" means (i) the present fair saleable value of the Company's assets is less than the amount required to pay the Company's total indebtedness, contingent or otherwise, (ii) the Company is unable to pay its debts and liabilities, subordinated, contingent or otherwise, as such debts and liabilities become absolute and matured, (iii) the Company intends to incur or believes that it will incur debts that would be beyond its ability to pay as such debts mature or (iv) the Company has unreasonably small capital with which to conduct the business in which it is engaged as such business is now conducted and is proposed to be conducted.</w:t>
      </w:r>
    </w:p>
    <w:p>
      <w:pPr>
        <w:spacing w:after="0" w:line="165" w:lineRule="exact"/>
        <w:rPr>
          <w:sz w:val="20"/>
          <w:szCs w:val="20"/>
          <w:color w:val="auto"/>
        </w:rPr>
      </w:pPr>
    </w:p>
    <w:p>
      <w:pPr>
        <w:ind w:left="10" w:right="3179" w:firstLine="1577"/>
        <w:spacing w:after="0" w:line="258" w:lineRule="auto"/>
        <w:tabs>
          <w:tab w:leader="none" w:pos="238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Undisclosed Events, Liabilities, Developments or Circumstances. No event, liability, development or circumstance has occurred or exists, or is contemplated to occur, with respect to the Company or any Subsidiary or their respective business, properties, prospects, operations or financial condition, that would be required to be disclosed by the Company under</w:t>
      </w:r>
    </w:p>
    <w:p>
      <w:pPr>
        <w:sectPr>
          <w:pgSz w:w="11900" w:h="16838" w:orient="portrait"/>
          <w:cols w:equalWidth="0" w:num="1">
            <w:col w:w="10229"/>
          </w:cols>
          <w:pgMar w:left="230" w:top="627" w:right="1440" w:bottom="1440" w:gutter="0" w:footer="0" w:header="0"/>
        </w:sectPr>
      </w:pPr>
    </w:p>
    <w:bookmarkStart w:id="15" w:name="page16"/>
    <w:bookmarkEnd w:id="15"/>
    <w:p>
      <w:pPr>
        <w:ind w:left="10" w:right="3259"/>
        <w:spacing w:after="0" w:line="237" w:lineRule="auto"/>
        <w:rPr>
          <w:sz w:val="20"/>
          <w:szCs w:val="20"/>
          <w:color w:val="auto"/>
        </w:rPr>
      </w:pPr>
      <w:r>
        <w:rPr>
          <w:rFonts w:ascii="Courier New" w:cs="Courier New" w:eastAsia="Courier New" w:hAnsi="Courier New"/>
          <w:sz w:val="15"/>
          <w:szCs w:val="15"/>
          <w:color w:val="auto"/>
        </w:rPr>
        <w:t>applicable securities laws on a registration statement on Form S-1 filed with the SEC relating to an issuance and sale by the Company of its Common Stock and which has not been publicly announced.</w:t>
      </w:r>
    </w:p>
    <w:p>
      <w:pPr>
        <w:spacing w:after="0" w:line="175" w:lineRule="exact"/>
        <w:rPr>
          <w:sz w:val="20"/>
          <w:szCs w:val="20"/>
          <w:color w:val="auto"/>
        </w:rPr>
      </w:pPr>
    </w:p>
    <w:p>
      <w:pPr>
        <w:ind w:left="2390" w:hanging="803"/>
        <w:spacing w:after="0"/>
        <w:tabs>
          <w:tab w:leader="none" w:pos="239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of Business; Regulatory Permits. Neither the</w:t>
      </w:r>
    </w:p>
    <w:p>
      <w:pPr>
        <w:spacing w:after="0" w:line="10" w:lineRule="exact"/>
        <w:rPr>
          <w:rFonts w:ascii="Courier New" w:cs="Courier New" w:eastAsia="Courier New" w:hAnsi="Courier New"/>
          <w:sz w:val="14"/>
          <w:szCs w:val="14"/>
          <w:color w:val="auto"/>
        </w:rPr>
      </w:pPr>
    </w:p>
    <w:p>
      <w:pPr>
        <w:ind w:left="1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nor any Subsidiary is in violation of any term of or in default under its Certificate of Incorporation, any Certificate of Designations, Preferences and Rights of any outstanding series of preferred stock of the Company or Bylaws or their organizational charter or bylaws, respectively. Neither the Company nor any Subsidiary is in violation of any judgment, decree or order or any statute, ordinance, rule or regulation applicable to the Company or any Subsidiary, except for possible violations which would not, individually or in the aggregate, have a Material Adverse Effect. Except as set forth in Section 3(e) hereof (including Schedule 3(e)) and without limiting the generality of the foregoing, the Company is not in violation of any of the rules, regulations or requirements of the Principal Market and has no knowledge of any facts or circumstances that would reasonably lead to delisting or suspension of the Common Stock by the Principal Market in the foreseeable future. Except as set forth in Section 3(e) hereof (including Schedule 3(e)), since December 23, 2002,</w:t>
      </w:r>
    </w:p>
    <w:p>
      <w:pPr>
        <w:spacing w:after="0" w:line="4"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Stock has been designated for quotation or listed on the Principal Market, (ii) trading in the Common Stock has not been suspended by the SEC or the Principal Market and (iii) the Company has received no communication, written or oral, from the SEC or the Principal Market regarding the suspension or delisting of the Common Stock from the Principal Market. The Company and its Subsidiaries possess all certificates, authorizations and permits issued by the appropriate federal, state or foreign regulatory authorities necessary to conduct their respective businesses, except where the failure to possess such certificates, authorizations or permits would not have, individually or in the aggregate, a Material Adverse Effect, and neither the Company nor any Subsidiary has received any notice of proceedings relating to the revocation or modification of its certificate, authorization or permit.</w:t>
      </w:r>
    </w:p>
    <w:p>
      <w:pPr>
        <w:spacing w:after="0" w:line="176" w:lineRule="exact"/>
        <w:rPr>
          <w:rFonts w:ascii="Courier New" w:cs="Courier New" w:eastAsia="Courier New" w:hAnsi="Courier New"/>
          <w:sz w:val="15"/>
          <w:szCs w:val="15"/>
          <w:color w:val="auto"/>
        </w:rPr>
      </w:pPr>
    </w:p>
    <w:p>
      <w:pPr>
        <w:ind w:left="2390" w:hanging="803"/>
        <w:spacing w:after="0"/>
        <w:tabs>
          <w:tab w:leader="none" w:pos="239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Corrupt Practices. Neither the Company, nor</w:t>
      </w:r>
    </w:p>
    <w:p>
      <w:pPr>
        <w:spacing w:after="0" w:line="5" w:lineRule="exact"/>
        <w:rPr>
          <w:rFonts w:ascii="Courier New" w:cs="Courier New" w:eastAsia="Courier New" w:hAnsi="Courier New"/>
          <w:sz w:val="15"/>
          <w:szCs w:val="15"/>
          <w:color w:val="auto"/>
        </w:rPr>
      </w:pPr>
    </w:p>
    <w:p>
      <w:pPr>
        <w:ind w:left="1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nor any director, officer, agent, employee or other Person acting on behalf of the Company or any Subsidiary has, in the course of its actions for, or on behalf of, the Company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unlawful bribe, rebate, payoff, influence payment, kickback or other unlawful payment to any foreign or domestic government official or employee.</w:t>
      </w:r>
    </w:p>
    <w:p>
      <w:pPr>
        <w:spacing w:after="0" w:line="179" w:lineRule="exact"/>
        <w:rPr>
          <w:rFonts w:ascii="Courier New" w:cs="Courier New" w:eastAsia="Courier New" w:hAnsi="Courier New"/>
          <w:sz w:val="15"/>
          <w:szCs w:val="15"/>
          <w:color w:val="auto"/>
        </w:rPr>
      </w:pPr>
    </w:p>
    <w:p>
      <w:pPr>
        <w:ind w:left="10" w:right="3179" w:firstLine="1577"/>
        <w:spacing w:after="0" w:line="238" w:lineRule="auto"/>
        <w:tabs>
          <w:tab w:leader="none" w:pos="2389"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Affiliates. Except as set forth in the Company's Annual Report on Form 10-K for the year ended December 31, 2002, none of the officers, directors or employees of the Company is presently a party to any transaction with the Company or any Subsidiary (other than for ordinary course services as employees, officers or directors), including any contract, agreement or other arrangement providing for the furnishing of services to or by, providing for rental of real or personal property to or from, or otherwise requiring payments to or from any such officer, director or employee or, to the knowledge of the Company, any corporation, partnership, trust or other entity in which any such officer, director, or employee has a substantial interest or is an officer, director, trustee or partner.</w:t>
      </w:r>
    </w:p>
    <w:p>
      <w:pPr>
        <w:sectPr>
          <w:pgSz w:w="11900" w:h="16838" w:orient="portrait"/>
          <w:cols w:equalWidth="0" w:num="1">
            <w:col w:w="10229"/>
          </w:cols>
          <w:pgMar w:left="230" w:top="627" w:right="1440" w:bottom="1440" w:gutter="0" w:footer="0" w:header="0"/>
        </w:sectPr>
      </w:pPr>
    </w:p>
    <w:bookmarkStart w:id="16" w:name="page17"/>
    <w:bookmarkEnd w:id="16"/>
    <w:p>
      <w:pPr>
        <w:ind w:left="2390" w:hanging="803"/>
        <w:spacing w:after="0"/>
        <w:tabs>
          <w:tab w:leader="none" w:pos="239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Capitalization. Except for subsequent</w:t>
      </w:r>
    </w:p>
    <w:p>
      <w:pPr>
        <w:spacing w:after="0" w:line="5" w:lineRule="exact"/>
        <w:rPr>
          <w:rFonts w:ascii="Courier New" w:cs="Courier New" w:eastAsia="Courier New" w:hAnsi="Courier New"/>
          <w:sz w:val="15"/>
          <w:szCs w:val="15"/>
          <w:color w:val="auto"/>
        </w:rPr>
      </w:pPr>
    </w:p>
    <w:p>
      <w:pPr>
        <w:ind w:left="1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issuances of common stock upon exercise or conversion of common stock equivalents set forth in the Company's most recent periodic report filed with the SEC, the capitalization of the Company is as set forth in the Company's most recent periodic report and most recent current report on Form 8-K filed with the SEC. Except as set forth in the SEC Documents (i) no shares of the Company's capital stock are subject to preemptive rights or any other similar rights or any liens or encumbrances suffered or permitted by the Company; (ii) there are no outstanding options, warrants, scrip, rights to subscribe to, calls or commitments of any character whatsoever relating to, or securities or rights convertible into, or exercisable or exchangeable for, any shares of capital stock of the Company or any Subsidiary, or contracts, commitments, understandings or arrangements by which the Company or any Subsidiary is or may become bound to issue additional shares of capital stock of the Company or any Subsidiary or options, warrants, scrip, rights to subscribe to, calls or commitments of any character whatsoever relating to, or securities or rights convertible into, or exercisable or exchangeable for, any shares of capital stock of the Company or any Subsidiary; (iii) there are no outstanding debt securities, notes, credit agreements, credit facilities or other agreements, documents or instruments evidencing Indebtedness (as defined in Section 3(r)) of the Company or any Subsidiary or by which the Company or any Subsidiary is or may become bound; (iv) there are no financing statements securing obligations in any material amounts, either singly or in the aggregate, filed in connection with the Company; (v) there are no agreements or arrangements under which the Company or any Subsidiary is obligated to register the sale of their securities under the 1933 Act (except the Registration Rights Agreement); (vi) there are no outstanding securities or instruments of the Company or any Subsidiary which contain any redemption or similar provisions, and there are no contracts, commitments, understandings or arrangements by which the Company or any Subsidiary is or may become bound to redeem a security of the Company or any Subsidiary; (vii) there are no securities or instruments containing anti-dilution or similar provisions that will be triggered by the issuance of the Securities; (viii) the Company does not have any stock appreciation rights or "phantom stock" plans or agreements or any similar plan or agreement; and</w:t>
      </w:r>
    </w:p>
    <w:p>
      <w:pPr>
        <w:spacing w:after="0" w:line="180" w:lineRule="exact"/>
        <w:rPr>
          <w:rFonts w:ascii="Courier New" w:cs="Courier New" w:eastAsia="Courier New" w:hAnsi="Courier New"/>
          <w:sz w:val="15"/>
          <w:szCs w:val="15"/>
          <w:color w:val="auto"/>
        </w:rPr>
      </w:pPr>
    </w:p>
    <w:p>
      <w:pPr>
        <w:ind w:left="10" w:right="3179" w:hanging="10"/>
        <w:spacing w:after="0" w:line="257" w:lineRule="auto"/>
        <w:tabs>
          <w:tab w:leader="none" w:pos="45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no liabilities or obligations required to be disclosed in the SEC Documents (as defined herein) but not so disclosed in the SEC Documents, other than those incurred in the ordinary course of the Company's or any Subsidiary's respective businesses and which, individually or in the aggregate, do not or would not have a Material Adverse Effect. The Company has furnished to the Buyer true, correct and complete copies of the Company's Certificate of Incorporation, as amended and as in effect on the date hereof (the "CERTIFICATE OF INCORPORATION"), and the Company's Bylaws, as amended and as in effect on the date hereof (the "BYLAWS"), and the terms of all securities convertible into, or exercisable or exchangeable for, Common Stock and the material rights of the holders thereof in respect thereto.</w:t>
      </w:r>
    </w:p>
    <w:p>
      <w:pPr>
        <w:spacing w:after="0" w:line="165" w:lineRule="exact"/>
        <w:rPr>
          <w:rFonts w:ascii="Courier New" w:cs="Courier New" w:eastAsia="Courier New" w:hAnsi="Courier New"/>
          <w:sz w:val="14"/>
          <w:szCs w:val="14"/>
          <w:color w:val="auto"/>
        </w:rPr>
      </w:pPr>
    </w:p>
    <w:p>
      <w:pPr>
        <w:ind w:left="2390" w:hanging="803"/>
        <w:spacing w:after="0"/>
        <w:tabs>
          <w:tab w:leader="none" w:pos="239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and Other Contracts. Except as disclosed</w:t>
      </w:r>
    </w:p>
    <w:p>
      <w:pPr>
        <w:spacing w:after="0" w:line="10" w:lineRule="exact"/>
        <w:rPr>
          <w:rFonts w:ascii="Courier New" w:cs="Courier New" w:eastAsia="Courier New" w:hAnsi="Courier New"/>
          <w:sz w:val="14"/>
          <w:szCs w:val="14"/>
          <w:color w:val="auto"/>
        </w:rPr>
      </w:pPr>
    </w:p>
    <w:p>
      <w:pPr>
        <w:ind w:left="1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the SEC Documents, neither the Company nor any Subsidiary (i) has any material outstanding Indebtedness (as defined below), (ii) is a party to any contract, agreement or instrument, the violation of which, or default under which, by the other party(ies) to such contract, agreement or instrument would result in a Material Adverse Effect, (iii) is in violation of any term of or in default under any contract, agreement or instrument relating to any Indebtedness, except where such violations and defaults would not result, individually or in the aggregate, in a Material Adverse Effect, or (iv) is a party to any contract, agreement or instrument relating to any Indebtedness, the performance of which, in the judgment of the Company's officers, has or is</w:t>
      </w:r>
    </w:p>
    <w:p>
      <w:pPr>
        <w:sectPr>
          <w:pgSz w:w="11900" w:h="16838" w:orient="portrait"/>
          <w:cols w:equalWidth="0" w:num="1">
            <w:col w:w="10229"/>
          </w:cols>
          <w:pgMar w:left="230" w:top="622" w:right="1440" w:bottom="1440" w:gutter="0" w:footer="0" w:header="0"/>
        </w:sectPr>
      </w:pPr>
    </w:p>
    <w:bookmarkStart w:id="17" w:name="page18"/>
    <w:bookmarkEnd w:id="17"/>
    <w:p>
      <w:pPr>
        <w:ind w:right="3179"/>
        <w:spacing w:after="0" w:line="256" w:lineRule="auto"/>
        <w:rPr>
          <w:sz w:val="20"/>
          <w:szCs w:val="20"/>
          <w:color w:val="auto"/>
        </w:rPr>
      </w:pPr>
      <w:r>
        <w:rPr>
          <w:rFonts w:ascii="Courier New" w:cs="Courier New" w:eastAsia="Courier New" w:hAnsi="Courier New"/>
          <w:sz w:val="14"/>
          <w:szCs w:val="14"/>
          <w:color w:val="auto"/>
        </w:rPr>
        <w:t>expected to have a Material Adverse Effect. The SEC Documents set forth each of the Company's "material contracts," as such term is used in Item 601 of Regulation S-K promulgated by the SEC. For purposes of this Agreement: (x) "INDEBTEDNESS" of any Person means, without duplication (A) all indebtedness for borrowed money, (B) all obligations issued, undertaken or assumed as the deferred purchase price of property or services (other than trade payables entered into in the ordinary course of business),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generally accepted accounting principles, consistently applied for the periods covered thereby, is classified as a capital lease, (G) all indebtedness referred to in clauses (A) through (F) above secured by (or for which the holder of such Indebtedness has an existing right, contingent or otherwise, to be secured by) any mortgage, lien, pledge, change, security interest or other encumbrance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(y) "CONTINGENT OBLIGATION"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"PERSON" means an individual, a limited liability company, a partnership, a joint venture, a corporation, a trust, an unincorporated organization and a government or any department or agency thereof.</w:t>
      </w:r>
    </w:p>
    <w:p>
      <w:pPr>
        <w:spacing w:after="0" w:line="200" w:lineRule="exact"/>
        <w:rPr>
          <w:sz w:val="20"/>
          <w:szCs w:val="20"/>
          <w:color w:val="auto"/>
        </w:rPr>
      </w:pPr>
    </w:p>
    <w:p>
      <w:pPr>
        <w:spacing w:after="0" w:line="321" w:lineRule="exact"/>
        <w:rPr>
          <w:sz w:val="20"/>
          <w:szCs w:val="20"/>
          <w:color w:val="auto"/>
        </w:rPr>
      </w:pPr>
    </w:p>
    <w:p>
      <w:pPr>
        <w:ind w:right="3179" w:firstLine="1577"/>
        <w:spacing w:after="0" w:line="238" w:lineRule="auto"/>
        <w:tabs>
          <w:tab w:leader="none" w:pos="23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Litigation. There is no action, suit, proceeding, inquiry or investigation before or by the Principal Market, any court, public board, government agency, self-regulatory organization or body pending or, to the knowledge of the Company, threatened against or affecting the Company, the Common Stock or any Subsidiary or any of the Company's or any Subsidiary's officers or directors in their capacities as such.</w:t>
      </w:r>
    </w:p>
    <w:p>
      <w:pPr>
        <w:spacing w:after="0" w:line="175"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The Company and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Subsidiary has been refused any insurance coverage sought or applied for and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ectPr>
          <w:pgSz w:w="11900" w:h="16838" w:orient="portrait"/>
          <w:cols w:equalWidth="0" w:num="1">
            <w:col w:w="10219"/>
          </w:cols>
          <w:pgMar w:left="240" w:top="627" w:right="1440" w:bottom="1440" w:gutter="0" w:footer="0" w:header="0"/>
        </w:sectPr>
      </w:pPr>
    </w:p>
    <w:bookmarkStart w:id="18" w:name="page19"/>
    <w:bookmarkEnd w:id="18"/>
    <w:p>
      <w:pPr>
        <w:ind w:left="2380" w:hanging="803"/>
        <w:spacing w:after="0"/>
        <w:tabs>
          <w:tab w:leader="none" w:pos="23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Relations. (i) Neither the Company nor any</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is a party to any collective bargaining agreement or employs any member of a union. The Company and its Subsidiaries believe that their relations with their employees are good. No executive officer of the Company (as defined in Rule 501(f) of the 1933 Act) has notified the Company that such officer intends to leave the Company or otherwise terminate such officer's employment with the Company. No executive officer of the Company, to the knowledge of the Company,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does not subject the Company or any Subsidiary to any liability with respect to any of the foregoing matters.</w:t>
      </w:r>
    </w:p>
    <w:p>
      <w:pPr>
        <w:spacing w:after="0" w:line="181" w:lineRule="exact"/>
        <w:rPr>
          <w:rFonts w:ascii="Courier New" w:cs="Courier New" w:eastAsia="Courier New" w:hAnsi="Courier New"/>
          <w:sz w:val="15"/>
          <w:szCs w:val="15"/>
          <w:color w:val="auto"/>
        </w:rPr>
      </w:pPr>
    </w:p>
    <w:p>
      <w:pPr>
        <w:ind w:right="3359" w:firstLine="2370"/>
        <w:spacing w:after="0" w:line="238" w:lineRule="auto"/>
        <w:tabs>
          <w:tab w:leader="none" w:pos="3173"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in compliance with all federal, state, local and foreign laws and regulations respecting employment and employment practices, terms and conditions of employment and wages and hours, except where failure to be in compliance would not, either individually or in the aggregate, reasonably be expected to result in a Material Adverse Effect.</w:t>
      </w:r>
    </w:p>
    <w:p>
      <w:pPr>
        <w:spacing w:after="0" w:line="175" w:lineRule="exact"/>
        <w:rPr>
          <w:rFonts w:ascii="Courier New" w:cs="Courier New" w:eastAsia="Courier New" w:hAnsi="Courier New"/>
          <w:sz w:val="15"/>
          <w:szCs w:val="15"/>
          <w:color w:val="auto"/>
        </w:rPr>
      </w:pPr>
    </w:p>
    <w:p>
      <w:pPr>
        <w:ind w:right="3179" w:firstLine="1577"/>
        <w:spacing w:after="0" w:line="257" w:lineRule="auto"/>
        <w:tabs>
          <w:tab w:leader="none" w:pos="23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The Company and its Subsidiaries have good and marketable title to all personal property owned by them which is material to the business of the Company and its Subsidiaries, in each case free and clear of all liens, encumbrances and defects or such as do not materially affect the value of such property and do not interfere with the use made and proposed to be made of such property by the Company and its Subsidiaries. Neither the Company nor any Subsidiary owns any real property.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65" w:lineRule="exact"/>
        <w:rPr>
          <w:rFonts w:ascii="Courier New" w:cs="Courier New" w:eastAsia="Courier New" w:hAnsi="Courier New"/>
          <w:sz w:val="14"/>
          <w:szCs w:val="14"/>
          <w:color w:val="auto"/>
        </w:rPr>
      </w:pPr>
    </w:p>
    <w:p>
      <w:pPr>
        <w:ind w:right="3179" w:firstLine="1577"/>
        <w:spacing w:after="0" w:line="256" w:lineRule="auto"/>
        <w:tabs>
          <w:tab w:leader="none" w:pos="23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Rights. The Company and its Subsidiaries own or possess adequate rights or licenses to use all trademarks, trade names, service marks, service mark registrations, service names, patents, patent rights, copyrights, inventions, licenses, approvals, governmental authorizations, trade secrets and other intellectual property rights ("INTELLECTUAL PROPERTY RIGHTS") necessary to conduct their respective businesses as now conducted. Except as set forth in Schedule 3(w), none of the Company's issued patents that are assigned to it or any Intellectual Property Rights that are material to the business of the Company have expired or terminated, or are expected to expire or terminate within three years from the date of this Agreement. The Company does not have any knowledge of any infringement by the Company or any Subsidiary of Intellectual Property Rights of others except where such infringement would not, individually or in the aggregate, have a Material Adverse Effect on the Company. There is no claim, action or proceeding being made or brought, or to the knowledge of the Company, being threatened, against the Company or any Subsidiary regarding its Intellectual Property Rights which could have a Material Adverse Effect. The Company is unaware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w:t>
      </w:r>
    </w:p>
    <w:p>
      <w:pPr>
        <w:sectPr>
          <w:pgSz w:w="11900" w:h="16838" w:orient="portrait"/>
          <w:cols w:equalWidth="0" w:num="1">
            <w:col w:w="10219"/>
          </w:cols>
          <w:pgMar w:left="240" w:top="622" w:right="1440" w:bottom="1440" w:gutter="0" w:footer="0" w:header="0"/>
        </w:sectPr>
      </w:pPr>
    </w:p>
    <w:bookmarkStart w:id="19" w:name="page20"/>
    <w:bookmarkEnd w:id="19"/>
    <w:p>
      <w:pPr>
        <w:ind w:left="2390" w:hanging="803"/>
        <w:spacing w:after="0"/>
        <w:tabs>
          <w:tab w:leader="none" w:pos="239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The Company and its Subsidiaries</w:t>
      </w:r>
    </w:p>
    <w:p>
      <w:pPr>
        <w:spacing w:after="0" w:line="10" w:lineRule="exact"/>
        <w:rPr>
          <w:rFonts w:ascii="Courier New" w:cs="Courier New" w:eastAsia="Courier New" w:hAnsi="Courier New"/>
          <w:sz w:val="14"/>
          <w:szCs w:val="14"/>
          <w:color w:val="auto"/>
        </w:rPr>
      </w:pPr>
    </w:p>
    <w:p>
      <w:pPr>
        <w:ind w:left="10" w:right="3179" w:hanging="10"/>
        <w:spacing w:after="0" w:line="257" w:lineRule="auto"/>
        <w:tabs>
          <w:tab w:leader="none" w:pos="36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in compliance with any and all Environmental Laws (as hereinafter defined), (ii) have received all permits, licenses or other approvals required of them under applicable Environmental Laws to conduct their respective businesses and (iii) are in compliance with all terms and conditions of any such permit, license or approval where, in each of the foregoing clauses (i), (ii) and (iii), the failure to so comply could be reasonably expected to have, individually or in the aggregate, a Material Adverse Effect.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63" w:lineRule="exact"/>
        <w:rPr>
          <w:rFonts w:ascii="Courier New" w:cs="Courier New" w:eastAsia="Courier New" w:hAnsi="Courier New"/>
          <w:sz w:val="14"/>
          <w:szCs w:val="14"/>
          <w:color w:val="auto"/>
        </w:rPr>
      </w:pPr>
    </w:p>
    <w:p>
      <w:pPr>
        <w:ind w:left="10" w:right="3179" w:firstLine="1577"/>
        <w:spacing w:after="0" w:line="237" w:lineRule="auto"/>
        <w:tabs>
          <w:tab w:leader="none" w:pos="238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Rights. The Company has the unrestricted right to vote, and (subject to limitations imposed by applicable law) to receive dividends and distributions on, all capital securities of each Subsidiary as owned by the Company.</w:t>
      </w:r>
    </w:p>
    <w:p>
      <w:pPr>
        <w:spacing w:after="0" w:line="176" w:lineRule="exact"/>
        <w:rPr>
          <w:rFonts w:ascii="Courier New" w:cs="Courier New" w:eastAsia="Courier New" w:hAnsi="Courier New"/>
          <w:sz w:val="15"/>
          <w:szCs w:val="15"/>
          <w:color w:val="auto"/>
        </w:rPr>
      </w:pPr>
    </w:p>
    <w:p>
      <w:pPr>
        <w:ind w:left="10" w:right="3179" w:firstLine="1577"/>
        <w:spacing w:after="0" w:line="238" w:lineRule="auto"/>
        <w:tabs>
          <w:tab w:leader="none" w:pos="238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Status. The Company and each Subsidiary (i) has made or filed all federal and state income and all other tax returns, reports and declarations required by any jurisdiction to which it is subject, (ii) has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reasonable basis for any such claim.</w:t>
      </w:r>
    </w:p>
    <w:p>
      <w:pPr>
        <w:spacing w:after="0" w:line="175" w:lineRule="exact"/>
        <w:rPr>
          <w:sz w:val="20"/>
          <w:szCs w:val="20"/>
          <w:color w:val="auto"/>
        </w:rPr>
      </w:pPr>
    </w:p>
    <w:p>
      <w:pPr>
        <w:ind w:left="2390" w:hanging="803"/>
        <w:spacing w:after="0"/>
        <w:tabs>
          <w:tab w:leader="none" w:pos="239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 The Company and each</w:t>
      </w:r>
    </w:p>
    <w:p>
      <w:pPr>
        <w:spacing w:after="0" w:line="5" w:lineRule="exact"/>
        <w:rPr>
          <w:rFonts w:ascii="Courier New" w:cs="Courier New" w:eastAsia="Courier New" w:hAnsi="Courier New"/>
          <w:sz w:val="15"/>
          <w:szCs w:val="15"/>
          <w:color w:val="auto"/>
        </w:rPr>
      </w:pPr>
    </w:p>
    <w:p>
      <w:pPr>
        <w:ind w:left="10" w:right="33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In addition, the Company has established and maintains disclosure controls and procedures as defined in Rule 13a-14 under the 1934 Act and in compliance with Rule 13a-15 under the 1934 Act.</w:t>
      </w:r>
    </w:p>
    <w:p>
      <w:pPr>
        <w:spacing w:after="0" w:line="177" w:lineRule="exact"/>
        <w:rPr>
          <w:rFonts w:ascii="Courier New" w:cs="Courier New" w:eastAsia="Courier New" w:hAnsi="Courier New"/>
          <w:sz w:val="15"/>
          <w:szCs w:val="15"/>
          <w:color w:val="auto"/>
        </w:rPr>
      </w:pPr>
    </w:p>
    <w:p>
      <w:pPr>
        <w:ind w:left="2390" w:hanging="803"/>
        <w:spacing w:after="0"/>
        <w:tabs>
          <w:tab w:leader="none" w:pos="239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Except for the existence and terms of</w:t>
      </w:r>
    </w:p>
    <w:p>
      <w:pPr>
        <w:spacing w:after="0" w:line="5" w:lineRule="exact"/>
        <w:rPr>
          <w:rFonts w:ascii="Courier New" w:cs="Courier New" w:eastAsia="Courier New" w:hAnsi="Courier New"/>
          <w:sz w:val="15"/>
          <w:szCs w:val="15"/>
          <w:color w:val="auto"/>
        </w:rPr>
      </w:pPr>
    </w:p>
    <w:p>
      <w:pPr>
        <w:ind w:left="10" w:right="343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this Agreement and the transactions contemplated hereby, the Company confirms that neither it nor any other Person acting on its behalf has provided any of the Buyers or their respective agents or counsel with any information that constitutes or might constitute material, nonpublic information. The Borrower</w:t>
      </w:r>
    </w:p>
    <w:p>
      <w:pPr>
        <w:sectPr>
          <w:pgSz w:w="11900" w:h="16838" w:orient="portrait"/>
          <w:cols w:equalWidth="0" w:num="1">
            <w:col w:w="10229"/>
          </w:cols>
          <w:pgMar w:left="230" w:top="627" w:right="1440" w:bottom="1440" w:gutter="0" w:footer="0" w:header="0"/>
        </w:sectPr>
      </w:pPr>
    </w:p>
    <w:bookmarkStart w:id="20" w:name="page21"/>
    <w:bookmarkEnd w:id="20"/>
    <w:p>
      <w:pPr>
        <w:ind w:right="3179"/>
        <w:spacing w:after="0" w:line="257" w:lineRule="auto"/>
        <w:rPr>
          <w:sz w:val="20"/>
          <w:szCs w:val="20"/>
          <w:color w:val="auto"/>
        </w:rPr>
      </w:pPr>
      <w:r>
        <w:rPr>
          <w:rFonts w:ascii="Courier New" w:cs="Courier New" w:eastAsia="Courier New" w:hAnsi="Courier New"/>
          <w:sz w:val="14"/>
          <w:szCs w:val="14"/>
          <w:color w:val="auto"/>
        </w:rPr>
        <w:t>understands and confirms that each of the Buyers will rely on the foregoing representations in effecting transactions in securities of the Company. All disclosure provided to the Buyers regarding the Company, its business and the transactions contemplated hereby, including the Schedules to this Agreement, furnished by or on behalf of the Company are true and correct and do not contain any untrue statement of a material fact or omit to state any material fact necessary in order to make the statements made therein, in light of the circumstances under which they were made, not misleading. No event or circumstance has occurred or information exists with respect to the Company or any Subsidiary or either of its or their respective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Exchange Act of 1934, as amended, are being incorporated into an effective registration statement filed by the Company under the 1933 Act). The Company acknowledges and agrees that no Buyer makes or has made any representations or warranties with respect to the transactions contemplated hereby other than those specifically set forth in Section 2.</w:t>
      </w:r>
    </w:p>
    <w:p>
      <w:pPr>
        <w:spacing w:after="0" w:line="164" w:lineRule="exact"/>
        <w:rPr>
          <w:sz w:val="20"/>
          <w:szCs w:val="20"/>
          <w:color w:val="auto"/>
        </w:rPr>
      </w:pPr>
    </w:p>
    <w:p>
      <w:pPr>
        <w:ind w:right="3179" w:firstLine="1577"/>
        <w:spacing w:after="0" w:line="238" w:lineRule="auto"/>
        <w:tabs>
          <w:tab w:leader="none" w:pos="238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Sarbanes-Oxley Act. The Company is in compliance with any and all applicable requirements of the Sarbanes-Oxley Act of 2002 that are effective as of the date hereof, and any and all applicable rules and regulations promulgated by the SEC thereunder that are effective as of the date hereof, except where such noncompliance would not have a Material Adverse Effect.</w:t>
      </w:r>
    </w:p>
    <w:p>
      <w:pPr>
        <w:spacing w:after="0" w:line="175"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FDA Compliance. The Company and its Subsidiaries, and</w:t>
      </w:r>
    </w:p>
    <w:p>
      <w:pPr>
        <w:spacing w:after="0" w:line="10" w:lineRule="exact"/>
        <w:rPr>
          <w:rFonts w:ascii="Courier New" w:cs="Courier New" w:eastAsia="Courier New" w:hAnsi="Courier New"/>
          <w:sz w:val="14"/>
          <w:szCs w:val="14"/>
          <w:color w:val="auto"/>
        </w:rPr>
      </w:pPr>
    </w:p>
    <w:p>
      <w:pPr>
        <w:ind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manufacture, marketing and sales of the Company's products, complies with any and all applicable requirements of the Federal Food, Drug and Cosmetic Act, 21 U.S.C. ss.301, et seq., any rules and regulations of the Food and Drug Administration promugulated thereunder, and any similar laws outside of the United States to which the company is subject, except where such noncompliance would not have a Material Adverse Effect.</w:t>
      </w:r>
    </w:p>
    <w:p>
      <w:pPr>
        <w:spacing w:after="0" w:line="169" w:lineRule="exact"/>
        <w:rPr>
          <w:rFonts w:ascii="Courier New" w:cs="Courier New" w:eastAsia="Courier New" w:hAnsi="Courier New"/>
          <w:sz w:val="14"/>
          <w:szCs w:val="14"/>
          <w:color w:val="auto"/>
        </w:rPr>
      </w:pPr>
    </w:p>
    <w:p>
      <w:pPr>
        <w:ind w:left="1580" w:hanging="796"/>
        <w:spacing w:after="0"/>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w:t>
      </w:r>
    </w:p>
    <w:p>
      <w:pPr>
        <w:spacing w:after="0" w:line="174" w:lineRule="exact"/>
        <w:rPr>
          <w:rFonts w:ascii="Courier New" w:cs="Courier New" w:eastAsia="Courier New" w:hAnsi="Courier New"/>
          <w:sz w:val="15"/>
          <w:szCs w:val="15"/>
          <w:color w:val="auto"/>
        </w:rPr>
      </w:pPr>
    </w:p>
    <w:p>
      <w:pPr>
        <w:ind w:right="3179" w:firstLine="1577"/>
        <w:spacing w:after="0" w:line="237" w:lineRule="auto"/>
        <w:tabs>
          <w:tab w:leader="none" w:pos="23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 Best Efforts. Each party shall use its reasonable best efforts timely to satisfy each of the conditions to be satisfied by it as provided in Sections 6 and 7 of this Agreement.</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D and Blue Sky. The Company agrees to file a</w:t>
      </w:r>
    </w:p>
    <w:p>
      <w:pPr>
        <w:spacing w:after="0" w:line="5" w:lineRule="exact"/>
        <w:rPr>
          <w:rFonts w:ascii="Courier New" w:cs="Courier New" w:eastAsia="Courier New" w:hAnsi="Courier New"/>
          <w:sz w:val="15"/>
          <w:szCs w:val="15"/>
          <w:color w:val="auto"/>
        </w:rPr>
      </w:pPr>
    </w:p>
    <w:p>
      <w:pPr>
        <w:ind w:right="32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Form D with respect to the Securities as required 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The Company shall make all filings and reports that it reasonably determines are necessary relating to the offer and sale of the Securities required under applicable securities or "Blue Sky" laws of the states of the United States following the Closing Date; provided, however, that the Company shall not for any such purpose be required to qualify generally to transact business as a foreign corporation in any jurisdiction where it is not so</w:t>
      </w:r>
    </w:p>
    <w:p>
      <w:pPr>
        <w:sectPr>
          <w:pgSz w:w="11900" w:h="16838" w:orient="portrait"/>
          <w:cols w:equalWidth="0" w:num="1">
            <w:col w:w="10219"/>
          </w:cols>
          <w:pgMar w:left="240" w:top="627" w:right="1440" w:bottom="1440" w:gutter="0" w:footer="0" w:header="0"/>
        </w:sectPr>
      </w:pPr>
    </w:p>
    <w:bookmarkStart w:id="21" w:name="page22"/>
    <w:bookmarkEnd w:id="21"/>
    <w:p>
      <w:pPr>
        <w:ind w:right="3179"/>
        <w:spacing w:after="0" w:line="237" w:lineRule="auto"/>
        <w:rPr>
          <w:sz w:val="20"/>
          <w:szCs w:val="20"/>
          <w:color w:val="auto"/>
        </w:rPr>
      </w:pPr>
      <w:r>
        <w:rPr>
          <w:rFonts w:ascii="Courier New" w:cs="Courier New" w:eastAsia="Courier New" w:hAnsi="Courier New"/>
          <w:sz w:val="15"/>
          <w:szCs w:val="15"/>
          <w:color w:val="auto"/>
        </w:rPr>
        <w:t>qualified or to consent to general service of process in any such jurisdiction. Each Buyer shall cooperate with the Company in connection with such filings and, upon the request of the Company, will provide all information relating to the Buyer reasonably required for such filing.</w:t>
      </w:r>
    </w:p>
    <w:p>
      <w:pPr>
        <w:spacing w:after="0" w:line="176" w:lineRule="exact"/>
        <w:rPr>
          <w:sz w:val="20"/>
          <w:szCs w:val="20"/>
          <w:color w:val="auto"/>
        </w:rPr>
      </w:pPr>
    </w:p>
    <w:p>
      <w:pPr>
        <w:ind w:right="3259" w:firstLine="1577"/>
        <w:spacing w:after="0" w:line="238" w:lineRule="auto"/>
        <w:tabs>
          <w:tab w:leader="none" w:pos="23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Status. Until the date on which the Investors (as defined in the Registration Rights Agreement) shall have sold all the Common Shares and Warrant Shares and none of the Warrants is outstanding (the "REPORTING PERIOD"), the Company shall timely file all reports required to be filed with the SEC pursuant to the 1934 Act, and the Company shall not terminate its status as an issuer required to file reports under the 1934 Act even if the 1934 Act or the rules and regulations thereunder would otherwise permit such termination.</w:t>
      </w:r>
    </w:p>
    <w:p>
      <w:pPr>
        <w:spacing w:after="0" w:line="177" w:lineRule="exact"/>
        <w:rPr>
          <w:rFonts w:ascii="Courier New" w:cs="Courier New" w:eastAsia="Courier New" w:hAnsi="Courier New"/>
          <w:sz w:val="15"/>
          <w:szCs w:val="15"/>
          <w:color w:val="auto"/>
        </w:rPr>
      </w:pPr>
    </w:p>
    <w:p>
      <w:pPr>
        <w:ind w:right="3179" w:firstLine="1577"/>
        <w:spacing w:after="0" w:line="237" w:lineRule="auto"/>
        <w:tabs>
          <w:tab w:leader="none" w:pos="23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The Company will use the proceeds from the sale of the Securities for working capital, general corporate and other purposes.</w:t>
      </w:r>
    </w:p>
    <w:p>
      <w:pPr>
        <w:spacing w:after="0" w:line="174"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The Company agrees to send the following to each Investor during the Reporting Period (i) unless the following are filed with the SEC through EDGAR and are available to the public through the EDGAR system, within one (1) Business Day after the filing thereof with the SEC, a copy of its Annual Reports on Form 10-K, its Quarterly Reports on Form 10-Q, any Current Reports on Form 8-K and any registration statements (other than on Form S-8) or amendments filed pursuant to the 1933 Act, (ii) on the same day as the public release thereof, facsimile copies of all press releases issued by the Company or any Subsidiary, and (iii) copies of any notices and other information made available or given to the stockholders of the Company generally, contemporaneously with the making available or giving thereof to the stockholders. As used herein, "BUSINESS DAY" means any day other than Saturday, Sunday or other day on which commercial banks in The City of New York are authorized or required by law to remain closed.</w:t>
      </w:r>
    </w:p>
    <w:p>
      <w:pPr>
        <w:spacing w:after="0" w:line="178"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The Company shall promptly secure the</w:t>
      </w:r>
    </w:p>
    <w:p>
      <w:pPr>
        <w:spacing w:after="0" w:line="5" w:lineRule="exact"/>
        <w:rPr>
          <w:rFonts w:ascii="Courier New" w:cs="Courier New" w:eastAsia="Courier New" w:hAnsi="Courier New"/>
          <w:sz w:val="15"/>
          <w:szCs w:val="15"/>
          <w:color w:val="auto"/>
        </w:rPr>
      </w:pPr>
    </w:p>
    <w:p>
      <w:pPr>
        <w:ind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listing of all of the Registrable Securities (as defined in the Registration Rights Agreement) upon each national securities exchange and automated quotation system, if any, upon which shares of Common Stock are then listed (subject to official notice of issuance) and shall maintain, so long as any other shares of Common Stock shall be so listed, such listing of all Registrable Securities from time to time issuable under the terms of the Transaction Documents. The Company shall use its best efforts to maintain the Common Stock's authorization for quotation on the Principal Market. Neither the Company nor any Subsidiary shall take any action which would be reasonably expected to result in the delisting or suspension of the Common Stock on the Principal Market and shall comply, in all material respect, with the rules and regulations of the Principal Market. The Company shall pay all fees and expenses in connection with satisfying its obligations under this Section 4(f).</w:t>
      </w:r>
    </w:p>
    <w:p>
      <w:pPr>
        <w:spacing w:after="0" w:line="165"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The Company shall reimburse the Buyers in the aggregate $10,000 for the Buyers reasonable expenses incurred in connection with the preparation, execution and performance of this Agreement and the transactions contemplated hereunder. The Company shall be responsible for the payment of any placement agent's fees or broker's commissions relating to or arising out of the transactions contemplated hereby. Except as otherwise set forth in this Agreement or in the Registration Rights Agreement, each party to this Agreement shall bear its own expenses in connection with the sale of the Securities to the Buyers.</w:t>
      </w:r>
    </w:p>
    <w:p>
      <w:pPr>
        <w:sectPr>
          <w:pgSz w:w="11900" w:h="16838" w:orient="portrait"/>
          <w:cols w:equalWidth="0" w:num="1">
            <w:col w:w="10219"/>
          </w:cols>
          <w:pgMar w:left="240" w:top="627" w:right="1440" w:bottom="1440" w:gutter="0" w:footer="0" w:header="0"/>
        </w:sectPr>
      </w:pPr>
    </w:p>
    <w:bookmarkStart w:id="22" w:name="page23"/>
    <w:bookmarkEnd w:id="22"/>
    <w:p>
      <w:pPr>
        <w:ind w:left="2380" w:hanging="803"/>
        <w:spacing w:after="0"/>
        <w:tabs>
          <w:tab w:leader="none" w:pos="23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of Securities. The Company acknowledges and</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agrees that the Securities may be pledged by an Investor (as defined in the Registration Rights Agreement) in connection with a bona fide margin agreement or other loan or financing arrangement that is secured by the Securities. The pledge of Securities shall not be deemed to be a transfer, sale or assignment of the Securities hereunder, and no Investor effecting a pledge of Securities shall be required to provide the Company with any notice thereof or otherwise make any delivery to the Company pursuant to this Agreement or any other Transaction Document, including, without limitation, Section 2(f) of this Agreement; provided that an Investor and its pledgee shall be required to comply with the provisions of Section 2(f) hereof in order to effect a sale, transfer or assignment of Securities to such pledgee. The Company hereby agrees to execute and deliver such documentation as a pledgee of the Securities may reasonably request in connection with a pledge of the Securities to such pledgee by an Investor.</w:t>
      </w:r>
    </w:p>
    <w:p>
      <w:pPr>
        <w:spacing w:after="0" w:line="178"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of Transactions and Other Material</w:t>
      </w:r>
    </w:p>
    <w:p>
      <w:pPr>
        <w:spacing w:after="0" w:line="5" w:lineRule="exact"/>
        <w:rPr>
          <w:rFonts w:ascii="Courier New" w:cs="Courier New" w:eastAsia="Courier New" w:hAnsi="Courier New"/>
          <w:sz w:val="15"/>
          <w:szCs w:val="15"/>
          <w:color w:val="auto"/>
        </w:rPr>
      </w:pPr>
    </w:p>
    <w:p>
      <w:pPr>
        <w:ind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Information. On or before 8:30 a.m., New York City Time, on the third Trading Day following the Closing Date, the Company shall file a Current Report on Form 8-K describing the terms of the transactions contemplated by the Transaction Documents in the form required by the 1934 Act, and attaching the material Transaction Documents (including, without limitation, this Agreement (and all schedules to this Agreement), the form of Warrant and the form of Registration Rights Agreement) as exhibits to such filing (including all attachments, the "8-K FILING"). From and after the filing of the 8-K Filing with the SEC, no Buyer shall be in possession of any material, nonpublic information received from the Company, any Subsidiary or any of its respective officers, directors, employees or agents, that is not disclosed in the 8-K Filing. The Company shall not, and shall cause each Subsidiary and each of its respective officers, directors, employees and agents, not to, provide any Buyer with any material nonpublic information regarding the Company or any Subsidiary from and after the filing of the 8-K Filing with the SEC (x) without the express written consent of such Buyer and (y) unless such Buyer shall have executed a customary and reasonable written agreement regarding the confidentiality of such information; provided, however, that an attempt by the Company to comply with the provisions of Section 4(l) hereof shall not be deemed to violate this Section 4(i). In the event of a breach of the foregoing covenant by the Company, any Subsidiary, or its each of respective officers, directors, employees and agents, in addition to any other remedy provided herein or in the Transaction Documents, a Buyer shall have the right to demand that the Company make a public disclosure, and if the Company fails to do so within two Business Days the Buyer may make a public disclosure, in the form of a press release, public advertisement or otherwise, of such material nonpublic information without the prior approval by the Company, each Subsidiary, or each of its respective officers, directors, employees or agents. No Buyer shall have any liability to the Company, any Subsidiary, or any of its or their respective officers, directors, employees, shareholders or agents for any such disclosure unless such Buyer acts with gross negligence or willful misconduct. Subject to the foregoing, neither the Company nor any Buyer shall issue any press releases or any other public statements with respect to the transactions contemplated hereby without the prior written consent of the Company, in the case of such a press release or public statement by any Buyer, or the Buyers, in the case of such a press release or public statement by the Company, such consent not to be unreasonably withheld or delayed; provided, however, that the Company shall be entitled, without the prior approval of any Buyer, to make any press release or other public disclosure with respect to such transactions (i) in substantial conformity with the 8-K Filing (1) and contemporaneously therewith or (2) in connection with</w:t>
      </w:r>
    </w:p>
    <w:p>
      <w:pPr>
        <w:sectPr>
          <w:pgSz w:w="11900" w:h="16838" w:orient="portrait"/>
          <w:cols w:equalWidth="0" w:num="1">
            <w:col w:w="10219"/>
          </w:cols>
          <w:pgMar w:left="240" w:top="622" w:right="1440" w:bottom="1440" w:gutter="0" w:footer="0" w:header="0"/>
        </w:sectPr>
      </w:pPr>
    </w:p>
    <w:bookmarkStart w:id="23" w:name="page24"/>
    <w:bookmarkEnd w:id="23"/>
    <w:p>
      <w:pPr>
        <w:ind w:left="10" w:right="3179"/>
        <w:spacing w:after="0" w:line="237" w:lineRule="auto"/>
        <w:rPr>
          <w:sz w:val="20"/>
          <w:szCs w:val="20"/>
          <w:color w:val="auto"/>
        </w:rPr>
      </w:pPr>
      <w:r>
        <w:rPr>
          <w:rFonts w:ascii="Courier New" w:cs="Courier New" w:eastAsia="Courier New" w:hAnsi="Courier New"/>
          <w:sz w:val="15"/>
          <w:szCs w:val="15"/>
          <w:color w:val="auto"/>
        </w:rPr>
        <w:t>the Company's periodic reports filed with the Commission and (ii) as is required by applicable law and regulations, including the applicable rules and regulations of the Principal Market (provided that in the case of clause (i) each Buyer shall be consulted by the Company in connection with any such press release or other public disclosure prior to its release).</w:t>
      </w:r>
    </w:p>
    <w:p>
      <w:pPr>
        <w:spacing w:after="0" w:line="178" w:lineRule="exact"/>
        <w:rPr>
          <w:sz w:val="20"/>
          <w:szCs w:val="20"/>
          <w:color w:val="auto"/>
        </w:rPr>
      </w:pPr>
    </w:p>
    <w:p>
      <w:pPr>
        <w:ind w:left="10" w:right="3179" w:firstLine="1577"/>
        <w:spacing w:after="0" w:line="257" w:lineRule="auto"/>
        <w:tabs>
          <w:tab w:leader="none" w:pos="2389"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Securities; Additional Registration Statements. For so long as any Buyer beneficially owns any Warrants, the Company will not issue any other securities that would cause a breach or default under the Warrants. Except as disclosed on Schedule 4(j), until such time as the Registration Statement (as defined in the Registration Rights Agreement) is declared effective by the SEC, the Company will not file a registration statement under the 1933 Act relating to securities that are not the Securities.</w:t>
      </w:r>
    </w:p>
    <w:p>
      <w:pPr>
        <w:spacing w:after="0" w:line="161" w:lineRule="exact"/>
        <w:rPr>
          <w:rFonts w:ascii="Courier New" w:cs="Courier New" w:eastAsia="Courier New" w:hAnsi="Courier New"/>
          <w:sz w:val="14"/>
          <w:szCs w:val="14"/>
          <w:color w:val="auto"/>
        </w:rPr>
      </w:pPr>
    </w:p>
    <w:p>
      <w:pPr>
        <w:ind w:left="2390" w:hanging="803"/>
        <w:spacing w:after="0"/>
        <w:tabs>
          <w:tab w:leader="none" w:pos="239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Existence. So long as any Buyer</w:t>
      </w:r>
    </w:p>
    <w:p>
      <w:pPr>
        <w:spacing w:after="0" w:line="5" w:lineRule="exact"/>
        <w:rPr>
          <w:rFonts w:ascii="Courier New" w:cs="Courier New" w:eastAsia="Courier New" w:hAnsi="Courier New"/>
          <w:sz w:val="15"/>
          <w:szCs w:val="15"/>
          <w:color w:val="auto"/>
        </w:rPr>
      </w:pPr>
    </w:p>
    <w:p>
      <w:pPr>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beneficially owns any Warrants, the Company shall not effect a merger or consolidation or sale of all or substantially all of the Company's assets unless the surviving or successor entity in such transaction (i) assumes the Company's obligations hereunder and under the agreements and instruments entered into in connection herewith and (ii) is a publicly traded corporation whose common stock is quoted on or listed for trading on a Principal Market.</w:t>
      </w:r>
    </w:p>
    <w:p>
      <w:pPr>
        <w:spacing w:after="0" w:line="175" w:lineRule="exact"/>
        <w:rPr>
          <w:rFonts w:ascii="Courier New" w:cs="Courier New" w:eastAsia="Courier New" w:hAnsi="Courier New"/>
          <w:sz w:val="15"/>
          <w:szCs w:val="15"/>
          <w:color w:val="auto"/>
        </w:rPr>
      </w:pPr>
    </w:p>
    <w:p>
      <w:pPr>
        <w:ind w:left="10" w:right="3179" w:firstLine="1577"/>
        <w:spacing w:after="0" w:line="256" w:lineRule="auto"/>
        <w:tabs>
          <w:tab w:leader="none" w:pos="2389"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Match. (i) For a period of 12 months following the Closing Date, the Company shall not issue, sell or exchange, agree or obligate itself to issue, sell or exchange or reserve or set aside for issuance, sale or exchange, (A) any shares of Common Stock, (B) any other equity security of the Company, including without limitation shares of preferred stock,</w:t>
      </w:r>
    </w:p>
    <w:p>
      <w:pPr>
        <w:spacing w:after="0" w:line="1" w:lineRule="exact"/>
        <w:rPr>
          <w:rFonts w:ascii="Courier New" w:cs="Courier New" w:eastAsia="Courier New" w:hAnsi="Courier New"/>
          <w:sz w:val="14"/>
          <w:szCs w:val="14"/>
          <w:color w:val="auto"/>
        </w:rPr>
      </w:pPr>
    </w:p>
    <w:p>
      <w:pPr>
        <w:ind w:left="10" w:right="3179" w:hanging="10"/>
        <w:spacing w:after="0" w:line="256" w:lineRule="auto"/>
        <w:tabs>
          <w:tab w:leader="none" w:pos="36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debt security of the Company (other than debt with no equity feature), including without limitation any debt security which by its terms is convertible into or exchangeable for any equity security of the Company, (D) any security of the Company that is a combination of debt and equity, or (E) any option, warrant or other right to subscribe for, purchase or otherwise acquire any such equity security or any such debt security of the Company (any security described in the foregoing (A) through (E) being the "OTHER INVESTORS OFFERED SECURITIES"), unless in each case the Company shall simultaneously offer to sell to the Buyers identical securities in identical aggregate amounts, units, or principal amounts, and in all respects upon terms and conditions, including, without limitation, unit price and interest rates, identical to the Other Investors Offered Securities (the "BUYER OFFERED SECURITIES"), as follows: In connection with any offering of Other Investors Offered Securities, the Company shall offer to sell to each Buyer (1) that portion of the Buyer Offered Securities as the number of shares of Common Stock (including all Common Shares and Warrant Shares on an as-converted basis) then held by such Buyer and acquired pursuant to the terms of the Transaction Documents, bears to the total number of shares of Common Stock (including all shares of capital stock convertible into Common Stock on an as-converted basis) held on such date by all Buyers and acquired pursuant to the terms of the Transaction Documents (the "BASIC AMOUNT"), and (2) such additional portion of the Buyer Offered Securities as such Buyer shall indicate it will purchase should the other Buyers subscribe for less than their Basic Amounts (the "UNDERSUBSCRIPTION AMOUNT"), at a price and on such other terms as shall have been specified by the Company in writing delivered to such Buyer (the "OFFER"), which Offer by its terms shall remain open and irrevocable for a period of twenty (20) days from receipt of the Offer.</w:t>
      </w:r>
    </w:p>
    <w:p>
      <w:pPr>
        <w:spacing w:after="0" w:line="172" w:lineRule="exact"/>
        <w:rPr>
          <w:rFonts w:ascii="Courier New" w:cs="Courier New" w:eastAsia="Courier New" w:hAnsi="Courier New"/>
          <w:sz w:val="14"/>
          <w:szCs w:val="14"/>
          <w:color w:val="auto"/>
        </w:rPr>
      </w:pPr>
    </w:p>
    <w:p>
      <w:pPr>
        <w:ind w:left="3170" w:hanging="790"/>
        <w:spacing w:after="0"/>
        <w:tabs>
          <w:tab w:leader="none" w:pos="3170"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each Buyer's intention to accept,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whole or in part, any</w:t>
      </w:r>
    </w:p>
    <w:p>
      <w:pPr>
        <w:sectPr>
          <w:pgSz w:w="11900" w:h="16838" w:orient="portrait"/>
          <w:cols w:equalWidth="0" w:num="1">
            <w:col w:w="10229"/>
          </w:cols>
          <w:pgMar w:left="230" w:top="627" w:right="1440" w:bottom="1440" w:gutter="0" w:footer="0" w:header="0"/>
        </w:sectPr>
      </w:pPr>
    </w:p>
    <w:bookmarkStart w:id="24" w:name="page25"/>
    <w:bookmarkEnd w:id="24"/>
    <w:p>
      <w:pPr>
        <w:ind w:right="3179"/>
        <w:spacing w:after="0" w:line="238" w:lineRule="auto"/>
        <w:rPr>
          <w:sz w:val="20"/>
          <w:szCs w:val="20"/>
          <w:color w:val="auto"/>
        </w:rPr>
      </w:pPr>
      <w:r>
        <w:rPr>
          <w:rFonts w:ascii="Courier New" w:cs="Courier New" w:eastAsia="Courier New" w:hAnsi="Courier New"/>
          <w:sz w:val="15"/>
          <w:szCs w:val="15"/>
          <w:color w:val="auto"/>
        </w:rPr>
        <w:t>Offer made pursuant to Section 4(l)(i) shall be evidenced by a writing signed by such Buyer and delivered to the Company prior to the end of the 20-day period of such offer, setting forth such of the Buyer's Basic Amount as such Buyer elects to purchase and, if such Buyer shall elect to purchase all of its Basic Amount, the Undersubscription Amount as such Buyer shall elect to purchase (the "NOTICE OF ACCEPTANCE"). If the Basic Amounts subscribed for by all Buyers are less than the total Buyer Offered Securities then each Buyer who has set forth Undersubscription Amounts in its Notice of Acceptance shall be entitled to purchase all Undersubscription Amounts it has subscribed for; provided, however, that should the Undersubscription Amounts subscribed for exceed the difference between the Buyer Offered Securities and the Basic Amounts subscribed for (the "AVAILABLE UNDERSUBSCRIPTION AMOUNT"), each Buyer who has subscribed for any Undersubscription Amount shall be entitled to purchase only that portion of the Available Undersubscription Amount as the Undersubscription Amount subscribed for by such Buyer bears to the total Undersubscription Amounts subscribed for by all Buyers, subject to rounding by the Board of Directors to the extent it deems reasonably necessary.</w:t>
      </w:r>
    </w:p>
    <w:p>
      <w:pPr>
        <w:spacing w:after="0" w:line="181" w:lineRule="exact"/>
        <w:rPr>
          <w:sz w:val="20"/>
          <w:szCs w:val="20"/>
          <w:color w:val="auto"/>
        </w:rPr>
      </w:pPr>
    </w:p>
    <w:p>
      <w:pPr>
        <w:ind w:left="3160" w:hanging="790"/>
        <w:spacing w:after="0"/>
        <w:tabs>
          <w:tab w:leader="none" w:pos="316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Upon each closing under this</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4(l), which shall include full payment to the Company, simultaneously with the purchase of the Other Investors Offered Securities, the Buyer shall purchase from the Company, and the Company shall sell to the Buyer the number of Buyer Offered Securities specified in the Notices of Acceptance, as reduced pursuant to Section 4(l)(iv) if the Buyers have so elected, upon the terms and conditions specified in the Offer. The purchase by the Buyers of any Buyer Offered Securities is subject in all cases to the preparation, execution and delivery by the Company and the Buyers of a purchase agreement relating to such Buyer Offered Securities reasonably satisfactory in form and substance to the Buyers and their respective counsel.</w:t>
      </w:r>
    </w:p>
    <w:p>
      <w:pPr>
        <w:spacing w:after="0" w:line="173" w:lineRule="exact"/>
        <w:rPr>
          <w:rFonts w:ascii="Courier New" w:cs="Courier New" w:eastAsia="Courier New" w:hAnsi="Courier New"/>
          <w:sz w:val="15"/>
          <w:szCs w:val="15"/>
          <w:color w:val="auto"/>
        </w:rPr>
      </w:pPr>
    </w:p>
    <w:p>
      <w:pPr>
        <w:ind w:left="3160" w:hanging="790"/>
        <w:spacing w:after="0"/>
        <w:tabs>
          <w:tab w:leader="none" w:pos="316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Sale. In each case, any Buyer</w:t>
      </w:r>
    </w:p>
    <w:p>
      <w:pPr>
        <w:spacing w:after="0" w:line="5" w:lineRule="exact"/>
        <w:rPr>
          <w:rFonts w:ascii="Courier New" w:cs="Courier New" w:eastAsia="Courier New" w:hAnsi="Courier New"/>
          <w:sz w:val="15"/>
          <w:szCs w:val="15"/>
          <w:color w:val="auto"/>
        </w:rPr>
      </w:pPr>
    </w:p>
    <w:p>
      <w:pPr>
        <w:ind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Offered Securities not purchased by the Buyers and any Other Investors Offered Securities not purchased by any other Person or Persons in accordance with Section 4 may not be sold or otherwise disposed of until they are again offered to the Buyers to the same extent, and under the procedures, specified in Section 4(l).</w:t>
      </w:r>
    </w:p>
    <w:p>
      <w:pPr>
        <w:spacing w:after="0" w:line="172" w:lineRule="exact"/>
        <w:rPr>
          <w:rFonts w:ascii="Courier New" w:cs="Courier New" w:eastAsia="Courier New" w:hAnsi="Courier New"/>
          <w:sz w:val="15"/>
          <w:szCs w:val="15"/>
          <w:color w:val="auto"/>
        </w:rPr>
      </w:pPr>
    </w:p>
    <w:p>
      <w:pPr>
        <w:ind w:left="3160" w:hanging="790"/>
        <w:spacing w:after="0"/>
        <w:tabs>
          <w:tab w:leader="none" w:pos="316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Exception. The rights of the Buyers under</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4(l) shall not apply to: (A) Common Stock issued as a stock dividend to holders of Common Stock or upon any subdivision or combination of shares of Common Stock, (B) shares of Common Stock issued upon exercise of the Warrants, (C) securities of the Company issued in connection with (1) one or more strategic partnerships or joint ventures in which there is a significant commercial relationship with the Company, (2) the acquisition of any other business or entity, (3) research, licensing, collaboration, joint venture or similar arrangement, or (4) compensation or similar arrangements with employees, officers, directors, consultants or service providers (which, in the case of consultants or service providers, does not involve any cash payment by such consultant or service provider).</w:t>
      </w:r>
    </w:p>
    <w:p>
      <w:pPr>
        <w:spacing w:after="0" w:line="180" w:lineRule="exact"/>
        <w:rPr>
          <w:rFonts w:ascii="Courier New" w:cs="Courier New" w:eastAsia="Courier New" w:hAnsi="Courier New"/>
          <w:sz w:val="15"/>
          <w:szCs w:val="15"/>
          <w:color w:val="auto"/>
        </w:rPr>
      </w:pPr>
    </w:p>
    <w:p>
      <w:pPr>
        <w:ind w:right="3179" w:firstLine="1577"/>
        <w:spacing w:after="0" w:line="237" w:lineRule="auto"/>
        <w:tabs>
          <w:tab w:leader="none" w:pos="23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shall take all action necessary to at all times have authorized, and reserved for the purpose of issuance, from and after the Closing Date, a number of shares of Common Stock issuable upon exercise of the Warrants being issued at the Closing in conformity with Section 3(c).</w:t>
      </w:r>
    </w:p>
    <w:p>
      <w:pPr>
        <w:sectPr>
          <w:pgSz w:w="11900" w:h="16838" w:orient="portrait"/>
          <w:cols w:equalWidth="0" w:num="1">
            <w:col w:w="10219"/>
          </w:cols>
          <w:pgMar w:left="240" w:top="627" w:right="1440" w:bottom="1440" w:gutter="0" w:footer="0" w:header="0"/>
        </w:sectPr>
      </w:pPr>
    </w:p>
    <w:bookmarkStart w:id="25" w:name="page26"/>
    <w:bookmarkEnd w:id="25"/>
    <w:p>
      <w:pPr>
        <w:ind w:right="3179" w:firstLine="1577"/>
        <w:spacing w:after="0" w:line="238" w:lineRule="auto"/>
        <w:tabs>
          <w:tab w:leader="none" w:pos="238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Short Sales. Each Buyer agrees, solely as to itself and its affiliates, that, from and after the date hereof and at any time that such Buyer holds any Securities, such Buyer shall not engage in short sales of the Common Stock in amounts that exceed the sum of the number of shares of Common Stock held by such Buyer and its affiliates and the number of shares of Common Stock issuable pursuant to the exercise or conversion of any other security (without regard to limitations on exercise or conversion contained therein, if any) held by such Buyer and its affiliates.</w:t>
      </w:r>
    </w:p>
    <w:p>
      <w:pPr>
        <w:spacing w:after="0" w:line="171"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 TRANSFER AGENT INSTRUCTIONS.</w:t>
      </w:r>
    </w:p>
    <w:p>
      <w:pPr>
        <w:spacing w:after="0" w:line="174"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Register. The Company shall maintain at its principal</w:t>
      </w:r>
    </w:p>
    <w:p>
      <w:pPr>
        <w:spacing w:after="0" w:line="10" w:lineRule="exact"/>
        <w:rPr>
          <w:rFonts w:ascii="Courier New" w:cs="Courier New" w:eastAsia="Courier New" w:hAnsi="Courier New"/>
          <w:sz w:val="14"/>
          <w:szCs w:val="14"/>
          <w:color w:val="auto"/>
        </w:rPr>
      </w:pPr>
    </w:p>
    <w:p>
      <w:pPr>
        <w:ind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executive offices (or such other office or agency of the Company as it may designate by notice to each holder of Warrants), a register for the Warrants, in which the Company shall record the name and address of the Person in whose name the Warrants have been issued (including the name and address of each transferee), and the number of Warrant Shares issuable upon exercise of the Warrants held by such Person. The Company shall keep the register open and available at all times during business hours for inspection of any Buyer or its legal representatives.</w:t>
      </w:r>
    </w:p>
    <w:p>
      <w:pPr>
        <w:spacing w:after="0" w:line="177" w:lineRule="exact"/>
        <w:rPr>
          <w:rFonts w:ascii="Courier New" w:cs="Courier New" w:eastAsia="Courier New" w:hAnsi="Courier New"/>
          <w:sz w:val="14"/>
          <w:szCs w:val="14"/>
          <w:color w:val="auto"/>
        </w:rPr>
      </w:pPr>
    </w:p>
    <w:p>
      <w:pPr>
        <w:ind w:left="2380" w:hanging="803"/>
        <w:spacing w:after="0"/>
        <w:tabs>
          <w:tab w:leader="none" w:pos="238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Agent Instructions. The Company shall issue</w:t>
      </w:r>
    </w:p>
    <w:p>
      <w:pPr>
        <w:spacing w:after="0" w:line="10" w:lineRule="exact"/>
        <w:rPr>
          <w:rFonts w:ascii="Courier New" w:cs="Courier New" w:eastAsia="Courier New" w:hAnsi="Courier New"/>
          <w:sz w:val="14"/>
          <w:szCs w:val="14"/>
          <w:color w:val="auto"/>
        </w:rPr>
      </w:pPr>
    </w:p>
    <w:p>
      <w:pPr>
        <w:ind w:right="317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irrevocable instructions to its transfer agent, and any subsequent transfer agent, to issue certificates or credit shares to the applicable balance accounts at DTC, registered in the name of each Buyer or its respective nominee(s), for the Warrant SHARES in such amounts as specified from time to time by each Buyer to the Company upon exercise of the Warrants in the form of Exhibit C attached hereto (the "IRREVOCABLE TRANSFER AGENT INSTRUCTIONS"). The Company warrants that no instruction other than the Irrevocable Transfer Agent Instructions referred to in this Section 5(b), and stop transfer instructions to give effect to Section 2(f) hereof, will be given by the Company to its transfer agent, and that the Securities shall otherwise be freely transferable on the books and records of the Company as and to the extent provided in this Agreement and the other Transaction Documents. If a Buyer effects a sale, assignment or transfer of the Securities in accordance with Section 2(f), the Company shall permit the transfer and shall promptly instruct its transfer agent to issue one or more certificates or credit shares to the applicable balance accounts at DTC in such name and in such denominations as specified by such Buyer to effect such sale, transfer or assignment. In the event that such sale, assignment or transfer involves Common Shares or Warrant Shares sold, assigned or transferred pursuant to an effective registration statement or pursuant to Rule 144 where no transfer restrictions or limitations will apply after such transaction, the transfer agent shall issue such Common Shares or Warrant Shares, as the case may be, to the Buyer, assignee or transferee, as the case may be, without any restrictive legend. The Company acknowledges that a breach by it of its obligations hereunder will cause irreparable harm to a Buyer. Accordingly, the Company acknowledges that the remedy at law for a breach of its obligations under this Section 5(b) will be inadequate and agrees, in the event of a breach or threatened breach by the Company of the provisions of this Section 5(b), that a Buyer shall be entitled, in addition to all other available remedies, to an order and/or injunction restraining any breach and requiring immediate issuance and transfer, without the necessity of showing economic loss and without any bond or other security being required.</w:t>
      </w:r>
    </w:p>
    <w:p>
      <w:pPr>
        <w:sectPr>
          <w:pgSz w:w="11900" w:h="16838" w:orient="portrait"/>
          <w:cols w:equalWidth="0" w:num="1">
            <w:col w:w="10219"/>
          </w:cols>
          <w:pgMar w:left="240" w:top="627" w:right="1440" w:bottom="1440" w:gutter="0" w:footer="0" w:header="0"/>
        </w:sectPr>
      </w:pPr>
    </w:p>
    <w:bookmarkStart w:id="26" w:name="page27"/>
    <w:bookmarkEnd w:id="26"/>
    <w:p>
      <w:pPr>
        <w:ind w:left="1580" w:hanging="796"/>
        <w:spacing w:after="0"/>
        <w:tabs>
          <w:tab w:leader="none" w:pos="15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THE COMPANY'S OBLIGATION TO SELL.</w:t>
      </w:r>
    </w:p>
    <w:p>
      <w:pPr>
        <w:spacing w:after="0" w:line="174"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Date. The obligation of the Company hereunder</w:t>
      </w:r>
    </w:p>
    <w:p>
      <w:pPr>
        <w:spacing w:after="0" w:line="10" w:lineRule="exact"/>
        <w:rPr>
          <w:rFonts w:ascii="Courier New" w:cs="Courier New" w:eastAsia="Courier New" w:hAnsi="Courier New"/>
          <w:sz w:val="14"/>
          <w:szCs w:val="14"/>
          <w:color w:val="auto"/>
        </w:rPr>
      </w:pPr>
    </w:p>
    <w:p>
      <w:pPr>
        <w:ind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 issue and sell the Common Shares and the related Warrants to each Buyer at the Closing is subject to the satisfaction, at or before the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72" w:lineRule="exact"/>
        <w:rPr>
          <w:rFonts w:ascii="Courier New" w:cs="Courier New" w:eastAsia="Courier New" w:hAnsi="Courier New"/>
          <w:sz w:val="14"/>
          <w:szCs w:val="14"/>
          <w:color w:val="auto"/>
        </w:rPr>
      </w:pPr>
    </w:p>
    <w:p>
      <w:pPr>
        <w:ind w:left="3160" w:hanging="790"/>
        <w:spacing w:after="0"/>
        <w:tabs>
          <w:tab w:leader="none" w:pos="316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Buyer shall have executed each of the</w:t>
      </w:r>
    </w:p>
    <w:p>
      <w:pPr>
        <w:spacing w:after="0" w:line="5" w:lineRule="exact"/>
        <w:rPr>
          <w:rFonts w:ascii="Courier New" w:cs="Courier New" w:eastAsia="Courier New" w:hAnsi="Courier New"/>
          <w:sz w:val="15"/>
          <w:szCs w:val="15"/>
          <w:color w:val="auto"/>
        </w:rPr>
      </w:pPr>
    </w:p>
    <w:p>
      <w:pPr>
        <w:ind w:right="3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Documents to which it is a party and delivered the same to the Company.</w:t>
      </w:r>
    </w:p>
    <w:p>
      <w:pPr>
        <w:spacing w:after="0" w:line="170" w:lineRule="exact"/>
        <w:rPr>
          <w:rFonts w:ascii="Courier New" w:cs="Courier New" w:eastAsia="Courier New" w:hAnsi="Courier New"/>
          <w:sz w:val="15"/>
          <w:szCs w:val="15"/>
          <w:color w:val="auto"/>
        </w:rPr>
      </w:pPr>
    </w:p>
    <w:p>
      <w:pPr>
        <w:ind w:left="3160" w:hanging="790"/>
        <w:spacing w:after="0"/>
        <w:tabs>
          <w:tab w:leader="none" w:pos="316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Buyer shall have delivered to the</w:t>
      </w:r>
    </w:p>
    <w:p>
      <w:pPr>
        <w:spacing w:after="0" w:line="5" w:lineRule="exact"/>
        <w:rPr>
          <w:rFonts w:ascii="Courier New" w:cs="Courier New" w:eastAsia="Courier New" w:hAnsi="Courier New"/>
          <w:sz w:val="15"/>
          <w:szCs w:val="15"/>
          <w:color w:val="auto"/>
        </w:rPr>
      </w:pPr>
    </w:p>
    <w:p>
      <w:pPr>
        <w:ind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the Purchase Price (less, the amounts withheld pursuant to Section 4(g)) for the Common Shares and the related Warrants being purchased by such Buyer at the Closing by wire transfer of immediately available funds pursuant to the wire instructions provided by the Company.</w:t>
      </w:r>
    </w:p>
    <w:p>
      <w:pPr>
        <w:spacing w:after="0" w:line="170" w:lineRule="exact"/>
        <w:rPr>
          <w:rFonts w:ascii="Courier New" w:cs="Courier New" w:eastAsia="Courier New" w:hAnsi="Courier New"/>
          <w:sz w:val="15"/>
          <w:szCs w:val="15"/>
          <w:color w:val="auto"/>
        </w:rPr>
      </w:pPr>
    </w:p>
    <w:p>
      <w:pPr>
        <w:ind w:left="3160" w:hanging="790"/>
        <w:spacing w:after="0"/>
        <w:tabs>
          <w:tab w:leader="none" w:pos="316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such</w:t>
      </w:r>
    </w:p>
    <w:p>
      <w:pPr>
        <w:spacing w:after="0" w:line="5" w:lineRule="exact"/>
        <w:rPr>
          <w:rFonts w:ascii="Courier New" w:cs="Courier New" w:eastAsia="Courier New" w:hAnsi="Courier New"/>
          <w:sz w:val="15"/>
          <w:szCs w:val="15"/>
          <w:color w:val="auto"/>
        </w:rPr>
      </w:pPr>
    </w:p>
    <w:p>
      <w:pPr>
        <w:ind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Buyer shall be true and correct in all material respects (except for representations and warranties that are qualified by materiality, which shall be true and correct in all respects) as of the date when made and as of the Closing Date as though made at that time (except for representations and warranties that speak as of a specific date), and such Buyer shall have performed, satisfied and complied in all material respects (except for covenants, agreements and conditions that are qualified by materiality, which shall be complied with in all respects) with the covenants, agreements and conditions required by this Agreement to be performed, satisfied or complied with by such Buyer at or prior to the Closing Date. The Company shall have received a certificate, executed by an authorized officer of each Buyer, dated as of the Closing Date, to the foregoing effect in the form attached hereto as Exhibit D.</w:t>
      </w:r>
    </w:p>
    <w:p>
      <w:pPr>
        <w:spacing w:after="0" w:line="160"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EACH BUYER'S OBLIGATION TO PURCHASE.</w:t>
      </w:r>
    </w:p>
    <w:p>
      <w:pPr>
        <w:spacing w:after="0" w:line="174"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Date. The obligation of each Buyer hereunder to purchase the Common Shares and the related Warrants at the Closing is subject to the satisfaction, at or before the Closing Date, of each of the following conditions, provided that these conditions are for each Buyer's sole benefit and may be waived by such Buyer at any time in its sole discretion by providing the Company with prior written notice thereof:</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executed and</w:t>
      </w:r>
    </w:p>
    <w:p>
      <w:pPr>
        <w:spacing w:after="0" w:line="5" w:lineRule="exact"/>
        <w:rPr>
          <w:rFonts w:ascii="Courier New" w:cs="Courier New" w:eastAsia="Courier New" w:hAnsi="Courier New"/>
          <w:sz w:val="15"/>
          <w:szCs w:val="15"/>
          <w:color w:val="auto"/>
        </w:rPr>
      </w:pPr>
    </w:p>
    <w:p>
      <w:pPr>
        <w:ind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to such Buyer (i) each of the Transaction Documents and (ii) the Common Shares (in such amounts as such Buyer shall request) and the related Warrants (in such amounts as such Buyer shall request) being purchased by such Buyer at the Closing pursuant to this Agreement.</w:t>
      </w:r>
    </w:p>
    <w:p>
      <w:pPr>
        <w:spacing w:after="0" w:line="170" w:lineRule="exact"/>
        <w:rPr>
          <w:rFonts w:ascii="Courier New" w:cs="Courier New" w:eastAsia="Courier New" w:hAnsi="Courier New"/>
          <w:sz w:val="15"/>
          <w:szCs w:val="15"/>
          <w:color w:val="auto"/>
        </w:rPr>
      </w:pPr>
    </w:p>
    <w:p>
      <w:pPr>
        <w:ind w:left="3160" w:hanging="790"/>
        <w:spacing w:after="0"/>
        <w:tabs>
          <w:tab w:leader="none" w:pos="316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Buyer shall have received the opinion</w:t>
      </w:r>
    </w:p>
    <w:p>
      <w:pPr>
        <w:spacing w:after="0" w:line="5" w:lineRule="exact"/>
        <w:rPr>
          <w:rFonts w:ascii="Courier New" w:cs="Courier New" w:eastAsia="Courier New" w:hAnsi="Courier New"/>
          <w:sz w:val="15"/>
          <w:szCs w:val="15"/>
          <w:color w:val="auto"/>
        </w:rPr>
      </w:pPr>
    </w:p>
    <w:p>
      <w:pPr>
        <w:ind w:right="35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Ropes &amp; Gray LLP, the Company's counsel, dated as of the Closing Date, in form, scope and substance reasonably satisfactory to such Buyer and in substantially the form of Exhibit E attached hereto.</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w:t>
      </w:r>
    </w:p>
    <w:p>
      <w:pPr>
        <w:spacing w:after="0" w:line="5" w:lineRule="exact"/>
        <w:rPr>
          <w:rFonts w:ascii="Courier New" w:cs="Courier New" w:eastAsia="Courier New" w:hAnsi="Courier New"/>
          <w:sz w:val="15"/>
          <w:szCs w:val="15"/>
          <w:color w:val="auto"/>
        </w:rPr>
      </w:pPr>
    </w:p>
    <w:p>
      <w:pPr>
        <w:ind w:right="36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a copy of the Irrevocable Transfer Agent Instructions, in the form of Exhibit C attached hereto, which</w:t>
      </w:r>
    </w:p>
    <w:p>
      <w:pPr>
        <w:sectPr>
          <w:pgSz w:w="11900" w:h="16838" w:orient="portrait"/>
          <w:cols w:equalWidth="0" w:num="1">
            <w:col w:w="10219"/>
          </w:cols>
          <w:pgMar w:left="240" w:top="622" w:right="1440" w:bottom="1440" w:gutter="0" w:footer="0" w:header="0"/>
        </w:sectPr>
      </w:pPr>
    </w:p>
    <w:bookmarkStart w:id="27" w:name="page28"/>
    <w:bookmarkEnd w:id="27"/>
    <w:p>
      <w:pPr>
        <w:ind w:right="3539"/>
        <w:spacing w:after="0" w:line="235" w:lineRule="auto"/>
        <w:rPr>
          <w:sz w:val="20"/>
          <w:szCs w:val="20"/>
          <w:color w:val="auto"/>
        </w:rPr>
      </w:pPr>
      <w:r>
        <w:rPr>
          <w:rFonts w:ascii="Courier New" w:cs="Courier New" w:eastAsia="Courier New" w:hAnsi="Courier New"/>
          <w:sz w:val="15"/>
          <w:szCs w:val="15"/>
          <w:color w:val="auto"/>
        </w:rPr>
        <w:t>instructions shall have been delivered to and acknowledged in writing by the Company's transfer agent.</w:t>
      </w:r>
    </w:p>
    <w:p>
      <w:pPr>
        <w:spacing w:after="0" w:line="170" w:lineRule="exact"/>
        <w:rPr>
          <w:sz w:val="20"/>
          <w:szCs w:val="20"/>
          <w:color w:val="auto"/>
        </w:rPr>
      </w:pPr>
    </w:p>
    <w:p>
      <w:pPr>
        <w:ind w:left="3160" w:hanging="790"/>
        <w:spacing w:after="0"/>
        <w:tabs>
          <w:tab w:leader="none" w:pos="31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w:t>
      </w:r>
    </w:p>
    <w:p>
      <w:pPr>
        <w:spacing w:after="0" w:line="5" w:lineRule="exact"/>
        <w:rPr>
          <w:rFonts w:ascii="Courier New" w:cs="Courier New" w:eastAsia="Courier New" w:hAnsi="Courier New"/>
          <w:sz w:val="15"/>
          <w:szCs w:val="15"/>
          <w:color w:val="auto"/>
        </w:rPr>
      </w:pPr>
    </w:p>
    <w:p>
      <w:pPr>
        <w:ind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a certificate evidencing the incorporation and good standing of the Company in its state of incorporation issued by the Secretary of State of such state of incorporation as of a date within 10 days of the Closing Date.</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w:t>
      </w:r>
    </w:p>
    <w:p>
      <w:pPr>
        <w:spacing w:after="0" w:line="5" w:lineRule="exact"/>
        <w:rPr>
          <w:rFonts w:ascii="Courier New" w:cs="Courier New" w:eastAsia="Courier New" w:hAnsi="Courier New"/>
          <w:sz w:val="15"/>
          <w:szCs w:val="15"/>
          <w:color w:val="auto"/>
        </w:rPr>
      </w:pPr>
    </w:p>
    <w:p>
      <w:pPr>
        <w:ind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a certificate evidencing the Company's qualification as a foreign corporation and good standing issued by the Secretary of State of the State of California as of a date within 10 days of the Closing Date.</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w:t>
      </w:r>
    </w:p>
    <w:p>
      <w:pPr>
        <w:spacing w:after="0" w:line="5" w:lineRule="exact"/>
        <w:rPr>
          <w:rFonts w:ascii="Courier New" w:cs="Courier New" w:eastAsia="Courier New" w:hAnsi="Courier New"/>
          <w:sz w:val="15"/>
          <w:szCs w:val="15"/>
          <w:color w:val="auto"/>
        </w:rPr>
      </w:pPr>
    </w:p>
    <w:p>
      <w:pPr>
        <w:ind w:right="325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Buyer a certified copy of the Certificate of Incorporation as certified by the Secretary of State of the State of Delaware within 10 days of the Closing Date.</w:t>
      </w:r>
    </w:p>
    <w:p>
      <w:pPr>
        <w:spacing w:after="0" w:line="152"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w:t>
      </w:r>
    </w:p>
    <w:p>
      <w:pPr>
        <w:spacing w:after="0" w:line="5" w:lineRule="exact"/>
        <w:rPr>
          <w:rFonts w:ascii="Courier New" w:cs="Courier New" w:eastAsia="Courier New" w:hAnsi="Courier New"/>
          <w:sz w:val="15"/>
          <w:szCs w:val="15"/>
          <w:color w:val="auto"/>
        </w:rPr>
      </w:pPr>
    </w:p>
    <w:p>
      <w:pPr>
        <w:ind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Buyer a certificate, executed by the Secretary of the Company and dated as of the Closing Date, as to (i) the resolutions consistent with Section 3(b) as adopted by the Company's Board of Directors in a form reasonably acceptable to such Buyer (the "RESOLUTIONS"), (ii) the Certificate of Incorporation and (iii) the Bylaws, each as in effect at the Closing, in the form attached hereto as Exhibit F.</w:t>
      </w:r>
    </w:p>
    <w:p>
      <w:pPr>
        <w:spacing w:after="0" w:line="169"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w:t>
      </w:r>
    </w:p>
    <w:p>
      <w:pPr>
        <w:spacing w:after="0" w:line="5" w:lineRule="exact"/>
        <w:rPr>
          <w:rFonts w:ascii="Courier New" w:cs="Courier New" w:eastAsia="Courier New" w:hAnsi="Courier New"/>
          <w:sz w:val="15"/>
          <w:szCs w:val="15"/>
          <w:color w:val="auto"/>
        </w:rPr>
      </w:pPr>
    </w:p>
    <w:p>
      <w:pPr>
        <w:ind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Company shall be true and correct in all material respects (except for representations and warranties that are qualified by materiality, which shall be true and correct in all respects) as of the date when made and as of the Closing Date as though made at that time (except for representations and warranties that speak as of a specific date) and the Company shall have performed, satisfied and complied in all material respects (except for covenants, agreements and conditions that are qualified by materiality, which shall be complied with in all respects) with the covenants, agreements and conditions required by the Transaction Documents to be performed, satisfied or complied with by the Company at or prior to the Closing Date. Such Buyer shall have received a certificate, executed by the Chief Executive Officer of the Company, dated as of the Closing Date, to the foregoing effect and as to such other matters as may be reasonably requested by such Buyer in the form attached hereto as Exhibit G.</w:t>
      </w:r>
    </w:p>
    <w:p>
      <w:pPr>
        <w:spacing w:after="0" w:line="159" w:lineRule="exact"/>
        <w:rPr>
          <w:rFonts w:ascii="Courier New" w:cs="Courier New" w:eastAsia="Courier New" w:hAnsi="Courier New"/>
          <w:sz w:val="15"/>
          <w:szCs w:val="15"/>
          <w:color w:val="auto"/>
        </w:rPr>
      </w:pPr>
    </w:p>
    <w:p>
      <w:pPr>
        <w:ind w:left="3160" w:hanging="790"/>
        <w:spacing w:after="0"/>
        <w:tabs>
          <w:tab w:leader="none" w:pos="31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w:t>
      </w:r>
    </w:p>
    <w:p>
      <w:pPr>
        <w:spacing w:after="0" w:line="5" w:lineRule="exact"/>
        <w:rPr>
          <w:rFonts w:ascii="Courier New" w:cs="Courier New" w:eastAsia="Courier New" w:hAnsi="Courier New"/>
          <w:sz w:val="15"/>
          <w:szCs w:val="15"/>
          <w:color w:val="auto"/>
        </w:rPr>
      </w:pPr>
    </w:p>
    <w:p>
      <w:pPr>
        <w:ind w:right="317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Buyer a letter from the Company's transfer agent certifying the number of shares of Common Stock outstanding as of a date within five days of the Closing Date.</w:t>
      </w:r>
    </w:p>
    <w:p>
      <w:pPr>
        <w:spacing w:after="0" w:line="158" w:lineRule="exact"/>
        <w:rPr>
          <w:rFonts w:ascii="Courier New" w:cs="Courier New" w:eastAsia="Courier New" w:hAnsi="Courier New"/>
          <w:sz w:val="15"/>
          <w:szCs w:val="15"/>
          <w:color w:val="auto"/>
        </w:rPr>
      </w:pPr>
    </w:p>
    <w:p>
      <w:pPr>
        <w:ind w:right="3359" w:firstLine="2370"/>
        <w:spacing w:after="0" w:line="237" w:lineRule="auto"/>
        <w:tabs>
          <w:tab w:leader="none" w:pos="317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obtained all governmental, regulatory or third party consents and approvals, if any, necessary for the sale of the Common Shares and the Warrants, including, without limitation, the expiration or waiver of the 15-day period set forth in Rule 4310(c)(17) of the National Association of Securities Dealers, Inc.</w:t>
      </w:r>
    </w:p>
    <w:p>
      <w:pPr>
        <w:spacing w:after="0" w:line="178" w:lineRule="exact"/>
        <w:rPr>
          <w:rFonts w:ascii="Courier New" w:cs="Courier New" w:eastAsia="Courier New" w:hAnsi="Courier New"/>
          <w:sz w:val="15"/>
          <w:szCs w:val="15"/>
          <w:color w:val="auto"/>
        </w:rPr>
      </w:pPr>
    </w:p>
    <w:p>
      <w:pPr>
        <w:jc w:val="both"/>
        <w:ind w:right="3539" w:firstLine="2370"/>
        <w:spacing w:after="0" w:line="237" w:lineRule="auto"/>
        <w:tabs>
          <w:tab w:leader="none" w:pos="317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such Buyer such other documents relating to the transactions contemplated by this Agreement as such Buyer or its counsel may reasonably request.</w:t>
      </w:r>
    </w:p>
    <w:p>
      <w:pPr>
        <w:sectPr>
          <w:pgSz w:w="11900" w:h="16838" w:orient="portrait"/>
          <w:cols w:equalWidth="0" w:num="1">
            <w:col w:w="10219"/>
          </w:cols>
          <w:pgMar w:left="240" w:top="627" w:right="1440" w:bottom="1440" w:gutter="0" w:footer="0" w:header="0"/>
        </w:sectPr>
      </w:pPr>
    </w:p>
    <w:bookmarkStart w:id="28" w:name="page29"/>
    <w:bookmarkEnd w:id="28"/>
    <w:p>
      <w:pPr>
        <w:ind w:right="3179" w:firstLine="784"/>
        <w:spacing w:after="0" w:line="238" w:lineRule="auto"/>
        <w:tabs>
          <w:tab w:leader="none" w:pos="158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In the event that the Closing shall not have occurred with respect to a Buyer on or before forty-five (45) days from the date hereof due to the Company's or such Buyer's failure to satisfy the conditions set forth in Sections 6 and 7 above (and the nonbreaching party's failure to waive such unsatisfied condition(s)), the nonbreaching party shall have the option to terminate this Agreement with respect to such breaching party at the close of business on such date without liability of any party to any other party; provided, however, that if this Agreement is terminated pursuant to this Section 8, the Company shall remain obligated to reimburse the Buyers for the expenses described in Section 4(g) above.</w:t>
      </w:r>
    </w:p>
    <w:p>
      <w:pPr>
        <w:spacing w:after="0" w:line="173"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right="3179" w:firstLine="1577"/>
        <w:spacing w:after="0" w:line="256" w:lineRule="auto"/>
        <w:tabs>
          <w:tab w:leader="none" w:pos="238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Jurisdiction; Jury Trial.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non-exclusive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6" w:lineRule="exact"/>
        <w:rPr>
          <w:rFonts w:ascii="Courier New" w:cs="Courier New" w:eastAsia="Courier New" w:hAnsi="Courier New"/>
          <w:sz w:val="14"/>
          <w:szCs w:val="14"/>
          <w:color w:val="auto"/>
        </w:rPr>
      </w:pPr>
    </w:p>
    <w:p>
      <w:pPr>
        <w:ind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EACH PARTY HEREBY IRREVOCABLY WAIVES ANY RIGHT IT MAY HAVE, AND AGREES NOT TO REQUEST, A JURY TRIAL FOR THE ADJUDICATION OF ANY DISPUTE HEREUNDER OR IN CONNECTION WITH OR ARISING OUT OF THIS AGREEMENT OR ANY TRANSACTION CONTEMPLATED HEREBY.</w:t>
      </w:r>
    </w:p>
    <w:p>
      <w:pPr>
        <w:spacing w:after="0" w:line="170" w:lineRule="exact"/>
        <w:rPr>
          <w:rFonts w:ascii="Courier New" w:cs="Courier New" w:eastAsia="Courier New" w:hAnsi="Courier New"/>
          <w:sz w:val="14"/>
          <w:szCs w:val="14"/>
          <w:color w:val="auto"/>
        </w:rPr>
      </w:pPr>
    </w:p>
    <w:p>
      <w:pPr>
        <w:ind w:left="2380" w:hanging="803"/>
        <w:spacing w:after="0"/>
        <w:tabs>
          <w:tab w:leader="none" w:pos="238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two</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more identical counterparts, all of which shall be considered one and the same agreement and shall become effective when counterparts have been signed by each party and delivered to the other party; provided that a facsimile signature shall be considered due execution and shall be binding upon the signatory thereto with the same force and effect as if the signature were an original, not a facsimile signature.</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this Agreement are for</w:t>
      </w:r>
    </w:p>
    <w:p>
      <w:pPr>
        <w:spacing w:after="0" w:line="5" w:lineRule="exact"/>
        <w:rPr>
          <w:rFonts w:ascii="Courier New" w:cs="Courier New" w:eastAsia="Courier New" w:hAnsi="Courier New"/>
          <w:sz w:val="15"/>
          <w:szCs w:val="15"/>
          <w:color w:val="auto"/>
        </w:rPr>
      </w:pPr>
    </w:p>
    <w:p>
      <w:pPr>
        <w:ind w:right="44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convenience of reference and shall not form part of, or affect the interpretation of, this Agreement.</w:t>
      </w:r>
    </w:p>
    <w:p>
      <w:pPr>
        <w:spacing w:after="0" w:line="170" w:lineRule="exact"/>
        <w:rPr>
          <w:rFonts w:ascii="Courier New" w:cs="Courier New" w:eastAsia="Courier New" w:hAnsi="Courier New"/>
          <w:sz w:val="15"/>
          <w:szCs w:val="15"/>
          <w:color w:val="auto"/>
        </w:rPr>
      </w:pPr>
    </w:p>
    <w:p>
      <w:pPr>
        <w:ind w:left="2380" w:hanging="803"/>
        <w:spacing w:after="0"/>
        <w:tabs>
          <w:tab w:leader="none" w:pos="238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w:t>
      </w:r>
    </w:p>
    <w:p>
      <w:pPr>
        <w:spacing w:after="0" w:line="5" w:lineRule="exact"/>
        <w:rPr>
          <w:rFonts w:ascii="Courier New" w:cs="Courier New" w:eastAsia="Courier New" w:hAnsi="Courier New"/>
          <w:sz w:val="15"/>
          <w:szCs w:val="15"/>
          <w:color w:val="auto"/>
        </w:rPr>
      </w:pPr>
    </w:p>
    <w:p>
      <w:pPr>
        <w:ind w:right="353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ectPr>
          <w:pgSz w:w="11900" w:h="16838" w:orient="portrait"/>
          <w:cols w:equalWidth="0" w:num="1">
            <w:col w:w="10219"/>
          </w:cols>
          <w:pgMar w:left="240" w:top="627" w:right="1440" w:bottom="1440" w:gutter="0" w:footer="0" w:header="0"/>
        </w:sectPr>
      </w:pPr>
    </w:p>
    <w:bookmarkStart w:id="29" w:name="page30"/>
    <w:bookmarkEnd w:id="29"/>
    <w:p>
      <w:pPr>
        <w:ind w:left="2380" w:hanging="803"/>
        <w:spacing w:after="0"/>
        <w:tabs>
          <w:tab w:leader="none" w:pos="23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Amendments. This Agreement</w:t>
      </w:r>
    </w:p>
    <w:p>
      <w:pPr>
        <w:spacing w:after="0" w:line="5" w:lineRule="exact"/>
        <w:rPr>
          <w:rFonts w:ascii="Courier New" w:cs="Courier New" w:eastAsia="Courier New" w:hAnsi="Courier New"/>
          <w:sz w:val="15"/>
          <w:szCs w:val="15"/>
          <w:color w:val="auto"/>
        </w:rPr>
      </w:pPr>
    </w:p>
    <w:p>
      <w:pPr>
        <w:ind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supersedes all other prior oral or written agreements between the Buyers, the Company, their affiliates and Persons acting on their behalf with respect to the matters discussed herein, and this Agreement and the instruments referenced herein contain the entire understanding of the parties with respect to the matters covered herein and therein and, except as specifically set forth herein or therein, neither the Company nor any Buyer makes any representation, warranty, covenant or undertaking with respect to such matters. No provision of this Agreement may be amended other than by an instrument in writing signed by the Company and the holders of Common Shares representing at least a majority of the amount of the Common Shares, or, if prior to the Closing Date, the Buyers listed on the Schedule of Buyers as being obligated to purchase at least a majority of the amount of the Common Shares. No provision hereof may be waived other than by an instrument in writing signed by the party against whom enforcement is sought. No such amendment shall be effective to the extent that it applies to less than all of the holders of the Common Shares then outstanding. No consideration shall be offered or paid to any Person to amend or consent to a waiver or modification of any provision of any of the Transaction Documents unless the same consideration also is offered to all of the parties to the Transaction Documents, holders of Common Shares or holders of the Warrants, as the case may be. The Company has not, directly or indirectly, made any agreements with any Buyers relating to the terms or conditions of the transactions contemplated by the Transaction Documents except as set forth in the Transaction Documents.</w:t>
      </w:r>
    </w:p>
    <w:p>
      <w:pPr>
        <w:spacing w:after="0" w:line="340"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notices, consents, waivers or other</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one Business Day after deposit with an overnight courier service, in each case properly addressed to the party to receive the same. The addresses and facsimile numbers for such communications shall be: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If to the Company:</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StemCells, Inc.</w:t>
      </w:r>
    </w:p>
    <w:p>
      <w:pPr>
        <w:ind w:left="1580"/>
        <w:spacing w:after="0"/>
        <w:rPr>
          <w:sz w:val="20"/>
          <w:szCs w:val="20"/>
          <w:color w:val="auto"/>
        </w:rPr>
      </w:pPr>
      <w:r>
        <w:rPr>
          <w:rFonts w:ascii="Courier New" w:cs="Courier New" w:eastAsia="Courier New" w:hAnsi="Courier New"/>
          <w:sz w:val="15"/>
          <w:szCs w:val="15"/>
          <w:color w:val="auto"/>
        </w:rPr>
        <w:t>3155 Porter Drive</w:t>
      </w:r>
    </w:p>
    <w:p>
      <w:pPr>
        <w:ind w:left="1580"/>
        <w:spacing w:after="0"/>
        <w:rPr>
          <w:sz w:val="20"/>
          <w:szCs w:val="20"/>
          <w:color w:val="auto"/>
        </w:rPr>
      </w:pPr>
      <w:r>
        <w:rPr>
          <w:rFonts w:ascii="Courier New" w:cs="Courier New" w:eastAsia="Courier New" w:hAnsi="Courier New"/>
          <w:sz w:val="15"/>
          <w:szCs w:val="15"/>
          <w:color w:val="auto"/>
        </w:rPr>
        <w:t>Palo Alto, California 94304</w:t>
      </w:r>
    </w:p>
    <w:p>
      <w:pPr>
        <w:ind w:left="1580"/>
        <w:spacing w:after="0" w:line="238" w:lineRule="auto"/>
        <w:tabs>
          <w:tab w:leader="none" w:pos="28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(650) 475-3100</w:t>
      </w:r>
    </w:p>
    <w:p>
      <w:pPr>
        <w:ind w:left="1580"/>
        <w:spacing w:after="0"/>
        <w:tabs>
          <w:tab w:leader="none" w:pos="28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(650) 475-3101</w:t>
      </w:r>
    </w:p>
    <w:p>
      <w:pPr>
        <w:ind w:left="1580"/>
        <w:spacing w:after="0"/>
        <w:tabs>
          <w:tab w:leader="none" w:pos="28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Martin McGlynn</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Ropes &amp; Gray LLP</w:t>
      </w:r>
    </w:p>
    <w:p>
      <w:pPr>
        <w:ind w:left="1580"/>
        <w:spacing w:after="0"/>
        <w:rPr>
          <w:sz w:val="20"/>
          <w:szCs w:val="20"/>
          <w:color w:val="auto"/>
        </w:rPr>
      </w:pPr>
      <w:r>
        <w:rPr>
          <w:rFonts w:ascii="Courier New" w:cs="Courier New" w:eastAsia="Courier New" w:hAnsi="Courier New"/>
          <w:sz w:val="15"/>
          <w:szCs w:val="15"/>
          <w:color w:val="auto"/>
        </w:rPr>
        <w:t>One International Place</w:t>
      </w:r>
    </w:p>
    <w:p>
      <w:pPr>
        <w:ind w:left="1580"/>
        <w:spacing w:after="0"/>
        <w:rPr>
          <w:sz w:val="20"/>
          <w:szCs w:val="20"/>
          <w:color w:val="auto"/>
        </w:rPr>
      </w:pPr>
      <w:r>
        <w:rPr>
          <w:rFonts w:ascii="Courier New" w:cs="Courier New" w:eastAsia="Courier New" w:hAnsi="Courier New"/>
          <w:sz w:val="15"/>
          <w:szCs w:val="15"/>
          <w:color w:val="auto"/>
        </w:rPr>
        <w:t>Boston, Massachusetts 02110</w:t>
      </w:r>
    </w:p>
    <w:p>
      <w:pPr>
        <w:ind w:left="1580"/>
        <w:spacing w:after="0" w:line="238" w:lineRule="auto"/>
        <w:tabs>
          <w:tab w:leader="none" w:pos="28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(617) 951-7000</w:t>
      </w:r>
    </w:p>
    <w:p>
      <w:pPr>
        <w:ind w:left="1580"/>
        <w:spacing w:after="0"/>
        <w:tabs>
          <w:tab w:leader="none" w:pos="288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5"/>
          <w:szCs w:val="15"/>
          <w:color w:val="auto"/>
        </w:rPr>
        <w:t>(617) 951-7050</w:t>
      </w:r>
    </w:p>
    <w:p>
      <w:pPr>
        <w:ind w:left="1580"/>
        <w:spacing w:after="0"/>
        <w:tabs>
          <w:tab w:leader="none" w:pos="28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Geoffrey Davis</w:t>
      </w:r>
    </w:p>
    <w:p>
      <w:pPr>
        <w:sectPr>
          <w:pgSz w:w="11900" w:h="16838" w:orient="portrait"/>
          <w:cols w:equalWidth="0" w:num="1">
            <w:col w:w="10219"/>
          </w:cols>
          <w:pgMar w:left="240" w:top="622" w:right="1440" w:bottom="1440" w:gutter="0" w:footer="0" w:header="0"/>
        </w:sectPr>
      </w:pPr>
    </w:p>
    <w:bookmarkStart w:id="30" w:name="page31"/>
    <w:bookmarkEnd w:id="30"/>
    <w:p>
      <w:pPr>
        <w:ind w:left="780"/>
        <w:spacing w:after="0"/>
        <w:rPr>
          <w:sz w:val="20"/>
          <w:szCs w:val="20"/>
          <w:color w:val="auto"/>
        </w:rPr>
      </w:pPr>
      <w:r>
        <w:rPr>
          <w:rFonts w:ascii="Courier New" w:cs="Courier New" w:eastAsia="Courier New" w:hAnsi="Courier New"/>
          <w:sz w:val="15"/>
          <w:szCs w:val="15"/>
          <w:color w:val="auto"/>
        </w:rPr>
        <w:t>If to the Transfer Agent:</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EquiServe Trust Company, L.P.</w:t>
      </w:r>
    </w:p>
    <w:p>
      <w:pPr>
        <w:ind w:left="1580"/>
        <w:spacing w:after="0"/>
        <w:rPr>
          <w:sz w:val="20"/>
          <w:szCs w:val="20"/>
          <w:color w:val="auto"/>
        </w:rPr>
      </w:pPr>
      <w:r>
        <w:rPr>
          <w:rFonts w:ascii="Courier New" w:cs="Courier New" w:eastAsia="Courier New" w:hAnsi="Courier New"/>
          <w:sz w:val="15"/>
          <w:szCs w:val="15"/>
          <w:color w:val="auto"/>
        </w:rPr>
        <w:t>P.O. Box 8040</w:t>
      </w:r>
    </w:p>
    <w:p>
      <w:pPr>
        <w:ind w:left="1580"/>
        <w:spacing w:after="0"/>
        <w:rPr>
          <w:sz w:val="20"/>
          <w:szCs w:val="20"/>
          <w:color w:val="auto"/>
        </w:rPr>
      </w:pPr>
      <w:r>
        <w:rPr>
          <w:rFonts w:ascii="Courier New" w:cs="Courier New" w:eastAsia="Courier New" w:hAnsi="Courier New"/>
          <w:sz w:val="15"/>
          <w:szCs w:val="15"/>
          <w:color w:val="auto"/>
        </w:rPr>
        <w:t>Boston, Massachusetts 02266-8040</w:t>
      </w:r>
    </w:p>
    <w:p>
      <w:pPr>
        <w:ind w:left="1580"/>
        <w:spacing w:after="0" w:line="238" w:lineRule="auto"/>
        <w:rPr>
          <w:sz w:val="20"/>
          <w:szCs w:val="20"/>
          <w:color w:val="auto"/>
        </w:rPr>
      </w:pPr>
      <w:r>
        <w:rPr>
          <w:rFonts w:ascii="Courier New" w:cs="Courier New" w:eastAsia="Courier New" w:hAnsi="Courier New"/>
          <w:sz w:val="15"/>
          <w:szCs w:val="15"/>
          <w:color w:val="auto"/>
        </w:rPr>
        <w:t>Telephone: (781) 575-2130</w:t>
      </w:r>
    </w:p>
    <w:p>
      <w:pPr>
        <w:ind w:left="1580"/>
        <w:spacing w:after="0"/>
        <w:rPr>
          <w:sz w:val="20"/>
          <w:szCs w:val="20"/>
          <w:color w:val="auto"/>
        </w:rPr>
      </w:pPr>
      <w:r>
        <w:rPr>
          <w:rFonts w:ascii="Courier New" w:cs="Courier New" w:eastAsia="Courier New" w:hAnsi="Courier New"/>
          <w:sz w:val="15"/>
          <w:szCs w:val="15"/>
          <w:color w:val="auto"/>
        </w:rPr>
        <w:t>Facsimile: (781) 575-2549</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If to a Buyer, to its address and facsimile number set forth on the Schedule of Buyers, with copies to such Buyer's representatives as set forth on the Schedule of Buyers, 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w:t>
      </w:r>
    </w:p>
    <w:p>
      <w:pPr>
        <w:spacing w:after="0" w:line="177" w:lineRule="exact"/>
        <w:rPr>
          <w:sz w:val="20"/>
          <w:szCs w:val="20"/>
          <w:color w:val="auto"/>
        </w:rPr>
      </w:pPr>
    </w:p>
    <w:p>
      <w:pPr>
        <w:ind w:left="2380" w:hanging="803"/>
        <w:spacing w:after="0"/>
        <w:tabs>
          <w:tab w:leader="none" w:pos="23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be</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binding upon and inure to the benefit of the parties and their respective successors and assigns, including any purchasers of the Common Shares or the Warrants. The Company shall not assign this Agreement or any rights or obligations hereunder without the prior written consent of the holders of Common Shares representing at least a majority of the number of the Common Shares. A Buyer may assign some or all of its rights hereunder without the consent of the Company, in which event such assignee shall be deemed to be a Buyer hereunder with respect to such assigned rights.</w:t>
      </w:r>
    </w:p>
    <w:p>
      <w:pPr>
        <w:spacing w:after="0" w:line="171"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Third Party Beneficiaries. This Agreement is</w:t>
      </w:r>
    </w:p>
    <w:p>
      <w:pPr>
        <w:spacing w:after="0" w:line="5" w:lineRule="exact"/>
        <w:rPr>
          <w:rFonts w:ascii="Courier New" w:cs="Courier New" w:eastAsia="Courier New" w:hAnsi="Courier New"/>
          <w:sz w:val="15"/>
          <w:szCs w:val="15"/>
          <w:color w:val="auto"/>
        </w:rPr>
      </w:pPr>
    </w:p>
    <w:p>
      <w:pPr>
        <w:ind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intended for the benefit of the parties hereto and their respective permitted successors and assigns, and is not for the benefit of, nor may any provision hereof be enforced by, any other Person.</w:t>
      </w:r>
    </w:p>
    <w:p>
      <w:pPr>
        <w:spacing w:after="0" w:line="169"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Unless this Agreement is terminated under</w:t>
      </w:r>
    </w:p>
    <w:p>
      <w:pPr>
        <w:spacing w:after="0" w:line="5" w:lineRule="exact"/>
        <w:rPr>
          <w:rFonts w:ascii="Courier New" w:cs="Courier New" w:eastAsia="Courier New" w:hAnsi="Courier New"/>
          <w:sz w:val="15"/>
          <w:szCs w:val="15"/>
          <w:color w:val="auto"/>
        </w:rPr>
      </w:pPr>
    </w:p>
    <w:p>
      <w:pPr>
        <w:ind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 the representations and warranties of the Company and the Buyers contained in Sections 2 and 3, the agreements and covenants set forth in Sections 4, 5 and 9 shall survive the Closing. Each Buyer shall be responsible only for its own representations, warranties, agreements and covenants hereunder.</w:t>
      </w:r>
    </w:p>
    <w:p>
      <w:pPr>
        <w:spacing w:after="0" w:line="178" w:lineRule="exact"/>
        <w:rPr>
          <w:rFonts w:ascii="Courier New" w:cs="Courier New" w:eastAsia="Courier New" w:hAnsi="Courier New"/>
          <w:sz w:val="15"/>
          <w:szCs w:val="15"/>
          <w:color w:val="auto"/>
        </w:rPr>
      </w:pPr>
    </w:p>
    <w:p>
      <w:pPr>
        <w:ind w:right="3179" w:firstLine="1577"/>
        <w:spacing w:after="0" w:line="238" w:lineRule="auto"/>
        <w:tabs>
          <w:tab w:leader="none" w:pos="23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Courier New" w:cs="Courier New" w:eastAsia="Courier New" w:hAnsi="Courier New"/>
          <w:sz w:val="15"/>
          <w:szCs w:val="15"/>
          <w:color w:val="auto"/>
        </w:rPr>
      </w:pPr>
    </w:p>
    <w:p>
      <w:pPr>
        <w:ind w:right="3179" w:firstLine="1577"/>
        <w:spacing w:after="0" w:line="237" w:lineRule="auto"/>
        <w:tabs>
          <w:tab w:leader="none" w:pos="23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In consideration of each Buyer's execution and delivery of the Transaction Documents and acquiring the Securities thereunder and in addition to all of the Company's other obligations under the Transaction Documents, the Company shall defend,</w:t>
      </w:r>
    </w:p>
    <w:p>
      <w:pPr>
        <w:sectPr>
          <w:pgSz w:w="11900" w:h="16838" w:orient="portrait"/>
          <w:cols w:equalWidth="0" w:num="1">
            <w:col w:w="10219"/>
          </w:cols>
          <w:pgMar w:left="240" w:top="622" w:right="1440" w:bottom="1440" w:gutter="0" w:footer="0" w:header="0"/>
        </w:sectPr>
      </w:pPr>
    </w:p>
    <w:bookmarkStart w:id="31" w:name="page32"/>
    <w:bookmarkEnd w:id="31"/>
    <w:p>
      <w:pPr>
        <w:ind w:right="3179"/>
        <w:spacing w:after="0" w:line="239" w:lineRule="auto"/>
        <w:rPr>
          <w:sz w:val="20"/>
          <w:szCs w:val="20"/>
          <w:color w:val="auto"/>
        </w:rPr>
      </w:pPr>
      <w:r>
        <w:rPr>
          <w:rFonts w:ascii="Courier New" w:cs="Courier New" w:eastAsia="Courier New" w:hAnsi="Courier New"/>
          <w:sz w:val="15"/>
          <w:szCs w:val="15"/>
          <w:color w:val="auto"/>
        </w:rPr>
        <w:t>protect, indemnify and hold harmless each Buyer and each other holder of the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to the extent resulting from or relating to (a) any misrepresentation or breach of any representation or warranty made by the Company in the Transaction Documents or any other certificate, instrument or document contemplated hereby or thereby, (b) any breach of any covenant, agreement or obligation of the Company contained in the Transaction Documents or any other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the Transaction Documents or any other certificate, instrument or document contemplated hereby or thereby, (ii) any transaction financed or to be financed in whole or in part, directly or indirectly, with the proceeds of the issuance of the Securities, or (iii) the status of such Buyer or holder of the Securities as an investor in the Company.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Section 9(k) shall be the same as those set forth in Section 6 of the Registration Rights Agreement.</w:t>
      </w:r>
    </w:p>
    <w:p>
      <w:pPr>
        <w:spacing w:after="0" w:line="179" w:lineRule="exact"/>
        <w:rPr>
          <w:sz w:val="20"/>
          <w:szCs w:val="20"/>
          <w:color w:val="auto"/>
        </w:rPr>
      </w:pPr>
    </w:p>
    <w:p>
      <w:pPr>
        <w:jc w:val="both"/>
        <w:ind w:right="3179" w:firstLine="1577"/>
        <w:spacing w:after="0" w:line="237" w:lineRule="auto"/>
        <w:tabs>
          <w:tab w:leader="none" w:pos="23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Strict Construction. The language used in this Agreement will be deemed to be the language chosen by the parties to express their mutual intent, and no rules of strict construction will be applied against any party.</w:t>
      </w:r>
    </w:p>
    <w:p>
      <w:pPr>
        <w:spacing w:after="0" w:line="170"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Each Buyer and each holder of the</w:t>
      </w:r>
    </w:p>
    <w:p>
      <w:pPr>
        <w:spacing w:after="0" w:line="5" w:lineRule="exact"/>
        <w:rPr>
          <w:rFonts w:ascii="Courier New" w:cs="Courier New" w:eastAsia="Courier New" w:hAnsi="Courier New"/>
          <w:sz w:val="15"/>
          <w:szCs w:val="15"/>
          <w:color w:val="auto"/>
        </w:rPr>
      </w:pPr>
    </w:p>
    <w:p>
      <w:pPr>
        <w:ind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fails to perform, observe, or discharge any or all of its obligations under this Agreement, any remedy at law may prove to be inadequate relief to the Buyers. The Company therefore agrees that the Buyers shall be entitled to seek temporary and permanent injunctive relief in any such case without the necessity of proving actual damages and without posting a bond or other security.</w:t>
      </w:r>
    </w:p>
    <w:p>
      <w:pPr>
        <w:spacing w:after="0" w:line="159" w:lineRule="exact"/>
        <w:rPr>
          <w:rFonts w:ascii="Courier New" w:cs="Courier New" w:eastAsia="Courier New" w:hAnsi="Courier New"/>
          <w:sz w:val="15"/>
          <w:szCs w:val="15"/>
          <w:color w:val="auto"/>
        </w:rPr>
      </w:pPr>
    </w:p>
    <w:p>
      <w:pPr>
        <w:ind w:left="2380" w:hanging="803"/>
        <w:spacing w:after="0"/>
        <w:tabs>
          <w:tab w:leader="none" w:pos="23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Set Aside. To the extent that the Company</w:t>
      </w:r>
    </w:p>
    <w:p>
      <w:pPr>
        <w:spacing w:after="0" w:line="5" w:lineRule="exact"/>
        <w:rPr>
          <w:rFonts w:ascii="Courier New" w:cs="Courier New" w:eastAsia="Courier New" w:hAnsi="Courier New"/>
          <w:sz w:val="15"/>
          <w:szCs w:val="15"/>
          <w:color w:val="auto"/>
        </w:rPr>
      </w:pPr>
    </w:p>
    <w:p>
      <w:pPr>
        <w:ind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makes a payment or payments to the Buyers hereunder or pursuant to any of the other Transaction Documents or the Buyers enforce or exercise their rights hereunder or thereunder, and such payment or payments</w:t>
      </w:r>
    </w:p>
    <w:p>
      <w:pPr>
        <w:sectPr>
          <w:pgSz w:w="11900" w:h="16838" w:orient="portrait"/>
          <w:cols w:equalWidth="0" w:num="1">
            <w:col w:w="10219"/>
          </w:cols>
          <w:pgMar w:left="240" w:top="627" w:right="1440" w:bottom="1440" w:gutter="0" w:footer="0" w:header="0"/>
        </w:sectPr>
      </w:pPr>
    </w:p>
    <w:bookmarkStart w:id="32" w:name="page33"/>
    <w:bookmarkEnd w:id="32"/>
    <w:p>
      <w:pPr>
        <w:ind w:right="3179"/>
        <w:spacing w:after="0" w:line="238" w:lineRule="auto"/>
        <w:rPr>
          <w:sz w:val="20"/>
          <w:szCs w:val="20"/>
          <w:color w:val="auto"/>
        </w:rPr>
      </w:pPr>
      <w:r>
        <w:rPr>
          <w:rFonts w:ascii="Courier New" w:cs="Courier New" w:eastAsia="Courier New" w:hAnsi="Courier New"/>
          <w:sz w:val="15"/>
          <w:szCs w:val="15"/>
          <w:color w:val="auto"/>
        </w:rPr>
        <w:t>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79" w:lineRule="exact"/>
        <w:rPr>
          <w:sz w:val="20"/>
          <w:szCs w:val="20"/>
          <w:color w:val="auto"/>
        </w:rPr>
      </w:pPr>
    </w:p>
    <w:p>
      <w:pPr>
        <w:ind w:right="3179" w:firstLine="1577"/>
        <w:spacing w:after="0" w:line="257" w:lineRule="auto"/>
        <w:tabs>
          <w:tab w:leader="none" w:pos="23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Nature of Buyers' Obligations and Rights. The obligations of each Buyer under any Transaction Document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 partnership, an association, a joint venture or any other kind of entity, or create a presumption that the Buyers are in any way acting in concert or as a group with respect to such obligations or the transactions contemplated by the Transaction Documents. Each Buyer confirms that it has independently participated in the negotiation of the transaction contemplated hereby with the advice of its own counsel and advisors. Each Buyer shall be entitled to independently protect and enforce its rights, including, without limitations, the rights arising out of this Agreement or out of any other Transaction Documents, and it shall not be necessary for any other Buyer to be joined as an additional party in any proceeding for such purpose.</w:t>
      </w:r>
    </w:p>
    <w:p>
      <w:pPr>
        <w:spacing w:after="0" w:line="164"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IN WITNESS WHEREOF, each Buyer and the Company have caused this Securities Purchase Agreement to be duly executed as of the date first written above.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66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BUYERS:</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STEMCELLS, INC.</w:t>
            </w:r>
          </w:p>
        </w:tc>
        <w:tc>
          <w:tcPr>
            <w:tcW w:w="1320" w:type="dxa"/>
            <w:vAlign w:val="bottom"/>
          </w:tcPr>
          <w:p>
            <w:pPr>
              <w:ind w:left="1000"/>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RIVERVIEW</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GROUP,</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LLC</w:t>
            </w: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By: /s/ Iris Brest</w:t>
            </w:r>
          </w:p>
        </w:tc>
        <w:tc>
          <w:tcPr>
            <w:tcW w:w="1320" w:type="dxa"/>
            <w:vAlign w:val="bottom"/>
          </w:tcPr>
          <w:p>
            <w:pPr>
              <w:ind w:left="1000"/>
              <w:spacing w:after="0"/>
              <w:rPr>
                <w:sz w:val="20"/>
                <w:szCs w:val="20"/>
                <w:color w:val="auto"/>
              </w:rPr>
            </w:pPr>
            <w:r>
              <w:rPr>
                <w:rFonts w:ascii="Courier New" w:cs="Courier New" w:eastAsia="Courier New" w:hAnsi="Courier New"/>
                <w:sz w:val="15"/>
                <w:szCs w:val="15"/>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Terry</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Feeney</w:t>
            </w:r>
          </w:p>
        </w:tc>
        <w:tc>
          <w:tcPr>
            <w:tcW w:w="300" w:type="dxa"/>
            <w:vAlign w:val="bottom"/>
          </w:tcPr>
          <w:p>
            <w:pPr>
              <w:spacing w:after="0"/>
              <w:rPr>
                <w:sz w:val="24"/>
                <w:szCs w:val="24"/>
                <w:color w:val="auto"/>
              </w:rPr>
            </w:pPr>
          </w:p>
        </w:tc>
      </w:tr>
    </w:tbl>
    <w:p>
      <w:pPr>
        <w:spacing w:after="0" w:line="5" w:lineRule="exact"/>
        <w:rPr>
          <w:sz w:val="20"/>
          <w:szCs w:val="20"/>
          <w:color w:val="auto"/>
        </w:rPr>
      </w:pPr>
    </w:p>
    <w:p>
      <w:pPr>
        <w:sectPr>
          <w:pgSz w:w="11900" w:h="16838" w:orient="portrait"/>
          <w:cols w:equalWidth="0" w:num="1">
            <w:col w:w="10219"/>
          </w:cols>
          <w:pgMar w:left="240" w:top="627" w:right="1440" w:bottom="1440" w:gutter="0" w:footer="0" w:header="0"/>
        </w:sectPr>
      </w:pPr>
    </w:p>
    <w:p>
      <w:pPr>
        <w:ind w:left="340" w:right="520"/>
        <w:spacing w:after="0" w:line="237" w:lineRule="auto"/>
        <w:rPr>
          <w:sz w:val="20"/>
          <w:szCs w:val="20"/>
          <w:color w:val="auto"/>
        </w:rPr>
      </w:pPr>
      <w:r>
        <w:rPr>
          <w:rFonts w:ascii="Courier New" w:cs="Courier New" w:eastAsia="Courier New" w:hAnsi="Courier New"/>
          <w:sz w:val="15"/>
          <w:szCs w:val="15"/>
          <w:color w:val="auto"/>
        </w:rPr>
        <w:t>--------------------------- Name: Iris Brest Title: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Terry Feeney</w:t>
      </w:r>
    </w:p>
    <w:p>
      <w:pPr>
        <w:spacing w:after="0"/>
        <w:rPr>
          <w:sz w:val="20"/>
          <w:szCs w:val="20"/>
          <w:color w:val="auto"/>
        </w:rPr>
      </w:pPr>
      <w:r>
        <w:rPr>
          <w:rFonts w:ascii="Courier New" w:cs="Courier New" w:eastAsia="Courier New" w:hAnsi="Courier New"/>
          <w:sz w:val="15"/>
          <w:szCs w:val="15"/>
          <w:color w:val="auto"/>
        </w:rPr>
        <w:t>Title: Chief Operating Officer</w:t>
      </w:r>
    </w:p>
    <w:p>
      <w:pPr>
        <w:sectPr>
          <w:pgSz w:w="11900" w:h="16838" w:orient="portrait"/>
          <w:cols w:equalWidth="0" w:num="2">
            <w:col w:w="3240" w:space="720"/>
            <w:col w:w="6259"/>
          </w:cols>
          <w:pgMar w:left="240" w:top="627" w:right="1440" w:bottom="1440" w:gutter="0" w:footer="0" w:header="0"/>
          <w:type w:val="continuous"/>
        </w:sectPr>
      </w:pPr>
    </w:p>
    <w:bookmarkStart w:id="33" w:name="page34"/>
    <w:bookmarkEnd w:id="33"/>
    <w:tbl>
      <w:tblPr>
        <w:tblLayout w:type="fixed"/>
        <w:tblInd w:w="60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35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SCHEDULE OF BUYERS</w:t>
            </w:r>
          </w:p>
        </w:tc>
        <w:tc>
          <w:tcPr>
            <w:tcW w:w="1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678"/>
        </w:trPr>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w:t>
            </w:r>
          </w:p>
        </w:tc>
        <w:tc>
          <w:tcPr>
            <w:tcW w:w="3580" w:type="dxa"/>
            <w:vAlign w:val="bottom"/>
          </w:tcPr>
          <w:p>
            <w:pPr>
              <w:jc w:val="right"/>
              <w:ind w:right="1567"/>
              <w:spacing w:after="0"/>
              <w:rPr>
                <w:sz w:val="20"/>
                <w:szCs w:val="20"/>
                <w:color w:val="auto"/>
              </w:rPr>
            </w:pPr>
            <w:r>
              <w:rPr>
                <w:rFonts w:ascii="Courier New" w:cs="Courier New" w:eastAsia="Courier New" w:hAnsi="Courier New"/>
                <w:sz w:val="15"/>
                <w:szCs w:val="15"/>
                <w:color w:val="auto"/>
              </w:rPr>
              <w:t>(2)</w:t>
            </w: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620" w:type="dxa"/>
            <w:vAlign w:val="bottom"/>
          </w:tcPr>
          <w:p>
            <w:pPr>
              <w:spacing w:after="0"/>
              <w:rPr>
                <w:sz w:val="24"/>
                <w:szCs w:val="24"/>
                <w:color w:val="auto"/>
              </w:rPr>
            </w:pPr>
          </w:p>
        </w:tc>
        <w:tc>
          <w:tcPr>
            <w:tcW w:w="28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(5)</w:t>
            </w:r>
          </w:p>
        </w:tc>
      </w:tr>
      <w:tr>
        <w:trPr>
          <w:trHeight w:val="170"/>
        </w:trPr>
        <w:tc>
          <w:tcPr>
            <w:tcW w:w="1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NUMBER OF</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170"/>
        </w:trPr>
        <w:tc>
          <w:tcPr>
            <w:tcW w:w="1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60" w:type="dxa"/>
            <w:vAlign w:val="bottom"/>
          </w:tcPr>
          <w:p>
            <w:pPr>
              <w:ind w:left="560"/>
              <w:spacing w:after="0"/>
              <w:rPr>
                <w:sz w:val="20"/>
                <w:szCs w:val="20"/>
                <w:color w:val="auto"/>
              </w:rPr>
            </w:pPr>
            <w:r>
              <w:rPr>
                <w:rFonts w:ascii="Courier New" w:cs="Courier New" w:eastAsia="Courier New" w:hAnsi="Courier New"/>
                <w:sz w:val="15"/>
                <w:szCs w:val="15"/>
                <w:color w:val="auto"/>
              </w:rPr>
              <w:t>COMMON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OF</w:t>
            </w:r>
          </w:p>
        </w:tc>
        <w:tc>
          <w:tcPr>
            <w:tcW w:w="2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LEGAL REPRESENTATIVE'S</w:t>
            </w:r>
          </w:p>
        </w:tc>
      </w:tr>
      <w:tr>
        <w:trPr>
          <w:trHeight w:val="170"/>
        </w:trPr>
        <w:tc>
          <w:tcPr>
            <w:tcW w:w="106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7"/>
              </w:rPr>
              <w:t>BUYER</w:t>
            </w:r>
          </w:p>
        </w:tc>
        <w:tc>
          <w:tcPr>
            <w:tcW w:w="35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ADDRESS AND FACSIMILE NUMBER</w:t>
            </w:r>
          </w:p>
        </w:tc>
        <w:tc>
          <w:tcPr>
            <w:tcW w:w="1660" w:type="dxa"/>
            <w:vAlign w:val="bottom"/>
          </w:tcPr>
          <w:p>
            <w:pPr>
              <w:ind w:left="560"/>
              <w:spacing w:after="0"/>
              <w:rPr>
                <w:sz w:val="20"/>
                <w:szCs w:val="20"/>
                <w:color w:val="auto"/>
              </w:rPr>
            </w:pPr>
            <w:r>
              <w:rPr>
                <w:rFonts w:ascii="Courier New" w:cs="Courier New" w:eastAsia="Courier New" w:hAnsi="Courier New"/>
                <w:sz w:val="15"/>
                <w:szCs w:val="15"/>
                <w:color w:val="auto"/>
              </w:rPr>
              <w:t>SHARES</w:t>
            </w:r>
          </w:p>
        </w:tc>
        <w:tc>
          <w:tcPr>
            <w:tcW w:w="16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WARRANTS</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ADDRESS AND FACSIMILE NUMBER</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THE RIVERVIEW GROUP,</w:t>
            </w:r>
          </w:p>
        </w:tc>
        <w:tc>
          <w:tcPr>
            <w:tcW w:w="31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666 Fifth Avenue, 8th floor</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4,000,000</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1,898,000</w:t>
            </w:r>
          </w:p>
        </w:tc>
        <w:tc>
          <w:tcPr>
            <w:tcW w:w="26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Schulte Roth &amp; Zabel LLP</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LLC</w:t>
            </w:r>
          </w:p>
        </w:tc>
        <w:tc>
          <w:tcPr>
            <w:tcW w:w="31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New York, New York 10103</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60" w:type="dxa"/>
            <w:vAlign w:val="bottom"/>
          </w:tcPr>
          <w:p>
            <w:pPr>
              <w:ind w:left="400"/>
              <w:spacing w:after="0"/>
              <w:rPr>
                <w:sz w:val="20"/>
                <w:szCs w:val="20"/>
                <w:color w:val="auto"/>
              </w:rPr>
            </w:pPr>
            <w:r>
              <w:rPr>
                <w:rFonts w:ascii="Courier New" w:cs="Courier New" w:eastAsia="Courier New" w:hAnsi="Courier New"/>
                <w:sz w:val="15"/>
                <w:szCs w:val="15"/>
                <w:color w:val="auto"/>
                <w:w w:val="99"/>
              </w:rPr>
              <w:t>919 Third Avenue</w:t>
            </w:r>
          </w:p>
        </w:tc>
        <w:tc>
          <w:tcPr>
            <w:tcW w:w="740" w:type="dxa"/>
            <w:vAlign w:val="bottom"/>
          </w:tcPr>
          <w:p>
            <w:pPr>
              <w:spacing w:after="0"/>
              <w:rPr>
                <w:sz w:val="14"/>
                <w:szCs w:val="14"/>
                <w:color w:val="auto"/>
              </w:rPr>
            </w:pPr>
          </w:p>
        </w:tc>
      </w:tr>
      <w:tr>
        <w:trPr>
          <w:trHeight w:val="170"/>
        </w:trPr>
        <w:tc>
          <w:tcPr>
            <w:tcW w:w="2060" w:type="dxa"/>
            <w:vAlign w:val="bottom"/>
          </w:tcPr>
          <w:p>
            <w:pPr>
              <w:spacing w:after="0"/>
              <w:rPr>
                <w:sz w:val="14"/>
                <w:szCs w:val="14"/>
                <w:color w:val="auto"/>
              </w:rPr>
            </w:pPr>
          </w:p>
        </w:tc>
        <w:tc>
          <w:tcPr>
            <w:tcW w:w="31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Attention: Manager</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New York, NY 10022</w:t>
            </w:r>
          </w:p>
        </w:tc>
      </w:tr>
      <w:tr>
        <w:trPr>
          <w:trHeight w:val="170"/>
        </w:trPr>
        <w:tc>
          <w:tcPr>
            <w:tcW w:w="2060" w:type="dxa"/>
            <w:vAlign w:val="bottom"/>
          </w:tcPr>
          <w:p>
            <w:pPr>
              <w:spacing w:after="0"/>
              <w:rPr>
                <w:sz w:val="14"/>
                <w:szCs w:val="14"/>
                <w:color w:val="auto"/>
              </w:rPr>
            </w:pPr>
          </w:p>
        </w:tc>
        <w:tc>
          <w:tcPr>
            <w:tcW w:w="1760" w:type="dxa"/>
            <w:vAlign w:val="bottom"/>
          </w:tcPr>
          <w:p>
            <w:pPr>
              <w:ind w:left="320"/>
              <w:spacing w:after="0"/>
              <w:rPr>
                <w:sz w:val="20"/>
                <w:szCs w:val="20"/>
                <w:color w:val="auto"/>
              </w:rPr>
            </w:pPr>
            <w:r>
              <w:rPr>
                <w:rFonts w:ascii="Courier New" w:cs="Courier New" w:eastAsia="Courier New" w:hAnsi="Courier New"/>
                <w:sz w:val="15"/>
                <w:szCs w:val="15"/>
                <w:color w:val="auto"/>
                <w:w w:val="98"/>
              </w:rPr>
              <w:t>Facsimile: (212)</w:t>
            </w:r>
          </w:p>
        </w:tc>
        <w:tc>
          <w:tcPr>
            <w:tcW w:w="1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841-4141</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6"/>
              </w:rPr>
              <w:t>Attn: Eleazer Klein, Esq.</w:t>
            </w:r>
          </w:p>
        </w:tc>
      </w:tr>
      <w:tr>
        <w:trPr>
          <w:trHeight w:val="170"/>
        </w:trPr>
        <w:tc>
          <w:tcPr>
            <w:tcW w:w="2060" w:type="dxa"/>
            <w:vAlign w:val="bottom"/>
          </w:tcPr>
          <w:p>
            <w:pPr>
              <w:spacing w:after="0"/>
              <w:rPr>
                <w:sz w:val="14"/>
                <w:szCs w:val="14"/>
                <w:color w:val="auto"/>
              </w:rPr>
            </w:pPr>
          </w:p>
        </w:tc>
        <w:tc>
          <w:tcPr>
            <w:tcW w:w="1760" w:type="dxa"/>
            <w:vAlign w:val="bottom"/>
          </w:tcPr>
          <w:p>
            <w:pPr>
              <w:ind w:left="320"/>
              <w:spacing w:after="0"/>
              <w:rPr>
                <w:sz w:val="20"/>
                <w:szCs w:val="20"/>
                <w:color w:val="auto"/>
              </w:rPr>
            </w:pPr>
            <w:r>
              <w:rPr>
                <w:rFonts w:ascii="Courier New" w:cs="Courier New" w:eastAsia="Courier New" w:hAnsi="Courier New"/>
                <w:sz w:val="15"/>
                <w:szCs w:val="15"/>
                <w:color w:val="auto"/>
                <w:w w:val="98"/>
              </w:rPr>
              <w:t>Telephone: (212)</w:t>
            </w:r>
          </w:p>
        </w:tc>
        <w:tc>
          <w:tcPr>
            <w:tcW w:w="1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841-4100</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60" w:type="dxa"/>
            <w:vAlign w:val="bottom"/>
          </w:tcPr>
          <w:p>
            <w:pPr>
              <w:ind w:left="400"/>
              <w:spacing w:after="0"/>
              <w:rPr>
                <w:sz w:val="20"/>
                <w:szCs w:val="20"/>
                <w:color w:val="auto"/>
              </w:rPr>
            </w:pPr>
            <w:r>
              <w:rPr>
                <w:rFonts w:ascii="Courier New" w:cs="Courier New" w:eastAsia="Courier New" w:hAnsi="Courier New"/>
                <w:sz w:val="15"/>
                <w:szCs w:val="15"/>
                <w:color w:val="auto"/>
                <w:w w:val="99"/>
              </w:rPr>
              <w:t>Facsimile: (212)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593-5955</w:t>
            </w:r>
          </w:p>
        </w:tc>
      </w:tr>
      <w:tr>
        <w:trPr>
          <w:trHeight w:val="170"/>
        </w:trPr>
        <w:tc>
          <w:tcPr>
            <w:tcW w:w="2060" w:type="dxa"/>
            <w:vAlign w:val="bottom"/>
          </w:tcPr>
          <w:p>
            <w:pPr>
              <w:spacing w:after="0"/>
              <w:rPr>
                <w:sz w:val="14"/>
                <w:szCs w:val="14"/>
                <w:color w:val="auto"/>
              </w:rPr>
            </w:pPr>
          </w:p>
        </w:tc>
        <w:tc>
          <w:tcPr>
            <w:tcW w:w="31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Residence: New York</w:t>
            </w: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60" w:type="dxa"/>
            <w:vAlign w:val="bottom"/>
          </w:tcPr>
          <w:p>
            <w:pPr>
              <w:ind w:left="400"/>
              <w:spacing w:after="0"/>
              <w:rPr>
                <w:sz w:val="20"/>
                <w:szCs w:val="20"/>
                <w:color w:val="auto"/>
              </w:rPr>
            </w:pPr>
            <w:r>
              <w:rPr>
                <w:rFonts w:ascii="Courier New" w:cs="Courier New" w:eastAsia="Courier New" w:hAnsi="Courier New"/>
                <w:sz w:val="15"/>
                <w:szCs w:val="15"/>
                <w:color w:val="auto"/>
                <w:w w:val="99"/>
              </w:rPr>
              <w:t>Telephone: (212)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756-2000</w:t>
            </w:r>
          </w:p>
        </w:tc>
      </w:tr>
    </w:tbl>
    <w:p>
      <w:pPr>
        <w:sectPr>
          <w:pgSz w:w="11900" w:h="16838" w:orient="portrait"/>
          <w:cols w:equalWidth="0" w:num="1">
            <w:col w:w="11520"/>
          </w:cols>
          <w:pgMar w:left="240" w:top="622" w:right="139" w:bottom="1440" w:gutter="0" w:footer="0" w:header="0"/>
        </w:sectPr>
      </w:pPr>
    </w:p>
    <w:bookmarkStart w:id="34" w:name="page35"/>
    <w:bookmarkEnd w:id="34"/>
    <w:p>
      <w:pPr>
        <w:ind w:left="3160"/>
        <w:spacing w:after="0"/>
        <w:rPr>
          <w:sz w:val="20"/>
          <w:szCs w:val="20"/>
          <w:color w:val="auto"/>
        </w:rPr>
      </w:pPr>
      <w:r>
        <w:rPr>
          <w:rFonts w:ascii="Courier New" w:cs="Courier New" w:eastAsia="Courier New" w:hAnsi="Courier New"/>
          <w:sz w:val="14"/>
          <w:szCs w:val="14"/>
          <w:color w:val="auto"/>
        </w:rPr>
        <w:t>EXHIBITS</w:t>
      </w:r>
    </w:p>
    <w:p>
      <w:pPr>
        <w:sectPr>
          <w:pgSz w:w="11900" w:h="16838" w:orient="portrait"/>
          <w:cols w:equalWidth="0" w:num="1">
            <w:col w:w="10219"/>
          </w:cols>
          <w:pgMar w:left="240" w:top="627"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Warrants</w:t>
      </w:r>
    </w:p>
    <w:p>
      <w:pPr>
        <w:spacing w:after="0"/>
        <w:rPr>
          <w:sz w:val="20"/>
          <w:szCs w:val="20"/>
          <w:color w:val="auto"/>
        </w:rPr>
      </w:pPr>
      <w:r>
        <w:rPr>
          <w:rFonts w:ascii="Courier New" w:cs="Courier New" w:eastAsia="Courier New" w:hAnsi="Courier New"/>
          <w:sz w:val="15"/>
          <w:szCs w:val="15"/>
          <w:color w:val="auto"/>
        </w:rPr>
        <w:t>Form of Registration Rights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Irrevocable Transfer Agent Instructions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Buyer Certificate</w:t>
      </w:r>
    </w:p>
    <w:p>
      <w:pPr>
        <w:spacing w:after="0"/>
        <w:rPr>
          <w:sz w:val="20"/>
          <w:szCs w:val="20"/>
          <w:color w:val="auto"/>
        </w:rPr>
      </w:pPr>
      <w:r>
        <w:rPr>
          <w:rFonts w:ascii="Courier New" w:cs="Courier New" w:eastAsia="Courier New" w:hAnsi="Courier New"/>
          <w:sz w:val="15"/>
          <w:szCs w:val="15"/>
          <w:color w:val="auto"/>
        </w:rPr>
        <w:t>Form of Company Counsel Opinion</w:t>
      </w:r>
    </w:p>
    <w:p>
      <w:pPr>
        <w:spacing w:after="0"/>
        <w:rPr>
          <w:sz w:val="20"/>
          <w:szCs w:val="20"/>
          <w:color w:val="auto"/>
        </w:rPr>
      </w:pPr>
      <w:r>
        <w:rPr>
          <w:rFonts w:ascii="Courier New" w:cs="Courier New" w:eastAsia="Courier New" w:hAnsi="Courier New"/>
          <w:sz w:val="15"/>
          <w:szCs w:val="15"/>
          <w:color w:val="auto"/>
        </w:rPr>
        <w:t>Form of Secretary's Certificate</w:t>
      </w:r>
    </w:p>
    <w:p>
      <w:pPr>
        <w:spacing w:after="0" w:line="238" w:lineRule="auto"/>
        <w:rPr>
          <w:sz w:val="20"/>
          <w:szCs w:val="20"/>
          <w:color w:val="auto"/>
        </w:rPr>
      </w:pPr>
      <w:r>
        <w:rPr>
          <w:rFonts w:ascii="Courier New" w:cs="Courier New" w:eastAsia="Courier New" w:hAnsi="Courier New"/>
          <w:sz w:val="15"/>
          <w:szCs w:val="15"/>
          <w:color w:val="auto"/>
        </w:rPr>
        <w:t>Form of Officer's Certificate</w:t>
      </w:r>
    </w:p>
    <w:p>
      <w:pPr>
        <w:spacing w:after="0" w:line="175" w:lineRule="exact"/>
        <w:rPr>
          <w:sz w:val="20"/>
          <w:szCs w:val="20"/>
          <w:color w:val="auto"/>
        </w:rPr>
      </w:pPr>
    </w:p>
    <w:p>
      <w:pPr>
        <w:sectPr>
          <w:pgSz w:w="11900" w:h="16838" w:orient="portrait"/>
          <w:cols w:equalWidth="0" w:num="2">
            <w:col w:w="860" w:space="720"/>
            <w:col w:w="8639"/>
          </w:cols>
          <w:pgMar w:left="240" w:top="627"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10219"/>
          </w:cols>
          <w:pgMar w:left="240" w:top="627"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3(w)</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4(j)</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Consents</w:t>
      </w:r>
    </w:p>
    <w:p>
      <w:pPr>
        <w:spacing w:after="0"/>
        <w:rPr>
          <w:sz w:val="20"/>
          <w:szCs w:val="20"/>
          <w:color w:val="auto"/>
        </w:rPr>
      </w:pPr>
      <w:r>
        <w:rPr>
          <w:rFonts w:ascii="Courier New" w:cs="Courier New" w:eastAsia="Courier New" w:hAnsi="Courier New"/>
          <w:sz w:val="15"/>
          <w:szCs w:val="15"/>
          <w:color w:val="auto"/>
        </w:rPr>
        <w:t>Absence of Certain Changes</w:t>
      </w: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Registration Statements</w:t>
      </w:r>
    </w:p>
    <w:p>
      <w:pPr>
        <w:sectPr>
          <w:pgSz w:w="11900" w:h="16838" w:orient="portrait"/>
          <w:cols w:equalWidth="0" w:num="2">
            <w:col w:w="1660" w:space="720"/>
            <w:col w:w="7839"/>
          </w:cols>
          <w:pgMar w:left="240" w:top="627" w:right="1440" w:bottom="1440" w:gutter="0" w:footer="0" w:header="0"/>
          <w:type w:val="continuous"/>
        </w:sectPr>
      </w:pPr>
    </w:p>
    <w:bookmarkStart w:id="35" w:name="page36"/>
    <w:bookmarkEnd w:id="35"/>
    <w:p>
      <w:pPr>
        <w:ind w:left="2980"/>
        <w:spacing w:after="0"/>
        <w:rPr>
          <w:sz w:val="20"/>
          <w:szCs w:val="20"/>
          <w:color w:val="auto"/>
        </w:rPr>
      </w:pPr>
      <w:r>
        <w:rPr>
          <w:rFonts w:ascii="Courier New" w:cs="Courier New" w:eastAsia="Courier New" w:hAnsi="Courier New"/>
          <w:sz w:val="15"/>
          <w:szCs w:val="15"/>
          <w:color w:val="auto"/>
        </w:rPr>
        <w:t>SCHEDULE 3(e)</w:t>
      </w:r>
    </w:p>
    <w:p>
      <w:pPr>
        <w:spacing w:after="0" w:line="175"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The Company received a letter from Nasdaq on April 22, 2003 informing it that the Company's closing bid price was below $1.00 for thirty consecutive days.</w:t>
      </w:r>
    </w:p>
    <w:p>
      <w:pPr>
        <w:sectPr>
          <w:pgSz w:w="11900" w:h="16838" w:orient="portrait"/>
          <w:cols w:equalWidth="0" w:num="1">
            <w:col w:w="10219"/>
          </w:cols>
          <w:pgMar w:left="240" w:top="622" w:right="1440" w:bottom="1440" w:gutter="0" w:footer="0" w:header="0"/>
        </w:sectPr>
      </w:pPr>
    </w:p>
    <w:bookmarkStart w:id="36" w:name="page37"/>
    <w:bookmarkEnd w:id="36"/>
    <w:p>
      <w:pPr>
        <w:jc w:val="right"/>
        <w:ind w:right="6079"/>
        <w:spacing w:after="0"/>
        <w:rPr>
          <w:sz w:val="20"/>
          <w:szCs w:val="20"/>
          <w:color w:val="auto"/>
        </w:rPr>
      </w:pPr>
      <w:r>
        <w:rPr>
          <w:rFonts w:ascii="Courier New" w:cs="Courier New" w:eastAsia="Courier New" w:hAnsi="Courier New"/>
          <w:sz w:val="15"/>
          <w:szCs w:val="15"/>
          <w:color w:val="auto"/>
        </w:rPr>
        <w:t>SCHEDULE 3(l)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22" w:right="1440" w:bottom="1440" w:gutter="0" w:footer="0" w:header="0"/>
        </w:sectPr>
      </w:pPr>
    </w:p>
    <w:bookmarkStart w:id="37" w:name="page38"/>
    <w:bookmarkEnd w:id="37"/>
    <w:p>
      <w:pPr>
        <w:jc w:val="right"/>
        <w:ind w:right="6079"/>
        <w:spacing w:after="0"/>
        <w:rPr>
          <w:sz w:val="20"/>
          <w:szCs w:val="20"/>
          <w:color w:val="auto"/>
        </w:rPr>
      </w:pPr>
      <w:r>
        <w:rPr>
          <w:rFonts w:ascii="Courier New" w:cs="Courier New" w:eastAsia="Courier New" w:hAnsi="Courier New"/>
          <w:sz w:val="15"/>
          <w:szCs w:val="15"/>
          <w:color w:val="auto"/>
        </w:rPr>
        <w:t>SCHEDULE 3(w)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22" w:right="1440" w:bottom="1440" w:gutter="0" w:footer="0" w:header="0"/>
        </w:sectPr>
      </w:pPr>
    </w:p>
    <w:bookmarkStart w:id="38" w:name="page39"/>
    <w:bookmarkEnd w:id="38"/>
    <w:p>
      <w:pPr>
        <w:jc w:val="center"/>
        <w:ind w:right="3099"/>
        <w:spacing w:after="0"/>
        <w:rPr>
          <w:sz w:val="20"/>
          <w:szCs w:val="20"/>
          <w:color w:val="auto"/>
        </w:rPr>
      </w:pPr>
      <w:r>
        <w:rPr>
          <w:rFonts w:ascii="Courier New" w:cs="Courier New" w:eastAsia="Courier New" w:hAnsi="Courier New"/>
          <w:sz w:val="15"/>
          <w:szCs w:val="15"/>
          <w:color w:val="auto"/>
        </w:rPr>
        <w:t>SCHEDULE 4(j)</w:t>
      </w:r>
    </w:p>
    <w:p>
      <w:pPr>
        <w:spacing w:after="0" w:line="175"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Pursuant to an Agreement dated April 9, 2003 between the Company and Riverview Group, L.L.C. ("Riverview"), the Company will file a registration statement covering the resale by Riverview of shares of the Company's common stock.</w:t>
      </w:r>
    </w:p>
    <w:sectPr>
      <w:pgSz w:w="11900" w:h="16838" w:orient="portrait"/>
      <w:cols w:equalWidth="0" w:num="1">
        <w:col w:w="10219"/>
      </w:cols>
      <w:pgMar w:left="240" w:top="6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lowerLetter"/>
      <w:start w:val="3"/>
    </w:lvl>
  </w:abstractNum>
  <w:abstractNum w:abstractNumId="1">
    <w:nsid w:val="2443A858"/>
    <w:multiLevelType w:val="hybridMultilevel"/>
    <w:lvl w:ilvl="0">
      <w:lvlJc w:val="left"/>
      <w:lvlText w:val="%1."/>
      <w:numFmt w:val="upperLetter"/>
      <w:start w:val="1"/>
    </w:lvl>
  </w:abstractNum>
  <w:abstractNum w:abstractNumId="2">
    <w:nsid w:val="2D1D5AE9"/>
    <w:multiLevelType w:val="hybridMultilevel"/>
    <w:lvl w:ilvl="0">
      <w:lvlJc w:val="left"/>
      <w:lvlText w:val="%1."/>
      <w:numFmt w:val="decimal"/>
      <w:start w:val="1"/>
    </w:lvl>
    <w:lvl w:ilvl="1">
      <w:lvlJc w:val="left"/>
      <w:lvlText w:val="(%2)"/>
      <w:numFmt w:val="lowerLetter"/>
      <w:start w:val="1"/>
    </w:lvl>
  </w:abstractNum>
  <w:abstractNum w:abstractNumId="3">
    <w:nsid w:val="6763845E"/>
    <w:multiLevelType w:val="hybridMultilevel"/>
    <w:lvl w:ilvl="0">
      <w:lvlJc w:val="left"/>
      <w:lvlText w:val="%1"/>
      <w:numFmt w:val="decimal"/>
      <w:start w:val="1"/>
    </w:lvl>
    <w:lvl w:ilvl="1">
      <w:lvlJc w:val="left"/>
      <w:lvlText w:val="(%2)"/>
      <w:numFmt w:val="lowerLetter"/>
      <w:start w:val="2"/>
    </w:lvl>
  </w:abstractNum>
  <w:abstractNum w:abstractNumId="4">
    <w:nsid w:val="75A2A8D4"/>
    <w:multiLevelType w:val="hybridMultilevel"/>
    <w:lvl w:ilvl="0">
      <w:lvlJc w:val="left"/>
      <w:lvlText w:val="%1."/>
      <w:numFmt w:val="decimal"/>
      <w:start w:val="2"/>
    </w:lvl>
    <w:lvl w:ilvl="1">
      <w:lvlJc w:val="left"/>
      <w:lvlText w:val="%2"/>
      <w:numFmt w:val="lowerLetter"/>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4"/>
    </w:lvl>
  </w:abstractNum>
  <w:abstractNum w:abstractNumId="7">
    <w:nsid w:val="4353D0CD"/>
    <w:multiLevelType w:val="hybridMultilevel"/>
    <w:lvl w:ilvl="0">
      <w:lvlJc w:val="left"/>
      <w:lvlText w:val="(%1)"/>
      <w:numFmt w:val="lowerLetter"/>
      <w:start w:val="8"/>
    </w:lvl>
  </w:abstractNum>
  <w:abstractNum w:abstractNumId="8">
    <w:nsid w:val="B03E0C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0"/>
    </w:lvl>
  </w:abstractNum>
  <w:abstractNum w:abstractNumId="9">
    <w:nsid w:val="189A769B"/>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2"/>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lowerLetter"/>
      <w:start w:val="2"/>
    </w:lvl>
  </w:abstractNum>
  <w:abstractNum w:abstractNumId="12">
    <w:nsid w:val="2CA88611"/>
    <w:multiLevelType w:val="hybridMultilevel"/>
    <w:lvl w:ilvl="0">
      <w:lvlJc w:val="left"/>
      <w:lvlText w:val="(%1)"/>
      <w:numFmt w:val="lowerLetter"/>
      <w:start w:val="4"/>
    </w:lvl>
  </w:abstractNum>
  <w:abstractNum w:abstractNumId="13">
    <w:nsid w:val="836C40E"/>
    <w:multiLevelType w:val="hybridMultilevel"/>
    <w:lvl w:ilvl="0">
      <w:lvlJc w:val="left"/>
      <w:lvlText w:val="(%1)"/>
      <w:numFmt w:val="lowerLetter"/>
      <w:start w:val="7"/>
    </w:lvl>
  </w:abstractNum>
  <w:abstractNum w:abstractNumId="14">
    <w:nsid w:val="2901D82"/>
    <w:multiLevelType w:val="hybridMultilevel"/>
    <w:lvl w:ilvl="0">
      <w:lvlJc w:val="left"/>
      <w:lvlText w:val="%1"/>
      <w:numFmt w:val="lowerLetter"/>
      <w:start w:val="1"/>
    </w:lvl>
    <w:lvl w:ilvl="1">
      <w:lvlJc w:val="left"/>
      <w:lvlText w:val="(%2)"/>
      <w:numFmt w:val="lowerLetter"/>
      <w:start w:val="12"/>
    </w:lvl>
  </w:abstractNum>
  <w:abstractNum w:abstractNumId="15">
    <w:nsid w:val="3A95F874"/>
    <w:multiLevelType w:val="hybridMultilevel"/>
    <w:lvl w:ilvl="0">
      <w:lvlJc w:val="left"/>
      <w:lvlText w:val="(%1)"/>
      <w:numFmt w:val="lowerLetter"/>
      <w:start w:val="61"/>
    </w:lvl>
    <w:lvl w:ilvl="1">
      <w:lvlJc w:val="left"/>
      <w:lvlText w:val="%2"/>
      <w:numFmt w:val="lowerLetter"/>
      <w:start w:val="1"/>
    </w:lvl>
  </w:abstractNum>
  <w:abstractNum w:abstractNumId="16">
    <w:nsid w:val="8138641"/>
    <w:multiLevelType w:val="hybridMultilevel"/>
    <w:lvl w:ilvl="0">
      <w:lvlJc w:val="left"/>
      <w:lvlText w:val="(%1)"/>
      <w:numFmt w:val="lowerLetter"/>
      <w:start w:val="13"/>
    </w:lvl>
  </w:abstractNum>
  <w:abstractNum w:abstractNumId="17">
    <w:nsid w:val="1E7FF521"/>
    <w:multiLevelType w:val="hybridMultilevel"/>
    <w:lvl w:ilvl="0">
      <w:lvlJc w:val="left"/>
      <w:lvlText w:val="%1"/>
      <w:numFmt w:val="lowerLetter"/>
      <w:start w:val="1"/>
    </w:lvl>
    <w:lvl w:ilvl="1">
      <w:lvlJc w:val="left"/>
      <w:lvlText w:val="(%2)"/>
      <w:numFmt w:val="lowerLetter"/>
      <w:start w:val="14"/>
    </w:lvl>
  </w:abstractNum>
  <w:abstractNum w:abstractNumId="18">
    <w:nsid w:val="7C3DBD3D"/>
    <w:multiLevelType w:val="hybridMultilevel"/>
    <w:lvl w:ilvl="0">
      <w:lvlJc w:val="left"/>
      <w:lvlText w:val="(%1)"/>
      <w:numFmt w:val="lowerLetter"/>
      <w:start w:val="9"/>
    </w:lvl>
    <w:lvl w:ilvl="1">
      <w:lvlJc w:val="left"/>
      <w:lvlText w:val="(%2)"/>
      <w:numFmt w:val="lowerLetter"/>
      <w:start w:val="15"/>
    </w:lvl>
  </w:abstractNum>
  <w:abstractNum w:abstractNumId="19">
    <w:nsid w:val="737B8DDC"/>
    <w:multiLevelType w:val="hybridMultilevel"/>
    <w:lvl w:ilvl="0">
      <w:lvlJc w:val="left"/>
      <w:lvlText w:val="%1"/>
      <w:numFmt w:val="lowerRoman"/>
      <w:start w:val="1"/>
    </w:lvl>
    <w:lvl w:ilvl="1">
      <w:lvlJc w:val="left"/>
      <w:lvlText w:val="(%2)"/>
      <w:numFmt w:val="lowerLetter"/>
      <w:start w:val="17"/>
    </w:lvl>
  </w:abstractNum>
  <w:abstractNum w:abstractNumId="20">
    <w:nsid w:val="6CEAF087"/>
    <w:multiLevelType w:val="hybridMultilevel"/>
    <w:lvl w:ilvl="0">
      <w:lvlJc w:val="left"/>
      <w:lvlText w:val="(%1)"/>
      <w:numFmt w:val="lowerRoman"/>
      <w:start w:val="9"/>
    </w:lvl>
    <w:lvl w:ilvl="1">
      <w:lvlJc w:val="left"/>
      <w:lvlText w:val="(%2)"/>
      <w:numFmt w:val="lowerLetter"/>
      <w:start w:val="18"/>
    </w:lvl>
  </w:abstractNum>
  <w:abstractNum w:abstractNumId="21">
    <w:nsid w:val="22221A70"/>
    <w:multiLevelType w:val="hybridMultilevel"/>
    <w:lvl w:ilvl="0">
      <w:lvlJc w:val="left"/>
      <w:lvlText w:val="(%1)"/>
      <w:numFmt w:val="lowerLetter"/>
      <w:start w:val="19"/>
    </w:lvl>
  </w:abstractNum>
  <w:abstractNum w:abstractNumId="22">
    <w:nsid w:val="4516DDE9"/>
    <w:multiLevelType w:val="hybridMultilevel"/>
    <w:lvl w:ilvl="0">
      <w:lvlJc w:val="left"/>
      <w:lvlText w:val="(%1)"/>
      <w:numFmt w:val="lowerLetter"/>
      <w:start w:val="21"/>
    </w:lvl>
    <w:lvl w:ilvl="1">
      <w:lvlJc w:val="left"/>
      <w:lvlText w:val="(%2)"/>
      <w:numFmt w:val="lowerLetter"/>
      <w:start w:val="35"/>
    </w:lvl>
  </w:abstractNum>
  <w:abstractNum w:abstractNumId="23">
    <w:nsid w:val="3006C83E"/>
    <w:multiLevelType w:val="hybridMultilevel"/>
    <w:lvl w:ilvl="0">
      <w:lvlJc w:val="left"/>
      <w:lvlText w:val="%1"/>
      <w:numFmt w:val="lowerLetter"/>
      <w:start w:val="1"/>
    </w:lvl>
    <w:lvl w:ilvl="1">
      <w:lvlJc w:val="left"/>
      <w:lvlText w:val="(%2)"/>
      <w:numFmt w:val="lowerLetter"/>
      <w:start w:val="24"/>
    </w:lvl>
  </w:abstractNum>
  <w:abstractNum w:abstractNumId="24">
    <w:nsid w:val="614FD4A1"/>
    <w:multiLevelType w:val="hybridMultilevel"/>
    <w:lvl w:ilvl="0">
      <w:lvlJc w:val="left"/>
      <w:lvlText w:val="(%1)"/>
      <w:numFmt w:val="lowerLetter"/>
      <w:start w:val="9"/>
    </w:lvl>
    <w:lvl w:ilvl="1">
      <w:lvlJc w:val="left"/>
      <w:lvlText w:val="(%2)"/>
      <w:numFmt w:val="lowerLetter"/>
      <w:start w:val="25"/>
    </w:lvl>
  </w:abstractNum>
  <w:abstractNum w:abstractNumId="25">
    <w:nsid w:val="419AC241"/>
    <w:multiLevelType w:val="hybridMultilevel"/>
    <w:lvl w:ilvl="0">
      <w:lvlJc w:val="left"/>
      <w:lvlText w:val="(%1)"/>
      <w:numFmt w:val="lowerLetter"/>
      <w:start w:val="27"/>
    </w:lvl>
  </w:abstractNum>
  <w:abstractNum w:abstractNumId="26">
    <w:nsid w:val="5577F8E1"/>
    <w:multiLevelType w:val="hybridMultilevel"/>
    <w:lvl w:ilvl="0">
      <w:lvlJc w:val="left"/>
      <w:lvlText w:val="%1"/>
      <w:numFmt w:val="decimal"/>
      <w:start w:val="1"/>
    </w:lvl>
    <w:lvl w:ilvl="1">
      <w:lvlJc w:val="left"/>
      <w:lvlText w:val="(%2)"/>
      <w:numFmt w:val="lowerLetter"/>
      <w:start w:val="29"/>
    </w:lvl>
  </w:abstractNum>
  <w:abstractNum w:abstractNumId="27">
    <w:nsid w:val="440BADFC"/>
    <w:multiLevelType w:val="hybridMultilevel"/>
    <w:lvl w:ilvl="0">
      <w:lvlJc w:val="left"/>
      <w:lvlText w:val="%1."/>
      <w:numFmt w:val="decimal"/>
      <w:start w:val="4"/>
    </w:lvl>
    <w:lvl w:ilvl="1">
      <w:lvlJc w:val="left"/>
      <w:lvlText w:val="(%2)"/>
      <w:numFmt w:val="lowerLetter"/>
      <w:start w:val="1"/>
    </w:lvl>
  </w:abstractNum>
  <w:abstractNum w:abstractNumId="28">
    <w:nsid w:val="5072367"/>
    <w:multiLevelType w:val="hybridMultilevel"/>
    <w:lvl w:ilvl="0">
      <w:lvlJc w:val="left"/>
      <w:lvlText w:val="(%1)"/>
      <w:numFmt w:val="lowerLetter"/>
      <w:start w:val="3"/>
    </w:lvl>
  </w:abstractNum>
  <w:abstractNum w:abstractNumId="29">
    <w:nsid w:val="3804823E"/>
    <w:multiLevelType w:val="hybridMultilevel"/>
    <w:lvl w:ilvl="0">
      <w:lvlJc w:val="left"/>
      <w:lvlText w:val="(%1)"/>
      <w:numFmt w:val="lowerLetter"/>
      <w:start w:val="8"/>
    </w:lvl>
  </w:abstractNum>
  <w:abstractNum w:abstractNumId="30">
    <w:nsid w:val="77465F01"/>
    <w:multiLevelType w:val="hybridMultilevel"/>
    <w:lvl w:ilvl="0">
      <w:lvlJc w:val="left"/>
      <w:lvlText w:val="%1"/>
      <w:numFmt w:val="upperLetter"/>
      <w:start w:val="1"/>
    </w:lvl>
    <w:lvl w:ilvl="1">
      <w:lvlJc w:val="left"/>
      <w:lvlText w:val="(%2)"/>
      <w:numFmt w:val="lowerLetter"/>
      <w:start w:val="10"/>
    </w:lvl>
    <w:lvl w:ilvl="2">
      <w:lvlJc w:val="left"/>
      <w:lvlText w:val="%3"/>
      <w:numFmt w:val="lowerLetter"/>
      <w:start w:val="1"/>
    </w:lvl>
  </w:abstractNum>
  <w:abstractNum w:abstractNumId="31">
    <w:nsid w:val="7724C67E"/>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35"/>
    </w:lvl>
  </w:abstractNum>
  <w:abstractNum w:abstractNumId="32">
    <w:nsid w:val="5C482A97"/>
    <w:multiLevelType w:val="hybridMultilevel"/>
    <w:lvl w:ilvl="0">
      <w:lvlJc w:val="left"/>
      <w:lvlText w:val="%1"/>
      <w:numFmt w:val="lowerLetter"/>
      <w:start w:val="1"/>
    </w:lvl>
    <w:lvl w:ilvl="1">
      <w:lvlJc w:val="left"/>
      <w:lvlText w:val="(%2)"/>
      <w:numFmt w:val="lowerRoman"/>
      <w:start w:val="5"/>
    </w:lvl>
  </w:abstractNum>
  <w:abstractNum w:abstractNumId="33">
    <w:nsid w:val="2463B9EA"/>
    <w:multiLevelType w:val="hybridMultilevel"/>
    <w:lvl w:ilvl="0">
      <w:lvlJc w:val="left"/>
      <w:lvlText w:val="(%1)"/>
      <w:numFmt w:val="lowerLetter"/>
      <w:start w:val="13"/>
    </w:lvl>
    <w:lvl w:ilvl="1">
      <w:lvlJc w:val="left"/>
      <w:lvlText w:val="%2"/>
      <w:numFmt w:val="lowerRoman"/>
      <w:start w:val="1"/>
    </w:lvl>
  </w:abstractNum>
  <w:abstractNum w:abstractNumId="34">
    <w:nsid w:val="5E884ADC"/>
    <w:multiLevelType w:val="hybridMultilevel"/>
    <w:lvl w:ilvl="0">
      <w:lvlJc w:val="left"/>
      <w:lvlText w:val="%1"/>
      <w:numFmt w:val="decimal"/>
      <w:start w:val="1"/>
    </w:lvl>
    <w:lvl w:ilvl="1">
      <w:lvlJc w:val="left"/>
      <w:lvlText w:val="(%2)"/>
      <w:numFmt w:val="lowerLetter"/>
      <w:start w:val="14"/>
    </w:lvl>
  </w:abstractNum>
  <w:abstractNum w:abstractNumId="35">
    <w:nsid w:val="51EAD36B"/>
    <w:multiLevelType w:val="hybridMultilevel"/>
    <w:lvl w:ilvl="0">
      <w:lvlJc w:val="left"/>
      <w:lvlText w:val="%1."/>
      <w:numFmt w:val="decimal"/>
      <w:start w:val="5"/>
    </w:lvl>
    <w:lvl w:ilvl="1">
      <w:lvlJc w:val="left"/>
      <w:lvlText w:val="(%2)"/>
      <w:numFmt w:val="lowerLetter"/>
      <w:start w:val="1"/>
    </w:lvl>
  </w:abstractNum>
  <w:abstractNum w:abstractNumId="36">
    <w:nsid w:val="2D51779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7">
    <w:nsid w:val="580BD78F"/>
    <w:multiLevelType w:val="hybridMultilevel"/>
    <w:lvl w:ilvl="0">
      <w:lvlJc w:val="left"/>
      <w:lvlText w:val="(%1)"/>
      <w:numFmt w:val="lowerRoman"/>
      <w:start w:val="4"/>
    </w:lvl>
  </w:abstractNum>
  <w:abstractNum w:abstractNumId="38">
    <w:nsid w:val="153EA438"/>
    <w:multiLevelType w:val="hybridMultilevel"/>
    <w:lvl w:ilvl="0">
      <w:lvlJc w:val="left"/>
      <w:lvlText w:val="%1."/>
      <w:numFmt w:val="decimal"/>
      <w:start w:val="8"/>
    </w:lvl>
    <w:lvl w:ilvl="1">
      <w:lvlJc w:val="left"/>
      <w:lvlText w:val="(%2)"/>
      <w:numFmt w:val="lowerLetter"/>
      <w:start w:val="1"/>
    </w:lvl>
  </w:abstractNum>
  <w:abstractNum w:abstractNumId="39">
    <w:nsid w:val="3855585C"/>
    <w:multiLevelType w:val="hybridMultilevel"/>
    <w:lvl w:ilvl="0">
      <w:lvlJc w:val="left"/>
      <w:lvlText w:val="(%1)"/>
      <w:numFmt w:val="lowerLetter"/>
      <w:start w:val="5"/>
    </w:lvl>
  </w:abstractNum>
  <w:abstractNum w:abstractNumId="40">
    <w:nsid w:val="70A64E2A"/>
    <w:multiLevelType w:val="hybridMultilevel"/>
    <w:lvl w:ilvl="0">
      <w:lvlJc w:val="left"/>
      <w:lvlText w:val="(%1)"/>
      <w:numFmt w:val="lowerLetter"/>
      <w:start w:val="7"/>
    </w:lvl>
  </w:abstractNum>
  <w:abstractNum w:abstractNumId="41">
    <w:nsid w:val="6A2342EC"/>
    <w:multiLevelType w:val="hybridMultilevel"/>
    <w:lvl w:ilvl="0">
      <w:lvlJc w:val="left"/>
      <w:lvlText w:val="(%1)"/>
      <w:numFmt w:val="lowerLetter"/>
      <w:start w:val="12"/>
    </w:lvl>
  </w:abstractNum>
  <w:abstractNum w:abstractNumId="42">
    <w:nsid w:val="2A487CB0"/>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2019-12-13T21:59:42Z</dcterms:created>
  <dcterms:modified xsi:type="dcterms:W3CDTF">2019-12-13T21:59:42Z</dcterms:modified>
</cp:coreProperties>
</file>