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CRAIG STEWART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STEMCELLS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STEM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09/15/2011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18"/>
          <w:szCs w:val="18"/>
          <w:color w:val="0000FF"/>
        </w:rPr>
        <w:t>SVP, Development &amp; Operations</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NEWARK</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94560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8"/>
                <w:szCs w:val="18"/>
                <w:color w:val="0000FF"/>
              </w:rPr>
              <w:t>09/15/2011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7"/>
                <w:szCs w:val="27"/>
                <w:color w:val="0000FF"/>
                <w:vertAlign w:val="subscript"/>
              </w:rPr>
              <w:t>F</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856</w:t>
            </w:r>
          </w:p>
        </w:tc>
        <w:tc>
          <w:tcPr>
            <w:tcW w:w="7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2.46</w:t>
            </w:r>
          </w:p>
        </w:tc>
        <w:tc>
          <w:tcPr>
            <w:tcW w:w="126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8"/>
                <w:szCs w:val="18"/>
                <w:color w:val="0000FF"/>
              </w:rPr>
              <w:t>25,788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0000FF"/>
                <w:w w:val="98"/>
              </w:rPr>
              <w:t>2,193</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Plan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Times New Roman" w:cs="Times New Roman" w:eastAsia="Times New Roman" w:hAnsi="Times New Roman"/>
          <w:sz w:val="12"/>
          <w:szCs w:val="12"/>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 15,000 restricted stock units, with 5,000 vesting on each of June 1, 2012, June 1, 2013 and June 1, 2014, and (2) 4,666 restricted stock units, with 2,333 vesting on each of September 15, 2012 and September 15, 2013. Amounts reflect automatic adjustments under applicable benefit plans triggered by issuer's 1 for 10 reverse stock split.</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Ken Stratton, attorney-in-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0000FF"/>
                <w:w w:val="92"/>
              </w:rPr>
              <w:t>09/19/2011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281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2019-12-18T02:29:11Z</dcterms:created>
  <dcterms:modified xsi:type="dcterms:W3CDTF">2019-12-18T02:29:11Z</dcterms:modified>
</cp:coreProperties>
</file>