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540" w:hanging="1333"/>
        <w:spacing w:after="0"/>
        <w:tabs>
          <w:tab w:leader="none" w:pos="15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36" w:lineRule="exact"/>
        <w:rPr>
          <w:rFonts w:ascii="Arial" w:cs="Arial" w:eastAsia="Arial" w:hAnsi="Arial"/>
          <w:sz w:val="17"/>
          <w:szCs w:val="17"/>
          <w:color w:val="auto"/>
        </w:rPr>
      </w:pPr>
    </w:p>
    <w:p>
      <w:pPr>
        <w:ind w:left="4240"/>
        <w:spacing w:after="0"/>
        <w:rPr>
          <w:rFonts w:ascii="Arial" w:cs="Arial" w:eastAsia="Arial" w:hAnsi="Arial"/>
          <w:sz w:val="17"/>
          <w:szCs w:val="17"/>
          <w:color w:val="auto"/>
        </w:rPr>
      </w:pPr>
      <w:r>
        <w:rPr>
          <w:rFonts w:ascii="Arial" w:cs="Arial" w:eastAsia="Arial" w:hAnsi="Arial"/>
          <w:sz w:val="18"/>
          <w:szCs w:val="18"/>
          <w:b w:val="1"/>
          <w:bCs w:val="1"/>
          <w:color w:val="auto"/>
        </w:rPr>
        <w:t>For the fiscal year ended December 31, 2019</w:t>
      </w:r>
    </w:p>
    <w:p>
      <w:pPr>
        <w:sectPr>
          <w:pgSz w:w="11900" w:h="16838" w:orient="portrait"/>
          <w:cols w:equalWidth="0" w:num="1">
            <w:col w:w="11240"/>
          </w:cols>
          <w:pgMar w:left="320" w:top="746" w:right="339" w:bottom="0" w:gutter="0" w:footer="0" w:header="0"/>
        </w:sectPr>
      </w:pPr>
    </w:p>
    <w:p>
      <w:pPr>
        <w:spacing w:after="0" w:line="22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5" w:lineRule="exact"/>
        <w:rPr>
          <w:sz w:val="24"/>
          <w:szCs w:val="24"/>
          <w:color w:val="auto"/>
        </w:rPr>
      </w:pPr>
    </w:p>
    <w:p>
      <w:pPr>
        <w:sectPr>
          <w:pgSz w:w="11900" w:h="16838" w:orient="portrait"/>
          <w:cols w:equalWidth="0" w:num="2">
            <w:col w:w="620" w:space="720"/>
            <w:col w:w="9900"/>
          </w:cols>
          <w:pgMar w:left="320" w:top="746" w:right="339" w:bottom="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____ to 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46" w:right="339" w:bottom="0" w:gutter="0" w:footer="0" w:header="0"/>
          <w:type w:val="continuous"/>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62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6" w:right="3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5"/>
          </w:tcPr>
          <w:p>
            <w:pPr>
              <w:ind w:left="180"/>
              <w:spacing w:after="0"/>
              <w:rPr>
                <w:sz w:val="20"/>
                <w:szCs w:val="20"/>
                <w:color w:val="auto"/>
              </w:rPr>
            </w:pPr>
            <w:r>
              <w:rPr>
                <w:rFonts w:ascii="Arial" w:cs="Arial" w:eastAsia="Arial" w:hAnsi="Arial"/>
                <w:sz w:val="18"/>
                <w:szCs w:val="18"/>
                <w:b w:val="1"/>
                <w:bCs w:val="1"/>
                <w:color w:val="auto"/>
              </w:rPr>
              <w:t>Securities registered under Section 12(b) of the Act:</w:t>
            </w:r>
          </w:p>
        </w:tc>
      </w:tr>
      <w:tr>
        <w:trPr>
          <w:trHeight w:val="453"/>
        </w:trPr>
        <w:tc>
          <w:tcPr>
            <w:tcW w:w="346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Title of each class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346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0"/>
              </w:rPr>
              <w:t>Common Stock, Par value $0.01</w:t>
            </w: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NASDAQ Capital Market</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0" w:gutter="0" w:footer="0" w:header="0"/>
          <w:type w:val="continuous"/>
        </w:sectPr>
      </w:pPr>
    </w:p>
    <w:p>
      <w:pPr>
        <w:spacing w:after="0" w:line="18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 ]</w:t>
      </w:r>
    </w:p>
    <w:p>
      <w:pPr>
        <w:spacing w:after="0" w:line="46" w:lineRule="exact"/>
        <w:rPr>
          <w:sz w:val="24"/>
          <w:szCs w:val="24"/>
          <w:color w:val="auto"/>
        </w:rPr>
      </w:pPr>
    </w:p>
    <w:p>
      <w:pPr>
        <w:ind w:left="580"/>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[X]</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6600" w:space="720"/>
            <w:col w:w="3920"/>
          </w:cols>
          <w:pgMar w:left="320" w:top="746" w:right="339" w:bottom="0" w:gutter="0" w:footer="0" w:header="0"/>
          <w:type w:val="continuous"/>
        </w:sectPr>
      </w:pPr>
    </w:p>
    <w:p>
      <w:pPr>
        <w:spacing w:after="0" w:line="2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$19,718,273.60.</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April 27, 2020: 7,103,260 shares</w:t>
      </w:r>
    </w:p>
    <w:p>
      <w:pPr>
        <w:sectPr>
          <w:pgSz w:w="11900" w:h="16838" w:orient="portrait"/>
          <w:cols w:equalWidth="0" w:num="1">
            <w:col w:w="11240"/>
          </w:cols>
          <w:pgMar w:left="320" w:top="746" w:right="339" w:bottom="0" w:gutter="0" w:footer="0" w:header="0"/>
          <w:type w:val="continuous"/>
        </w:sectPr>
      </w:pPr>
    </w:p>
    <w:bookmarkStart w:id="1" w:name="page2"/>
    <w:bookmarkEnd w:id="1"/>
    <w:p>
      <w:pPr>
        <w:jc w:val="right"/>
        <w:ind w:right="24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Microbot Medical Inc. (“Microbot”, the “Company” or “we”, “us” and “our”) is filing this Amendment No. 1 to Annual Report on Form 10-K/A (this “Amendment”) to amend the Annual Report on Form 10-K for the fiscal year ended December 31, 2019 (the “Original Form 10-K”), as filed by the Company with the Securities and Exchange Commission (the “SEC”) on April 14, 2020. We are filing this Amendment to include the information required by Part III of Form 10-K that was previously omitted from the Original Form 10-K in reliance on General Instruction G(3) to Form 10-K because a definitive proxy statement containing such information may not be filed within 120 days after the end of our fiscal year ended December 31, 2019. The reference on the cover of the Original Form 10-K to the incorporation by reference to portions of our definitive proxy statement into Part III of the Original Form 10-K is hereby deleted. We will also include this information in our proxy statement for our 2020 Annual Meeting of Shareholders. Except as otherwise specifically defined herein, all defined terms used in the Original Form 10-K shall have the same meanings in this Amendment.</w:t>
      </w:r>
    </w:p>
    <w:p>
      <w:pPr>
        <w:spacing w:after="0" w:line="16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In accordance with Rule 12b-15 under the Securities Exchange Act of 1934, as amended (“Exchange Act”), Part III, Items 10 through 14 and Part IV, Item 15 of the Original Form 10-K are hereby amended and restated in their entirety. This Amendment does not amend, modify, or otherwise update any other information in the Original Form 10-K. Accordingly, this Amendment should be read in conjunction with the Original Form 10-K and with our filings with the SEC subsequent to the filing of the Original Form 10-K. In addition, this Amendment does not reflect events that may have occurred subsequent to the filing of the Original Form 10-K. In addition, as required by Rule 12b-15 under the Exchange Act, new certifications by the Company’s principal executive officer and principal financial officer are filed as exhibits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seven directors serving on our Board of Directors (our “Board”). The Board currently consists of Harel Gadot, Yoav Waizer, Yoseph Bornstein, Scott Burell, Martin Madden, Prattipati Laxminarain, and Aileen Stockburger.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Messrs. Gadot, Waizer and Madden are Class I directors whose terms expire at the Company’s 2022 annual meeting of stockholders. Mr. Burell and Ms. Stockburger are Class II directors whose terms expire at the Company’s 2020 annual meeting of stockholders. Messrs. Bornstein and Laxminarain are Class III directors whose terms expire at the Company’s 2021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names, ages and positions of the individuals who serve as directors of the Company, as of April 27,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7180" w:type="dxa"/>
            <w:vAlign w:val="bottom"/>
          </w:tcPr>
          <w:p>
            <w:pPr>
              <w:ind w:left="32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Yoav Waizer(2)(3)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Yoseph Bornstein(1)(3)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Scott Burell(1)(2)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Martin Madden(1)(3)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Prattipati Laxminarain(2)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Aileen Stockburger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both"/>
        <w:spacing w:after="0" w:line="288"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provides CFO services on a part-time basis to a number of venture capital funds and companies; including to Israeli Technology Investments (ITI) Fund, Next Gear Venture Partners L.P. and to Medica Venture Partners. Mr. Waizer served as CFO &amp; COO at Cedar Fund, a venture capital fund focuses on investing in Israel-related high-tech companies and prior to that Mr. Waizer was the CFO of Star Ventures Israel, the Israeli fund of Star Ventures, a $1 billion venture capital fund investing in all stages of development within the Telecom, Enterprise S/W, Wireless and Life Sciences sectors. Mr. Waizer is currently a director of Yeda Research &amp; Development Co. Ltd., the technology transfer arm of the Weizmann Institute of Science, and XACT Robotics Ltd., a private Israeli company developing novel platform robotic technology for use in minimally invasive procedures. Mr. Waizer was the CFO on a part-time basis of MEDX Xelerator L.P., a medical device and digital health Israeli incubator.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development company focusing on creating business ties between Israeli and Japanese entities, since August 2007. Mr. Bornstein is a co-founder and director of XACT Robotics Ltd., an Israeli- based private company seeking to develop a novel platform technology for robotic needle steering in minimally invasive interventional procedures, and is the founder of ShizimXL Innovation Center.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Scott R. Burell</w:t>
      </w:r>
      <w:r>
        <w:rPr>
          <w:rFonts w:ascii="Arial" w:cs="Arial" w:eastAsia="Arial" w:hAnsi="Arial"/>
          <w:sz w:val="16"/>
          <w:szCs w:val="16"/>
          <w:color w:val="auto"/>
        </w:rPr>
        <w:t>, became a director of the Company following the Merger. Since August 1, 2018, Mr. Burell has been the Chief Financial Officer of AIVITA</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Inc., a private biopharmaceutical company. From November 2006 until its sale to Invitae Corp.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 Board member of Mer Telemanagement Solutions Ltd. (Nasdaq: MTSL), an Israeli-based publicly traded telecommunications services company.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Aileen Stockburger </w:t>
      </w:r>
      <w:r>
        <w:rPr>
          <w:rFonts w:ascii="Arial" w:cs="Arial" w:eastAsia="Arial" w:hAnsi="Arial"/>
          <w:sz w:val="17"/>
          <w:szCs w:val="17"/>
          <w:color w:val="auto"/>
        </w:rPr>
        <w:t>was appointed by the Board on March 26, 2020 to fill a vacancy on the Board and to serve as a Class II director of the Company,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are the name, age and other information for our named executive officers, as of April 27, 2020.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7180" w:type="dxa"/>
            <w:vAlign w:val="bottom"/>
          </w:tcPr>
          <w:p>
            <w:pPr>
              <w:ind w:left="32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Dr. Eyal Morag(1)</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Morag is scheduled to commence employment on June 15, 2020, or earlier as agreed to by Microbot and Dr. Morag. Dr. Morag entered into an Employment Agreement with the Company as of February 18, 2020.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David Ben Naim</w:t>
      </w:r>
      <w:r>
        <w:rPr>
          <w:rFonts w:ascii="Arial" w:cs="Arial" w:eastAsia="Arial" w:hAnsi="Arial"/>
          <w:sz w:val="16"/>
          <w:szCs w:val="16"/>
          <w:color w:val="auto"/>
        </w:rPr>
        <w:t>, became the Company’s part-time Chief Financial Officer following the consummation of the Merger. Mr. Ben Naim is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and Todos Medical Ltd. (OTC:TOMDF), an Israeli cancer in-vitro-diagnostic company engaging in the development of a series of blood tests for the early detection of a variety of cancers.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both"/>
        <w:spacing w:after="0" w:line="285" w:lineRule="auto"/>
        <w:rPr>
          <w:sz w:val="20"/>
          <w:szCs w:val="20"/>
          <w:color w:val="auto"/>
        </w:rPr>
      </w:pPr>
      <w:r>
        <w:rPr>
          <w:rFonts w:ascii="Arial" w:cs="Arial" w:eastAsia="Arial" w:hAnsi="Arial"/>
          <w:sz w:val="16"/>
          <w:szCs w:val="16"/>
          <w:i w:val="1"/>
          <w:iCs w:val="1"/>
          <w:color w:val="auto"/>
        </w:rPr>
        <w:t>Dr. Eyal Morag</w:t>
      </w:r>
      <w:r>
        <w:rPr>
          <w:rFonts w:ascii="Arial" w:cs="Arial" w:eastAsia="Arial" w:hAnsi="Arial"/>
          <w:sz w:val="16"/>
          <w:szCs w:val="16"/>
          <w:color w:val="auto"/>
        </w:rPr>
        <w:t>, entered into an employment agreement with the Company as of February 18, 2020 to serve as the Company’s Chief Medical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(“CMO”), commencing June 15, 2020 (as such date may be changed upon agreement between the Company and Dr. Morag). As CMO, Dr. Morag will lead the development and execution of 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since March 2017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Compensation Committee is composed of Messrs. Waizer, Madden and Bornstein. Each of the members of the Compensation Committee is independent. The Compensation Committee acts pursuant to a written charter which is available through our website at www.microbotmedical.com.</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securityholders may recommend nominees to the Board, since the Company last provided the disclosure in this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2019, all Section 16(a) filing requirements applicable to our officers, directors and greater than 10% beneficial owners have been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Compensation</w:t>
            </w:r>
          </w:p>
        </w:tc>
        <w:tc>
          <w:tcPr>
            <w:tcW w:w="16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Compensation</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2500" w:type="dxa"/>
            <w:vAlign w:val="bottom"/>
          </w:tcPr>
          <w:p>
            <w:pPr>
              <w:ind w:left="140"/>
              <w:spacing w:after="0"/>
              <w:rPr>
                <w:sz w:val="20"/>
                <w:szCs w:val="20"/>
                <w:color w:val="auto"/>
              </w:rPr>
            </w:pPr>
            <w:r>
              <w:rPr>
                <w:rFonts w:ascii="Arial" w:cs="Arial" w:eastAsia="Arial" w:hAnsi="Arial"/>
                <w:sz w:val="18"/>
                <w:szCs w:val="18"/>
                <w:b w:val="1"/>
                <w:bCs w:val="1"/>
                <w:color w:val="auto"/>
                <w:w w:val="96"/>
              </w:rPr>
              <w:t>Name and Principal Position</w:t>
            </w:r>
          </w:p>
        </w:tc>
        <w:tc>
          <w:tcPr>
            <w:tcW w:w="1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40" w:type="dxa"/>
            <w:vAlign w:val="bottom"/>
          </w:tcPr>
          <w:p>
            <w:pPr>
              <w:spacing w:after="0"/>
              <w:rPr>
                <w:sz w:val="20"/>
                <w:szCs w:val="20"/>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3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360,000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144,000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482,493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1,000,293</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55,000(3)</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580,667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1,009,467</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Hezi Himelfarb(4)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201,868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322,119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8,082(5)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532,069</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Chief Operating Officer</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&amp; General Manager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280,067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12,931(6)</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425,101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13,000(5)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718,101</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74,268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94,076</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70,026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8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2019.</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remaining portion of Mr. Gadot’s 2017 bonus, which was paid in 2018. Mr. Gadot’s bonus for the 2018 fiscal year was paid in 2019.</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and from his position as General Manager of Microbot Medical Ltd., a wholly-owned subsidiary of the Company.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Compensation includes Mr. Himelfarb’s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remaining portion of Mr. Himelfarb’s 2017 bonus, which was paid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Equity</w:t>
            </w:r>
          </w:p>
        </w:tc>
        <w:tc>
          <w:tcPr>
            <w:tcW w:w="6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Incentive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Number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Market</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Unearned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value of</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Shares,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Shares of</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Units or</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or Units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Units of</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2"/>
                <w:szCs w:val="12"/>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Rights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Unexercised</w:t>
            </w: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That Have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That Have</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That Have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78"/>
        </w:trPr>
        <w:tc>
          <w:tcPr>
            <w:tcW w:w="3200" w:type="dxa"/>
            <w:vAlign w:val="bottom"/>
            <w:gridSpan w:val="2"/>
            <w:vMerge w:val="continue"/>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Exercisable</w:t>
            </w: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Unexercisable</w:t>
            </w:r>
          </w:p>
        </w:tc>
        <w:tc>
          <w:tcPr>
            <w:tcW w:w="6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Vested</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Vested</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Vested</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49"/>
        </w:trPr>
        <w:tc>
          <w:tcPr>
            <w:tcW w:w="2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Harel Gadot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77,846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4.20</w:t>
            </w:r>
          </w:p>
        </w:tc>
        <w:tc>
          <w:tcPr>
            <w:tcW w:w="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9/01/2024</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81,752</w:t>
            </w:r>
          </w:p>
        </w:tc>
        <w:tc>
          <w:tcPr>
            <w:tcW w:w="13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39,095</w:t>
            </w:r>
          </w:p>
        </w:tc>
        <w:tc>
          <w:tcPr>
            <w:tcW w:w="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15.75</w:t>
            </w:r>
          </w:p>
        </w:tc>
        <w:tc>
          <w:tcPr>
            <w:tcW w:w="760" w:type="dxa"/>
            <w:vAlign w:val="bottom"/>
          </w:tcPr>
          <w:p>
            <w:pPr>
              <w:ind w:left="140"/>
              <w:spacing w:after="0" w:line="149" w:lineRule="exact"/>
              <w:rPr>
                <w:sz w:val="20"/>
                <w:szCs w:val="20"/>
                <w:color w:val="auto"/>
              </w:rPr>
            </w:pPr>
            <w:r>
              <w:rPr>
                <w:rFonts w:ascii="Arial" w:cs="Arial" w:eastAsia="Arial" w:hAnsi="Arial"/>
                <w:sz w:val="14"/>
                <w:szCs w:val="14"/>
                <w:color w:val="auto"/>
                <w:w w:val="96"/>
              </w:rPr>
              <w:t>9/14/2027</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Hezi Himelfarb</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00" w:type="dxa"/>
            <w:vAlign w:val="bottom"/>
            <w:gridSpan w:val="2"/>
          </w:tcPr>
          <w:p>
            <w:pPr>
              <w:spacing w:after="0"/>
              <w:rPr>
                <w:sz w:val="20"/>
                <w:szCs w:val="20"/>
                <w:color w:val="auto"/>
              </w:rPr>
            </w:pPr>
            <w:r>
              <w:rPr>
                <w:rFonts w:ascii="Arial" w:cs="Arial" w:eastAsia="Arial" w:hAnsi="Arial"/>
                <w:sz w:val="14"/>
                <w:szCs w:val="14"/>
                <w:color w:val="auto"/>
              </w:rPr>
              <w:t>David Ben Naim</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3,500</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rPr>
              <w:t>1,500</w:t>
            </w:r>
          </w:p>
        </w:tc>
        <w:tc>
          <w:tcPr>
            <w:tcW w:w="6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15.30</w:t>
            </w:r>
          </w:p>
        </w:tc>
        <w:tc>
          <w:tcPr>
            <w:tcW w:w="760" w:type="dxa"/>
            <w:vAlign w:val="bottom"/>
          </w:tcPr>
          <w:p>
            <w:pPr>
              <w:jc w:val="right"/>
              <w:spacing w:after="0"/>
              <w:rPr>
                <w:sz w:val="20"/>
                <w:szCs w:val="20"/>
                <w:color w:val="auto"/>
              </w:rPr>
            </w:pPr>
            <w:r>
              <w:rPr>
                <w:rFonts w:ascii="Arial" w:cs="Arial" w:eastAsia="Arial" w:hAnsi="Arial"/>
                <w:sz w:val="14"/>
                <w:szCs w:val="14"/>
                <w:color w:val="auto"/>
              </w:rPr>
              <w:t>12/28/2027</w:t>
            </w:r>
          </w:p>
        </w:tc>
        <w:tc>
          <w:tcPr>
            <w:tcW w:w="340" w:type="dxa"/>
            <w:vAlign w:val="bottom"/>
          </w:tcPr>
          <w:p>
            <w:pPr>
              <w:spacing w:after="0"/>
              <w:rPr>
                <w:sz w:val="15"/>
                <w:szCs w:val="15"/>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 On February 25, 2020, Mr. Gadot’s annual base salary was increased from $360,000 to $450,000, retroactive to January 1, 2020</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which maximum amount was paid for the 2019 fiscal year. Effective as of January 1, 2020, Mr. Gadot’s annual bonus pursuant to the Gadot Agreement was increased from 40% of his annual salary to 60% of his annual salary.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75"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February 1, 2019, Mr. Himelfarb resigned from all positions with the Company. Effective as of February 1, 2019, Mr. Himelfarb also resigned from his position as General Manager of Microbot Medical Ltd., a wholly-owned subsidiary of the Company. Notwithstanding the foregoing, as a result of certain termination provisions of the Himelfarb Agreement, Mr. Himelfarb was entitled to six months of compensation as a result of such resignation. As of December 2019, all the options granted to Mr. Himelfarb were forfeited.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$6,285 per month based on an exchange rate of $.286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Eyal Morag Employment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entered into an employment agreement (the “Morag Agreement”), as of February 18, 2020, with Dr. Morag, to serve as the Company’s Chief Medical Officer, commencing June 15, 2020 (as such date may be changed upon agreement between the Company and Dr. Morag; the “Commencement Date”) on an indefinite basis subject to the termination provisions described in the Morag Agreement. Pursuant to the terms of the Morag Agreement, Dr. Morag shall receive a base salary of NIS 64,000 per month plus Global Overtime (as defined in the Morag Agreement) of NIS 16,000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Dr. Morag shall also be entitled to receive a target annual cash bonus, based on certain milestones, of up to a maximum amount of 30% of his annual salary.</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Morag Agreement.</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initial 24 months following the Commencement Date (“Initial Period”), either the Company or Dr. Morag may terminate the Morag Agreement at its discretion at any time by providing the other party with a three months (or, following the Initial Period, six months) prior written notice of termination (the “Advance Notice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Morag Agreement “For Cause” (as defined in the Morag Agreement) at any time by written notice without the Advance Notice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the Company terminates Dr. Morag’s employment during the Initial Period other than For Cause, Dr. Morag shall be entitled to a one-time payment in an amount equal to his annual salary as of the date of termination of employment multiplied by the balance time between the end of the Advance Notice Period and until the end of the Initial Period.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Nonqualified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Fees earned or</w:t>
            </w:r>
          </w:p>
        </w:tc>
        <w:tc>
          <w:tcPr>
            <w:tcW w:w="8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paid in cash</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Awards (1)</w:t>
            </w:r>
          </w:p>
        </w:tc>
        <w:tc>
          <w:tcPr>
            <w:tcW w:w="120" w:type="dxa"/>
            <w:vAlign w:val="bottom"/>
          </w:tcPr>
          <w:p>
            <w:pPr>
              <w:spacing w:after="0"/>
              <w:rPr>
                <w:sz w:val="15"/>
                <w:szCs w:val="15"/>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5"/>
                <w:szCs w:val="15"/>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Yoav Waizer</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41,250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   $</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20,469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   $</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61,719</w:t>
            </w: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Yoseph Bornstein</w:t>
            </w:r>
          </w:p>
        </w:tc>
        <w:tc>
          <w:tcPr>
            <w:tcW w:w="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44,500</w:t>
            </w:r>
          </w:p>
        </w:tc>
        <w:tc>
          <w:tcPr>
            <w:tcW w:w="80" w:type="dxa"/>
            <w:vAlign w:val="bottom"/>
          </w:tcPr>
          <w:p>
            <w:pPr>
              <w:spacing w:after="0"/>
              <w:rPr>
                <w:sz w:val="12"/>
                <w:szCs w:val="12"/>
                <w:color w:val="auto"/>
              </w:rPr>
            </w:pP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64,969</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Scott Burell</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64,819</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Martin Madden</w:t>
            </w:r>
          </w:p>
        </w:tc>
        <w:tc>
          <w:tcPr>
            <w:tcW w:w="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43,000</w:t>
            </w:r>
          </w:p>
        </w:tc>
        <w:tc>
          <w:tcPr>
            <w:tcW w:w="80" w:type="dxa"/>
            <w:vAlign w:val="bottom"/>
          </w:tcPr>
          <w:p>
            <w:pPr>
              <w:spacing w:after="0"/>
              <w:rPr>
                <w:sz w:val="12"/>
                <w:szCs w:val="12"/>
                <w:color w:val="auto"/>
              </w:rPr>
            </w:pP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63,469</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Prattipati Laxminarain</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30,500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7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2019.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Gadot received compensation for his services to the Company as set forth under the summary compensation table above. The above table does not include Ms. Stockburger, who was appointed as a director subsequent to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April 27, 2020,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April 27, 2020. We calculated percentage ownership in accordance with the rules of the SEC. The percentage of common stock beneficially owned is based on 7,103,260 shares outstanding as of April 27, 2020. In addition, shares issuable pursuant to options or other convertible securities that may be acquired within 60 days of April 27, 2020 are deemed to be issued and outstanding and have been treated as outstanding in calculating and determining the beneficial ownership and percentage ownership of those persons possessing those securities, but not for any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Number of Shares</w:t>
            </w:r>
          </w:p>
        </w:tc>
        <w:tc>
          <w:tcPr>
            <w:tcW w:w="2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Percentage of Common</w:t>
            </w:r>
          </w:p>
        </w:tc>
      </w:tr>
      <w:tr>
        <w:trPr>
          <w:trHeight w:val="241"/>
        </w:trPr>
        <w:tc>
          <w:tcPr>
            <w:tcW w:w="6520" w:type="dxa"/>
            <w:vAlign w:val="bottom"/>
            <w:gridSpan w:val="2"/>
          </w:tcPr>
          <w:p>
            <w:pPr>
              <w:ind w:left="2480"/>
              <w:spacing w:after="0"/>
              <w:rPr>
                <w:sz w:val="20"/>
                <w:szCs w:val="20"/>
                <w:color w:val="auto"/>
              </w:rPr>
            </w:pPr>
            <w:r>
              <w:rPr>
                <w:rFonts w:ascii="Arial" w:cs="Arial" w:eastAsia="Arial" w:hAnsi="Arial"/>
                <w:sz w:val="18"/>
                <w:szCs w:val="18"/>
                <w:b w:val="1"/>
                <w:bCs w:val="1"/>
                <w:color w:val="auto"/>
              </w:rPr>
              <w:t>Beneficial Owner</w:t>
            </w:r>
          </w:p>
        </w:tc>
        <w:tc>
          <w:tcPr>
            <w:tcW w:w="2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Beneficially Owned</w:t>
            </w:r>
          </w:p>
        </w:tc>
        <w:tc>
          <w:tcPr>
            <w:tcW w:w="2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Stock Beneficially Owned</w:t>
            </w:r>
          </w:p>
        </w:tc>
      </w:tr>
      <w:tr>
        <w:trPr>
          <w:trHeight w:val="216"/>
        </w:trPr>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(1)</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303,145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(2)</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3,245</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305,273</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(2)</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3,245</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(2)</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3,245</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(2)</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3,875</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520" w:type="dxa"/>
            <w:vAlign w:val="bottom"/>
            <w:gridSpan w:val="2"/>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(2)</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3,245</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Aileen Stockburger</w:t>
            </w:r>
          </w:p>
        </w:tc>
        <w:tc>
          <w:tcPr>
            <w:tcW w:w="2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652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(8 persons)</w:t>
            </w:r>
            <w:r>
              <w:rPr>
                <w:rFonts w:ascii="Arial" w:cs="Arial" w:eastAsia="Arial" w:hAnsi="Arial"/>
                <w:sz w:val="29"/>
                <w:szCs w:val="29"/>
                <w:color w:val="auto"/>
                <w:vertAlign w:val="superscript"/>
              </w:rPr>
              <w:t>(4)(5)</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625,273</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8.58%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jc w:val="both"/>
        <w:ind w:left="340" w:hanging="332"/>
        <w:spacing w:after="0" w:line="27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77,864 shares of our common stock issuable upon the exercise of options granted to MEDX Ventures Group LLC, and (iii) 88,434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225"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(i) 302,028 shares of our common stock owned by LSA - Life Science Accelerator Ltd. and (ii) 3,245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Iris Street, Rosh-Ha’Ayin Israel 4858022.</w:t>
      </w:r>
    </w:p>
    <w:p>
      <w:pPr>
        <w:spacing w:after="0" w:line="16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Dr. Eyal Morag, who has not commenced employment with the Company as of April 27,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t>
      </w:r>
      <w:r>
        <w:rPr>
          <w:rFonts w:ascii="Arial" w:cs="Arial" w:eastAsia="Arial" w:hAnsi="Arial"/>
          <w:sz w:val="16"/>
          <w:szCs w:val="16"/>
          <w:u w:val="single" w:color="auto"/>
          <w:color w:val="auto"/>
        </w:rPr>
        <w:t>www.microbotmedical.com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There have been no related party transactions or any other transactions or relationships required to be disclosed pursuant to Item 404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members of our Board are Messrs. Waizer, Bornstein, Burell, Madden, and Laxminarain, and Ms. Stockburger.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2019.</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concluded that provision of such services is compatible with maintaining the independence of the independent accountants, and approved the provision by Brightman Almagor Zohar &amp; Co. of tax compliance services with respect to the year ending December 31, 2019.</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2019 and 2018,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12/31/18</w:t>
            </w: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200" w:type="dxa"/>
            <w:vAlign w:val="bottom"/>
            <w:shd w:val="clear" w:color="auto" w:fill="CCEEFF"/>
          </w:tcPr>
          <w:p>
            <w:pPr>
              <w:jc w:val="right"/>
              <w:ind w:right="103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50,000</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Audit-Related Fees</w:t>
            </w:r>
          </w:p>
        </w:tc>
        <w:tc>
          <w:tcPr>
            <w:tcW w:w="120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9,000</w:t>
            </w:r>
          </w:p>
        </w:tc>
        <w:tc>
          <w:tcPr>
            <w:tcW w:w="6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All Other Fees (2)</w:t>
            </w:r>
          </w:p>
        </w:tc>
        <w:tc>
          <w:tcPr>
            <w:tcW w:w="120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fees related to issuing comfort letter and consent(s).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ind w:left="5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Amendment: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80"/>
        <w:spacing w:after="0"/>
        <w:tabs>
          <w:tab w:leader="none" w:pos="52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100" w:hanging="764"/>
        <w:spacing w:after="0" w:line="258"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18">
        <w:r>
          <w:rPr>
            <w:rFonts w:ascii="Arial" w:cs="Arial" w:eastAsia="Arial" w:hAnsi="Arial"/>
            <w:sz w:val="18"/>
            <w:szCs w:val="18"/>
            <w:u w:val="single" w:color="auto"/>
            <w:color w:val="0000EE"/>
          </w:rPr>
          <w:t>Certification Pursuant to Securities Exchange Act Rule 13(a)-14(a), as Adopted Pursuant to Section 302 of the Sarbanes-Oxley Act of 2002</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(Harel Gadot, Chief Executive Officer)</w:t>
        </w:r>
      </w:hyperlink>
    </w:p>
    <w:p>
      <w:pPr>
        <w:spacing w:after="0" w:line="1" w:lineRule="exact"/>
        <w:rPr>
          <w:sz w:val="20"/>
          <w:szCs w:val="20"/>
          <w:color w:val="auto"/>
        </w:rPr>
      </w:pPr>
    </w:p>
    <w:p>
      <w:pPr>
        <w:ind w:left="1100" w:hanging="764"/>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9">
        <w:r>
          <w:rPr>
            <w:rFonts w:ascii="Arial" w:cs="Arial" w:eastAsia="Arial" w:hAnsi="Arial"/>
            <w:sz w:val="18"/>
            <w:szCs w:val="18"/>
            <w:u w:val="single" w:color="auto"/>
            <w:color w:val="0000EE"/>
          </w:rPr>
          <w:t>Certification Pursuant to Securities Exchange Act Rule 13(a)-14(a), as Adopted Pursuant to Section 302 of the Sarbanes-Oxley Act of 2002</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(David Ben Naim, Chief Financial Officer)</w:t>
        </w:r>
      </w:hyperlink>
    </w:p>
    <w:p>
      <w:pPr>
        <w:spacing w:after="0" w:line="1" w:lineRule="exact"/>
        <w:rPr>
          <w:sz w:val="20"/>
          <w:szCs w:val="20"/>
          <w:color w:val="auto"/>
        </w:rPr>
      </w:pPr>
    </w:p>
    <w:p>
      <w:pPr>
        <w:ind w:left="1100" w:hanging="764"/>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20">
        <w:r>
          <w:rPr>
            <w:rFonts w:ascii="Arial" w:cs="Arial" w:eastAsia="Arial" w:hAnsi="Arial"/>
            <w:sz w:val="18"/>
            <w:szCs w:val="18"/>
            <w:u w:val="single" w:color="auto"/>
            <w:color w:val="0000EE"/>
          </w:rPr>
          <w:t>Certification Pursuant to 18 U.S.C. Section 1350, As Adopted Pursuant to Section 906 of the Sarbanes-Oxley Act of 2002 (Harel Gadot,</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Chief Executive Officer)</w:t>
        </w:r>
      </w:hyperlink>
    </w:p>
    <w:p>
      <w:pPr>
        <w:spacing w:after="0" w:line="1" w:lineRule="exact"/>
        <w:rPr>
          <w:sz w:val="20"/>
          <w:szCs w:val="20"/>
          <w:color w:val="auto"/>
        </w:rPr>
      </w:pPr>
    </w:p>
    <w:p>
      <w:pPr>
        <w:ind w:left="1100" w:hanging="764"/>
        <w:spacing w:after="0" w:line="26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21">
        <w:r>
          <w:rPr>
            <w:rFonts w:ascii="Arial" w:cs="Arial" w:eastAsia="Arial" w:hAnsi="Arial"/>
            <w:sz w:val="18"/>
            <w:szCs w:val="18"/>
            <w:color w:val="auto"/>
          </w:rPr>
          <w:t>C</w:t>
        </w:r>
        <w:r>
          <w:rPr>
            <w:rFonts w:ascii="Arial" w:cs="Arial" w:eastAsia="Arial" w:hAnsi="Arial"/>
            <w:sz w:val="18"/>
            <w:szCs w:val="18"/>
            <w:u w:val="single" w:color="auto"/>
            <w:color w:val="0000EE"/>
          </w:rPr>
          <w:t>ertification Pursuant to 18 U.S.C. Section 1350, As Adopted Pursuant to Section 906 of the Sarbanes-Oxley Act of 2002 (David Ben</w:t>
        </w:r>
      </w:hyperlink>
      <w:r>
        <w:rPr>
          <w:rFonts w:ascii="Arial" w:cs="Arial" w:eastAsia="Arial" w:hAnsi="Arial"/>
          <w:sz w:val="18"/>
          <w:szCs w:val="18"/>
          <w:color w:val="auto"/>
        </w:rPr>
        <w:t xml:space="preserve"> </w:t>
      </w:r>
      <w:hyperlink w:anchor="page21">
        <w:r>
          <w:rPr>
            <w:rFonts w:ascii="Arial" w:cs="Arial" w:eastAsia="Arial" w:hAnsi="Arial"/>
            <w:sz w:val="18"/>
            <w:szCs w:val="18"/>
            <w:u w:val="single" w:color="auto"/>
            <w:color w:val="0000EE"/>
          </w:rPr>
          <w:t>Naim, Chief Financial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220" w:type="dxa"/>
            <w:vAlign w:val="bottom"/>
          </w:tcPr>
          <w:p>
            <w:pPr>
              <w:spacing w:after="0"/>
              <w:rPr>
                <w:sz w:val="20"/>
                <w:szCs w:val="20"/>
                <w:color w:val="auto"/>
              </w:rPr>
            </w:pPr>
          </w:p>
        </w:tc>
        <w:tc>
          <w:tcPr>
            <w:tcW w:w="518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Ben Naim</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David Ben Naim</w:t>
            </w:r>
          </w:p>
        </w:tc>
        <w:tc>
          <w:tcPr>
            <w:tcW w:w="220" w:type="dxa"/>
            <w:vAlign w:val="bottom"/>
          </w:tcPr>
          <w:p>
            <w:pPr>
              <w:spacing w:after="0"/>
              <w:rPr>
                <w:sz w:val="20"/>
                <w:szCs w:val="20"/>
                <w:color w:val="auto"/>
              </w:rPr>
            </w:pPr>
          </w:p>
        </w:tc>
        <w:tc>
          <w:tcPr>
            <w:tcW w:w="518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Yoav Waizer</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Yoav Waizer</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Prattipati Laxminarain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Prattipati Laxminarain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Burell</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Aileen Stockburger</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Aileen Stockburger</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29"/>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29,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29,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10-K/A for the fiscal year ended December 31, 2019 as filed with the Securities and Exchange Commission on the date hereof (the “Report”), I, </w:t>
      </w:r>
      <w:r>
        <w:rPr>
          <w:rFonts w:ascii="Arial" w:cs="Arial" w:eastAsia="Arial" w:hAnsi="Arial"/>
          <w:sz w:val="18"/>
          <w:szCs w:val="18"/>
          <w:b w:val="1"/>
          <w:bCs w:val="1"/>
          <w:color w:val="auto"/>
        </w:rPr>
        <w:t>Harel Gadot</w:t>
      </w:r>
      <w:r>
        <w:rPr>
          <w:rFonts w:ascii="Arial" w:cs="Arial" w:eastAsia="Arial" w:hAnsi="Arial"/>
          <w:sz w:val="18"/>
          <w:szCs w:val="18"/>
          <w:color w:val="auto"/>
        </w:rPr>
        <w:t>, President and Chief Executive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10-K/A for the fiscal year ended December 31, 2019 as filed with the Securities and Exchange Commission on the date hereof (the “Report”), I, </w:t>
      </w:r>
      <w:r>
        <w:rPr>
          <w:rFonts w:ascii="Arial" w:cs="Arial" w:eastAsia="Arial" w:hAnsi="Arial"/>
          <w:sz w:val="18"/>
          <w:szCs w:val="18"/>
          <w:b w:val="1"/>
          <w:bCs w:val="1"/>
          <w:color w:val="auto"/>
        </w:rPr>
        <w:t>David Ben Naim</w:t>
      </w:r>
      <w:r>
        <w:rPr>
          <w:rFonts w:ascii="Arial" w:cs="Arial" w:eastAsia="Arial" w:hAnsi="Arial"/>
          <w:sz w:val="18"/>
          <w:szCs w:val="18"/>
          <w:color w:val="auto"/>
        </w:rPr>
        <w:t>, Chief Financial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2020-04-30T18:02:47Z</dcterms:created>
  <dcterms:modified xsi:type="dcterms:W3CDTF">2020-04-30T18:02:47Z</dcterms:modified>
</cp:coreProperties>
</file>