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10-Q</w:t>
      </w:r>
    </w:p>
    <w:p>
      <w:pPr>
        <w:spacing w:after="0" w:line="176"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4"/>
          <w:szCs w:val="14"/>
          <w:color w:val="auto"/>
        </w:rPr>
        <w:t>QUARTERLY REPORT UNDER SECTION 13 OR 15(d) OF</w:t>
      </w:r>
    </w:p>
    <w:p>
      <w:pPr>
        <w:spacing w:after="0" w:line="1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ectPr>
          <w:pgSz w:w="11900" w:h="16838" w:orient="portrait"/>
          <w:cols w:equalWidth="0" w:num="1">
            <w:col w:w="10219"/>
          </w:cols>
          <w:pgMar w:left="240" w:top="231" w:right="1440" w:bottom="1440" w:gutter="0" w:footer="0" w:header="0"/>
        </w:sectPr>
      </w:pP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JUNE 30, 1996</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5"/>
          <w:szCs w:val="15"/>
          <w:color w:val="auto"/>
        </w:rPr>
        <w:t>0-19871</w:t>
      </w:r>
    </w:p>
    <w:p>
      <w:pPr>
        <w:spacing w:after="0" w:line="4"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4"/>
          <w:szCs w:val="14"/>
          <w:color w:val="auto"/>
        </w:rPr>
        <w:t>COMMISSION FILE NUMBER</w:t>
      </w:r>
    </w:p>
    <w:p>
      <w:pPr>
        <w:spacing w:after="0" w:line="209" w:lineRule="exact"/>
        <w:rPr>
          <w:sz w:val="24"/>
          <w:szCs w:val="24"/>
          <w:color w:val="auto"/>
        </w:rPr>
      </w:pPr>
    </w:p>
    <w:p>
      <w:pPr>
        <w:sectPr>
          <w:pgSz w:w="11900" w:h="16838" w:orient="portrait"/>
          <w:cols w:equalWidth="0" w:num="2">
            <w:col w:w="4460" w:space="720"/>
            <w:col w:w="5039"/>
          </w:cols>
          <w:pgMar w:left="240" w:top="231" w:right="1440" w:bottom="1440" w:gutter="0" w:footer="0" w:header="0"/>
          <w:type w:val="continuous"/>
        </w:sectPr>
      </w:pPr>
    </w:p>
    <w:p>
      <w:pPr>
        <w:spacing w:after="0" w:line="1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CYTOTHERAPEUTICS, INC.</w:t>
      </w:r>
    </w:p>
    <w:p>
      <w:pPr>
        <w:spacing w:after="0" w:line="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1" w:right="1440" w:bottom="1440" w:gutter="0" w:footer="0" w:header="0"/>
          <w:type w:val="continuous"/>
        </w:sectPr>
      </w:pPr>
    </w:p>
    <w:p>
      <w:pPr>
        <w:spacing w:after="0" w:line="35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94-3078125</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9" w:lineRule="exact"/>
        <w:rPr>
          <w:sz w:val="24"/>
          <w:szCs w:val="24"/>
          <w:color w:val="auto"/>
        </w:rPr>
      </w:pPr>
    </w:p>
    <w:p>
      <w:pPr>
        <w:sectPr>
          <w:pgSz w:w="11900" w:h="16838" w:orient="portrait"/>
          <w:cols w:equalWidth="0" w:num="2">
            <w:col w:w="4720" w:space="720"/>
            <w:col w:w="4779"/>
          </w:cols>
          <w:pgMar w:left="240" w:top="231" w:right="1440" w:bottom="1440" w:gutter="0" w:footer="0" w:header="0"/>
          <w:type w:val="continuous"/>
        </w:sectPr>
      </w:pPr>
    </w:p>
    <w:p>
      <w:pPr>
        <w:spacing w:after="0" w:line="146"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TWO RICHMOND SQUARE</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PROVIDENCE, RI 02906</w:t>
      </w:r>
    </w:p>
    <w:p>
      <w:pPr>
        <w:spacing w:after="0" w:line="2"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(401) 272-3310</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8" w:lineRule="exact"/>
        <w:rPr>
          <w:sz w:val="24"/>
          <w:szCs w:val="24"/>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twelve months (or for such shorter periods that the registrant was</w:t>
      </w:r>
    </w:p>
    <w:p>
      <w:pPr>
        <w:spacing w:after="0" w:line="1" w:lineRule="exact"/>
        <w:rPr>
          <w:sz w:val="24"/>
          <w:szCs w:val="24"/>
          <w:color w:val="auto"/>
        </w:rPr>
      </w:pPr>
    </w:p>
    <w:p>
      <w:pPr>
        <w:jc w:val="both"/>
        <w:ind w:right="3959"/>
        <w:spacing w:after="0"/>
        <w:rPr>
          <w:sz w:val="20"/>
          <w:szCs w:val="20"/>
          <w:color w:val="auto"/>
        </w:rPr>
      </w:pPr>
      <w:r>
        <w:rPr>
          <w:rFonts w:ascii="Courier New" w:cs="Courier New" w:eastAsia="Courier New" w:hAnsi="Courier New"/>
          <w:sz w:val="15"/>
          <w:szCs w:val="15"/>
          <w:color w:val="auto"/>
        </w:rPr>
        <w:t>required to file such reports) and (2) has been subject to such filing requirements for the past 90 days. Yes___X____ No_________</w:t>
      </w:r>
    </w:p>
    <w:p>
      <w:pPr>
        <w:spacing w:after="0" w:line="200" w:lineRule="exact"/>
        <w:rPr>
          <w:sz w:val="24"/>
          <w:szCs w:val="24"/>
          <w:color w:val="auto"/>
        </w:rPr>
      </w:pPr>
    </w:p>
    <w:p>
      <w:pPr>
        <w:spacing w:after="0" w:line="320" w:lineRule="exact"/>
        <w:rPr>
          <w:sz w:val="24"/>
          <w:szCs w:val="24"/>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At July 31, 1996, there were 15,398,067 shares of Common Stock, $.01 par value, issued and outstanding. There were no issued and outstanding shares of Preferred Stock.</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Page 1 of 15</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CYTOTHERAPEUTICS, INC.</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64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PAGE NUMBER</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4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64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1340" w:type="dxa"/>
            <w:vAlign w:val="bottom"/>
          </w:tcPr>
          <w:p>
            <w:pPr>
              <w:spacing w:after="0"/>
              <w:rPr>
                <w:sz w:val="24"/>
                <w:szCs w:val="24"/>
                <w:color w:val="auto"/>
              </w:rPr>
            </w:pPr>
          </w:p>
        </w:tc>
      </w:tr>
      <w:tr>
        <w:trPr>
          <w:trHeight w:val="344"/>
        </w:trPr>
        <w:tc>
          <w:tcPr>
            <w:tcW w:w="800" w:type="dxa"/>
            <w:vAlign w:val="bottom"/>
          </w:tcPr>
          <w:p>
            <w:pPr>
              <w:spacing w:after="0"/>
              <w:rPr>
                <w:sz w:val="24"/>
                <w:szCs w:val="24"/>
                <w:color w:val="auto"/>
              </w:rPr>
            </w:pPr>
          </w:p>
        </w:tc>
        <w:tc>
          <w:tcPr>
            <w:tcW w:w="5640" w:type="dxa"/>
            <w:vAlign w:val="bottom"/>
          </w:tcPr>
          <w:p>
            <w:pPr>
              <w:ind w:left="800"/>
              <w:spacing w:after="0"/>
              <w:rPr>
                <w:sz w:val="20"/>
                <w:szCs w:val="20"/>
                <w:color w:val="auto"/>
              </w:rPr>
            </w:pPr>
            <w:r>
              <w:rPr>
                <w:rFonts w:ascii="Courier New" w:cs="Courier New" w:eastAsia="Courier New" w:hAnsi="Courier New"/>
                <w:sz w:val="15"/>
                <w:szCs w:val="15"/>
                <w:color w:val="auto"/>
              </w:rPr>
              <w:t>Condensed Balance Sheets (unaudited)</w:t>
            </w:r>
          </w:p>
        </w:tc>
        <w:tc>
          <w:tcPr>
            <w:tcW w:w="1340" w:type="dxa"/>
            <w:vAlign w:val="bottom"/>
          </w:tcPr>
          <w:p>
            <w:pPr>
              <w:spacing w:after="0"/>
              <w:rPr>
                <w:sz w:val="24"/>
                <w:szCs w:val="24"/>
                <w:color w:val="auto"/>
              </w:rPr>
            </w:pPr>
          </w:p>
        </w:tc>
      </w:tr>
      <w:tr>
        <w:trPr>
          <w:trHeight w:val="172"/>
        </w:trPr>
        <w:tc>
          <w:tcPr>
            <w:tcW w:w="800" w:type="dxa"/>
            <w:vAlign w:val="bottom"/>
          </w:tcPr>
          <w:p>
            <w:pPr>
              <w:spacing w:after="0"/>
              <w:rPr>
                <w:sz w:val="14"/>
                <w:szCs w:val="14"/>
                <w:color w:val="auto"/>
              </w:rPr>
            </w:pPr>
          </w:p>
        </w:tc>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June 30, 1996 and December 31, 1995</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3</w:t>
            </w:r>
          </w:p>
        </w:tc>
      </w:tr>
      <w:tr>
        <w:trPr>
          <w:trHeight w:val="344"/>
        </w:trPr>
        <w:tc>
          <w:tcPr>
            <w:tcW w:w="800" w:type="dxa"/>
            <w:vAlign w:val="bottom"/>
          </w:tcPr>
          <w:p>
            <w:pPr>
              <w:spacing w:after="0"/>
              <w:rPr>
                <w:sz w:val="24"/>
                <w:szCs w:val="24"/>
                <w:color w:val="auto"/>
              </w:rPr>
            </w:pPr>
          </w:p>
        </w:tc>
        <w:tc>
          <w:tcPr>
            <w:tcW w:w="5640" w:type="dxa"/>
            <w:vAlign w:val="bottom"/>
          </w:tcPr>
          <w:p>
            <w:pPr>
              <w:ind w:left="800"/>
              <w:spacing w:after="0"/>
              <w:rPr>
                <w:sz w:val="20"/>
                <w:szCs w:val="20"/>
                <w:color w:val="auto"/>
              </w:rPr>
            </w:pPr>
            <w:r>
              <w:rPr>
                <w:rFonts w:ascii="Courier New" w:cs="Courier New" w:eastAsia="Courier New" w:hAnsi="Courier New"/>
                <w:sz w:val="15"/>
                <w:szCs w:val="15"/>
                <w:color w:val="auto"/>
              </w:rPr>
              <w:t>Condensed Statements of Operations (unaudited)</w:t>
            </w:r>
          </w:p>
        </w:tc>
        <w:tc>
          <w:tcPr>
            <w:tcW w:w="1340" w:type="dxa"/>
            <w:vAlign w:val="bottom"/>
          </w:tcPr>
          <w:p>
            <w:pPr>
              <w:spacing w:after="0"/>
              <w:rPr>
                <w:sz w:val="24"/>
                <w:szCs w:val="24"/>
                <w:color w:val="auto"/>
              </w:rPr>
            </w:pPr>
          </w:p>
        </w:tc>
      </w:tr>
      <w:tr>
        <w:trPr>
          <w:trHeight w:val="172"/>
        </w:trPr>
        <w:tc>
          <w:tcPr>
            <w:tcW w:w="800" w:type="dxa"/>
            <w:vAlign w:val="bottom"/>
          </w:tcPr>
          <w:p>
            <w:pPr>
              <w:spacing w:after="0"/>
              <w:rPr>
                <w:sz w:val="14"/>
                <w:szCs w:val="14"/>
                <w:color w:val="auto"/>
              </w:rPr>
            </w:pPr>
          </w:p>
        </w:tc>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Three and six months ended June 30, 1996 and 1995</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4</w:t>
            </w:r>
          </w:p>
        </w:tc>
      </w:tr>
      <w:tr>
        <w:trPr>
          <w:trHeight w:val="344"/>
        </w:trPr>
        <w:tc>
          <w:tcPr>
            <w:tcW w:w="800" w:type="dxa"/>
            <w:vAlign w:val="bottom"/>
          </w:tcPr>
          <w:p>
            <w:pPr>
              <w:spacing w:after="0"/>
              <w:rPr>
                <w:sz w:val="24"/>
                <w:szCs w:val="24"/>
                <w:color w:val="auto"/>
              </w:rPr>
            </w:pPr>
          </w:p>
        </w:tc>
        <w:tc>
          <w:tcPr>
            <w:tcW w:w="5640" w:type="dxa"/>
            <w:vAlign w:val="bottom"/>
          </w:tcPr>
          <w:p>
            <w:pPr>
              <w:ind w:left="800"/>
              <w:spacing w:after="0"/>
              <w:rPr>
                <w:sz w:val="20"/>
                <w:szCs w:val="20"/>
                <w:color w:val="auto"/>
              </w:rPr>
            </w:pPr>
            <w:r>
              <w:rPr>
                <w:rFonts w:ascii="Courier New" w:cs="Courier New" w:eastAsia="Courier New" w:hAnsi="Courier New"/>
                <w:sz w:val="15"/>
                <w:szCs w:val="15"/>
                <w:color w:val="auto"/>
              </w:rPr>
              <w:t>Condensed Statements of Cash Flows (unaudited)</w:t>
            </w:r>
          </w:p>
        </w:tc>
        <w:tc>
          <w:tcPr>
            <w:tcW w:w="1340" w:type="dxa"/>
            <w:vAlign w:val="bottom"/>
          </w:tcPr>
          <w:p>
            <w:pPr>
              <w:spacing w:after="0"/>
              <w:rPr>
                <w:sz w:val="24"/>
                <w:szCs w:val="24"/>
                <w:color w:val="auto"/>
              </w:rPr>
            </w:pPr>
          </w:p>
        </w:tc>
      </w:tr>
      <w:tr>
        <w:trPr>
          <w:trHeight w:val="172"/>
        </w:trPr>
        <w:tc>
          <w:tcPr>
            <w:tcW w:w="800" w:type="dxa"/>
            <w:vAlign w:val="bottom"/>
          </w:tcPr>
          <w:p>
            <w:pPr>
              <w:spacing w:after="0"/>
              <w:rPr>
                <w:sz w:val="14"/>
                <w:szCs w:val="14"/>
                <w:color w:val="auto"/>
              </w:rPr>
            </w:pPr>
          </w:p>
        </w:tc>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Six months ended June 30, 1996 and 1995</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5</w:t>
            </w:r>
          </w:p>
        </w:tc>
      </w:tr>
      <w:tr>
        <w:trPr>
          <w:trHeight w:val="344"/>
        </w:trPr>
        <w:tc>
          <w:tcPr>
            <w:tcW w:w="800" w:type="dxa"/>
            <w:vAlign w:val="bottom"/>
          </w:tcPr>
          <w:p>
            <w:pPr>
              <w:spacing w:after="0"/>
              <w:rPr>
                <w:sz w:val="24"/>
                <w:szCs w:val="24"/>
                <w:color w:val="auto"/>
              </w:rPr>
            </w:pPr>
          </w:p>
        </w:tc>
        <w:tc>
          <w:tcPr>
            <w:tcW w:w="5640" w:type="dxa"/>
            <w:vAlign w:val="bottom"/>
          </w:tcPr>
          <w:p>
            <w:pPr>
              <w:ind w:left="800"/>
              <w:spacing w:after="0"/>
              <w:rPr>
                <w:sz w:val="20"/>
                <w:szCs w:val="20"/>
                <w:color w:val="auto"/>
              </w:rPr>
            </w:pPr>
            <w:r>
              <w:rPr>
                <w:rFonts w:ascii="Courier New" w:cs="Courier New" w:eastAsia="Courier New" w:hAnsi="Courier New"/>
                <w:sz w:val="15"/>
                <w:szCs w:val="15"/>
                <w:color w:val="auto"/>
              </w:rPr>
              <w:t>Notes to Condensed Financial Statements (unaudited)</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6-7</w:t>
            </w:r>
          </w:p>
        </w:tc>
      </w:tr>
      <w:tr>
        <w:trPr>
          <w:trHeight w:val="344"/>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1340" w:type="dxa"/>
            <w:vAlign w:val="bottom"/>
          </w:tcPr>
          <w:p>
            <w:pPr>
              <w:spacing w:after="0"/>
              <w:rPr>
                <w:sz w:val="24"/>
                <w:szCs w:val="24"/>
                <w:color w:val="auto"/>
              </w:rPr>
            </w:pPr>
          </w:p>
        </w:tc>
      </w:tr>
      <w:tr>
        <w:trPr>
          <w:trHeight w:val="172"/>
        </w:trPr>
        <w:tc>
          <w:tcPr>
            <w:tcW w:w="800" w:type="dxa"/>
            <w:vAlign w:val="bottom"/>
          </w:tcPr>
          <w:p>
            <w:pPr>
              <w:spacing w:after="0"/>
              <w:rPr>
                <w:sz w:val="14"/>
                <w:szCs w:val="14"/>
                <w:color w:val="auto"/>
              </w:rPr>
            </w:pPr>
          </w:p>
        </w:tc>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Condition and Results of Operations</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8-13</w:t>
            </w:r>
          </w:p>
        </w:tc>
      </w:tr>
      <w:tr>
        <w:trPr>
          <w:trHeight w:val="516"/>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340" w:type="dxa"/>
            <w:vAlign w:val="bottom"/>
          </w:tcPr>
          <w:p>
            <w:pPr>
              <w:spacing w:after="0"/>
              <w:rPr>
                <w:sz w:val="24"/>
                <w:szCs w:val="24"/>
                <w:color w:val="auto"/>
              </w:rPr>
            </w:pPr>
          </w:p>
        </w:tc>
      </w:tr>
      <w:tr>
        <w:trPr>
          <w:trHeight w:val="172"/>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1340" w:type="dxa"/>
            <w:vAlign w:val="bottom"/>
          </w:tcPr>
          <w:p>
            <w:pPr>
              <w:spacing w:after="0"/>
              <w:rPr>
                <w:sz w:val="14"/>
                <w:szCs w:val="1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640" w:type="dxa"/>
            <w:vAlign w:val="bottom"/>
          </w:tcPr>
          <w:p>
            <w:pPr>
              <w:spacing w:after="0"/>
              <w:rPr>
                <w:sz w:val="20"/>
                <w:szCs w:val="20"/>
                <w:color w:val="auto"/>
              </w:rPr>
            </w:pPr>
            <w:r>
              <w:rPr>
                <w:rFonts w:ascii="Courier New" w:cs="Courier New" w:eastAsia="Courier New" w:hAnsi="Courier New"/>
                <w:sz w:val="15"/>
                <w:szCs w:val="15"/>
                <w:color w:val="auto"/>
              </w:rPr>
              <w:t>Legal Proceedings</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14</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640" w:type="dxa"/>
            <w:vAlign w:val="bottom"/>
          </w:tcPr>
          <w:p>
            <w:pPr>
              <w:spacing w:after="0"/>
              <w:rPr>
                <w:sz w:val="20"/>
                <w:szCs w:val="20"/>
                <w:color w:val="auto"/>
              </w:rPr>
            </w:pPr>
            <w:r>
              <w:rPr>
                <w:rFonts w:ascii="Courier New" w:cs="Courier New" w:eastAsia="Courier New" w:hAnsi="Courier New"/>
                <w:sz w:val="15"/>
                <w:szCs w:val="15"/>
                <w:color w:val="auto"/>
              </w:rPr>
              <w:t>Submission of Matters to a Vote of Security-Holders</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14</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640" w:type="dxa"/>
            <w:vAlign w:val="bottom"/>
          </w:tcPr>
          <w:p>
            <w:pPr>
              <w:spacing w:after="0"/>
              <w:rPr>
                <w:sz w:val="20"/>
                <w:szCs w:val="20"/>
                <w:color w:val="auto"/>
              </w:rPr>
            </w:pPr>
            <w:r>
              <w:rPr>
                <w:rFonts w:ascii="Courier New" w:cs="Courier New" w:eastAsia="Courier New" w:hAnsi="Courier New"/>
                <w:sz w:val="15"/>
                <w:szCs w:val="15"/>
                <w:color w:val="auto"/>
              </w:rPr>
              <w:t>Exhibits and Reports on Form 8-K</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14</w:t>
            </w:r>
          </w:p>
        </w:tc>
      </w:tr>
      <w:tr>
        <w:trPr>
          <w:trHeight w:val="688"/>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2 of 15</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CYTOTHERAPEUTICS, INC.</w:t>
            </w:r>
          </w:p>
        </w:tc>
        <w:tc>
          <w:tcPr>
            <w:tcW w:w="30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516"/>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CONDENSED BALANCE SHEETS</w:t>
            </w:r>
          </w:p>
        </w:tc>
        <w:tc>
          <w:tcPr>
            <w:tcW w:w="3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(unaudited)</w:t>
            </w:r>
          </w:p>
        </w:tc>
        <w:tc>
          <w:tcPr>
            <w:tcW w:w="30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688"/>
        </w:trPr>
        <w:tc>
          <w:tcPr>
            <w:tcW w:w="5140" w:type="dxa"/>
            <w:vAlign w:val="bottom"/>
          </w:tcPr>
          <w:p>
            <w:pPr>
              <w:spacing w:after="0"/>
              <w:rPr>
                <w:sz w:val="24"/>
                <w:szCs w:val="24"/>
                <w:color w:val="auto"/>
              </w:rPr>
            </w:pPr>
          </w:p>
        </w:tc>
        <w:tc>
          <w:tcPr>
            <w:tcW w:w="304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JUNE 30, 1996</w:t>
            </w:r>
          </w:p>
        </w:tc>
        <w:tc>
          <w:tcPr>
            <w:tcW w:w="2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DECEMBER 31, 1995</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44"/>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$7,084,064</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$9,548,579</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Marketable securities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31,332,247</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34,643,160</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Receivables from collaborative agreement</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23,600</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167,906</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Other current assets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1,636,212</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1,303,379</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40,076,123</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45,663,024</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8,268,984</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7,892,763</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3,535,845</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3,251,718</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140" w:type="dxa"/>
            <w:vAlign w:val="bottom"/>
          </w:tcPr>
          <w:p>
            <w:pPr>
              <w:ind w:left="800"/>
              <w:spacing w:after="0"/>
              <w:rPr>
                <w:sz w:val="20"/>
                <w:szCs w:val="20"/>
                <w:color w:val="auto"/>
              </w:rPr>
            </w:pPr>
            <w:r>
              <w:rPr>
                <w:rFonts w:ascii="Courier New" w:cs="Courier New" w:eastAsia="Courier New" w:hAnsi="Courier New"/>
                <w:sz w:val="15"/>
                <w:szCs w:val="15"/>
                <w:color w:val="auto"/>
              </w:rPr>
              <w:t>Total assets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$51,880,952</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$56,807,505</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51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 expenses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$2,598,335</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$3,082,419</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1,750,000</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1,750,000</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614,015</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668,325</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 term debt</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525,119</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474,245</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5,487,469</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5,974,989</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4,229,008</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4,498,957</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Long term debt, less current maturities</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1,539,313</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942,181</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153,813</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151,770</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 in capital</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105,541,128</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104,271,658</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(64,891,427)</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(59,163,536)</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(122,356)</w:t>
            </w:r>
          </w:p>
        </w:tc>
        <w:tc>
          <w:tcPr>
            <w:tcW w:w="2820" w:type="dxa"/>
            <w:vAlign w:val="bottom"/>
          </w:tcPr>
          <w:p>
            <w:pPr>
              <w:jc w:val="center"/>
              <w:ind w:left="66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(loss) on marketable securities</w:t>
            </w: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(55,996)</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131,486</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ind w:left="800"/>
              <w:spacing w:after="0"/>
              <w:rPr>
                <w:sz w:val="20"/>
                <w:szCs w:val="20"/>
                <w:color w:val="auto"/>
              </w:rPr>
            </w:pPr>
            <w:r>
              <w:rPr>
                <w:rFonts w:ascii="Courier New" w:cs="Courier New" w:eastAsia="Courier New" w:hAnsi="Courier New"/>
                <w:sz w:val="15"/>
                <w:szCs w:val="15"/>
                <w:color w:val="auto"/>
              </w:rPr>
              <w:t>Total stockholders' equity</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40,625,162</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45,391,378</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14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$51,880,952</w:t>
            </w:r>
          </w:p>
        </w:tc>
        <w:tc>
          <w:tcPr>
            <w:tcW w:w="2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$56,807,505</w:t>
            </w:r>
          </w:p>
        </w:tc>
      </w:tr>
      <w:tr>
        <w:trPr>
          <w:trHeight w:val="172"/>
        </w:trPr>
        <w:tc>
          <w:tcPr>
            <w:tcW w:w="5140" w:type="dxa"/>
            <w:vAlign w:val="bottom"/>
          </w:tcPr>
          <w:p>
            <w:pPr>
              <w:spacing w:after="0"/>
              <w:rPr>
                <w:sz w:val="14"/>
                <w:szCs w:val="14"/>
                <w:color w:val="auto"/>
              </w:rPr>
            </w:pPr>
          </w:p>
        </w:tc>
        <w:tc>
          <w:tcPr>
            <w:tcW w:w="3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center"/>
              <w:ind w:left="685"/>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3 of 15</w:t>
      </w:r>
    </w:p>
    <w:p>
      <w:pPr>
        <w:sectPr>
          <w:pgSz w:w="11900" w:h="16838" w:orient="portrait"/>
          <w:cols w:equalWidth="0" w:num="1">
            <w:col w:w="11000"/>
          </w:cols>
          <w:pgMar w:left="240" w:top="289" w:right="65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CYTOTHERAPEUTICS, INC.</w:t>
            </w:r>
          </w:p>
        </w:tc>
        <w:tc>
          <w:tcPr>
            <w:tcW w:w="1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16"/>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88"/>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(unaudited)</w:t>
            </w:r>
          </w:p>
        </w:tc>
        <w:tc>
          <w:tcPr>
            <w:tcW w:w="3540" w:type="dxa"/>
            <w:vAlign w:val="bottom"/>
            <w:gridSpan w:val="2"/>
          </w:tcPr>
          <w:p>
            <w:pPr>
              <w:jc w:val="right"/>
              <w:ind w:right="965"/>
              <w:spacing w:after="0"/>
              <w:rPr>
                <w:sz w:val="20"/>
                <w:szCs w:val="20"/>
                <w:color w:val="auto"/>
              </w:rPr>
            </w:pPr>
            <w:r>
              <w:rPr>
                <w:rFonts w:ascii="Courier New" w:cs="Courier New" w:eastAsia="Courier New" w:hAnsi="Courier New"/>
                <w:sz w:val="15"/>
                <w:szCs w:val="15"/>
                <w:color w:val="auto"/>
              </w:rPr>
              <w:t>THREE MONTHS ENDED</w:t>
            </w:r>
          </w:p>
        </w:tc>
        <w:tc>
          <w:tcPr>
            <w:tcW w:w="31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460" w:type="dxa"/>
            <w:vAlign w:val="bottom"/>
          </w:tcPr>
          <w:p>
            <w:pPr>
              <w:spacing w:after="0"/>
              <w:rPr>
                <w:sz w:val="14"/>
                <w:szCs w:val="14"/>
                <w:color w:val="auto"/>
              </w:rPr>
            </w:pPr>
          </w:p>
        </w:tc>
        <w:tc>
          <w:tcPr>
            <w:tcW w:w="3540" w:type="dxa"/>
            <w:vAlign w:val="bottom"/>
            <w:gridSpan w:val="2"/>
          </w:tcPr>
          <w:p>
            <w:pPr>
              <w:jc w:val="right"/>
              <w:ind w:right="1405"/>
              <w:spacing w:after="0"/>
              <w:rPr>
                <w:sz w:val="20"/>
                <w:szCs w:val="20"/>
                <w:color w:val="auto"/>
              </w:rPr>
            </w:pPr>
            <w:r>
              <w:rPr>
                <w:rFonts w:ascii="Courier New" w:cs="Courier New" w:eastAsia="Courier New" w:hAnsi="Courier New"/>
                <w:sz w:val="15"/>
                <w:szCs w:val="15"/>
                <w:color w:val="auto"/>
              </w:rPr>
              <w:t>JUNE 30,</w:t>
            </w:r>
          </w:p>
        </w:tc>
        <w:tc>
          <w:tcPr>
            <w:tcW w:w="318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1995</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Revenue from collaborative arrangements</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$1,850,632</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$1,543,830</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$3,514,849</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$7,859,016</w:t>
            </w:r>
          </w:p>
        </w:tc>
      </w:tr>
      <w:tr>
        <w:trPr>
          <w:trHeight w:val="344"/>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Operating expenses:</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4460" w:type="dxa"/>
            <w:vAlign w:val="bottom"/>
          </w:tcPr>
          <w:p>
            <w:pPr>
              <w:ind w:left="880"/>
              <w:spacing w:after="0"/>
              <w:rPr>
                <w:sz w:val="20"/>
                <w:szCs w:val="20"/>
                <w:color w:val="auto"/>
              </w:rPr>
            </w:pPr>
            <w:r>
              <w:rPr>
                <w:rFonts w:ascii="Courier New" w:cs="Courier New" w:eastAsia="Courier New" w:hAnsi="Courier New"/>
                <w:sz w:val="15"/>
                <w:szCs w:val="15"/>
                <w:color w:val="auto"/>
              </w:rPr>
              <w:t>Research and development</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4,175,341</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3,583,999</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8,080,500</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7,004,528</w:t>
            </w:r>
          </w:p>
        </w:tc>
      </w:tr>
      <w:tr>
        <w:trPr>
          <w:trHeight w:val="172"/>
        </w:trPr>
        <w:tc>
          <w:tcPr>
            <w:tcW w:w="4460" w:type="dxa"/>
            <w:vAlign w:val="bottom"/>
          </w:tcPr>
          <w:p>
            <w:pPr>
              <w:ind w:left="880"/>
              <w:spacing w:after="0"/>
              <w:rPr>
                <w:sz w:val="20"/>
                <w:szCs w:val="20"/>
                <w:color w:val="auto"/>
              </w:rPr>
            </w:pPr>
            <w:r>
              <w:rPr>
                <w:rFonts w:ascii="Courier New" w:cs="Courier New" w:eastAsia="Courier New" w:hAnsi="Courier New"/>
                <w:sz w:val="15"/>
                <w:szCs w:val="15"/>
                <w:color w:val="auto"/>
              </w:rPr>
              <w:t>General and administrative</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1,173,221</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1,093,439</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2,407,269</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2,217,483</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5,348,562</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4,677,438</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10,487,769</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9,222,011</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Loss from operations</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(3,497,930)</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(3,133,608)</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(6,972,920)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(1,362,995)</w:t>
            </w:r>
          </w:p>
        </w:tc>
      </w:tr>
      <w:tr>
        <w:trPr>
          <w:trHeight w:val="344"/>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Other income (expense):</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4460" w:type="dxa"/>
            <w:vAlign w:val="bottom"/>
          </w:tcPr>
          <w:p>
            <w:pPr>
              <w:ind w:left="880"/>
              <w:spacing w:after="0"/>
              <w:rPr>
                <w:sz w:val="20"/>
                <w:szCs w:val="20"/>
                <w:color w:val="auto"/>
              </w:rPr>
            </w:pPr>
            <w:r>
              <w:rPr>
                <w:rFonts w:ascii="Courier New" w:cs="Courier New" w:eastAsia="Courier New" w:hAnsi="Courier New"/>
                <w:sz w:val="15"/>
                <w:szCs w:val="15"/>
                <w:color w:val="auto"/>
              </w:rPr>
              <w:t>Investment income</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572,744</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399,294</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1,207,269</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644,423</w:t>
            </w:r>
          </w:p>
        </w:tc>
      </w:tr>
      <w:tr>
        <w:trPr>
          <w:trHeight w:val="172"/>
        </w:trPr>
        <w:tc>
          <w:tcPr>
            <w:tcW w:w="4460" w:type="dxa"/>
            <w:vAlign w:val="bottom"/>
          </w:tcPr>
          <w:p>
            <w:pPr>
              <w:ind w:left="880"/>
              <w:spacing w:after="0"/>
              <w:rPr>
                <w:sz w:val="20"/>
                <w:szCs w:val="20"/>
                <w:color w:val="auto"/>
              </w:rPr>
            </w:pPr>
            <w:r>
              <w:rPr>
                <w:rFonts w:ascii="Courier New" w:cs="Courier New" w:eastAsia="Courier New" w:hAnsi="Courier New"/>
                <w:sz w:val="15"/>
                <w:szCs w:val="15"/>
                <w:color w:val="auto"/>
              </w:rPr>
              <w:t>Interest expense</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(149,145)</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(146,808)</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(304,740)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(289,549)</w:t>
            </w:r>
          </w:p>
        </w:tc>
      </w:tr>
      <w:tr>
        <w:trPr>
          <w:trHeight w:val="172"/>
        </w:trPr>
        <w:tc>
          <w:tcPr>
            <w:tcW w:w="4460" w:type="dxa"/>
            <w:vAlign w:val="bottom"/>
          </w:tcPr>
          <w:p>
            <w:pPr>
              <w:ind w:left="880"/>
              <w:spacing w:after="0"/>
              <w:rPr>
                <w:sz w:val="20"/>
                <w:szCs w:val="20"/>
                <w:color w:val="auto"/>
              </w:rPr>
            </w:pPr>
            <w:r>
              <w:rPr>
                <w:rFonts w:ascii="Courier New" w:cs="Courier New" w:eastAsia="Courier New" w:hAnsi="Courier New"/>
                <w:sz w:val="15"/>
                <w:szCs w:val="15"/>
                <w:color w:val="auto"/>
              </w:rPr>
              <w:t>Other income</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342,500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342,500</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766,099</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252,486</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1,245,029</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354,874</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Net loss</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($2,731,831)</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($2,881,122)</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($5,727,891)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($1,008,121)</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Net loss per share</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($0.18)</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($0.23)</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ind w:left="520"/>
              <w:spacing w:after="0"/>
              <w:rPr>
                <w:sz w:val="20"/>
                <w:szCs w:val="20"/>
                <w:color w:val="auto"/>
              </w:rPr>
            </w:pPr>
            <w:r>
              <w:rPr>
                <w:rFonts w:ascii="Courier New" w:cs="Courier New" w:eastAsia="Courier New" w:hAnsi="Courier New"/>
                <w:sz w:val="15"/>
                <w:szCs w:val="15"/>
                <w:color w:val="auto"/>
              </w:rPr>
              <w:t>Shares used in calculation</w:t>
            </w:r>
          </w:p>
        </w:tc>
        <w:tc>
          <w:tcPr>
            <w:tcW w:w="1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15,368,009</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12,322,203</w:t>
            </w:r>
          </w:p>
        </w:tc>
        <w:tc>
          <w:tcPr>
            <w:tcW w:w="17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15,320,989</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11,758,266</w:t>
            </w:r>
          </w:p>
        </w:tc>
      </w:tr>
      <w:tr>
        <w:trPr>
          <w:trHeight w:val="172"/>
        </w:trPr>
        <w:tc>
          <w:tcPr>
            <w:tcW w:w="44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4 of 15</w:t>
      </w:r>
    </w:p>
    <w:p>
      <w:pPr>
        <w:sectPr>
          <w:pgSz w:w="11900" w:h="16838" w:orient="portrait"/>
          <w:cols w:equalWidth="0" w:num="1">
            <w:col w:w="11180"/>
          </w:cols>
          <w:pgMar w:left="240" w:top="289" w:right="47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CYTOTHERAPEUTICS, INC.</w:t>
            </w: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516"/>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w:t>
            </w:r>
          </w:p>
        </w:tc>
        <w:tc>
          <w:tcPr>
            <w:tcW w:w="2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688"/>
        </w:trPr>
        <w:tc>
          <w:tcPr>
            <w:tcW w:w="6300" w:type="dxa"/>
            <w:vAlign w:val="bottom"/>
          </w:tcPr>
          <w:p>
            <w:pPr>
              <w:spacing w:after="0"/>
              <w:rPr>
                <w:sz w:val="24"/>
                <w:szCs w:val="24"/>
                <w:color w:val="auto"/>
              </w:rPr>
            </w:pPr>
          </w:p>
        </w:tc>
        <w:tc>
          <w:tcPr>
            <w:tcW w:w="5220" w:type="dxa"/>
            <w:vAlign w:val="bottom"/>
            <w:gridSpan w:val="2"/>
          </w:tcPr>
          <w:p>
            <w:pPr>
              <w:jc w:val="right"/>
              <w:ind w:right="134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(unaudited)</w:t>
            </w:r>
          </w:p>
        </w:tc>
        <w:tc>
          <w:tcPr>
            <w:tcW w:w="2720" w:type="dxa"/>
            <w:vAlign w:val="bottom"/>
          </w:tcPr>
          <w:p>
            <w:pPr>
              <w:spacing w:after="0"/>
              <w:rPr>
                <w:sz w:val="14"/>
                <w:szCs w:val="14"/>
                <w:color w:val="auto"/>
              </w:rPr>
            </w:pPr>
          </w:p>
        </w:tc>
        <w:tc>
          <w:tcPr>
            <w:tcW w:w="2500" w:type="dxa"/>
            <w:vAlign w:val="bottom"/>
          </w:tcPr>
          <w:p>
            <w:pPr>
              <w:jc w:val="right"/>
              <w:ind w:right="1705"/>
              <w:spacing w:after="0"/>
              <w:rPr>
                <w:sz w:val="20"/>
                <w:szCs w:val="20"/>
                <w:color w:val="auto"/>
              </w:rPr>
            </w:pPr>
            <w:r>
              <w:rPr>
                <w:rFonts w:ascii="Courier New" w:cs="Courier New" w:eastAsia="Courier New" w:hAnsi="Courier New"/>
                <w:sz w:val="15"/>
                <w:szCs w:val="15"/>
                <w:color w:val="auto"/>
                <w:w w:val="97"/>
              </w:rPr>
              <w:t>JUNE 30,</w:t>
            </w:r>
          </w:p>
        </w:tc>
      </w:tr>
      <w:tr>
        <w:trPr>
          <w:trHeight w:val="172"/>
        </w:trPr>
        <w:tc>
          <w:tcPr>
            <w:tcW w:w="6300" w:type="dxa"/>
            <w:vAlign w:val="bottom"/>
          </w:tcPr>
          <w:p>
            <w:pPr>
              <w:spacing w:after="0"/>
              <w:rPr>
                <w:sz w:val="14"/>
                <w:szCs w:val="14"/>
                <w:color w:val="auto"/>
              </w:rPr>
            </w:pPr>
          </w:p>
        </w:tc>
        <w:tc>
          <w:tcPr>
            <w:tcW w:w="272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1996</w:t>
            </w:r>
          </w:p>
        </w:tc>
        <w:tc>
          <w:tcPr>
            <w:tcW w:w="25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6300" w:type="dxa"/>
            <w:vAlign w:val="bottom"/>
          </w:tcPr>
          <w:p>
            <w:pPr>
              <w:spacing w:after="0"/>
              <w:rPr>
                <w:sz w:val="14"/>
                <w:szCs w:val="14"/>
                <w:color w:val="auto"/>
              </w:rPr>
            </w:pPr>
          </w:p>
        </w:tc>
        <w:tc>
          <w:tcPr>
            <w:tcW w:w="5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344"/>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($5,727,891)</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($1,008,121)</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loss to</w:t>
            </w: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net cash used for operating activities:</w:t>
            </w: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6300" w:type="dxa"/>
            <w:vAlign w:val="bottom"/>
          </w:tcPr>
          <w:p>
            <w:pPr>
              <w:ind w:left="800"/>
              <w:spacing w:after="0"/>
              <w:rPr>
                <w:sz w:val="20"/>
                <w:szCs w:val="20"/>
                <w:color w:val="auto"/>
              </w:rPr>
            </w:pPr>
            <w:r>
              <w:rPr>
                <w:rFonts w:ascii="Courier New" w:cs="Courier New" w:eastAsia="Courier New" w:hAnsi="Courier New"/>
                <w:sz w:val="15"/>
                <w:szCs w:val="15"/>
                <w:color w:val="auto"/>
              </w:rPr>
              <w:t>Depreciation and amortization</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794,645</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782,296</w:t>
            </w:r>
          </w:p>
        </w:tc>
      </w:tr>
      <w:tr>
        <w:trPr>
          <w:trHeight w:val="172"/>
        </w:trPr>
        <w:tc>
          <w:tcPr>
            <w:tcW w:w="6300" w:type="dxa"/>
            <w:vAlign w:val="bottom"/>
          </w:tcPr>
          <w:p>
            <w:pPr>
              <w:ind w:left="800"/>
              <w:spacing w:after="0"/>
              <w:rPr>
                <w:sz w:val="20"/>
                <w:szCs w:val="20"/>
                <w:color w:val="auto"/>
              </w:rPr>
            </w:pPr>
            <w:r>
              <w:rPr>
                <w:rFonts w:ascii="Courier New" w:cs="Courier New" w:eastAsia="Courier New" w:hAnsi="Courier New"/>
                <w:sz w:val="15"/>
                <w:szCs w:val="15"/>
                <w:color w:val="auto"/>
              </w:rPr>
              <w:t>Compensation expense relating to the grant</w:t>
            </w: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6300" w:type="dxa"/>
            <w:vAlign w:val="bottom"/>
          </w:tcPr>
          <w:p>
            <w:pPr>
              <w:ind w:left="980"/>
              <w:spacing w:after="0"/>
              <w:rPr>
                <w:sz w:val="20"/>
                <w:szCs w:val="20"/>
                <w:color w:val="auto"/>
              </w:rPr>
            </w:pPr>
            <w:r>
              <w:rPr>
                <w:rFonts w:ascii="Courier New" w:cs="Courier New" w:eastAsia="Courier New" w:hAnsi="Courier New"/>
                <w:sz w:val="15"/>
                <w:szCs w:val="15"/>
                <w:color w:val="auto"/>
              </w:rPr>
              <w:t>of stock options</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31,061</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65,408</w:t>
            </w:r>
          </w:p>
        </w:tc>
      </w:tr>
      <w:tr>
        <w:trPr>
          <w:trHeight w:val="172"/>
        </w:trPr>
        <w:tc>
          <w:tcPr>
            <w:tcW w:w="6300" w:type="dxa"/>
            <w:vAlign w:val="bottom"/>
          </w:tcPr>
          <w:p>
            <w:pPr>
              <w:ind w:left="80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(639,653)</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1,953,678</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(5,541,838)</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1,793,261</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marketable securities</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6,207,051</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7,013,834</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Purchases of marketable securities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(3,083,620)</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(18,012,435)</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Purchase of property, plant and equipment</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(1,149,202)</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(661,474)</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Acquisition of other assets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(305,791)</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(25,598)</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Other investments</w:t>
            </w:r>
          </w:p>
        </w:tc>
        <w:tc>
          <w:tcPr>
            <w:tcW w:w="27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(500,100)</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1,668,438</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(12,185,773)</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7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1,085,138</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9,992,215</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financing transactions</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821,172</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148,785</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and mortgage payable</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(497,425)</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(550,906)</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1,408,885</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9,590,094</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Decrease in cash and cash equivalents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(2,464,515)</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(802,418)</w:t>
            </w:r>
          </w:p>
        </w:tc>
      </w:tr>
      <w:tr>
        <w:trPr>
          <w:trHeight w:val="172"/>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January 1</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9,548,579</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8,715,890</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June 30</w:t>
            </w:r>
          </w:p>
        </w:tc>
        <w:tc>
          <w:tcPr>
            <w:tcW w:w="2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$7,084,064</w:t>
            </w:r>
          </w:p>
        </w:tc>
        <w:tc>
          <w:tcPr>
            <w:tcW w:w="2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$7,913,472</w:t>
            </w:r>
          </w:p>
        </w:tc>
      </w:tr>
      <w:tr>
        <w:trPr>
          <w:trHeight w:val="172"/>
        </w:trPr>
        <w:tc>
          <w:tcPr>
            <w:tcW w:w="630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5 of 15</w:t>
      </w:r>
    </w:p>
    <w:p>
      <w:pPr>
        <w:sectPr>
          <w:pgSz w:w="11900" w:h="16838" w:orient="portrait"/>
          <w:cols w:equalWidth="0" w:num="1">
            <w:col w:w="11520"/>
          </w:cols>
          <w:pgMar w:left="240" w:top="289"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FINANCIAL STATEMENTS (UNAUDITED)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1996 AND 1995</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6" w:lineRule="exact"/>
        <w:rPr>
          <w:sz w:val="20"/>
          <w:szCs w:val="20"/>
          <w:color w:val="auto"/>
        </w:rPr>
      </w:pPr>
    </w:p>
    <w:p>
      <w:pPr>
        <w:ind w:left="800" w:right="3159"/>
        <w:spacing w:after="0" w:line="261" w:lineRule="auto"/>
        <w:rPr>
          <w:sz w:val="20"/>
          <w:szCs w:val="20"/>
          <w:color w:val="auto"/>
        </w:rPr>
      </w:pPr>
      <w:r>
        <w:rPr>
          <w:rFonts w:ascii="Courier New" w:cs="Courier New" w:eastAsia="Courier New" w:hAnsi="Courier New"/>
          <w:sz w:val="14"/>
          <w:szCs w:val="14"/>
          <w:color w:val="auto"/>
        </w:rPr>
        <w:t>The accompanying, unaudited, condensed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six months ended June 30, 1996 are not necessarily indicative of the results that may be expected for the entire fiscal year ended December 31, 1996.</w:t>
      </w:r>
    </w:p>
    <w:p>
      <w:pPr>
        <w:spacing w:after="0" w:line="166"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For further information, refer to the audited financial statements and footnotes thereto as of December 31, 1995 included in the Company's Annual Report to Stockholders and the Annual Report on Form 10-K filed with the Securities and Exchange Commission.</w:t>
      </w:r>
    </w:p>
    <w:p>
      <w:pPr>
        <w:spacing w:after="0" w:line="34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176" w:lineRule="exact"/>
        <w:rPr>
          <w:sz w:val="20"/>
          <w:szCs w:val="20"/>
          <w:color w:val="auto"/>
        </w:rPr>
      </w:pPr>
    </w:p>
    <w:p>
      <w:pPr>
        <w:ind w:left="800" w:right="3079"/>
        <w:spacing w:after="0" w:line="267" w:lineRule="auto"/>
        <w:rPr>
          <w:sz w:val="20"/>
          <w:szCs w:val="20"/>
          <w:color w:val="auto"/>
        </w:rPr>
      </w:pPr>
      <w:r>
        <w:rPr>
          <w:rFonts w:ascii="Courier New" w:cs="Courier New" w:eastAsia="Courier New" w:hAnsi="Courier New"/>
          <w:sz w:val="14"/>
          <w:szCs w:val="14"/>
          <w:color w:val="auto"/>
        </w:rPr>
        <w:t>Net loss per share is computed using the weighted average number of shares of common stock outstanding. Common equivalent shares from stock options and warrants are excluded as their effect is antidilutive.</w:t>
      </w:r>
    </w:p>
    <w:p>
      <w:pPr>
        <w:spacing w:after="0" w:line="15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ADOPTION OF NEW ACCOUNTING PRONOUNCEMENTS</w:t>
      </w:r>
    </w:p>
    <w:p>
      <w:pPr>
        <w:spacing w:after="0" w:line="176" w:lineRule="exact"/>
        <w:rPr>
          <w:sz w:val="20"/>
          <w:szCs w:val="20"/>
          <w:color w:val="auto"/>
        </w:rPr>
      </w:pPr>
    </w:p>
    <w:p>
      <w:pPr>
        <w:ind w:left="800" w:right="3079"/>
        <w:spacing w:after="0" w:line="261" w:lineRule="auto"/>
        <w:rPr>
          <w:sz w:val="20"/>
          <w:szCs w:val="20"/>
          <w:color w:val="auto"/>
        </w:rPr>
      </w:pPr>
      <w:r>
        <w:rPr>
          <w:rFonts w:ascii="Courier New" w:cs="Courier New" w:eastAsia="Courier New" w:hAnsi="Courier New"/>
          <w:sz w:val="14"/>
          <w:szCs w:val="14"/>
          <w:color w:val="auto"/>
        </w:rPr>
        <w:t>The Company has adopted Statement of Financial Accounting Standards No. 121 ("SFAS 121"), Accounting for the Impairment of Long-Lived Assets and for Long-Lived Assets to be Disposed Of, which requires impairment losses to be recorded on the long-lived assets used in operations when indicators of impairment are present and the undiscounted cash flows estimated to be generated by those assets are less than the assets' carrying amount. SFAS 121 also addresses the accounting for long-lived assets that are expected to be disposed of. The adoption of SFAS 121 had no impact on the financial position or results of operations of the Company as no indicators of impairment currently exist.</w:t>
      </w:r>
    </w:p>
    <w:p>
      <w:pPr>
        <w:spacing w:after="0" w:line="167"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The Company has adopted the disclosure provisions of Financial Accounting Standards No. 123 ("SFAS 123"), Accounting and Disclosure of Stock-Based Compensation. The Company will continue to account for its stock-based compensation arrangements under the provisions of APB 25, Accounting for Stock Issued to Employees.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6 of 15</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4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SUBSEQUENT EVENT</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On July 10, 1996, The Company participated in the establishment of Modex Therapeutiques SA, as a 50% owned, Swiss subsidiary to pursue extensions of the Company's encapsulated-cell technology for applications outside the central nervous system. Modex is headquartered in Lausanne, Switzerland.</w:t>
      </w:r>
    </w:p>
    <w:p>
      <w:pPr>
        <w:spacing w:after="0" w:line="175"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The Company has initially invested $2 million in Modex, with a commitment to invest an additional $2 million on the second anniversary of the agreement if Modex has, prior to that time, achieved one or more specified scientific milestones, in exchange for a 50% stake in Modex. An investment fund, managed by a Swiss private bank, has invested $2 million in Modex, with a commitment to invest an additional $1 million on the second anniversary of the agreement, in exchange for a 15% stake in the company. The remaining 35% of Modex is owned by the scientific founders of Modex.</w:t>
      </w:r>
    </w:p>
    <w:p>
      <w:pPr>
        <w:spacing w:after="0" w:line="178"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The Company has granted to Modex an exclusive, royalty-bearing license to the Company's proprietary encapsulated-cell technology for three applications outside the central nervous system (diabetes, obesity, and anemia). Modex granted the Company an exclusive royalty-bearing license to any technology developed or obtained by Modex for application to diseases, conditions, and disorders which affect the central nervous system. In addition to its royalty obligations, the Company is also obligated to issue to Modex up to 300,000 shares of the Company's Common Stock on the achievement by Modex of certain scientific milestones. Substantially all of these shares are expected to be awarded by Modex as incentive compensation to Modex' founding scientists and other researchers upon the achievement of such milestones.</w:t>
      </w:r>
    </w:p>
    <w:p>
      <w:pPr>
        <w:spacing w:after="0" w:line="181"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Under the terms of its agreement with the investment fund, during the first two years following closing, the Company has the right to acquire the fund's interest in Modex for the greater of a 30% annual return or $3 million. Following this two-year period, the Company has the right to purchase the fund's interest at 110% of fair market value. Following the second anniversary of the agreement and prior to the tenth anniversary of the agreement, if no public market exists for the Common Stock of Modex, the fund has the right to require the Company to purchase the fund's interest in Modex for 90% of the fair market value of such interest. Any purchase made by the Company under any of the circumstances described in this paragraph may be made at the Company's option in cash or shares of the Company's Common Stock valued at the market price at the time of purchase. The Company also has the right to acquire, and the founders have the right to require the Company to acquire, the founders' initial equity interest in Modex in exchange for the issuance of an aggregate of approximately 92,000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7 of 15</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1 - ITEM 2</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the Company for the three and six months ended June 30, 1996 and 1995 should be read in conjunction with the accompanying unaudited condensed financial statements and the related footnotes thereto.</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report may contain certain forward-looking statements regarding, among other things, the Company's results of operations, the progress of the Company's product development programs, the Company's need for, and required timing of, additional capital, capital expenditures and need for additional facilities. The Company's actual results may vary materially from those contained in such forward-looking statements. See "Cautionary Factors Relevant to Forward-Looking-Information" filed herewith as Exhibit 99 and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Since its inception in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broadened or initiated.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period to period and may vary significantly in the future due to the occurrence of material, nonrecurring events, including without limitation, the receipt of one-time, nonrecurring licensing payments. Results may vary from quarter to quarter and results of one quarter may not be representative of the actual results for the year.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30, 1996 AND 1995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 the quarter ended June 30, 1996 and 1995, revenues from collaborative agreements totaled $1,851,000 and $1,544,000, respectively. The revenues were earned solely from a Development, Marketing and License Agreement with Astra AB, which was signed in March 1995.</w:t>
      </w:r>
    </w:p>
    <w:p>
      <w:pPr>
        <w:spacing w:after="0" w:line="34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8 of 15</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0"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Research and development expenses totaled $4,175,000 for the three months ended June 30, 1996, compared with $3,584,000 for the same period in 1995</w:t>
      </w:r>
    </w:p>
    <w:p>
      <w:pPr>
        <w:spacing w:after="0" w:line="4" w:lineRule="exact"/>
        <w:rPr>
          <w:sz w:val="20"/>
          <w:szCs w:val="20"/>
          <w:color w:val="auto"/>
        </w:rPr>
      </w:pPr>
    </w:p>
    <w:p>
      <w:pPr>
        <w:jc w:val="both"/>
        <w:ind w:right="3699"/>
        <w:spacing w:after="0" w:line="241" w:lineRule="auto"/>
        <w:rPr>
          <w:sz w:val="20"/>
          <w:szCs w:val="20"/>
          <w:color w:val="auto"/>
        </w:rPr>
      </w:pPr>
      <w:r>
        <w:rPr>
          <w:rFonts w:ascii="Courier New" w:cs="Courier New" w:eastAsia="Courier New" w:hAnsi="Courier New"/>
          <w:sz w:val="15"/>
          <w:szCs w:val="15"/>
          <w:color w:val="auto"/>
        </w:rPr>
        <w:t>The increase of $591,000, or 16%, from 1995 to 1996 is principally due to increases in the number of scientists and increased spending for research agreements and clinical trials.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General and administrative expenses were $1,173,000 for the three months ended June 30, 1996, compared with $1,093,000 for the same period in 1995. The increase of $80,000, or 7%, from 1995 to 1996 was primarily attributable to increased spending for general patent costs, as well as, increases in spending for administrative salaries, offset by a decrease in legal expenses.</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Other income in the amount of $343,000 was received in May 1996 for settlement of a legal suit filed on behalf of the Company.</w:t>
      </w:r>
    </w:p>
    <w:p>
      <w:pPr>
        <w:spacing w:after="0" w:line="176"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Interest income for the three months ended June 30, 1996 and 1995 was $573,000 and $399,000, respectively. The average investment balances were $38,807,000 and $21,574,000 in the second quarter of 1996 and 1995, respectively. The increase in interest income in 1996 is attributable to the higher average balances.</w:t>
      </w:r>
    </w:p>
    <w:p>
      <w:pPr>
        <w:spacing w:after="0" w:line="16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Interest expense was $149,000 for the three months ended June 30, 1996, compared with $147,000 for the same period in 1995. The increase from 1996 to 1995 was attributable to additional collateralized loan obligations recorded in connection with equipment financings offset, in part, by decreasing balances of existing capital leases.</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Net loss for the three months ended June 30, 1996 was $2,732,000, or $0.18 per share, as compared to net loss of $2,881,000, or $0.23 per share, for the comparable period in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1996 AND 1995</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For the six months ended June 30, 1996 and 1995, revenues from collaborative agreements totaled $3,515,000 and $7,859,000. The revenues were earned solely from a Development, Marketing and License Agreement with Astra AB, which was signed in March 1995. Included in the 1995 revenues was a non-refundable, one-time payment from Astra totaling $5,000,000.</w:t>
      </w:r>
    </w:p>
    <w:p>
      <w:pPr>
        <w:spacing w:after="0" w:line="175"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Research and development expenses totaled $8,081,000 for the six months ended June 30, 1996, compared with $7,005,000 for the same period in 1995. The increase of $1,076,000, or 15%, from 1995 to 1996 is principally due to increases in the number of scientists and associated supplies, increased spending for research agreements, scientific consulting and clinical trials.</w:t>
      </w:r>
    </w:p>
    <w:p>
      <w:pPr>
        <w:spacing w:after="0" w:line="175"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General and administrative expenses were $2,407,000 for the six months ended June 30, 1996, compared with $2,217,000 for the same period in 1995. The</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9 of 15</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0"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increase of $190,000, or 9%, from 1995 to 1996 was primarily attributable to increases in patent related expenses, as well as, increases in spending for administrative salaries.</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Other income in the amount of $343,000 was received in May 1996 for settlement of a legal suit filed on behalf of the Company.</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Interest income for the six months ended June 30, 1996 and 1995 was $1,207,000 and $644,000, respectively. The average investment balances were $40,517,000 and $19,878,000 for the first six months of 1996 and 1995, respectively. The increase in interest income in 1996 is primarily attributable to the higher average balances.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Interest expense was $305,000 for the six months ended June 30, 1996, compared with $290,000 for the same period in 1995. The increase from 1995 to 1996 was attributable to additional collateralized loan obligations recorded in connection with equipment financings offset, in part, by decreasing balances of existing capital leases.</w:t>
      </w:r>
    </w:p>
    <w:p>
      <w:pPr>
        <w:spacing w:after="0" w:line="175"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Net loss for the six months ended June 30, 1996 was $5,728,000, or $0.37 per share, as compared to net loss of $1,008,000, or $0.09 per share, for the comparable period in 1995. The initial one-time payment of $5,000,000 from Astra is responsible for the Company's decreased loss in the first six months of 1995.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had unrestricted cash, cash equivalents, and marketable securities totaling $38,416,000 at June 30, 1996. Cash equivalents and marketable securities are invested in agencies of the U.S. government, investment grade corporate notes and money market funds.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May 1996, the Company secured an equipment loan facility with a bank in the amount of $2,000,000. The Company has borrowed $741,000 under this agreement as of June 30, 1996. The loan requires interest payments only for the first year, principal payments are payable over a three-year period beginning May 1997. Any unused commitment expires on May 15, 1997. The loan is secured by equipment purchased with the proceeds of the credit facility.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currently occupies all of its laboratory and administrative office space, other than that at its pilot manufacturing site, under the terms of operating leases subject to termination upon nine months notice by the Company. As a result</w:t>
      </w:r>
    </w:p>
    <w:p>
      <w:pPr>
        <w:spacing w:after="0" w:line="17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10 of 15</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of a potential increase in the number of employees, the Company's current facilities may not be sufficient to accommodate the Company's needs past the first half of 1997. The Company is currently evaluating a proposals under which it will lease new office and laboratory facilities.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July 1996, the Company invested $2 million in Modex, a 50% owned Swiss subsidiary, to pursue extensions of the Company's encapsulated-cell technology for applications outside the central nervous system, with a commitment to invest an additional $2 million on the second anniversary of the agreement if Modex has, prior to that time, achieved one or more specified scientific milestones. An investment fund, managed by a Swiss private bank, has invested $2 million in Modex, with a commitment to invest an additional $1 million on the second anniversary of the agreement, in exchange for a 15% stake in the company. The remaining 35% of Modex is owned by the scientific founders of Modex. The Company has granted to Modex an exclusive, royalty-bearing license to the Company's proprietary encapsulated-cell technology for three applications outside the central nervous system (diabetes, obesity and anemia). Modex granted the Company an exclusive royalty-bearing license to any technology developed or obtained by Modex for application to diseases, conditions, and disorders which affect the central nervous system. In addition to its royalty obligations, the Company is also obligated to issue to Modex up to 300,000 shares of the Company's Common Stock on the achievement by Modex of certain scientific milestones. Substantially all of these shares are expected to be awarded by Modex as incentive compensation to Modex' founding scientists and other researchers upon the achievement of such milestones.</w:t>
      </w:r>
    </w:p>
    <w:p>
      <w:pPr>
        <w:spacing w:after="0" w:line="18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the terms of its agreement with the investment fund, during the first two years following closing, the Company has the right to acquire the fund's interest in Modex for the greater of a 30% annual return or $3 million. Following this two-year period, the Company has the right to purchase the fund's interest at 110% of fair market value. Following the second anniversary of the agreement and prior to the tenth anniversary of the agreement, if no public market exists for the Common Stock of Modex, the fund has the right to require the Company to purchase the fund's interest in Modex for 90% of the fair market value of such interest. Any purchase made by the Company under any of the circumstances described in this paragraph may be made at the Company's option in cash or shares of the Company's Common Stock valued at the market price at the time of purchase. The Company also has the right to acquire, and the founders have the right to require the Company to acquire, the founders' initial equity interest in Modex in exchange for the issuance of an aggregate of approximately 92,000 shares of the Company's Common Stock.</w:t>
      </w:r>
    </w:p>
    <w:p>
      <w:pPr>
        <w:spacing w:after="0" w:line="18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 for the development and marketing of certain encapsulated-cell products to treat pain. Astra made an initial, nonrefundable payment of $5,000,000 and may make up to $16,000,000 in additional payments subject to the achievement of certain development milestones. Under the agreement, the Company is obligated to conduct certain research and development pursuant to a</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11 of 15</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four-year research plan agreed upon by the parties. Over the term of the agreement, the Company expects to receive annual research payments from Astra of $5 million to $7 million, which the Company expects should approximate the research and development costs incurred by the Company under the plan.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products. Astra has the right to terminate the agreement after April 1, 1998.</w:t>
      </w:r>
    </w:p>
    <w:p>
      <w:pPr>
        <w:spacing w:after="0" w:line="181"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In March 1994, the Company entered into a Development Collaboration and License Agreement with Genentech, Inc. relating to the development of products for the encapsulation of certain neurotrophic factors. The initial focus of the collaboration has been the development of encapsulated NGF-producing cells for the treatment of Alzheimer's disease. In addition to NGF, the agreement also covers the neurotrophic factors NT-3, NT-4/5 and two other neurotrophic factors to be chosen by Genentech. The agreement provides that Genentech and the Company will work exclusively with each other to develop and commercialize NGF-producing encapsulated-cell products; that Genentech will not work with any third party in the field of the treatment of neurological disease by the administration of encapsulated neurotrophic factor-producing mammalian cells, without the Company's consent; and that the Company will not work with the neurotrophic factors NGF, NT-3 and NT-4/5 with any third party, without Genentech's consent. Under the Agreement, the Company granted to Genentech an exclusive license to use any of the company's existing and future technology to sell NGF-producing encapsulated-cell products in the field of the treatment of any human neurological disorder or condition by the administration of neurotrophic-factor producing encapsulated cells. Upon execution of the Agreement, Genentech made a $1,250,000 payment to CytoTherapeutics, and purchased 334,428 shares of the Company's Common Stock for $3,500,000. Under the Agreement, the Company was obligated to undertake certain preclinical development projects and studies and to fund the $3,750,000 cost of such projects and 40% of such cost thereafter.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and Genentech have decided that Alzheimer's disease is not the most appropriate disease state to emphasize at this time under their collaboration agreement and are discussing other applications of the technologies. The Company has expended approximately $1,500,000 to fund the preclinical development projects and studies contemplated under the Agreement and does not currently expect to incur any further material expenditures for such projects and studies. The Company expects that future collaborations, if any, will involve new commitments and funding mechanisms.</w:t>
      </w:r>
    </w:p>
    <w:p>
      <w:pPr>
        <w:spacing w:after="0" w:line="34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12 of 15</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March 1994, the Company entered into a contract research and license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NeuroSpheres, Ltd. Under the agreement, the Company obtained from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NeuroSpheres an exclusive worldwide royalty-bearing license for the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and use of certain neural stem cells for transplantation to treat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disease. Terms of the agreement provide future research funding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$325,000 through February 1998. Upon the achievement of certain milestones,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will make payments to NeuroSpheres totaling a maximum of $3,750,000,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at NeuroSpheres' option, in cash or in shares of the Company's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at a price of $12.50 per share. Upon commercial sale of a product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utilizing the licensed technology, the Company is obligated to pay a range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royalties based on product revenues and market share, subject to certain minimum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royalties. In order to maintain exclusivity, the Company is also obligated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 additional amounts to support research related to development of products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agreement.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178"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Company intends to pursue opportunities to obtain additional financing in the future through equity and debt financings, lease agreements related to capital equipment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expects that its existing capital resources, revenues from collaborative agreements and income earned on invested capital will be sufficient to fund its operations into the first half of 1998. The Company's cash requirements may vary, however, depending on numerous factors. Lack of necessary funds may require the Company to delay, scale back or eliminate some or all of its research and product development programs or to license its potential products or technologies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13 of 15</w:t>
      </w:r>
    </w:p>
    <w:p>
      <w:pPr>
        <w:sectPr>
          <w:pgSz w:w="11900" w:h="16838" w:orient="portrait"/>
          <w:cols w:equalWidth="0" w:num="1">
            <w:col w:w="10219"/>
          </w:cols>
          <w:pgMar w:left="240" w:top="289"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 II - ITEM 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 II - ITEM 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SUBMISSION OF MATTERS TO A VOTE OF SECURITY-HOLDERS</w:t>
      </w:r>
    </w:p>
    <w:p>
      <w:pPr>
        <w:spacing w:after="0" w:line="176" w:lineRule="exact"/>
        <w:rPr>
          <w:sz w:val="20"/>
          <w:szCs w:val="20"/>
          <w:color w:val="auto"/>
        </w:rPr>
      </w:pPr>
    </w:p>
    <w:p>
      <w:pPr>
        <w:ind w:left="808" w:right="3439"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14, 1996 the 1996 Annual Meeting of Stockholders was held in Providence, Rhode Island.</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rFonts w:ascii="Courier New" w:cs="Courier New" w:eastAsia="Courier New" w:hAnsi="Courier New"/>
          <w:sz w:val="15"/>
          <w:szCs w:val="15"/>
          <w:color w:val="auto"/>
        </w:rPr>
      </w:pPr>
    </w:p>
    <w:p>
      <w:pPr>
        <w:ind w:left="808" w:right="3159" w:hanging="808"/>
        <w:spacing w:after="0" w:line="241" w:lineRule="auto"/>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brief description of each matter voted upon at the meeting and a breakdown of the votes cast for, against or withheld, as well as the number of abstentions voted for each proposal.</w:t>
      </w:r>
    </w:p>
    <w:p>
      <w:pPr>
        <w:spacing w:after="0" w:line="176" w:lineRule="exact"/>
        <w:rPr>
          <w:sz w:val="20"/>
          <w:szCs w:val="20"/>
          <w:color w:val="auto"/>
        </w:rPr>
      </w:pPr>
    </w:p>
    <w:p>
      <w:pPr>
        <w:ind w:left="808" w:right="3779" w:hanging="3"/>
        <w:spacing w:after="0"/>
        <w:tabs>
          <w:tab w:leader="none" w:pos="107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elect the following nominees as Directors of the Company: Edwin C. Cadman, M.D. and Donald R. Conklin.</w:t>
      </w:r>
    </w:p>
    <w:p>
      <w:pPr>
        <w:spacing w:after="0" w:line="174" w:lineRule="exact"/>
        <w:rPr>
          <w:sz w:val="20"/>
          <w:szCs w:val="20"/>
          <w:color w:val="auto"/>
        </w:rPr>
      </w:pPr>
    </w:p>
    <w:tbl>
      <w:tblPr>
        <w:tblLayout w:type="fixed"/>
        <w:tblInd w:w="1608"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Dr. Cadman -</w:t>
            </w:r>
          </w:p>
        </w:tc>
        <w:tc>
          <w:tcPr>
            <w:tcW w:w="19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10,279,558</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votes</w:t>
            </w:r>
          </w:p>
        </w:tc>
      </w:tr>
      <w:tr>
        <w:trPr>
          <w:trHeight w:val="172"/>
        </w:trPr>
        <w:tc>
          <w:tcPr>
            <w:tcW w:w="2140" w:type="dxa"/>
            <w:vAlign w:val="bottom"/>
          </w:tcPr>
          <w:p>
            <w:pPr>
              <w:spacing w:after="0"/>
              <w:rPr>
                <w:sz w:val="14"/>
                <w:szCs w:val="14"/>
                <w:color w:val="auto"/>
              </w:rPr>
            </w:pPr>
          </w:p>
        </w:tc>
        <w:tc>
          <w:tcPr>
            <w:tcW w:w="1580" w:type="dxa"/>
            <w:vAlign w:val="bottom"/>
          </w:tcPr>
          <w:p>
            <w:pPr>
              <w:ind w:left="1000"/>
              <w:spacing w:after="0"/>
              <w:rPr>
                <w:sz w:val="20"/>
                <w:szCs w:val="20"/>
                <w:color w:val="auto"/>
              </w:rPr>
            </w:pPr>
            <w:r>
              <w:rPr>
                <w:rFonts w:ascii="Courier New" w:cs="Courier New" w:eastAsia="Courier New" w:hAnsi="Courier New"/>
                <w:sz w:val="15"/>
                <w:szCs w:val="15"/>
                <w:color w:val="auto"/>
              </w:rPr>
              <w:t>33,725</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votes withheld</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Mr. Conklin -</w:t>
            </w:r>
          </w:p>
        </w:tc>
        <w:tc>
          <w:tcPr>
            <w:tcW w:w="19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10,279,558</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votes in favor</w:t>
            </w:r>
          </w:p>
        </w:tc>
      </w:tr>
      <w:tr>
        <w:trPr>
          <w:trHeight w:val="172"/>
        </w:trPr>
        <w:tc>
          <w:tcPr>
            <w:tcW w:w="2140" w:type="dxa"/>
            <w:vAlign w:val="bottom"/>
          </w:tcPr>
          <w:p>
            <w:pPr>
              <w:spacing w:after="0"/>
              <w:rPr>
                <w:sz w:val="14"/>
                <w:szCs w:val="14"/>
                <w:color w:val="auto"/>
              </w:rPr>
            </w:pPr>
          </w:p>
        </w:tc>
        <w:tc>
          <w:tcPr>
            <w:tcW w:w="1580" w:type="dxa"/>
            <w:vAlign w:val="bottom"/>
          </w:tcPr>
          <w:p>
            <w:pPr>
              <w:ind w:left="1000"/>
              <w:spacing w:after="0"/>
              <w:rPr>
                <w:sz w:val="20"/>
                <w:szCs w:val="20"/>
                <w:color w:val="auto"/>
              </w:rPr>
            </w:pPr>
            <w:r>
              <w:rPr>
                <w:rFonts w:ascii="Courier New" w:cs="Courier New" w:eastAsia="Courier New" w:hAnsi="Courier New"/>
                <w:sz w:val="15"/>
                <w:szCs w:val="15"/>
                <w:color w:val="auto"/>
              </w:rPr>
              <w:t>33,725</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votes withheld</w:t>
            </w:r>
          </w:p>
        </w:tc>
      </w:tr>
    </w:tbl>
    <w:p>
      <w:pPr>
        <w:spacing w:after="0" w:line="174" w:lineRule="exact"/>
        <w:rPr>
          <w:sz w:val="20"/>
          <w:szCs w:val="20"/>
          <w:color w:val="auto"/>
        </w:rPr>
      </w:pPr>
    </w:p>
    <w:p>
      <w:pPr>
        <w:ind w:left="1068" w:hanging="263"/>
        <w:spacing w:after="0"/>
        <w:tabs>
          <w:tab w:leader="none" w:pos="10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increase by 1,500,000 the number of shares of Common</w:t>
      </w:r>
    </w:p>
    <w:p>
      <w:pPr>
        <w:spacing w:after="0" w:line="3" w:lineRule="exact"/>
        <w:rPr>
          <w:rFonts w:ascii="Courier New" w:cs="Courier New" w:eastAsia="Courier New" w:hAnsi="Courier New"/>
          <w:sz w:val="15"/>
          <w:szCs w:val="15"/>
          <w:color w:val="auto"/>
        </w:rPr>
      </w:pPr>
    </w:p>
    <w:p>
      <w:pPr>
        <w:ind w:left="808"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available for issuance under the Company's 1992 Equity Incentive Plan and to make certain other changes to such Plan.</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6,812,403 votes in favor</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1,827,751 votes against</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16,888 votes abstaining</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1,656,241 votes Delivered-Not Voted</w:t>
      </w:r>
    </w:p>
    <w:p>
      <w:pPr>
        <w:spacing w:after="0" w:line="176" w:lineRule="exact"/>
        <w:rPr>
          <w:sz w:val="20"/>
          <w:szCs w:val="20"/>
          <w:color w:val="auto"/>
        </w:rPr>
      </w:pPr>
    </w:p>
    <w:p>
      <w:pPr>
        <w:ind w:left="808" w:right="3159" w:hanging="3"/>
        <w:spacing w:after="0" w:line="241" w:lineRule="auto"/>
        <w:tabs>
          <w:tab w:leader="none" w:pos="107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increase the awards issuable under the Company's 1992 Stock Option Plan for Non-Employee Directors and to make certain other changes to such Plan.</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9,730,782 votes in favor</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419,661 votes against</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26,740 votes abstaining</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136,100 votes Delivered-Not Voted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PART II - ITEM 6</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EXHIBITS AND REPORTS ON FORM 8-K</w:t>
      </w:r>
    </w:p>
    <w:p>
      <w:pPr>
        <w:spacing w:after="0" w:line="174" w:lineRule="exact"/>
        <w:rPr>
          <w:sz w:val="20"/>
          <w:szCs w:val="20"/>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5" w:lineRule="exact"/>
        <w:rPr>
          <w:rFonts w:ascii="Courier New" w:cs="Courier New" w:eastAsia="Courier New" w:hAnsi="Courier New"/>
          <w:sz w:val="15"/>
          <w:szCs w:val="15"/>
          <w:color w:val="auto"/>
        </w:rPr>
      </w:pPr>
    </w:p>
    <w:p>
      <w:pPr>
        <w:ind w:left="808" w:right="55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99 - Cautionary Factors Relevant to Forward-Looking-Information.</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The Registrant filed a report on Form 8-K on July 10, 1996 relating to the Registant's investment in Modex, a 50% owned subsidiary, which was established to pursue applications of the Registrant's technology outside the central nervous system.</w:t>
      </w:r>
    </w:p>
    <w:p>
      <w:pPr>
        <w:spacing w:after="0" w:line="200" w:lineRule="exact"/>
        <w:rPr>
          <w:sz w:val="20"/>
          <w:szCs w:val="20"/>
          <w:color w:val="auto"/>
        </w:rPr>
      </w:pPr>
    </w:p>
    <w:p>
      <w:pPr>
        <w:spacing w:after="0" w:line="317"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Page 14 of 15</w:t>
      </w:r>
    </w:p>
    <w:p>
      <w:pPr>
        <w:sectPr>
          <w:pgSz w:w="11900" w:h="16838" w:orient="portrait"/>
          <w:cols w:equalWidth="0" w:num="1">
            <w:col w:w="10227"/>
          </w:cols>
          <w:pgMar w:left="232"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CYTOTHERAPEUTICS, INC.</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(Name of Registrant)</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7,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Daniel E. Geffken</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Treasurer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 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2840" w:space="720"/>
            <w:col w:w="6659"/>
          </w:cols>
          <w:pgMar w:left="240" w:top="2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Page 15 of 15</w:t>
      </w:r>
    </w:p>
    <w:p>
      <w:pPr>
        <w:sectPr>
          <w:pgSz w:w="11900" w:h="16838" w:orient="portrait"/>
          <w:cols w:equalWidth="0" w:num="1">
            <w:col w:w="10219"/>
          </w:cols>
          <w:pgMar w:left="240" w:top="289"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EXHIBIT INDEX</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99 - Cautionary Factors Relavent to Forward Looking Statements.</w:t>
      </w:r>
    </w:p>
    <w:p>
      <w:pPr>
        <w:sectPr>
          <w:pgSz w:w="11900" w:h="16838" w:orient="portrait"/>
          <w:cols w:equalWidth="0" w:num="1">
            <w:col w:w="10219"/>
          </w:cols>
          <w:pgMar w:left="240" w:top="28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6-MOS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DEC-31-1996</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JUN-30-1996</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7,084,064</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31,332,247</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40,076,123</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14,427,985</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6,159,001</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51,880,952</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5,487,469</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5,768,321</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153,813</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40,471,349</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51,880,952</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3,514,849</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10,487,769</w:t>
      </w:r>
    </w:p>
    <w:p>
      <w:pPr>
        <w:spacing w:after="0" w:line="2"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304,740</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(5,727,891)</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(5,727,891)</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(5,727,891)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(.37)</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39"/>
          </w:cols>
          <w:pgMar w:left="320" w:top="48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99</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CAUTIONARY FACTORS RELEVANT TO FORWARD-LOOKING INFORMATION</w:t>
      </w:r>
    </w:p>
    <w:p>
      <w:pPr>
        <w:spacing w:after="0" w:line="176" w:lineRule="exact"/>
        <w:rPr>
          <w:sz w:val="20"/>
          <w:szCs w:val="20"/>
          <w:color w:val="auto"/>
        </w:rPr>
      </w:pPr>
    </w:p>
    <w:p>
      <w:pPr>
        <w:ind w:right="3159" w:firstLine="716"/>
        <w:spacing w:after="0" w:line="262" w:lineRule="auto"/>
        <w:rPr>
          <w:sz w:val="20"/>
          <w:szCs w:val="20"/>
          <w:color w:val="auto"/>
        </w:rPr>
      </w:pPr>
      <w:r>
        <w:rPr>
          <w:rFonts w:ascii="Courier New" w:cs="Courier New" w:eastAsia="Courier New" w:hAnsi="Courier New"/>
          <w:sz w:val="14"/>
          <w:szCs w:val="14"/>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Quarterly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6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85"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UNCERTAINTIES OF CLINICAL DEVELOPMENT AND NEW MODE OF THERAPY - None of the Company's proposed products has been approved for commercial sale or entered Phase II or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w:t>
      </w:r>
    </w:p>
    <w:p>
      <w:pPr>
        <w:sectPr>
          <w:pgSz w:w="11900" w:h="16838" w:orient="portrait"/>
          <w:cols w:equalWidth="0" w:num="1">
            <w:col w:w="10219"/>
          </w:cols>
          <w:pgMar w:left="240" w:top="140"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2</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controls or limitations on reimbursement, be precluded from commercialization by proprietary rights of third parties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 through the membrane unto the patient in controlled doses for extended periods; and (v) are sufficiently durable for the intended indication.</w:t>
      </w:r>
    </w:p>
    <w:p>
      <w:pPr>
        <w:spacing w:after="0" w:line="18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DEPENDENCE ON OUTSIDE PARTIES--The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 Company, the development or commercialization of the Company's product candidate or research program under such collaborative agreement may be adversely affected.</w:t>
      </w:r>
    </w:p>
    <w:p>
      <w:pPr>
        <w:spacing w:after="0" w:line="179"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NEED FOR AND UNCERTAINTY OF OBTAINING PATENT PROTECTION--Patent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161"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EXISTENCE OF THIRD PARTY PATENTS AND PROPRIETARY RIGHTS; NEED TO OBTAIN LICENSES--There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the Company is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 party patent applications.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foregoing technology or to other necessary or desirable technology on acceptable terms, if at all, or that the patents underlying any such licenses will be valid and enforceable.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GOVERNMENT REGULATION - The Company's research, preclinical development and clinical trials, as well as the manufacturing and marketing of its potential products, are subject to extensive regulation by government authorities in the United States and other countries. The process of obtaining FDA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used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pacing w:after="0" w:line="182"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MANUFACTURING UNCERTAINTIES - The Company's pilot manufacturing plant, may not have sufficient capacity to permit the Company to produce all the products for clinical trials it anticipates developing. In addition, the Company has not developed the capability to commercially manufacture any of its proposed products and is unaware of any other company which has manufactured any membrane-escapulsated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experiences in obtaining</w:t>
      </w:r>
    </w:p>
    <w:p>
      <w:pPr>
        <w:spacing w:after="0" w:line="200" w:lineRule="exact"/>
        <w:rPr>
          <w:sz w:val="20"/>
          <w:szCs w:val="20"/>
          <w:color w:val="auto"/>
        </w:rPr>
      </w:pPr>
    </w:p>
    <w:p>
      <w:pPr>
        <w:spacing w:after="0" w:line="31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4</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w:t>
      </w:r>
    </w:p>
    <w:p>
      <w:pPr>
        <w:spacing w:after="0" w:line="177"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6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reimbursements will be provided by such payors at all or without substantial delay, or, if such reimbursement is provided, that the approved reimbursement amounts will provide sufficient funds to enable the Company to sell its products on a profitable basis.</w:t>
      </w:r>
    </w:p>
    <w:p>
      <w:pPr>
        <w:spacing w:after="0" w:line="3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sectPr>
      <w:pgSz w:w="11900" w:h="16838" w:orient="portrait"/>
      <w:cols w:equalWidth="0" w:num="1">
        <w:col w:w="10219"/>
      </w:cols>
      <w:pgMar w:left="240" w:top="2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2019-12-13T21:49:05Z</dcterms:created>
  <dcterms:modified xsi:type="dcterms:W3CDTF">2019-12-13T21:49:05Z</dcterms:modified>
</cp:coreProperties>
</file>