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05, 2003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4720" w:type="dxa"/>
            <w:vAlign w:val="bottom"/>
          </w:tcPr>
          <w:p>
            <w:pPr>
              <w:jc w:val="center"/>
              <w:ind w:right="92"/>
              <w:spacing w:after="0"/>
              <w:rPr>
                <w:sz w:val="20"/>
                <w:szCs w:val="20"/>
                <w:color w:val="auto"/>
              </w:rPr>
            </w:pPr>
            <w:r>
              <w:rPr>
                <w:rFonts w:ascii="Arial" w:cs="Arial" w:eastAsia="Arial" w:hAnsi="Arial"/>
                <w:sz w:val="18"/>
                <w:szCs w:val="18"/>
                <w:color w:val="auto"/>
                <w:w w:val="88"/>
              </w:rPr>
              <w:t>(Exact name of registrant as specified in its charter)</w:t>
            </w:r>
          </w:p>
        </w:tc>
        <w:tc>
          <w:tcPr>
            <w:tcW w:w="3260" w:type="dxa"/>
            <w:vAlign w:val="bottom"/>
          </w:tcPr>
          <w:p>
            <w:pPr>
              <w:spacing w:after="0"/>
              <w:rPr>
                <w:sz w:val="19"/>
                <w:szCs w:val="19"/>
                <w:color w:val="auto"/>
              </w:rPr>
            </w:pPr>
          </w:p>
        </w:tc>
      </w:tr>
      <w:tr>
        <w:trPr>
          <w:trHeight w:val="453"/>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2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0-19871</w:t>
            </w:r>
          </w:p>
        </w:tc>
        <w:tc>
          <w:tcPr>
            <w:tcW w:w="3260" w:type="dxa"/>
            <w:vAlign w:val="bottom"/>
          </w:tcPr>
          <w:p>
            <w:pPr>
              <w:jc w:val="right"/>
              <w:ind w:right="1192"/>
              <w:spacing w:after="0"/>
              <w:rPr>
                <w:sz w:val="20"/>
                <w:szCs w:val="20"/>
                <w:color w:val="auto"/>
              </w:rPr>
            </w:pPr>
            <w:r>
              <w:rPr>
                <w:rFonts w:ascii="Arial" w:cs="Arial" w:eastAsia="Arial" w:hAnsi="Arial"/>
                <w:sz w:val="18"/>
                <w:szCs w:val="18"/>
                <w:b w:val="1"/>
                <w:bCs w:val="1"/>
                <w:color w:val="auto"/>
              </w:rPr>
              <w:t>95-3078125</w:t>
            </w:r>
          </w:p>
        </w:tc>
      </w:tr>
      <w:tr>
        <w:trPr>
          <w:trHeight w:val="222"/>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w:t>
            </w:r>
          </w:p>
        </w:tc>
        <w:tc>
          <w:tcPr>
            <w:tcW w:w="4720" w:type="dxa"/>
            <w:vAlign w:val="bottom"/>
          </w:tcPr>
          <w:p>
            <w:pPr>
              <w:jc w:val="center"/>
              <w:ind w:right="52"/>
              <w:spacing w:after="0"/>
              <w:rPr>
                <w:sz w:val="20"/>
                <w:szCs w:val="20"/>
                <w:color w:val="auto"/>
              </w:rPr>
            </w:pPr>
            <w:r>
              <w:rPr>
                <w:rFonts w:ascii="Arial" w:cs="Arial" w:eastAsia="Arial" w:hAnsi="Arial"/>
                <w:sz w:val="18"/>
                <w:szCs w:val="18"/>
                <w:color w:val="auto"/>
                <w:w w:val="90"/>
              </w:rPr>
              <w:t>(Commission File Number)</w:t>
            </w:r>
          </w:p>
        </w:tc>
        <w:tc>
          <w:tcPr>
            <w:tcW w:w="3260" w:type="dxa"/>
            <w:vAlign w:val="bottom"/>
          </w:tcPr>
          <w:p>
            <w:pPr>
              <w:jc w:val="center"/>
              <w:ind w:right="72"/>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3440" w:type="dxa"/>
            <w:vAlign w:val="bottom"/>
          </w:tcPr>
          <w:p>
            <w:pPr>
              <w:spacing w:after="0"/>
              <w:rPr>
                <w:sz w:val="24"/>
                <w:szCs w:val="24"/>
                <w:color w:val="auto"/>
              </w:rPr>
            </w:pPr>
          </w:p>
        </w:tc>
        <w:tc>
          <w:tcPr>
            <w:tcW w:w="47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3155 Porter Drive</w:t>
            </w:r>
          </w:p>
        </w:tc>
        <w:tc>
          <w:tcPr>
            <w:tcW w:w="3260" w:type="dxa"/>
            <w:vAlign w:val="bottom"/>
          </w:tcPr>
          <w:p>
            <w:pPr>
              <w:spacing w:after="0"/>
              <w:rPr>
                <w:sz w:val="24"/>
                <w:szCs w:val="24"/>
                <w:color w:val="auto"/>
              </w:rPr>
            </w:pPr>
          </w:p>
        </w:tc>
      </w:tr>
      <w:tr>
        <w:trPr>
          <w:trHeight w:val="222"/>
        </w:trPr>
        <w:tc>
          <w:tcPr>
            <w:tcW w:w="3440" w:type="dxa"/>
            <w:vAlign w:val="bottom"/>
          </w:tcPr>
          <w:p>
            <w:pPr>
              <w:spacing w:after="0"/>
              <w:rPr>
                <w:sz w:val="19"/>
                <w:szCs w:val="19"/>
                <w:color w:val="auto"/>
              </w:rPr>
            </w:pPr>
          </w:p>
        </w:tc>
        <w:tc>
          <w:tcPr>
            <w:tcW w:w="47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Palo Alto, California 94304</w:t>
            </w:r>
          </w:p>
        </w:tc>
        <w:tc>
          <w:tcPr>
            <w:tcW w:w="3260" w:type="dxa"/>
            <w:vAlign w:val="bottom"/>
          </w:tcPr>
          <w:p>
            <w:pPr>
              <w:spacing w:after="0"/>
              <w:rPr>
                <w:sz w:val="19"/>
                <w:szCs w:val="19"/>
                <w:color w:val="auto"/>
              </w:rPr>
            </w:pPr>
          </w:p>
        </w:tc>
      </w:tr>
      <w:tr>
        <w:trPr>
          <w:trHeight w:val="222"/>
        </w:trPr>
        <w:tc>
          <w:tcPr>
            <w:tcW w:w="3440" w:type="dxa"/>
            <w:vAlign w:val="bottom"/>
          </w:tcPr>
          <w:p>
            <w:pPr>
              <w:spacing w:after="0"/>
              <w:rPr>
                <w:sz w:val="19"/>
                <w:szCs w:val="19"/>
                <w:color w:val="auto"/>
              </w:rPr>
            </w:pPr>
          </w:p>
        </w:tc>
        <w:tc>
          <w:tcPr>
            <w:tcW w:w="4720" w:type="dxa"/>
            <w:vAlign w:val="bottom"/>
          </w:tcPr>
          <w:p>
            <w:pPr>
              <w:jc w:val="center"/>
              <w:ind w:right="92"/>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60" w:type="dxa"/>
            <w:vAlign w:val="bottom"/>
          </w:tcPr>
          <w:p>
            <w:pPr>
              <w:spacing w:after="0"/>
              <w:rPr>
                <w:sz w:val="19"/>
                <w:szCs w:val="19"/>
                <w:color w:val="auto"/>
              </w:rPr>
            </w:pPr>
          </w:p>
        </w:tc>
      </w:tr>
      <w:tr>
        <w:trPr>
          <w:trHeight w:val="426"/>
        </w:trPr>
        <w:tc>
          <w:tcPr>
            <w:tcW w:w="3440" w:type="dxa"/>
            <w:vAlign w:val="bottom"/>
          </w:tcPr>
          <w:p>
            <w:pPr>
              <w:spacing w:after="0"/>
              <w:rPr>
                <w:sz w:val="24"/>
                <w:szCs w:val="24"/>
                <w:color w:val="auto"/>
              </w:rPr>
            </w:pPr>
          </w:p>
        </w:tc>
        <w:tc>
          <w:tcPr>
            <w:tcW w:w="472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(650) 475-3100</w:t>
            </w:r>
          </w:p>
        </w:tc>
        <w:tc>
          <w:tcPr>
            <w:tcW w:w="3260" w:type="dxa"/>
            <w:vAlign w:val="bottom"/>
          </w:tcPr>
          <w:p>
            <w:pPr>
              <w:spacing w:after="0"/>
              <w:rPr>
                <w:sz w:val="24"/>
                <w:szCs w:val="24"/>
                <w:color w:val="auto"/>
              </w:rPr>
            </w:pPr>
          </w:p>
        </w:tc>
      </w:tr>
      <w:tr>
        <w:trPr>
          <w:trHeight w:val="222"/>
        </w:trPr>
        <w:tc>
          <w:tcPr>
            <w:tcW w:w="3440" w:type="dxa"/>
            <w:vAlign w:val="bottom"/>
          </w:tcPr>
          <w:p>
            <w:pPr>
              <w:spacing w:after="0"/>
              <w:rPr>
                <w:sz w:val="19"/>
                <w:szCs w:val="19"/>
                <w:color w:val="auto"/>
              </w:rPr>
            </w:pPr>
          </w:p>
        </w:tc>
        <w:tc>
          <w:tcPr>
            <w:tcW w:w="47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3260" w:type="dxa"/>
            <w:vAlign w:val="bottom"/>
          </w:tcPr>
          <w:p>
            <w:pPr>
              <w:spacing w:after="0"/>
              <w:rPr>
                <w:sz w:val="19"/>
                <w:szCs w:val="19"/>
                <w:color w:val="auto"/>
              </w:rPr>
            </w:pPr>
          </w:p>
        </w:tc>
      </w:tr>
      <w:tr>
        <w:trPr>
          <w:trHeight w:val="650"/>
        </w:trPr>
        <w:tc>
          <w:tcPr>
            <w:tcW w:w="344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r>
      <w:tr>
        <w:trPr>
          <w:trHeight w:val="220"/>
        </w:trPr>
        <w:tc>
          <w:tcPr>
            <w:tcW w:w="344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right="4619" w:firstLine="311"/>
        <w:spacing w:after="0" w:line="25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Changes in Registrant’s Certifying Accountant</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121285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Changes in Registrant’s Certifying Accountant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New Independent Public Accountants</w:t>
      </w:r>
    </w:p>
    <w:p>
      <w:pPr>
        <w:spacing w:after="0" w:line="225" w:lineRule="exact"/>
        <w:rPr>
          <w:sz w:val="20"/>
          <w:szCs w:val="20"/>
          <w:color w:val="auto"/>
        </w:rPr>
      </w:pPr>
    </w:p>
    <w:p>
      <w:pPr>
        <w:jc w:val="both"/>
        <w:ind w:right="280" w:firstLine="220"/>
        <w:spacing w:after="0" w:line="370" w:lineRule="auto"/>
        <w:rPr>
          <w:sz w:val="20"/>
          <w:szCs w:val="20"/>
          <w:color w:val="auto"/>
        </w:rPr>
      </w:pPr>
      <w:r>
        <w:rPr>
          <w:rFonts w:ascii="Arial" w:cs="Arial" w:eastAsia="Arial" w:hAnsi="Arial"/>
          <w:sz w:val="15"/>
          <w:szCs w:val="15"/>
          <w:color w:val="auto"/>
        </w:rPr>
        <w:t>On December 08, 2003, the Company engaged Grant Thornton LLP as its independent public accountants. The Company’s audit committee and board of directors independently approved resolutions on November 17, 2003 and November 20, 2003, respectively, approving the selection of Grant Thornton LLP.</w:t>
      </w:r>
    </w:p>
    <w:p>
      <w:pPr>
        <w:spacing w:after="0" w:line="116"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During the Company’s two most recent fiscal years ended December 31, 2002 and the subsequent interim periods through the engagement of Grant Thornton LLP, the Company has not consulted with Grant Thornton LLP regarding either the application of accounting principles to a specified transaction, either completed or proposed, or the type of audit opinion that might be rendered on the Company’s financial statements, or any matter that was the subject of a disagreement, within the meaning of Item 304(a)(1)(iv) of Regulation S-K, or a reportable event, as described in the Item 304(a)(1)(v) of Regulation S-K.</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08, 2003</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60"/>
      </w:cols>
      <w:pgMar w:left="240" w:top="41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2019-12-11T22:41:15Z</dcterms:created>
  <dcterms:modified xsi:type="dcterms:W3CDTF">2019-12-11T22:41:15Z</dcterms:modified>
</cp:coreProperties>
</file>