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On November 3, 2022, Microbot Medical Inc. (the “Company”) issued a press release announcing that it continues to aggressively protect its global intellectual property (IP) portfolio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as an additional patent allowance was issued by the Israeli Patent Office, covering the modular concept, and compliments a corresponding application that was previously granted by the U.S. Patent and Trademark Office (USPTO).</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20" w:type="dxa"/>
            <w:vAlign w:val="bottom"/>
          </w:tcPr>
          <w:p>
            <w:pPr>
              <w:spacing w:after="0"/>
              <w:rPr>
                <w:sz w:val="18"/>
                <w:szCs w:val="18"/>
                <w:color w:val="auto"/>
              </w:rPr>
            </w:pPr>
          </w:p>
        </w:tc>
        <w:tc>
          <w:tcPr>
            <w:tcW w:w="7460" w:type="dxa"/>
            <w:vAlign w:val="bottom"/>
          </w:tcPr>
          <w:p>
            <w:pPr>
              <w:spacing w:after="0"/>
              <w:rPr>
                <w:sz w:val="18"/>
                <w:szCs w:val="18"/>
                <w:color w:val="auto"/>
              </w:rPr>
            </w:pPr>
          </w:p>
        </w:tc>
      </w:tr>
      <w:tr>
        <w:trPr>
          <w:trHeight w:val="24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82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7"/>
              </w:rPr>
              <w:t>Press Release dated November 3, 2022</w:t>
            </w:r>
          </w:p>
        </w:tc>
        <w:tc>
          <w:tcPr>
            <w:tcW w:w="7460" w:type="dxa"/>
            <w:vAlign w:val="bottom"/>
            <w:tcBorders>
              <w:top w:val="single" w:sz="8" w:color="auto"/>
            </w:tcBorders>
          </w:tcPr>
          <w:p>
            <w:pPr>
              <w:spacing w:after="0"/>
              <w:rPr>
                <w:sz w:val="24"/>
                <w:szCs w:val="24"/>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Receives Additional Patent Allowance in Israel for the LIBERTY</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Robotic System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Corresponding Application Previously Granted in the U.S. as the Company Continues to Create Global Barriers to Entry for its Novel Technology</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HINGHAM, Mass., November 3, 2022 </w:t>
      </w:r>
      <w:r>
        <w:rPr>
          <w:rFonts w:ascii="Arial" w:cs="Arial" w:eastAsia="Arial" w:hAnsi="Arial"/>
          <w:sz w:val="17"/>
          <w:szCs w:val="17"/>
          <w:color w:val="auto"/>
        </w:rPr>
        <w:t>– Microbot Medical Inc. (Nasdaq: MBOT) continues to aggressively protect its global intellectual property (IP)</w:t>
      </w:r>
      <w:r>
        <w:rPr>
          <w:rFonts w:ascii="Arial" w:cs="Arial" w:eastAsia="Arial" w:hAnsi="Arial"/>
          <w:sz w:val="17"/>
          <w:szCs w:val="17"/>
          <w:b w:val="1"/>
          <w:bCs w:val="1"/>
          <w:color w:val="auto"/>
        </w:rPr>
        <w:t xml:space="preserve"> </w:t>
      </w:r>
      <w:r>
        <w:rPr>
          <w:rFonts w:ascii="Arial" w:cs="Arial" w:eastAsia="Arial" w:hAnsi="Arial"/>
          <w:sz w:val="17"/>
          <w:szCs w:val="17"/>
          <w:color w:val="auto"/>
        </w:rPr>
        <w:t>portfolio for the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System as an additional patent allowance was issued by the Israeli Patent Office, covering the modular concept, and compliments a corresponding application that was previously granted by the U.S. Patent and Trademark Office (USPTO).</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allowed claims cover the unique modular and versatile design of the LIBERTY system allowing for the manipulation of a variety of tools. The Company expects the allowed claims to reinforce the position of LIBERTY as the first fully disposable, fully sterilized, robotic system for endovascular procedures.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impressive progress of the team is evident as we have now secured 5 patents for the LIBERTY Robotic System since it was unveiled just three years ago,” commented Harel Gadot, Chairman, CEO and President. “This level of success is incredibly important as we continue to progress the LIBERTY Robotic System, especially as we enter the regulatory phase and begin implementing the commercialization plan for our novel technology. We believe the LIBERTY Robotic System is going to dramatically change the landscape for endovascular procedures and to provide access for patients who have otherwise gone without proper treatment for lack of resources and access to advanced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technologies, the outcome of its studies to evaluate LIBERTY,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2022-11-03T06:10:57Z</dcterms:created>
  <dcterms:modified xsi:type="dcterms:W3CDTF">2022-11-03T06:10:57Z</dcterms:modified>
</cp:coreProperties>
</file>