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17,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On September 17, 2024, Microbot Medical Inc. (the “Company”) issued a press release announcing, among other things, that it has successfully reached the midpoint of the ACCESS-PVI pivotal human clinical trial, enrolling and completing the follow up of 50% of the patients participating in the trial to evaluate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Company has successfully reached the midpoint of the ACCESS-PVI pivotal human clinical trial, enrolling and completing the follow up of 50% of the patients participating in the trial to evaluate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Company expects to complete enrollment and follow up in the fourth quarter of 2024 and file its 510(k) submission with the U.S. Food and Drug Administration (FDA) by the end of 2024.</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parallel to conducting the pivotal human clinical trial, we have submitted our biocompatibility results to the FDA, as required by our IDE application.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line="218" w:lineRule="auto"/>
        <w:rPr>
          <w:sz w:val="20"/>
          <w:szCs w:val="20"/>
          <w:color w:val="auto"/>
        </w:rPr>
      </w:pPr>
      <w:r>
        <w:rPr>
          <w:rFonts w:ascii="Times New Roman" w:cs="Times New Roman" w:eastAsia="Times New Roman" w:hAnsi="Times New Roman"/>
          <w:sz w:val="18"/>
          <w:szCs w:val="18"/>
          <w:b w:val="1"/>
          <w:bCs w:val="1"/>
          <w:color w:val="auto"/>
        </w:rPr>
        <w:t>Microbot Medical Announces the Successful Enrollment of 50% of the Patients in its Pivotal Human Clinical Trial for the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Surgical System</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Completion of enrollment expected in Q4 with FDA submission for commercialization anticipated by the end of 2024</w:t>
      </w:r>
    </w:p>
    <w:p>
      <w:pPr>
        <w:spacing w:after="0" w:line="2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b w:val="1"/>
          <w:bCs w:val="1"/>
          <w:color w:val="auto"/>
        </w:rPr>
        <w:t xml:space="preserve">BRAINTREE, Mass., September 17, 2024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Surgical System, today announced that it has successfully reached the midpoint of the ACCESS-PVI pivotal human clinical trial, enrolling and completing</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the follow up of 50% of the patients participating in the trial to evaluate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Company expects to complete enrollment and follow up in the fourth quarter of 2024 and file its 510(k) submission with the U.S. Food and Drug Administration (FDA) by the end of 2024.</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ACCESS-PVI is a prospective, multi-center, single-arm, clinical trial designed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 The trial is expected to support the future 510(k) submission to the FDA and, when approved, subsequent commercialization.</w:t>
      </w:r>
    </w:p>
    <w:p>
      <w:pPr>
        <w:spacing w:after="0" w:line="20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“I have performed several procedures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during the trial and I am continuing to enroll patients,” commented Dr. Dmitry Rabkin, MD, PhD (Assistant Chief, Division of Angiography &amp; Interventional Radiology) at Brigham and Women’s Hospital in Boston. “I am pleased with the ease of use and quick set-up of the robot, requiring, in my experience, a very short learning curve.”</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excited by both the achievement of this milestone, and physician feedback. We remain on track to complete the trial and subsequent submission of the 510(k) to the FDA before year end,” commented Juan Diaz-Cartelle, MD, Chief Medical Officer.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clinical- stage medical device company that specializes in transformational micro-robotic technologies, with the goals of improving clinical outcomes for patients and increasing accessibility through the natural and artificial lumens within the human body.</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Investigational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aims to improve the way surgical robotics are being used in endovascular procedures today, by eliminating the need for large, cumbersome, and expensive capital equipment, while reducing radiation exposure and physician strain.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 believes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has the potential to be the first system to democratize endovascular interventional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about Microbot Medical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w:t>
      </w:r>
    </w:p>
    <w:p>
      <w:pPr>
        <w:spacing w:after="0" w:line="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Surgical System, the outcome of its studies to evaluate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pre-clinical and clinical trials or regulatory pathways and regulatory approvals, including whether the Company’s pivotal study in humans is successful, any failure or inability to recruit physicians and clinicians to serve as primary investigators to conduct regulatory studies which could adversely affect or delay such studies, disruptions resulting from new and ongoing hostilities between Israel and the Palestinians and other neighboring countries,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2024-09-17T07:38:34Z</dcterms:created>
  <dcterms:modified xsi:type="dcterms:W3CDTF">2024-09-17T07:38:34Z</dcterms:modified>
</cp:coreProperties>
</file>