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8"/>
          <w:szCs w:val="18"/>
          <w:color w:val="auto"/>
        </w:rPr>
        <w:t>(Amendment No. 1)</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Cytotherapeutics Inc. (nasd)</w:t>
      </w:r>
    </w:p>
    <w:p>
      <w:pPr>
        <w:spacing w:after="0" w:line="200" w:lineRule="exact"/>
        <w:rPr>
          <w:sz w:val="24"/>
          <w:szCs w:val="24"/>
          <w:color w:val="auto"/>
        </w:rPr>
      </w:pPr>
    </w:p>
    <w:p>
      <w:pPr>
        <w:sectPr>
          <w:pgSz w:w="11900" w:h="16855" w:orient="portrait"/>
          <w:cols w:equalWidth="0" w:num="2">
            <w:col w:w="2440" w:space="720"/>
            <w:col w:w="70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55" w:orient="portrait"/>
          <w:cols w:equalWidth="0" w:num="2">
            <w:col w:w="2980" w:space="720"/>
            <w:col w:w="6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232923102</w:t>
      </w:r>
    </w:p>
    <w:p>
      <w:pPr>
        <w:spacing w:after="0" w:line="200" w:lineRule="exact"/>
        <w:rPr>
          <w:sz w:val="24"/>
          <w:szCs w:val="24"/>
          <w:color w:val="auto"/>
        </w:rPr>
      </w:pPr>
    </w:p>
    <w:p>
      <w:pPr>
        <w:sectPr>
          <w:pgSz w:w="11900" w:h="16855" w:orient="portrait"/>
          <w:cols w:equalWidth="0" w:num="2">
            <w:col w:w="2440" w:space="720"/>
            <w:col w:w="7059"/>
          </w:cols>
          <w:pgMar w:left="240" w:top="244" w:right="1440" w:bottom="0" w:gutter="0" w:footer="0" w:header="0"/>
          <w:type w:val="continuous"/>
        </w:sectPr>
      </w:pPr>
    </w:p>
    <w:p>
      <w:pPr>
        <w:spacing w:after="0" w:line="226"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Page 1 of 10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2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spacing w:after="0"/>
        <w:tabs>
          <w:tab w:leader="none" w:pos="1260" w:val="left"/>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280"/>
        <w:spacing w:after="0"/>
        <w:tabs>
          <w:tab w:leader="none" w:pos="578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Voting Power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1560" w:val="left"/>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w:t>
      </w:r>
    </w:p>
    <w:p>
      <w:pPr>
        <w:ind w:left="540"/>
        <w:spacing w:after="0" w:line="237" w:lineRule="auto"/>
        <w:rPr>
          <w:sz w:val="20"/>
          <w:szCs w:val="20"/>
          <w:color w:val="auto"/>
        </w:rPr>
      </w:pPr>
      <w:r>
        <w:rPr>
          <w:rFonts w:ascii="Courier New" w:cs="Courier New" w:eastAsia="Courier New" w:hAnsi="Courier New"/>
          <w:sz w:val="18"/>
          <w:szCs w:val="18"/>
          <w:color w:val="auto"/>
        </w:rPr>
        <w:t>Power</w:t>
      </w:r>
    </w:p>
    <w:p>
      <w:pPr>
        <w:spacing w:after="0" w:line="1"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4"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Beneficially Owned by each Reporting Person with:</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02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w:t>
      </w:r>
    </w:p>
    <w:p>
      <w:pPr>
        <w:spacing w:after="0" w:line="238" w:lineRule="auto"/>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380" w:space="200"/>
            <w:col w:w="120" w:space="420"/>
            <w:col w:w="860" w:space="720"/>
            <w:col w:w="6519"/>
          </w:cols>
          <w:pgMar w:left="240" w:top="142" w:right="1440" w:bottom="0" w:gutter="0" w:footer="0" w:header="0"/>
          <w:type w:val="continuous"/>
        </w:sectPr>
      </w:pP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3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Putnam Investments, Inc.</w:t>
      </w:r>
    </w:p>
    <w:p>
      <w:pPr>
        <w:ind w:left="74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1380" w:space="200"/>
            <w:col w:w="8639"/>
          </w:cols>
          <w:pgMar w:left="240" w:top="142" w:right="1440" w:bottom="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right"/>
        <w:ind w:right="39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2120"/>
        <w:spacing w:after="0"/>
        <w:tabs>
          <w:tab w:leader="none" w:pos="26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w:t>
      </w:r>
    </w:p>
    <w:p>
      <w:pPr>
        <w:sectPr>
          <w:pgSz w:w="11900" w:h="16838" w:orient="portrait"/>
          <w:cols w:equalWidth="0" w:num="3">
            <w:col w:w="1280" w:space="300"/>
            <w:col w:w="860" w:space="720"/>
            <w:col w:w="7059"/>
          </w:cols>
          <w:pgMar w:left="240" w:top="142" w:right="1440" w:bottom="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Dispositive Power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w:t>
      </w:r>
    </w:p>
    <w:p>
      <w:pPr>
        <w:ind w:left="3700"/>
        <w:spacing w:after="0" w:line="237" w:lineRule="auto"/>
        <w:rPr>
          <w:sz w:val="20"/>
          <w:szCs w:val="20"/>
          <w:color w:val="auto"/>
        </w:rPr>
      </w:pPr>
      <w:r>
        <w:rPr>
          <w:rFonts w:ascii="Courier New" w:cs="Courier New" w:eastAsia="Courier New" w:hAnsi="Courier New"/>
          <w:sz w:val="18"/>
          <w:szCs w:val="18"/>
          <w:color w:val="auto"/>
        </w:rPr>
        <w:t>Dispositive 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272,000</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272,000</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4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5"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272,000</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060"/>
        <w:spacing w:after="0"/>
        <w:rPr>
          <w:sz w:val="20"/>
          <w:szCs w:val="20"/>
          <w:color w:val="auto"/>
        </w:rPr>
      </w:pPr>
      <w:r>
        <w:rPr>
          <w:rFonts w:ascii="Courier New" w:cs="Courier New" w:eastAsia="Courier New" w:hAnsi="Courier New"/>
          <w:sz w:val="18"/>
          <w:szCs w:val="18"/>
          <w:color w:val="auto"/>
        </w:rPr>
        <w:t>272,000</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5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39"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339"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339"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339"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339"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099" w:firstLine="8"/>
        <w:spacing w:after="0" w:line="235"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39" w:right="1440" w:bottom="0" w:gutter="0" w:footer="0" w:header="0"/>
          <w:type w:val="continuous"/>
        </w:sectPr>
      </w:pPr>
    </w:p>
    <w:bookmarkStart w:id="4" w:name="page5"/>
    <w:bookmarkEnd w:id="4"/>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tabs>
          <w:tab w:leader="none" w:pos="20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rPr>
              <w:t>Name of Issuer:</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Cytotherapeutics Inc.</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(nasd)</w:t>
            </w:r>
          </w:p>
        </w:tc>
        <w:tc>
          <w:tcPr>
            <w:tcW w:w="22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w w:val="99"/>
              </w:rPr>
              <w:t>Address of Issuer's</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w w:val="99"/>
              </w:rPr>
              <w:t>Principal Executive Offices:</w:t>
            </w:r>
          </w:p>
        </w:tc>
      </w:tr>
      <w:tr>
        <w:trPr>
          <w:trHeight w:val="405"/>
        </w:trPr>
        <w:tc>
          <w:tcPr>
            <w:tcW w:w="6740" w:type="dxa"/>
            <w:vAlign w:val="bottom"/>
            <w:gridSpan w:val="3"/>
          </w:tcPr>
          <w:p>
            <w:pPr>
              <w:spacing w:after="0"/>
              <w:rPr>
                <w:sz w:val="20"/>
                <w:szCs w:val="20"/>
                <w:color w:val="auto"/>
              </w:rPr>
            </w:pPr>
            <w:r>
              <w:rPr>
                <w:rFonts w:ascii="Courier New" w:cs="Courier New" w:eastAsia="Courier New" w:hAnsi="Courier New"/>
                <w:sz w:val="18"/>
                <w:szCs w:val="18"/>
                <w:color w:val="auto"/>
              </w:rPr>
              <w:t>2 Richmond Square, Providence, RI 02906,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260" w:type="dxa"/>
            <w:vAlign w:val="bottom"/>
          </w:tcPr>
          <w:p>
            <w:pPr>
              <w:spacing w:after="0"/>
              <w:rPr>
                <w:sz w:val="24"/>
                <w:szCs w:val="24"/>
                <w:color w:val="auto"/>
              </w:rPr>
            </w:pP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Item 2(b)</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3100" w:type="dxa"/>
            <w:vAlign w:val="bottom"/>
          </w:tcPr>
          <w:p>
            <w:pPr>
              <w:ind w:left="1640"/>
              <w:spacing w:after="0"/>
              <w:rPr>
                <w:sz w:val="20"/>
                <w:szCs w:val="20"/>
                <w:color w:val="auto"/>
              </w:rPr>
            </w:pPr>
            <w:r>
              <w:rPr>
                <w:rFonts w:ascii="Courier New" w:cs="Courier New" w:eastAsia="Courier New" w:hAnsi="Courier New"/>
                <w:sz w:val="18"/>
                <w:szCs w:val="18"/>
                <w:color w:val="auto"/>
              </w:rPr>
              <w:t>Address or</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Principal Office or, if NONE,</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behalf of itself and:</w:t>
            </w:r>
          </w:p>
        </w:tc>
        <w:tc>
          <w:tcPr>
            <w:tcW w:w="3100" w:type="dxa"/>
            <w:vAlign w:val="bottom"/>
          </w:tcPr>
          <w:p>
            <w:pPr>
              <w:spacing w:after="0"/>
              <w:rPr>
                <w:sz w:val="17"/>
                <w:szCs w:val="17"/>
                <w:color w:val="auto"/>
              </w:rPr>
            </w:pP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*Marsh &amp; McLennan Companies, Inc.</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1166 Avenue of the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Americas</w:t>
            </w:r>
          </w:p>
        </w:tc>
        <w:tc>
          <w:tcPr>
            <w:tcW w:w="22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("MMC")</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("PIM")</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("PAC")</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100" w:val="left"/>
          <w:tab w:leader="none" w:pos="3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PI, PIM and PAC are</w:t>
      </w:r>
    </w:p>
    <w:p>
      <w:pPr>
        <w:ind w:left="1580"/>
        <w:spacing w:after="0" w:line="238" w:lineRule="auto"/>
        <w:rPr>
          <w:sz w:val="20"/>
          <w:szCs w:val="20"/>
          <w:color w:val="auto"/>
        </w:rPr>
      </w:pPr>
      <w:r>
        <w:rPr>
          <w:rFonts w:ascii="Courier New" w:cs="Courier New" w:eastAsia="Courier New" w:hAnsi="Courier New"/>
          <w:sz w:val="18"/>
          <w:szCs w:val="18"/>
          <w:color w:val="auto"/>
        </w:rPr>
        <w:t>corporations organized under Massachusetts law.</w:t>
      </w:r>
    </w:p>
    <w:p>
      <w:pPr>
        <w:ind w:left="1580"/>
        <w:spacing w:after="0"/>
        <w:rPr>
          <w:sz w:val="20"/>
          <w:szCs w:val="20"/>
          <w:color w:val="auto"/>
        </w:rPr>
      </w:pPr>
      <w:r>
        <w:rPr>
          <w:rFonts w:ascii="Courier New" w:cs="Courier New" w:eastAsia="Courier New" w:hAnsi="Courier New"/>
          <w:sz w:val="18"/>
          <w:szCs w:val="18"/>
          <w:color w:val="auto"/>
        </w:rPr>
        <w:t>The citizenship of other persons identified in</w:t>
      </w:r>
    </w:p>
    <w:p>
      <w:pPr>
        <w:ind w:left="1580"/>
        <w:spacing w:after="0" w:line="237" w:lineRule="auto"/>
        <w:rPr>
          <w:sz w:val="20"/>
          <w:szCs w:val="20"/>
          <w:color w:val="auto"/>
        </w:rPr>
      </w:pPr>
      <w:r>
        <w:rPr>
          <w:rFonts w:ascii="Courier New" w:cs="Courier New" w:eastAsia="Courier New" w:hAnsi="Courier New"/>
          <w:sz w:val="18"/>
          <w:szCs w:val="18"/>
          <w:color w:val="auto"/>
        </w:rPr>
        <w:t>Item 2(a) is designated as follows:</w:t>
      </w:r>
    </w:p>
    <w:p>
      <w:pPr>
        <w:spacing w:after="0" w:line="202" w:lineRule="exact"/>
        <w:rPr>
          <w:sz w:val="20"/>
          <w:szCs w:val="20"/>
          <w:color w:val="auto"/>
        </w:rPr>
      </w:pPr>
    </w:p>
    <w:p>
      <w:pPr>
        <w:ind w:left="2120" w:hanging="532"/>
        <w:spacing w:after="0"/>
        <w:tabs>
          <w:tab w:leader="none" w:pos="21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4" w:lineRule="exact"/>
        <w:rPr>
          <w:rFonts w:ascii="Courier New" w:cs="Courier New" w:eastAsia="Courier New" w:hAnsi="Courier New"/>
          <w:sz w:val="18"/>
          <w:szCs w:val="18"/>
          <w:color w:val="auto"/>
        </w:rPr>
      </w:pPr>
    </w:p>
    <w:p>
      <w:pPr>
        <w:ind w:left="2120" w:right="3359" w:firstLine="1048"/>
        <w:spacing w:after="0" w:line="236" w:lineRule="auto"/>
        <w:tabs>
          <w:tab w:leader="none" w:pos="370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association known as Massachusetts business trust - Massachusetts law</w:t>
      </w: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232923102</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9"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 check whether the person filing is 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80" w:type="dxa"/>
            <w:vAlign w:val="bottom"/>
          </w:tcPr>
          <w:p>
            <w:pPr>
              <w:ind w:left="100"/>
              <w:spacing w:after="0"/>
              <w:rPr>
                <w:sz w:val="20"/>
                <w:szCs w:val="20"/>
                <w:color w:val="auto"/>
              </w:rPr>
            </w:pPr>
            <w:r>
              <w:rPr>
                <w:rFonts w:ascii="Courier New" w:cs="Courier New" w:eastAsia="Courier New" w:hAnsi="Courier New"/>
                <w:sz w:val="18"/>
                <w:szCs w:val="18"/>
                <w:color w:val="auto"/>
                <w:w w:val="98"/>
              </w:rPr>
              <w:t>Broker or Dealer registered under Section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15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80" w:type="dxa"/>
            <w:vAlign w:val="bottom"/>
          </w:tcPr>
          <w:p>
            <w:pPr>
              <w:ind w:left="100"/>
              <w:spacing w:after="0"/>
              <w:rPr>
                <w:sz w:val="20"/>
                <w:szCs w:val="20"/>
                <w:color w:val="auto"/>
              </w:rPr>
            </w:pPr>
            <w:r>
              <w:rPr>
                <w:rFonts w:ascii="Courier New" w:cs="Courier New" w:eastAsia="Courier New" w:hAnsi="Courier New"/>
                <w:sz w:val="18"/>
                <w:szCs w:val="18"/>
                <w:color w:val="auto"/>
                <w:w w:val="98"/>
              </w:rPr>
              <w:t>Bank as defined in Section 3(a)(6) of the</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9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Insurance Company as defined in Section 3(a)(19) of the</w:t>
            </w:r>
          </w:p>
        </w:tc>
      </w:tr>
      <w:tr>
        <w:trPr>
          <w:trHeight w:val="203"/>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 Investment Company registered under Section 8 of the</w:t>
      </w:r>
    </w:p>
    <w:p>
      <w:pPr>
        <w:sectPr>
          <w:pgSz w:w="11900" w:h="16838" w:orient="portrait"/>
          <w:cols w:equalWidth="0" w:num="1">
            <w:col w:w="10219"/>
          </w:cols>
          <w:pgMar w:left="240" w:top="142" w:right="1440" w:bottom="0" w:gutter="0" w:footer="0" w:header="0"/>
          <w:type w:val="continuous"/>
        </w:sectPr>
      </w:pPr>
    </w:p>
    <w:bookmarkStart w:id="5" w:name="page6"/>
    <w:bookmarkEnd w:id="5"/>
    <w:p>
      <w:pPr>
        <w:ind w:left="1060"/>
        <w:spacing w:after="0"/>
        <w:rPr>
          <w:sz w:val="20"/>
          <w:szCs w:val="20"/>
          <w:color w:val="auto"/>
        </w:rPr>
      </w:pPr>
      <w:r>
        <w:rPr>
          <w:rFonts w:ascii="Courier New" w:cs="Courier New" w:eastAsia="Courier New" w:hAnsi="Courier New"/>
          <w:sz w:val="18"/>
          <w:szCs w:val="18"/>
          <w:color w:val="auto"/>
        </w:rPr>
        <w:t>Investment Company Act</w:t>
      </w:r>
    </w:p>
    <w:p>
      <w:pPr>
        <w:spacing w:after="0" w:line="200" w:lineRule="exact"/>
        <w:rPr>
          <w:sz w:val="20"/>
          <w:szCs w:val="20"/>
          <w:color w:val="auto"/>
        </w:rPr>
      </w:pPr>
    </w:p>
    <w:p>
      <w:pPr>
        <w:spacing w:after="0" w:line="209" w:lineRule="exact"/>
        <w:rPr>
          <w:sz w:val="20"/>
          <w:szCs w:val="20"/>
          <w:color w:val="auto"/>
        </w:rPr>
      </w:pPr>
    </w:p>
    <w:p>
      <w:pPr>
        <w:ind w:left="1060" w:right="34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3359" w:hanging="319"/>
        <w:spacing w:after="0" w:line="237"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Employee Benefit Plan, Pension Fund which is subject to the provisions of the Employee Retirement Income Security Act of 1974 or Endowment Fund; see (Section 240.13d-1(b)(1)(ii)(F)</w:t>
      </w:r>
    </w:p>
    <w:p>
      <w:pPr>
        <w:spacing w:after="0" w:line="200" w:lineRule="exact"/>
        <w:rPr>
          <w:sz w:val="20"/>
          <w:szCs w:val="20"/>
          <w:color w:val="auto"/>
        </w:rPr>
      </w:pPr>
    </w:p>
    <w:p>
      <w:pPr>
        <w:sectPr>
          <w:pgSz w:w="11900" w:h="16838" w:orient="portrait"/>
          <w:cols w:equalWidth="0" w:num="2">
            <w:col w:w="420" w:space="640"/>
            <w:col w:w="9159"/>
          </w:cols>
          <w:pgMar w:left="240" w:top="136" w:right="1440" w:bottom="0" w:gutter="0" w:footer="0" w:header="0"/>
          <w:type w:val="continuous"/>
        </w:sectPr>
      </w:pPr>
    </w:p>
    <w:p>
      <w:pPr>
        <w:spacing w:after="0" w:line="210" w:lineRule="exact"/>
        <w:rPr>
          <w:sz w:val="20"/>
          <w:szCs w:val="20"/>
          <w:color w:val="auto"/>
        </w:rPr>
      </w:pPr>
    </w:p>
    <w:p>
      <w:pPr>
        <w:ind w:left="1060" w:right="38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(g)( X )</w:t>
        <w:tab/>
        <w:t>Parent Holding Company, in accordance with Section 240.13d-1(b)(ii)(G)</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w:t>
      </w:r>
    </w:p>
    <w:p>
      <w:pPr>
        <w:spacing w:after="0" w:line="238" w:lineRule="auto"/>
        <w:rPr>
          <w:sz w:val="20"/>
          <w:szCs w:val="20"/>
          <w:color w:val="auto"/>
        </w:rPr>
      </w:pPr>
      <w:r>
        <w:rPr>
          <w:rFonts w:ascii="Courier New" w:cs="Courier New" w:eastAsia="Courier New" w:hAnsi="Courier New"/>
          <w:sz w:val="18"/>
          <w:szCs w:val="18"/>
          <w:color w:val="auto"/>
        </w:rPr>
        <w:t>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M&amp;MC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PIM*</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PAC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w:t>
      </w:r>
    </w:p>
    <w:p>
      <w:pPr>
        <w:spacing w:after="0" w:line="16" w:lineRule="exact"/>
        <w:rPr>
          <w:sz w:val="20"/>
          <w:szCs w:val="20"/>
          <w:color w:val="auto"/>
        </w:rPr>
      </w:pPr>
    </w:p>
    <w:p>
      <w:pPr>
        <w:sectPr>
          <w:pgSz w:w="11900" w:h="16838" w:orient="portrait"/>
          <w:cols w:equalWidth="0" w:num="4">
            <w:col w:w="4560" w:space="720"/>
            <w:col w:w="860" w:space="720"/>
            <w:col w:w="860" w:space="720"/>
            <w:col w:w="1779"/>
          </w:cols>
          <w:pgMar w:left="240" w:top="136" w:right="1440" w:bottom="0" w:gutter="0" w:footer="0" w:header="0"/>
          <w:type w:val="continuous"/>
        </w:sectPr>
      </w:pP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4">
            <w:col w:w="5080" w:space="720"/>
            <w:col w:w="1380" w:space="720"/>
            <w:col w:w="860" w:space="720"/>
            <w:col w:w="739"/>
          </w:cols>
          <w:pgMar w:left="240" w:top="136" w:right="1440" w:bottom="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Parent holding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Investment advisers</w:t>
      </w:r>
    </w:p>
    <w:p>
      <w:pPr>
        <w:spacing w:after="0" w:line="21" w:lineRule="exact"/>
        <w:rPr>
          <w:sz w:val="20"/>
          <w:szCs w:val="20"/>
          <w:color w:val="auto"/>
        </w:rPr>
      </w:pPr>
    </w:p>
    <w:p>
      <w:pPr>
        <w:sectPr>
          <w:pgSz w:w="11900" w:h="16838" w:orient="portrait"/>
          <w:cols w:equalWidth="0" w:num="2">
            <w:col w:w="4560" w:space="720"/>
            <w:col w:w="493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Parent holding co.</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&amp; subsidiaries of PI)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PIM and PAC)</w:t>
      </w:r>
    </w:p>
    <w:p>
      <w:pPr>
        <w:spacing w:after="0" w:line="200" w:lineRule="exact"/>
        <w:rPr>
          <w:sz w:val="20"/>
          <w:szCs w:val="20"/>
          <w:color w:val="auto"/>
        </w:rPr>
      </w:pPr>
    </w:p>
    <w:p>
      <w:pPr>
        <w:sectPr>
          <w:pgSz w:w="11900" w:h="16838" w:orient="portrait"/>
          <w:cols w:equalWidth="0" w:num="3">
            <w:col w:w="4560" w:space="720"/>
            <w:col w:w="2440" w:space="720"/>
            <w:col w:w="1779"/>
          </w:cols>
          <w:pgMar w:left="240" w:top="136" w:right="1440" w:bottom="0" w:gutter="0" w:footer="0" w:header="0"/>
          <w:type w:val="continuous"/>
        </w:sectPr>
      </w:pPr>
    </w:p>
    <w:p>
      <w:pPr>
        <w:spacing w:after="0" w:line="221"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tbl>
      <w:tblPr>
        <w:tblLayout w:type="fixed"/>
        <w:tblInd w:w="0" w:type="dxa"/>
        <w:tblCellMar>
          <w:top w:w="0" w:type="dxa"/>
          <w:left w:w="0" w:type="dxa"/>
          <w:bottom w:w="0" w:type="dxa"/>
          <w:right w:w="0" w:type="dxa"/>
        </w:tblCellMar>
      </w:tblP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272,000   +</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540" w:type="dxa"/>
            <w:vAlign w:val="bottom"/>
          </w:tcPr>
          <w:p>
            <w:pPr>
              <w:spacing w:after="0"/>
              <w:rPr>
                <w:sz w:val="17"/>
                <w:szCs w:val="17"/>
                <w:color w:val="auto"/>
              </w:rPr>
            </w:pP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272,000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960" w:type="dxa"/>
            <w:vAlign w:val="bottom"/>
          </w:tcPr>
          <w:p>
            <w:pPr>
              <w:ind w:left="960"/>
              <w:spacing w:after="0"/>
              <w:rPr>
                <w:sz w:val="20"/>
                <w:szCs w:val="20"/>
                <w:color w:val="auto"/>
              </w:rPr>
            </w:pPr>
            <w:r>
              <w:rPr>
                <w:rFonts w:ascii="Courier New" w:cs="Courier New" w:eastAsia="Courier New" w:hAnsi="Courier New"/>
                <w:sz w:val="18"/>
                <w:szCs w:val="18"/>
                <w:color w:val="auto"/>
              </w:rPr>
              <w:t>NONE</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36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bl>
    <w:p>
      <w:pPr>
        <w:spacing w:after="0" w:line="201"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202" w:lineRule="exact"/>
        <w:rPr>
          <w:sz w:val="20"/>
          <w:szCs w:val="20"/>
          <w:color w:val="auto"/>
        </w:rPr>
      </w:pPr>
    </w:p>
    <w:p>
      <w:pPr>
        <w:ind w:left="540" w:hanging="532"/>
        <w:spacing w:after="0"/>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ind w:left="540"/>
        <w:spacing w:after="0"/>
        <w:tabs>
          <w:tab w:leader="none" w:pos="3680" w:val="left"/>
          <w:tab w:leader="none" w:pos="5780" w:val="left"/>
          <w:tab w:leader="none" w:pos="7360" w:val="left"/>
          <w:tab w:leader="none" w:pos="894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w:t>
      </w:r>
    </w:p>
    <w:p>
      <w:pPr>
        <w:ind w:left="540"/>
        <w:spacing w:after="0" w:line="238" w:lineRule="auto"/>
        <w:rPr>
          <w:sz w:val="20"/>
          <w:szCs w:val="20"/>
          <w:color w:val="auto"/>
        </w:rPr>
      </w:pPr>
      <w:r>
        <w:rPr>
          <w:rFonts w:ascii="Courier New" w:cs="Courier New" w:eastAsia="Courier New" w:hAnsi="Courier New"/>
          <w:sz w:val="18"/>
          <w:szCs w:val="18"/>
          <w:color w:val="auto"/>
        </w:rPr>
        <w:t>or to direct the vote;</w:t>
      </w:r>
    </w:p>
    <w:p>
      <w:pPr>
        <w:sectPr>
          <w:pgSz w:w="11900" w:h="16838" w:orient="portrait"/>
          <w:cols w:equalWidth="0" w:num="1">
            <w:col w:w="10219"/>
          </w:cols>
          <w:pgMar w:left="240" w:top="136" w:right="1440" w:bottom="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5">
            <w:col w:w="2980" w:space="720"/>
            <w:col w:w="1380" w:space="720"/>
            <w:col w:w="860" w:space="720"/>
            <w:col w:w="420" w:space="640"/>
            <w:col w:w="1779"/>
          </w:cols>
          <w:pgMar w:left="240" w:top="136" w:right="1440" w:bottom="0" w:gutter="0" w:footer="0" w:header="0"/>
          <w:type w:val="continuous"/>
        </w:sectPr>
      </w:pPr>
    </w:p>
    <w:p>
      <w:pPr>
        <w:spacing w:after="0" w:line="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(3)</w:t>
        <w:tab/>
        <w:t>sole power to dispose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 to direct the</w:t>
      </w:r>
    </w:p>
    <w:p>
      <w:pPr>
        <w:ind w:left="540"/>
        <w:spacing w:after="0" w:line="238" w:lineRule="auto"/>
        <w:rPr>
          <w:sz w:val="20"/>
          <w:szCs w:val="20"/>
          <w:color w:val="auto"/>
        </w:rPr>
      </w:pPr>
      <w:r>
        <w:rPr>
          <w:rFonts w:ascii="Courier New" w:cs="Courier New" w:eastAsia="Courier New" w:hAnsi="Courier New"/>
          <w:sz w:val="18"/>
          <w:szCs w:val="18"/>
          <w:color w:val="auto"/>
        </w:rPr>
        <w:t>disposition of;</w:t>
      </w:r>
    </w:p>
    <w:p>
      <w:pPr>
        <w:sectPr>
          <w:pgSz w:w="11900" w:h="16838" w:orient="portrait"/>
          <w:cols w:equalWidth="0" w:num="1">
            <w:col w:w="10219"/>
          </w:cols>
          <w:pgMar w:left="240" w:top="136" w:right="1440" w:bottom="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5">
            <w:col w:w="2980" w:space="720"/>
            <w:col w:w="1380" w:space="720"/>
            <w:col w:w="860" w:space="720"/>
            <w:col w:w="860" w:space="720"/>
            <w:col w:w="1259"/>
          </w:cols>
          <w:pgMar w:left="240" w:top="136" w:right="1440" w:bottom="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dispose or to direct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disposition of;</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0" w:lineRule="exact"/>
        <w:rPr>
          <w:sz w:val="20"/>
          <w:szCs w:val="20"/>
          <w:color w:val="auto"/>
        </w:rPr>
      </w:pPr>
    </w:p>
    <w:p>
      <w:pPr>
        <w:sectPr>
          <w:pgSz w:w="11900" w:h="16838" w:orient="portrait"/>
          <w:cols w:equalWidth="0" w:num="5">
            <w:col w:w="2980" w:space="720"/>
            <w:col w:w="1380" w:space="720"/>
            <w:col w:w="860" w:space="720"/>
            <w:col w:w="860" w:space="720"/>
            <w:col w:w="1259"/>
          </w:cols>
          <w:pgMar w:left="240" w:top="136"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X ).</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6. Ownership of More than Five/Ten Percent on Behalf of Another Person:</w:t>
      </w:r>
    </w:p>
    <w:p>
      <w:pPr>
        <w:sectPr>
          <w:pgSz w:w="11900" w:h="16838" w:orient="portrait"/>
          <w:cols w:equalWidth="0" w:num="1">
            <w:col w:w="10219"/>
          </w:cols>
          <w:pgMar w:left="240" w:top="136" w:right="1440" w:bottom="0" w:gutter="0" w:footer="0" w:header="0"/>
          <w:type w:val="continuous"/>
        </w:sectPr>
      </w:pPr>
    </w:p>
    <w:bookmarkStart w:id="6" w:name="page7"/>
    <w:bookmarkEnd w:id="6"/>
    <w:p>
      <w:pPr>
        <w:ind w:right="3999"/>
        <w:spacing w:after="0" w:line="238" w:lineRule="auto"/>
        <w:rPr>
          <w:sz w:val="20"/>
          <w:szCs w:val="20"/>
          <w:color w:val="auto"/>
        </w:rPr>
      </w:pPr>
      <w:r>
        <w:rPr>
          <w:rFonts w:ascii="Courier New" w:cs="Courier New" w:eastAsia="Courier New" w:hAnsi="Courier New"/>
          <w:sz w:val="18"/>
          <w:szCs w:val="18"/>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207"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9"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PI, which is a wholly-owned subsidiary of M&amp;MC, wholly owns two registered investment advisers: Putnam Investment Management, Inc., which is the investment adviser to the Putnam family of mutual funds and The Putnam Advisory Company, Inc., which is the investment adviser to Putnam's institutional clients. Both subsidiaries have dispository power over the shares as investment managers, but each of the mutual fund's trustees have voting power over the shares held by each fund, and The Putnam Advisory Company, Inc.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209"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9 of 10 Pages</w:t>
      </w:r>
    </w:p>
    <w:p>
      <w:pPr>
        <w:spacing w:after="0" w:line="207"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9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ind w:left="540"/>
        <w:spacing w:after="0" w:line="238" w:lineRule="auto"/>
        <w:rPr>
          <w:sz w:val="20"/>
          <w:szCs w:val="20"/>
          <w:color w:val="auto"/>
        </w:rPr>
      </w:pPr>
      <w:r>
        <w:rPr>
          <w:rFonts w:ascii="Courier New" w:cs="Courier New" w:eastAsia="Courier New" w:hAnsi="Courier New"/>
          <w:sz w:val="18"/>
          <w:szCs w:val="18"/>
          <w:color w:val="auto"/>
        </w:rPr>
        <w:t>Assistant Vice President and Associate Counsel</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27, 1997</w:t>
      </w:r>
    </w:p>
    <w:p>
      <w:pPr>
        <w:spacing w:after="0" w:line="200" w:lineRule="exact"/>
        <w:rPr>
          <w:sz w:val="20"/>
          <w:szCs w:val="20"/>
          <w:color w:val="auto"/>
        </w:rPr>
      </w:pP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ectPr>
          <w:pgSz w:w="11900" w:h="16838" w:orient="portrait"/>
          <w:cols w:equalWidth="0" w:num="1">
            <w:col w:w="10219"/>
          </w:cols>
          <w:pgMar w:left="240" w:top="142" w:right="1440" w:bottom="0" w:gutter="0" w:footer="0" w:header="0"/>
        </w:sectPr>
      </w:pPr>
    </w:p>
    <w:bookmarkStart w:id="7" w:name="page8"/>
    <w:bookmarkEnd w:id="7"/>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an Agreement dated June 28, 1990, with respect to one filing of Schedule 13G on behalf of said entitites,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3"/>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4"/>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1."/>
      <w:numFmt w:val="decimal"/>
      <w:start w:val="9"/>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10"/>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2"/>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lvl w:ilvl="1">
      <w:lvlJc w:val="left"/>
      <w:lvlText w:val="%2"/>
      <w:numFmt w:val="upperLetter"/>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2"/>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decimal"/>
      <w:start w:val="3"/>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4"/>
    </w:lvl>
  </w:abstractNum>
  <w:abstractNum w:abstractNumId="26">
    <w:nsid w:val="12E685FB"/>
    <w:multiLevelType w:val="hybridMultilevel"/>
    <w:lvl w:ilvl="0">
      <w:lvlJc w:val="left"/>
      <w:lvlText w:val="-"/>
      <w:numFmt w:val="bullet"/>
      <w:start w:val="1"/>
    </w:lvl>
    <w:lvl w:ilvl="1">
      <w:lvlJc w:val="left"/>
      <w:lvlText w:val="%2."/>
      <w:numFmt w:val="decimal"/>
      <w:start w:val="5"/>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9"/>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0"/>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12"/>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2"/>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3"/>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4"/>
    </w:lvl>
  </w:abstractNum>
  <w:abstractNum w:abstractNumId="44">
    <w:nsid w:val="3F6AB60F"/>
    <w:multiLevelType w:val="hybridMultilevel"/>
    <w:lvl w:ilvl="0">
      <w:lvlJc w:val="left"/>
      <w:lvlText w:val="-"/>
      <w:numFmt w:val="bullet"/>
      <w:start w:val="1"/>
    </w:lvl>
    <w:lvl w:ilvl="1">
      <w:lvlJc w:val="left"/>
      <w:lvlText w:val="%2."/>
      <w:numFmt w:val="decimal"/>
      <w:start w:val="5"/>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9"/>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decimal"/>
      <w:start w:val="10"/>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12"/>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decimal"/>
      <w:start w:val="1"/>
    </w:lvl>
    <w:lvl w:ilvl="1">
      <w:lvlJc w:val="left"/>
      <w:lvlText w:val="%2"/>
      <w:numFmt w:val="upperLetter"/>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decimal"/>
      <w:start w:val="2"/>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decimal"/>
      <w:start w:val="3"/>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decimal"/>
      <w:start w:val="4"/>
    </w:lvl>
  </w:abstractNum>
  <w:abstractNum w:abstractNumId="62">
    <w:nsid w:val="98A3148"/>
    <w:multiLevelType w:val="hybridMultilevel"/>
    <w:lvl w:ilvl="0">
      <w:lvlJc w:val="left"/>
      <w:lvlText w:val="-"/>
      <w:numFmt w:val="bullet"/>
      <w:start w:val="1"/>
    </w:lvl>
    <w:lvl w:ilvl="1">
      <w:lvlJc w:val="left"/>
      <w:lvlText w:val="%2."/>
      <w:numFmt w:val="decimal"/>
      <w:start w:val="5"/>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1."/>
      <w:numFmt w:val="decimal"/>
      <w:start w:val="9"/>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1."/>
      <w:numFmt w:val="decimal"/>
      <w:start w:val="10"/>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1."/>
      <w:numFmt w:val="decimal"/>
      <w:start w:val="1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1."/>
      <w:numFmt w:val="decimal"/>
      <w:start w:val="12"/>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lvl w:ilvl="1">
      <w:lvlJc w:val="left"/>
      <w:lvlText w:val="**"/>
      <w:numFmt w:val="bullet"/>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3"/>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1)"/>
      <w:numFmt w:val="decimal"/>
      <w:start w:val="2"/>
    </w:lvl>
  </w:abstractNum>
  <w:abstractNum w:abstractNumId="77">
    <w:nsid w:val="A0382C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2019-12-12T07:37:13Z</dcterms:created>
  <dcterms:modified xsi:type="dcterms:W3CDTF">2019-12-12T07:37:13Z</dcterms:modified>
</cp:coreProperties>
</file>