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4140" w:right="1060" w:hanging="3808"/>
        <w:spacing w:after="0" w:line="477" w:lineRule="auto"/>
        <w:tabs>
          <w:tab w:leader="none" w:pos="97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41"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____ to _____</w:t>
      </w:r>
    </w:p>
    <w:p>
      <w:pPr>
        <w:spacing w:after="0" w:line="225" w:lineRule="exact"/>
        <w:rPr>
          <w:rFonts w:ascii="MS PGothic" w:cs="MS PGothic" w:eastAsia="MS PGothic" w:hAnsi="MS PGothic"/>
          <w:sz w:val="17"/>
          <w:szCs w:val="17"/>
          <w:color w:val="auto"/>
        </w:rPr>
      </w:pPr>
    </w:p>
    <w:p>
      <w:pPr>
        <w:ind w:left="42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6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ind w:left="3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60" w:type="dxa"/>
            <w:vAlign w:val="bottom"/>
            <w:vMerge w:val="restart"/>
          </w:tcPr>
          <w:p>
            <w:pPr>
              <w:ind w:left="600"/>
              <w:spacing w:after="0" w:line="207" w:lineRule="exact"/>
              <w:rPr>
                <w:sz w:val="20"/>
                <w:szCs w:val="20"/>
                <w:color w:val="auto"/>
              </w:rPr>
            </w:pPr>
            <w:r>
              <w:rPr>
                <w:rFonts w:ascii="Arial" w:cs="Arial" w:eastAsia="Arial" w:hAnsi="Arial"/>
                <w:sz w:val="18"/>
                <w:szCs w:val="18"/>
                <w:color w:val="auto"/>
                <w:w w:val="90"/>
              </w:rPr>
              <w:t xml:space="preserve">Emerging growth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303"/>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11,707,317 shares of Common Stock, $0.01 par value at November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8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rPr>
              <w:t>MICROBOT MEDICAL INC. AND SUBSIDIARY</w:t>
            </w:r>
          </w:p>
        </w:tc>
        <w:tc>
          <w:tcPr>
            <w:tcW w:w="8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40" w:type="dxa"/>
            <w:vAlign w:val="bottom"/>
            <w:gridSpan w:val="6"/>
          </w:tcPr>
          <w:p>
            <w:pPr>
              <w:jc w:val="center"/>
              <w:ind w:right="4160"/>
              <w:spacing w:after="0"/>
              <w:rPr>
                <w:sz w:val="20"/>
                <w:szCs w:val="20"/>
                <w:color w:val="auto"/>
              </w:rPr>
            </w:pPr>
            <w:r>
              <w:rPr>
                <w:rFonts w:ascii="Arial" w:cs="Arial" w:eastAsia="Arial" w:hAnsi="Arial"/>
                <w:sz w:val="18"/>
                <w:szCs w:val="18"/>
                <w:color w:val="auto"/>
                <w:w w:val="90"/>
              </w:rPr>
              <w:t>Index</w:t>
            </w:r>
          </w:p>
        </w:tc>
        <w:tc>
          <w:tcPr>
            <w:tcW w:w="8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04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shd w:val="clear" w:color="auto" w:fill="CCEEFF"/>
          </w:tcPr>
          <w:p>
            <w:pPr>
              <w:spacing w:after="0"/>
              <w:rPr>
                <w:sz w:val="18"/>
                <w:szCs w:val="18"/>
                <w:color w:val="auto"/>
              </w:rPr>
            </w:pPr>
          </w:p>
        </w:tc>
      </w:tr>
      <w:tr>
        <w:trPr>
          <w:trHeight w:val="216"/>
        </w:trPr>
        <w:tc>
          <w:tcPr>
            <w:tcW w:w="10420" w:type="dxa"/>
            <w:vAlign w:val="bottom"/>
            <w:gridSpan w:val="16"/>
          </w:tcPr>
          <w:p>
            <w:pPr>
              <w:spacing w:after="0"/>
              <w:rPr>
                <w:sz w:val="20"/>
                <w:szCs w:val="20"/>
                <w:color w:val="auto"/>
              </w:rPr>
            </w:pPr>
            <w:r>
              <w:rPr>
                <w:rFonts w:ascii="Arial" w:cs="Arial" w:eastAsia="Arial" w:hAnsi="Arial"/>
                <w:sz w:val="18"/>
                <w:szCs w:val="18"/>
                <w:color w:val="auto"/>
              </w:rPr>
              <w:t>Item 1 - Financial Statements</w:t>
            </w:r>
          </w:p>
        </w:tc>
        <w:tc>
          <w:tcPr>
            <w:tcW w:w="820" w:type="dxa"/>
            <w:vAlign w:val="bottom"/>
          </w:tcPr>
          <w:p>
            <w:pPr>
              <w:spacing w:after="0"/>
              <w:rPr>
                <w:sz w:val="18"/>
                <w:szCs w:val="18"/>
                <w:color w:val="auto"/>
              </w:rPr>
            </w:pPr>
          </w:p>
        </w:tc>
      </w:tr>
      <w:tr>
        <w:trPr>
          <w:trHeight w:val="196"/>
        </w:trPr>
        <w:tc>
          <w:tcPr>
            <w:tcW w:w="798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0"/>
              </w:rPr>
              <w:t>Interim Consolidated Balance Sheets as of September 30, 2023 (Unaudited) and December 31, 2022 (Audited)</w:t>
            </w:r>
          </w:p>
        </w:tc>
        <w:tc>
          <w:tcPr>
            <w:tcW w:w="2440" w:type="dxa"/>
            <w:vAlign w:val="bottom"/>
            <w:tcBorders>
              <w:bottom w:val="single" w:sz="8" w:color="CCEEFF"/>
            </w:tcBorders>
            <w:gridSpan w:val="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0420" w:type="dxa"/>
            <w:vAlign w:val="bottom"/>
            <w:gridSpan w:val="16"/>
          </w:tcPr>
          <w:p>
            <w:pPr>
              <w:spacing w:after="0" w:line="176" w:lineRule="exact"/>
              <w:rPr>
                <w:sz w:val="20"/>
                <w:szCs w:val="20"/>
                <w:color w:val="auto"/>
              </w:rPr>
            </w:pPr>
            <w:r>
              <w:rPr>
                <w:rFonts w:ascii="Arial" w:cs="Arial" w:eastAsia="Arial" w:hAnsi="Arial"/>
                <w:sz w:val="18"/>
                <w:szCs w:val="18"/>
                <w:color w:val="0000EE"/>
                <w:w w:val="93"/>
              </w:rPr>
              <w:t>Interim Consolidated Statements of Comprehensive Loss for the Three and Nine Months Ended September 30, 2023 and 2022 (Unaudited)</w:t>
            </w:r>
          </w:p>
        </w:tc>
        <w:tc>
          <w:tcPr>
            <w:tcW w:w="820" w:type="dxa"/>
            <w:vAlign w:val="bottom"/>
          </w:tcPr>
          <w:p>
            <w:pPr>
              <w:jc w:val="center"/>
              <w:ind w:left="9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4"/>
              </w:rPr>
              <w:t>Interim Consolidated Statements of Shareholders’ Equity for the Three and Nine Months Ended September 30, 2023 and 2022 (Unaudited)</w:t>
            </w:r>
          </w:p>
        </w:tc>
        <w:tc>
          <w:tcPr>
            <w:tcW w:w="82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1002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Interim Consolidated Statements of Cash Flows for the Nine Months Ended September 30, 2023 and 2022 (Unaudited)</w:t>
            </w:r>
          </w:p>
        </w:tc>
        <w:tc>
          <w:tcPr>
            <w:tcW w:w="4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jc w:val="center"/>
              <w:ind w:left="90"/>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0"/>
              </w:rPr>
              <w:t>Notes to Interim Consolidated Financial Statements</w:t>
            </w:r>
          </w:p>
        </w:tc>
        <w:tc>
          <w:tcPr>
            <w:tcW w:w="6680" w:type="dxa"/>
            <w:vAlign w:val="bottom"/>
            <w:tcBorders>
              <w:bottom w:val="single" w:sz="8" w:color="CCEEFF"/>
            </w:tcBorders>
            <w:gridSpan w:val="7"/>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10420" w:type="dxa"/>
            <w:vAlign w:val="bottom"/>
            <w:gridSpan w:val="16"/>
          </w:tcPr>
          <w:p>
            <w:pPr>
              <w:spacing w:after="0" w:line="176" w:lineRule="exact"/>
              <w:rPr>
                <w:sz w:val="20"/>
                <w:szCs w:val="20"/>
                <w:color w:val="auto"/>
              </w:rPr>
            </w:pPr>
            <w:r>
              <w:rPr>
                <w:rFonts w:ascii="Arial" w:cs="Arial" w:eastAsia="Arial" w:hAnsi="Arial"/>
                <w:sz w:val="18"/>
                <w:szCs w:val="18"/>
                <w:color w:val="0000EE"/>
              </w:rPr>
              <w:t>Item 2 - Management’s Discussion and Analysis of Financial Condition and Results of Operations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13</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2"/>
              </w:rPr>
              <w:t>Item 3 - Quantitative and Qualitative Disclosures About Market Risk</w:t>
            </w:r>
          </w:p>
        </w:tc>
        <w:tc>
          <w:tcPr>
            <w:tcW w:w="5440" w:type="dxa"/>
            <w:vAlign w:val="bottom"/>
            <w:tcBorders>
              <w:bottom w:val="single" w:sz="8" w:color="CCEEFF"/>
            </w:tcBorders>
            <w:gridSpan w:val="6"/>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10420" w:type="dxa"/>
            <w:vAlign w:val="bottom"/>
            <w:gridSpan w:val="16"/>
          </w:tcPr>
          <w:p>
            <w:pPr>
              <w:spacing w:after="0" w:line="176" w:lineRule="exact"/>
              <w:rPr>
                <w:sz w:val="20"/>
                <w:szCs w:val="20"/>
                <w:color w:val="auto"/>
              </w:rPr>
            </w:pPr>
            <w:r>
              <w:rPr>
                <w:rFonts w:ascii="Arial" w:cs="Arial" w:eastAsia="Arial" w:hAnsi="Arial"/>
                <w:sz w:val="18"/>
                <w:szCs w:val="18"/>
                <w:color w:val="0000EE"/>
              </w:rPr>
              <w:t>Item 4 - Controls and Procedures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82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7"/>
              </w:rPr>
              <w:t>Item 1 - Legal Proceedings</w:t>
            </w:r>
          </w:p>
        </w:tc>
        <w:tc>
          <w:tcPr>
            <w:tcW w:w="8300" w:type="dxa"/>
            <w:vAlign w:val="bottom"/>
            <w:tcBorders>
              <w:top w:val="single" w:sz="8" w:color="CCEEFF"/>
            </w:tcBorders>
            <w:gridSpan w:val="10"/>
          </w:tcPr>
          <w:p>
            <w:pPr>
              <w:spacing w:after="0"/>
              <w:rPr>
                <w:sz w:val="15"/>
                <w:szCs w:val="15"/>
                <w:color w:val="auto"/>
              </w:rPr>
            </w:pPr>
          </w:p>
        </w:tc>
        <w:tc>
          <w:tcPr>
            <w:tcW w:w="820" w:type="dxa"/>
            <w:vAlign w:val="bottom"/>
            <w:tcBorders>
              <w:top w:val="single" w:sz="8" w:color="CCEEFF"/>
            </w:tcBorders>
          </w:tcPr>
          <w:p>
            <w:pPr>
              <w:jc w:val="center"/>
              <w:ind w:left="7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Item 1A - Risk Factors</w:t>
            </w:r>
          </w:p>
        </w:tc>
        <w:tc>
          <w:tcPr>
            <w:tcW w:w="8760" w:type="dxa"/>
            <w:vAlign w:val="bottom"/>
            <w:tcBorders>
              <w:bottom w:val="single" w:sz="8" w:color="CCEEFF"/>
            </w:tcBorders>
            <w:gridSpan w:val="1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10420" w:type="dxa"/>
            <w:vAlign w:val="bottom"/>
            <w:gridSpan w:val="16"/>
          </w:tcPr>
          <w:p>
            <w:pPr>
              <w:spacing w:after="0" w:line="176" w:lineRule="exact"/>
              <w:rPr>
                <w:sz w:val="20"/>
                <w:szCs w:val="20"/>
                <w:color w:val="auto"/>
              </w:rPr>
            </w:pPr>
            <w:r>
              <w:rPr>
                <w:rFonts w:ascii="Arial" w:cs="Arial" w:eastAsia="Arial" w:hAnsi="Arial"/>
                <w:sz w:val="18"/>
                <w:szCs w:val="18"/>
                <w:color w:val="0000EE"/>
              </w:rPr>
              <w:t>Item 2 - Unregistered Sales of Equity Securities, Use of Proceeds‌, and Issuer Purchases of Equity Securities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Item 3 - Defaults Upon Senior Securities</w:t>
            </w:r>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294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Item 4 - Mine Safety Disclosures</w:t>
            </w:r>
          </w:p>
        </w:tc>
        <w:tc>
          <w:tcPr>
            <w:tcW w:w="7480" w:type="dxa"/>
            <w:vAlign w:val="bottom"/>
            <w:tcBorders>
              <w:top w:val="single" w:sz="8" w:color="CCEEFF"/>
            </w:tcBorders>
            <w:gridSpan w:val="8"/>
          </w:tcPr>
          <w:p>
            <w:pPr>
              <w:spacing w:after="0"/>
              <w:rPr>
                <w:sz w:val="15"/>
                <w:szCs w:val="15"/>
                <w:color w:val="auto"/>
              </w:rPr>
            </w:pPr>
          </w:p>
        </w:tc>
        <w:tc>
          <w:tcPr>
            <w:tcW w:w="820" w:type="dxa"/>
            <w:vAlign w:val="bottom"/>
            <w:tcBorders>
              <w:top w:val="single" w:sz="8" w:color="CCEEFF"/>
            </w:tcBorders>
          </w:tcPr>
          <w:p>
            <w:pPr>
              <w:jc w:val="center"/>
              <w:ind w:left="7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Item 5 - Other Information</w:t>
            </w:r>
          </w:p>
        </w:tc>
        <w:tc>
          <w:tcPr>
            <w:tcW w:w="8480" w:type="dxa"/>
            <w:vAlign w:val="bottom"/>
            <w:tcBorders>
              <w:bottom w:val="single" w:sz="8" w:color="CCEEFF"/>
            </w:tcBorders>
            <w:gridSpan w:val="1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10420" w:type="dxa"/>
            <w:vAlign w:val="bottom"/>
            <w:gridSpan w:val="16"/>
          </w:tcPr>
          <w:p>
            <w:pPr>
              <w:spacing w:after="0" w:line="176" w:lineRule="exact"/>
              <w:rPr>
                <w:sz w:val="20"/>
                <w:szCs w:val="20"/>
                <w:color w:val="auto"/>
              </w:rPr>
            </w:pPr>
            <w:r>
              <w:rPr>
                <w:rFonts w:ascii="Arial" w:cs="Arial" w:eastAsia="Arial" w:hAnsi="Arial"/>
                <w:sz w:val="18"/>
                <w:szCs w:val="18"/>
                <w:color w:val="0000EE"/>
              </w:rPr>
              <w:t>Item 6 - Exhibits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104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44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4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9"/>
              </w:rPr>
              <w:t>Interim Consolidated Balance Sheets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88"/>
              </w:rPr>
              <w:t>U.S. dollars in thousands</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4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9"/>
              </w:rPr>
              <w:t>(Except share and per share data)</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Notes</w:t>
            </w: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4"/>
              </w:rPr>
              <w:t>Audited</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460" w:type="dxa"/>
            <w:vAlign w:val="bottom"/>
            <w:gridSpan w:val="3"/>
          </w:tcPr>
          <w:p>
            <w:pPr>
              <w:jc w:val="right"/>
              <w:ind w:right="4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deposit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5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03"/>
        </w:trPr>
        <w:tc>
          <w:tcPr>
            <w:tcW w:w="42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8,407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8,814</w:t>
            </w:r>
          </w:p>
        </w:tc>
        <w:tc>
          <w:tcPr>
            <w:tcW w:w="10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4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246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57"/>
        </w:trPr>
        <w:tc>
          <w:tcPr>
            <w:tcW w:w="420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gridSpan w:val="8"/>
          </w:tcPr>
          <w:p>
            <w:pPr>
              <w:ind w:left="740"/>
              <w:spacing w:after="0"/>
              <w:rPr>
                <w:sz w:val="20"/>
                <w:szCs w:val="20"/>
                <w:color w:val="auto"/>
              </w:rPr>
            </w:pPr>
            <w:r>
              <w:rPr>
                <w:rFonts w:ascii="Arial" w:cs="Arial" w:eastAsia="Arial" w:hAnsi="Arial"/>
                <w:sz w:val="18"/>
                <w:szCs w:val="18"/>
                <w:color w:val="auto"/>
              </w:rPr>
              <w:t>LIABILITIES AND STOCKHOLDERS’ EQUITY</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40" w:type="dxa"/>
            <w:vAlign w:val="bottom"/>
            <w:gridSpan w:val="7"/>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46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r>
      <w:tr>
        <w:trPr>
          <w:trHeight w:val="237"/>
        </w:trPr>
        <w:tc>
          <w:tcPr>
            <w:tcW w:w="42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1,670</w:t>
            </w:r>
          </w:p>
        </w:tc>
      </w:tr>
      <w:tr>
        <w:trPr>
          <w:trHeight w:val="216"/>
        </w:trPr>
        <w:tc>
          <w:tcPr>
            <w:tcW w:w="4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20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2460" w:type="dxa"/>
            <w:vAlign w:val="bottom"/>
            <w:gridSpan w:val="3"/>
          </w:tcPr>
          <w:p>
            <w:pPr>
              <w:jc w:val="right"/>
              <w:ind w:right="4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23"/>
        </w:trPr>
        <w:tc>
          <w:tcPr>
            <w:tcW w:w="4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240" w:type="dxa"/>
            <w:vAlign w:val="bottom"/>
            <w:gridSpan w:val="8"/>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60,000,000 shares authorized as of</w:t>
            </w: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September 30, 2023 and December 31, 2022; 11,707,317 and</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7,890,628 shares issued and outstanding as of September 30, 2023</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2022, respectively.</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83,587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75,970</w:t>
            </w:r>
          </w:p>
        </w:tc>
      </w:tr>
      <w:tr>
        <w:trPr>
          <w:trHeight w:val="24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(76,347)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(68,761)</w:t>
            </w:r>
          </w:p>
        </w:tc>
      </w:tr>
      <w:tr>
        <w:trPr>
          <w:trHeight w:val="210"/>
        </w:trPr>
        <w:tc>
          <w:tcPr>
            <w:tcW w:w="4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7,358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Interim Consolidated Statements of Comprehensive Loss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ectPr>
          <w:pgSz w:w="11900" w:h="16838" w:orient="portrait"/>
          <w:cols w:equalWidth="0" w:num="1">
            <w:col w:w="11240"/>
          </w:cols>
          <w:pgMar w:left="320" w:top="661" w:right="339" w:bottom="1440" w:gutter="0" w:footer="0" w:header="0"/>
        </w:sectPr>
      </w:pPr>
    </w:p>
    <w:p>
      <w:pPr>
        <w:spacing w:after="0" w:line="225" w:lineRule="exact"/>
        <w:rPr>
          <w:sz w:val="20"/>
          <w:szCs w:val="20"/>
          <w:color w:val="auto"/>
        </w:rPr>
      </w:pPr>
    </w:p>
    <w:p>
      <w:pPr>
        <w:jc w:val="center"/>
        <w:ind w:left="468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left="47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5715</wp:posOffset>
            </wp:positionV>
            <wp:extent cx="1954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4530" cy="17145"/>
                    </a:xfrm>
                    <a:prstGeom prst="rect">
                      <a:avLst/>
                    </a:prstGeom>
                    <a:noFill/>
                  </pic:spPr>
                </pic:pic>
              </a:graphicData>
            </a:graphic>
          </wp:anchor>
        </w:drawing>
      </w:r>
    </w:p>
    <w:p>
      <w:pPr>
        <w:spacing w:after="0" w:line="11" w:lineRule="exact"/>
        <w:rPr>
          <w:sz w:val="20"/>
          <w:szCs w:val="20"/>
          <w:color w:val="auto"/>
        </w:rPr>
      </w:pPr>
    </w:p>
    <w:p>
      <w:pPr>
        <w:ind w:left="5240"/>
        <w:spacing w:after="0"/>
        <w:tabs>
          <w:tab w:leader="none" w:pos="69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For the Nine Months Ended</w:t>
      </w:r>
    </w:p>
    <w:p>
      <w:pPr>
        <w:spacing w:after="0" w:line="5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5715</wp:posOffset>
            </wp:positionV>
            <wp:extent cx="19030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095" cy="17145"/>
                    </a:xfrm>
                    <a:prstGeom prst="rect">
                      <a:avLst/>
                    </a:prstGeom>
                    <a:noFill/>
                  </pic:spPr>
                </pic:pic>
              </a:graphicData>
            </a:graphic>
          </wp:anchor>
        </w:drawing>
      </w:r>
    </w:p>
    <w:p>
      <w:pPr>
        <w:spacing w:after="0" w:line="11"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7"/>
          <w:szCs w:val="17"/>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38" w:lineRule="exact"/>
        <w:rPr>
          <w:sz w:val="20"/>
          <w:szCs w:val="20"/>
          <w:color w:val="auto"/>
        </w:rPr>
      </w:pPr>
    </w:p>
    <w:p>
      <w:pPr>
        <w:sectPr>
          <w:pgSz w:w="11900" w:h="16838" w:orient="portrait"/>
          <w:cols w:equalWidth="0" w:num="2">
            <w:col w:w="7820" w:space="720"/>
            <w:col w:w="2700"/>
          </w:cols>
          <w:pgMar w:left="320" w:top="661" w:right="339" w:bottom="1440" w:gutter="0" w:footer="0" w:header="0"/>
          <w:type w:val="continuous"/>
        </w:sect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Research and development, net</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loss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income,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8"/>
                <w:szCs w:val="18"/>
                <w:color w:val="auto"/>
              </w:rPr>
              <w:t>Unaudited</w:t>
            </w: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Unaudited</w:t>
            </w: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(1,612)</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(1,953)</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(4,594)</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(5,852)</w:t>
            </w:r>
          </w:p>
        </w:tc>
      </w:tr>
      <w:tr>
        <w:trPr>
          <w:trHeight w:val="251"/>
        </w:trPr>
        <w:tc>
          <w:tcPr>
            <w:tcW w:w="4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(1,521)</w:t>
            </w:r>
          </w:p>
        </w:tc>
        <w:tc>
          <w:tcPr>
            <w:tcW w:w="48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(3,193)</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(4,361)</w:t>
            </w:r>
          </w:p>
        </w:tc>
      </w:tr>
      <w:tr>
        <w:trPr>
          <w:trHeight w:val="230"/>
        </w:trPr>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3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60" w:type="dxa"/>
            <w:vAlign w:val="bottom"/>
          </w:tcPr>
          <w:p>
            <w:pPr>
              <w:spacing w:after="0"/>
              <w:rPr>
                <w:sz w:val="20"/>
                <w:szCs w:val="20"/>
                <w:color w:val="auto"/>
              </w:rPr>
            </w:pPr>
          </w:p>
        </w:tc>
      </w:tr>
      <w:tr>
        <w:trPr>
          <w:trHeight w:val="403"/>
        </w:trPr>
        <w:tc>
          <w:tcPr>
            <w:tcW w:w="4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r>
      <w:tr>
        <w:trPr>
          <w:trHeight w:val="257"/>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(2,446)</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(3,468)</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(7,586)</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-864870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-573405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-290830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20" w:space="720"/>
            <w:col w:w="650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(0.49)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155"/>
        </w:trPr>
        <w:tc>
          <w:tcPr>
            <w:tcW w:w="4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common shares</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5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11,707,317</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7,108,133</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9,653,337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7,108,133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Arial" w:cs="Arial" w:eastAsia="Arial" w:hAnsi="Arial"/>
                <w:sz w:val="18"/>
                <w:szCs w:val="18"/>
                <w:b w:val="1"/>
                <w:bCs w:val="1"/>
                <w:color w:val="auto"/>
                <w:w w:val="93"/>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80" w:type="dxa"/>
            <w:vAlign w:val="bottom"/>
          </w:tcPr>
          <w:p>
            <w:pPr>
              <w:spacing w:after="0"/>
              <w:rPr>
                <w:sz w:val="24"/>
                <w:szCs w:val="24"/>
                <w:color w:val="auto"/>
              </w:rPr>
            </w:pPr>
          </w:p>
        </w:tc>
        <w:tc>
          <w:tcPr>
            <w:tcW w:w="2860" w:type="dxa"/>
            <w:vAlign w:val="bottom"/>
            <w:gridSpan w:val="6"/>
            <w:vMerge w:val="restart"/>
          </w:tcPr>
          <w:p>
            <w:pPr>
              <w:ind w:left="7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19"/>
                <w:szCs w:val="19"/>
                <w:color w:val="auto"/>
              </w:rPr>
            </w:pPr>
          </w:p>
        </w:tc>
        <w:tc>
          <w:tcPr>
            <w:tcW w:w="286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Paid-In</w:t>
            </w:r>
          </w:p>
        </w:tc>
        <w:tc>
          <w:tcPr>
            <w:tcW w:w="142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0"/>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 (Audited)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69,902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(55,593)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56"/>
        </w:trPr>
        <w:tc>
          <w:tcPr>
            <w:tcW w:w="41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March 31,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70,331</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(3,513)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2022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461</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461</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(3,468)</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September 30,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71,224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180" w:type="dxa"/>
            <w:vAlign w:val="bottom"/>
          </w:tcPr>
          <w:p>
            <w:pPr>
              <w:spacing w:after="0"/>
              <w:rPr>
                <w:sz w:val="24"/>
                <w:szCs w:val="24"/>
                <w:color w:val="auto"/>
              </w:rPr>
            </w:pPr>
          </w:p>
        </w:tc>
        <w:tc>
          <w:tcPr>
            <w:tcW w:w="2860" w:type="dxa"/>
            <w:vAlign w:val="bottom"/>
            <w:gridSpan w:val="6"/>
            <w:vMerge w:val="restart"/>
          </w:tcPr>
          <w:p>
            <w:pPr>
              <w:ind w:left="7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19"/>
                <w:szCs w:val="19"/>
                <w:color w:val="auto"/>
              </w:rPr>
            </w:pPr>
          </w:p>
        </w:tc>
        <w:tc>
          <w:tcPr>
            <w:tcW w:w="286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Paid-In</w:t>
            </w:r>
          </w:p>
        </w:tc>
        <w:tc>
          <w:tcPr>
            <w:tcW w:w="142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0"/>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75,970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(68,761)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upon exercise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349</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(2,287)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336</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(2,446)</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Balances, September 30, 2023 (Unaudited)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11,707,317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83,587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(76,347)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Net of issuance costs in the amount of $1,075.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Arial" w:cs="Arial" w:eastAsia="Arial" w:hAnsi="Arial"/>
                <w:sz w:val="18"/>
                <w:szCs w:val="18"/>
                <w:b w:val="1"/>
                <w:bCs w:val="1"/>
                <w:color w:val="auto"/>
                <w:w w:val="89"/>
              </w:rPr>
              <w:t>Interim Consolidated Statements of Cash Flows</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00" w:type="dxa"/>
            <w:vAlign w:val="bottom"/>
            <w:gridSpan w:val="5"/>
          </w:tcPr>
          <w:p>
            <w:pPr>
              <w:jc w:val="right"/>
              <w:ind w:right="361"/>
              <w:spacing w:after="0"/>
              <w:rPr>
                <w:sz w:val="20"/>
                <w:szCs w:val="20"/>
                <w:color w:val="auto"/>
              </w:rPr>
            </w:pPr>
            <w:r>
              <w:rPr>
                <w:rFonts w:ascii="Arial" w:cs="Arial" w:eastAsia="Arial" w:hAnsi="Arial"/>
                <w:sz w:val="18"/>
                <w:szCs w:val="18"/>
                <w:b w:val="1"/>
                <w:bCs w:val="1"/>
                <w:color w:val="auto"/>
              </w:rPr>
              <w:t>For the Nine Months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8"/>
                <w:szCs w:val="18"/>
                <w:b w:val="1"/>
                <w:bCs w:val="1"/>
                <w:color w:val="auto"/>
                <w:w w:val="97"/>
              </w:rPr>
              <w:t>September 30,</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Unaudited</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(7,586)</w:t>
            </w:r>
          </w:p>
        </w:tc>
        <w:tc>
          <w:tcPr>
            <w:tcW w:w="1340" w:type="dxa"/>
            <w:vAlign w:val="bottom"/>
            <w:gridSpan w:val="2"/>
          </w:tcPr>
          <w:p>
            <w:pPr>
              <w:jc w:val="right"/>
              <w:ind w:right="1161"/>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(10,170)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(738)</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Arial" w:cs="Arial" w:eastAsia="Arial" w:hAnsi="Arial"/>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(6,712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 of property and equipment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(8,379)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Proceeds from sales of a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2,039</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5,389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Short term deposit</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Arial" w:cs="Arial" w:eastAsia="Arial" w:hAnsi="Arial"/>
                <w:sz w:val="18"/>
                <w:szCs w:val="18"/>
                <w:color w:val="auto"/>
              </w:rPr>
              <w:t>Net cash flows used in investing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Issuance of common stock and warrants, net of issuance costs</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6,558</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180"/>
              <w:spacing w:after="0" w:line="203" w:lineRule="exact"/>
              <w:rPr>
                <w:sz w:val="20"/>
                <w:szCs w:val="20"/>
                <w:color w:val="auto"/>
              </w:rPr>
            </w:pPr>
            <w:r>
              <w:rPr>
                <w:rFonts w:ascii="Arial" w:cs="Arial" w:eastAsia="Arial" w:hAnsi="Arial"/>
                <w:sz w:val="18"/>
                <w:szCs w:val="18"/>
                <w:color w:val="auto"/>
              </w:rPr>
              <w:t>Net cash flows provided by financing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6,558</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(1,138)</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2,519</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00" w:type="dxa"/>
            <w:vAlign w:val="bottom"/>
            <w:tcBorders>
              <w:top w:val="single" w:sz="8" w:color="CCEEFF"/>
              <w:bottom w:val="single" w:sz="8" w:color="CCEEFF"/>
            </w:tcBorders>
            <w:gridSpan w:val="3"/>
          </w:tcPr>
          <w:p>
            <w:pPr>
              <w:ind w:left="18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1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16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Right-of-use asset and lease liability</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161"/>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Description of business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par value $0.01 per share (the “Common Stock”) began trading on the Nasdaq Capital Market under the symbol “MBOT”.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and Microbot Israel, its sole subsidiary, are sometimes collectively referred to as the “Company” as the context may require.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Risk Factors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September 30, 2023, the Company had cash equivalents and marketable securities balance of approximately $8,153, excluding restricted cash, which management believes is sufficient to fund its operations for five months from the filing date of this Quarterly Report on Form 10-Q. Accordingly, as of such filing date, there is a substantial doubt as to the Company’s ability to continue as a going concern.</w:t>
      </w:r>
    </w:p>
    <w:p>
      <w:pPr>
        <w:spacing w:after="0" w:line="18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until approximately April 2024, partially as a result of the Company’s cost reduction program implemented in May 2023 and capital raises in May and June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See Note 6 for additional risk factors which have developed subsequent to September 30, 2023.</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Use of estimates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D. Unaudited Interim Financial Statements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Operating results for the nine and three-month periods ended September 30, 2023, are not necessarily indicative of the results that may be expected for the year ended December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consolidated financial statements are identical to those applied in the preparation of the latest annual audited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340" w:right="2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4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following tables summarizes the Company’s financial assets subject to fair value measurement and the level of inputs used in such measurements as of September 30, 2023 and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8"/>
                <w:szCs w:val="18"/>
                <w:b w:val="1"/>
                <w:bCs w:val="1"/>
                <w:color w:val="auto"/>
                <w:w w:val="96"/>
              </w:rPr>
              <w:t>As of September 30, 2023</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040" w:type="dxa"/>
            <w:vAlign w:val="bottom"/>
          </w:tcPr>
          <w:p>
            <w:pPr>
              <w:jc w:val="right"/>
              <w:ind w:right="61"/>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tcPr>
          <w:p>
            <w:pPr>
              <w:jc w:val="right"/>
              <w:ind w:right="678"/>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6,220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6,220</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mutual funds</w:t>
            </w:r>
          </w:p>
        </w:tc>
        <w:tc>
          <w:tcPr>
            <w:tcW w:w="8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17"/>
        </w:trPr>
        <w:tc>
          <w:tcPr>
            <w:tcW w:w="660" w:type="dxa"/>
            <w:vAlign w:val="bottom"/>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6,818</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8"/>
                <w:szCs w:val="18"/>
                <w:b w:val="1"/>
                <w:bCs w:val="1"/>
                <w:color w:val="auto"/>
                <w:w w:val="98"/>
              </w:rPr>
              <w:t>As of December 31, 2022</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040" w:type="dxa"/>
            <w:vAlign w:val="bottom"/>
          </w:tcPr>
          <w:p>
            <w:pPr>
              <w:jc w:val="right"/>
              <w:ind w:right="63"/>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4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4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1,247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1,247</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4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Marketable securities: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3,761</w:t>
            </w: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Money market mutual funds</w:t>
            </w:r>
          </w:p>
        </w:tc>
        <w:tc>
          <w:tcPr>
            <w:tcW w:w="84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1,999</w:t>
            </w:r>
          </w:p>
        </w:tc>
        <w:tc>
          <w:tcPr>
            <w:tcW w:w="24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1,999</w:t>
            </w:r>
          </w:p>
        </w:tc>
        <w:tc>
          <w:tcPr>
            <w:tcW w:w="104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2023 and December 31, 2022.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records and discloses legal contingencies in accordance with ASC Topic 450, Contingencies. Accordingly, management of the Company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for the periods presented. The Company’s lease agreements do not contain any material residual value guarantees or material restrictive covenants. In addition, the Company does not have any related party leases.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2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For the Nine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5715</wp:posOffset>
            </wp:positionV>
            <wp:extent cx="26314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1" w:lineRule="exact"/>
        <w:rPr>
          <w:sz w:val="20"/>
          <w:szCs w:val="20"/>
          <w:color w:val="auto"/>
        </w:rPr>
      </w:pPr>
    </w:p>
    <w:p>
      <w:pPr>
        <w:ind w:left="7760"/>
        <w:spacing w:after="0"/>
        <w:tabs>
          <w:tab w:leader="none" w:pos="99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6314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and expenses</w:t>
            </w:r>
          </w:p>
        </w:tc>
        <w:tc>
          <w:tcPr>
            <w:tcW w:w="3300" w:type="dxa"/>
            <w:vAlign w:val="bottom"/>
            <w:gridSpan w:val="2"/>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432"/>
        </w:trPr>
        <w:tc>
          <w:tcPr>
            <w:tcW w:w="8480" w:type="dxa"/>
            <w:vAlign w:val="bottom"/>
            <w:gridSpan w:val="3"/>
          </w:tcPr>
          <w:p>
            <w:pPr>
              <w:ind w:left="340"/>
              <w:spacing w:after="0"/>
              <w:rPr>
                <w:sz w:val="20"/>
                <w:szCs w:val="20"/>
                <w:color w:val="auto"/>
              </w:rPr>
            </w:pPr>
            <w:r>
              <w:rPr>
                <w:rFonts w:ascii="Arial" w:cs="Arial" w:eastAsia="Arial" w:hAnsi="Arial"/>
                <w:sz w:val="18"/>
                <w:szCs w:val="18"/>
                <w:color w:val="auto"/>
                <w:w w:val="94"/>
              </w:rPr>
              <w:t>Undiscounted maturities of operating lease payments as of September 30, 2023 are summarized as follows:</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17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2024</w:t>
            </w: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182</w:t>
            </w:r>
          </w:p>
        </w:tc>
      </w:tr>
      <w:tr>
        <w:trPr>
          <w:trHeight w:val="25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03"/>
        </w:trPr>
        <w:tc>
          <w:tcPr>
            <w:tcW w:w="5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lease payments</w:t>
            </w:r>
          </w:p>
        </w:tc>
        <w:tc>
          <w:tcPr>
            <w:tcW w:w="17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tcPr>
          <w:p>
            <w:pPr>
              <w:spacing w:after="0"/>
              <w:rPr>
                <w:sz w:val="17"/>
                <w:szCs w:val="17"/>
                <w:color w:val="auto"/>
              </w:rPr>
            </w:pPr>
          </w:p>
        </w:tc>
      </w:tr>
      <w:tr>
        <w:trPr>
          <w:trHeight w:val="25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7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liability balance</w:t>
            </w:r>
          </w:p>
        </w:tc>
        <w:tc>
          <w:tcPr>
            <w:tcW w:w="17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5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5180" w:type="dxa"/>
            <w:vAlign w:val="bottom"/>
          </w:tcPr>
          <w:p>
            <w:pPr>
              <w:spacing w:after="0"/>
              <w:rPr>
                <w:sz w:val="20"/>
                <w:szCs w:val="20"/>
                <w:color w:val="auto"/>
              </w:rPr>
            </w:pPr>
          </w:p>
        </w:tc>
        <w:tc>
          <w:tcPr>
            <w:tcW w:w="33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6"/>
              </w:rPr>
              <w:t>Operating leases weighted average remaining lease term (in years)</w:t>
            </w:r>
          </w:p>
        </w:tc>
        <w:tc>
          <w:tcPr>
            <w:tcW w:w="17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Operating leases weighted average discount rate</w:t>
            </w:r>
          </w:p>
        </w:tc>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ind w:left="1520"/>
              <w:spacing w:after="0"/>
              <w:rPr>
                <w:sz w:val="20"/>
                <w:szCs w:val="20"/>
                <w:color w:val="auto"/>
              </w:rPr>
            </w:pPr>
            <w:r>
              <w:rPr>
                <w:rFonts w:ascii="Arial" w:cs="Arial" w:eastAsia="Arial" w:hAnsi="Arial"/>
                <w:sz w:val="18"/>
                <w:szCs w:val="18"/>
                <w:color w:val="auto"/>
                <w:w w:val="92"/>
              </w:rPr>
              <w:t>9%</w:t>
            </w:r>
          </w:p>
        </w:tc>
      </w:tr>
      <w:tr>
        <w:trPr>
          <w:trHeight w:val="425"/>
        </w:trPr>
        <w:tc>
          <w:tcPr>
            <w:tcW w:w="5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7</w:t>
            </w: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Israeli Innovation Authority Grants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Microbot Israel has received grants from the Israeli Innovation Authority (“IIA”) for participation in research and development since 2013 through September 30, 2023 totaling approximately $1,656. This amount includes advance payment in the third quarter of 2023 of approximately $156 which is a portion of additional grant previously approved from the IIA in the amount of approximately NIS 1.62 million, which based on an exchange rate on September 30, 2023 of NIS 1.00 = $0.2614, would be approximately $423, to further finance the development of the Company’s manufacturing process of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w:t>
      </w:r>
    </w:p>
    <w:p>
      <w:pPr>
        <w:spacing w:after="0" w:line="5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as a result of the agreement with CardioSert Ltd. (“CardioSert”) on January 4, 2018, Microbot Israel took over the liability to repay CardioSert’s IIA grants in the aggregate amount of approximately $530, which liability will remain for so long as the Company continues to own the CardioSert assets.</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a result of the agreement with Nitiloop Ltd., an Israeli limited liability company (“Nitiloop”), on October 6, 2022, Microbot Israel took over the liability to repay Nitiloop’s IIA grants in the aggregate amount of approximately $925.</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relation to the IIA grants described above, the Company is obligated to pay royalties amounting to 3%-5% of its future sales of the products relating to such grants.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Approval for Grant from Ministry of Economy</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March 2, 2023, the Company announced that it received approval for a grant from the Ministry of Economy of the State of Israel in the amount of approximately NIS 300 thousand, which based on an exchange rate on such date of NIS 1.00 = $0.27457, would be approximately $82, to further finance the marketing activities of the LIBERTY Robotic System in the US market.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1, 2023, the Company received NIS 109,474 (approximately US$27) of such amount.</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relation to the Ministry of Economy grant, the Company is obligated to pay royalties amounting to between 3%-5% of future sales of the LIBERTY product up to the grant amount plus interest.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 (SCS) project and its TipCat assets in addition to certain technology relating to the Company’s LIBERTY device. As partial consideration for the license, Microbot Israel shall pay TRDF royalties on net sales (between 1.5%-3.0%) and on sublicense income as detailed in the License Agreement.</w:t>
      </w:r>
    </w:p>
    <w:p>
      <w:pPr>
        <w:spacing w:after="0" w:line="15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in October 2022 suspended the SCS project while it evaluated alternatives for the SCS assets (mainly related patents), including seeking buyers for the assets, joint ventures or licensing arrangements, spinning off the assets into a new operating company or discontinuing the project altogether,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CardioSert Agreement may be terminated by Microbot Israel at any time for convenience upon 90-days’ notice. 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September 30, 2023, the 50 months period has expired and CardioSert can buy-back the Technology at any time.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the Technology, which could result in the Technology being reacquired by CardioSert for nominal consideration.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filing date of this Quarterly Report on Form 10-Q, CardioSert has not purchased back the Technology; however, the Company is in discussions with CardioSert with respect to post-termination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the Company has not sold any shares of Common Stock pursuant to the ATM Agreement, and as of October 13, 2022, the Company suspended the ATM Agreement, which otherwise remains in full force and effect, and terminated the June 2021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Letter with H.C. Wainwright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16, 2023 and in connection with the registered direct and private placement offerings referred to in Note 5 below, the Company entered into an engagement letter (the “Engagement Letter”) with Wainwright, pursuant to which Wainwright agreed to serve as the exclusive placement agent for the issuance and sale of securities of the Company. As compensation for such placement agent services, the Company has agreed to pay Wainwright an aggregate cash fee equal to 7.0% of the gross proceeds received by the Company from offerings contemplated by the Engagement Letter, plus a management fee equal to 1.0% of the gross proceeds received by the Company from such offerings, as well as other reimbursable expenses. The Company has also agreed to issue to Wainwright or its designees preferred investment options upon the closing of such offerings.</w:t>
      </w:r>
    </w:p>
    <w:p>
      <w:pPr>
        <w:spacing w:after="0" w:line="16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Acquisition of Nitiloop’s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“Nitiloop Technology”) and the products or potential products incorporating the Nitiloop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for the acquisition of the Assets, Microbot Israel shall pay royalties to Nitiloop, which shall not, in the aggregate, exceed $8,000, as follows:</w:t>
      </w:r>
    </w:p>
    <w:p>
      <w:pPr>
        <w:spacing w:after="0" w:line="170" w:lineRule="exact"/>
        <w:rPr>
          <w:sz w:val="20"/>
          <w:szCs w:val="20"/>
          <w:color w:val="auto"/>
        </w:rPr>
      </w:pPr>
    </w:p>
    <w:p>
      <w:pPr>
        <w:ind w:left="960" w:hanging="32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3% of net revenue generated as a result of sales, license or other exploitation of the Devices; and</w:t>
      </w:r>
    </w:p>
    <w:p>
      <w:pPr>
        <w:spacing w:after="0" w:line="23" w:lineRule="exact"/>
        <w:rPr>
          <w:rFonts w:ascii="Arial" w:cs="Arial" w:eastAsia="Arial" w:hAnsi="Arial"/>
          <w:sz w:val="18"/>
          <w:szCs w:val="18"/>
          <w:color w:val="auto"/>
        </w:rPr>
      </w:pPr>
    </w:p>
    <w:p>
      <w:pPr>
        <w:ind w:left="960" w:hanging="320"/>
        <w:spacing w:after="0" w:line="26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the 2017 Financing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seeks rescission of the SPA and return of the Plaintiffs’ $6,750 purchase price with respect to the 2017 Financing. The lawsuit is currently in the discovery phase, and a court-ordered mediation was completed. Management is unable to assess the likelihood that the Company will succeed at trial, having previously lost another lawsuit with respect to the 2017 Financing.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Mona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which was subsequently granted by the Court. On February 4, 2020, Mona answered the 16(b) claim and filed a counterclaim against the Company under Section 10(b) of the Exchange Act and Rule 10b-5 promulgated thereunder, claiming a net loss on trading the Company’s stock of approximately $151.</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September 30, 2023 and December 31, 2022, the Company had, respectively, 11,707,317 and 7,890,628 shares of Common Stock issued and outstanding.</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February 13, 2023, 240,000 of the Company’s outstanding pre-funded warrants were exercised into an equivalent number of shares of Common Stock, at an exercise price of $0.0001 per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nine months ended September 30, 2023, the Company granted stock option awards to certain officers, directors and employees to purchase an aggregate of 241,000 shares of the Common Stock, at a weighted average exercise price per share of $2.664 and with a vesting period of three years.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Registered Direct and Private Placement Offerings</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w:t>
      </w:r>
    </w:p>
    <w:p>
      <w:pPr>
        <w:spacing w:after="0" w:line="192"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Company also issued to Wainwright or its designees preferred investment options to purchase 60,476 shares of Common Stock, which have a term of three and one-half years from the closing of the Second May Offering, and have an exercise price of $2.75 per share. The Second May Offering was consummated on May 24, 2023. All of such pre-funded warrants were subsequently exercised in accordance with their terms at an exercise price per share of $0.0001 into an equivalent number of shares of Common Stock.</w:t>
      </w:r>
    </w:p>
    <w:p>
      <w:pPr>
        <w:spacing w:after="0" w:line="181"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66"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color w:val="auto"/>
        </w:rPr>
        <w:t>Preferred Investment Options Amendment</w:t>
      </w:r>
    </w:p>
    <w:p>
      <w:pPr>
        <w:spacing w:after="0" w:line="229"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amount of the effect of the modifications is approximately $1,230. On June 16, 2023, the holder of the Series B Preferred Investment Options exercised all of such Series B Preferred Investment Options pursuant to its cashless exercise provision into 385,246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October 7, 2023, subsequent to the reporting period,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 Consequently:</w:t>
      </w:r>
    </w:p>
    <w:p>
      <w:pPr>
        <w:spacing w:after="0" w:line="184" w:lineRule="exact"/>
        <w:rPr>
          <w:sz w:val="20"/>
          <w:szCs w:val="20"/>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the Company’s Israeli subcontractors, vendors, suppliers and other companies in which the Company relies, are currently only partially active, as instructed by the relevant authorities, which has caused delays in aspects of our development and regulatory activities;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international flights in and out of Israel may affect the Company’s ability to import materials that are required to construct the Company’s devices which are required to complete development and regulatory activities;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international flights in and out of Israel may affect the Company’s commercial and regulatory activities.</w:t>
      </w:r>
    </w:p>
    <w:p>
      <w:pPr>
        <w:spacing w:after="0" w:line="225"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The Company is currently assessing whether there are any material adverse effects on its anticipated milestones and results of operations in the fourth quarter of 2023 and perhaps beyond due to the military operation and related matters, the extent of which cannot be estimated at this stage.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2022.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2022 and in Item 1A. Risk Factors, of our Quarterly Report on Form 10-Q for the fiscal quarter ended June 30, 2023.</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Core-Business Focus Program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Plan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First-In-Human Clinical Cases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Israel-Hamas War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this Quarterly Report on Form 10-Q. Consequently:</w:t>
      </w:r>
    </w:p>
    <w:p>
      <w:pPr>
        <w:spacing w:after="0" w:line="184" w:lineRule="exact"/>
        <w:rPr>
          <w:sz w:val="20"/>
          <w:szCs w:val="20"/>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Some of the Company’s Israeli subcontractors, vendors, suppliers and other companies in which the Company relies, are currently only partially active, as instructed by the relevant authorities, which has caused delays in aspects of our development and regulatory activities;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international flights in and out of Israel may affect the Company’s ability to import materials that are required to construct the Company’s devices which are required to complete development and regulatory activities;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international flights in and out of Israel may affect the Company’s commercial and regulatory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currently assessing whether there are any material adverse effects on its anticipated milestones and results of operations in the fourth quarter of 2023 and perhaps beyond due to the military operation and related matters, the extent of which cannot be estimated at this stage.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r>
        <w:rPr>
          <w:rFonts w:ascii="Arial" w:cs="Arial" w:eastAsia="Arial" w:hAnsi="Arial"/>
          <w:sz w:val="29"/>
          <w:szCs w:val="29"/>
          <w:i w:val="1"/>
          <w:iCs w:val="1"/>
          <w:color w:val="auto"/>
          <w:vertAlign w:val="superscript"/>
        </w:rPr>
        <w:t>®</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9" w:lineRule="exact"/>
        <w:rPr>
          <w:rFonts w:ascii="Arial" w:cs="Arial" w:eastAsia="Arial" w:hAnsi="Arial"/>
          <w:sz w:val="18"/>
          <w:szCs w:val="18"/>
          <w:color w:val="auto"/>
        </w:rPr>
      </w:pPr>
    </w:p>
    <w:p>
      <w:pPr>
        <w:ind w:left="660" w:right="20" w:hanging="328"/>
        <w:spacing w:after="0" w:line="182" w:lineRule="auto"/>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One &amp; Done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Arial" w:cs="Arial" w:eastAsia="Arial" w:hAnsi="Arial"/>
          <w:sz w:val="36"/>
          <w:szCs w:val="36"/>
          <w:color w:val="auto"/>
          <w:vertAlign w:val="superscript"/>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its ‌guidewire, as well as linear motion for an additional “over the wire” device.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Company believes the results of the study allow it to move forward and focus on the next phases to ultimately include a U.S.-based pivotal pre-clinical study.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On October 24, 2023, we announced that we received confirmation for the commencement of the process to support our future CE Mark approval, and to ultimately allow us to market the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Surgical System in Europe as well as other regions who accept the CE Mark. According to the confirmation, we will commence audits for ISO 13485 certification to ensure our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NovaCross</w:t>
      </w:r>
      <w:r>
        <w:rPr>
          <w:rFonts w:ascii="Arial" w:cs="Arial" w:eastAsia="Arial" w:hAnsi="Arial"/>
          <w:sz w:val="29"/>
          <w:szCs w:val="29"/>
          <w:i w:val="1"/>
          <w:iCs w:val="1"/>
          <w:color w:val="auto"/>
          <w:vertAlign w:val="superscript"/>
        </w:rPr>
        <w:t>TM</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feature.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Technologies and Platforms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cut its general and administrative expenses in May 2023 as a result of its core-business focus program and cost reduction program; however, Microbot expects that its general and administrative expenses may increase in the future as it incurs expenses relating to its operating activities, maintains and expands its patent portfolio and maintain compliance with exchange listing and public company requirements. Microbot expects these potential increases will likely include management costs, legal fees, accounting fees, directors’ and officers’ liability insurance premiums and expenses associated with investor relations.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Management records and discloses legal contingencies in accordance with ASC Topic 450 </w:t>
      </w:r>
      <w:r>
        <w:rPr>
          <w:rFonts w:ascii="Arial" w:cs="Arial" w:eastAsia="Arial" w:hAnsi="Arial"/>
          <w:sz w:val="17"/>
          <w:szCs w:val="17"/>
          <w:i w:val="1"/>
          <w:iCs w:val="1"/>
          <w:color w:val="auto"/>
        </w:rPr>
        <w:t>Contingencies</w:t>
      </w:r>
      <w:r>
        <w:rPr>
          <w:rFonts w:ascii="Arial" w:cs="Arial" w:eastAsia="Arial" w:hAnsi="Arial"/>
          <w:sz w:val="17"/>
          <w:szCs w:val="17"/>
          <w:color w:val="auto"/>
        </w:rPr>
        <w:t>. Accordingly, Management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2023 and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nine month periods ended September 30, 2023 and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9"/>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40" w:type="dxa"/>
            <w:vAlign w:val="bottom"/>
          </w:tcPr>
          <w:p>
            <w:pPr>
              <w:spacing w:after="0"/>
              <w:rPr>
                <w:sz w:val="20"/>
                <w:szCs w:val="20"/>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740" w:type="dxa"/>
            <w:vAlign w:val="bottom"/>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20"/>
                <w:szCs w:val="20"/>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r>
      <w:tr>
        <w:trPr>
          <w:trHeight w:val="216"/>
        </w:trPr>
        <w:tc>
          <w:tcPr>
            <w:tcW w:w="47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(1,612)</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(1,953)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(4,594)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   (5,852)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1,258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(932)</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589</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(3,193)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(4,361)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1,168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net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decrease in research and development expenses for both periods presented was primarily due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cost reduction plan (the “Plan”), which commenced in the second quarter of 2023. The Plan involved cutting expenses by implementing employee terminations, reducing management salaries, and eliminating bonus accruals. Furthermore, the Company has also reduced costs by decreasing expenses related to subcontractors, advisory board members, and patents. Additionally, in comparison to the same period in 2022, the Company incurred expenses in 2022 due to the development of the SCS technology, whereas in 2023, low expenses were recorded for that project as it was suspended in October 2022 and thereafter terminated.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 decrease in general and administrative expenses for the periods presented was primarily due to lower D&amp;O</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premiums in 2023 and execution of the Plan, which among other things, involved cutting expenses by implementing employee terminations, reducing management salaries, eliminating bonus accruals and pausing independent directors’ payments. Additionally, during the three and nine months ended September 30, 2023, the Company recorded lower share -based compensation expenses compared to the comparable period in 2022, due to older options becoming fully vested.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Financing Income, net</w:t>
      </w:r>
      <w:r>
        <w:rPr>
          <w:rFonts w:ascii="Arial" w:cs="Arial" w:eastAsia="Arial" w:hAnsi="Arial"/>
          <w:sz w:val="18"/>
          <w:szCs w:val="18"/>
          <w:color w:val="auto"/>
        </w:rPr>
        <w:t>. The increase in financing income net for the three and nine-month periods presented was primarily due to interest income, which</w:t>
      </w:r>
      <w:r>
        <w:rPr>
          <w:rFonts w:ascii="Arial" w:cs="Arial" w:eastAsia="Arial" w:hAnsi="Arial"/>
          <w:sz w:val="18"/>
          <w:szCs w:val="18"/>
          <w:i w:val="1"/>
          <w:iCs w:val="1"/>
          <w:color w:val="auto"/>
        </w:rPr>
        <w:t xml:space="preserve"> </w:t>
      </w:r>
      <w:r>
        <w:rPr>
          <w:rFonts w:ascii="Arial" w:cs="Arial" w:eastAsia="Arial" w:hAnsi="Arial"/>
          <w:sz w:val="18"/>
          <w:szCs w:val="18"/>
          <w:color w:val="auto"/>
        </w:rPr>
        <w:t>has increased in 2023 due to overall rise in market interest rates earned on the Company’s marketable securities, as well as unrealized gains from marketable securities, also due to rising interest 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all periods presented. As of September 30, 2023, Microbot had a net working capital of approximately $6,916,000, consisting primarily of cash and cash equivalents and marketable securities. This compares to net working capital of approximately $6,745,000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funded its operations through the issuance of capital stock, grants from the Israeli Innovation Authority, and convertible debt. Since inception (November 2010) through September 30, 2023, Microbot has raised cash proceeds of approximately $66,560,000 and incurred a total cumulative loss of approximately $76,347,000. Microbot returned $3,375,000 (before interest) to an investor as a result of an adverse outcome in a litigation that concluded in the first quarter of 2020 and is now subject to an additional lawsuit seeking the return of an additional $6,750,000 of such proceeds. This litigation is in its discovery stages and recently completed court-ordered mediation, and though management has been defending its position that no return of capital is warranted, we cannot predict what the eventual outcome will be, whether as a result of a court’s judgment or a prior settlement. We believe that the uncertainty relating the outcome of this litigation could adversely affect our ability to raise capital.</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Israel obtained from the Israeli Innovation Authority (“IIA”) grants for participation in research and development for the years 2013 through September 30, 2023 in the total amount of approximately $1,656,000. This amount includes advance payment in the third quarter of 2023 of approximately $156,000, which is a portion of additional grants from the IIA in the amount of approximately NIS 1,620,000, which based on an exchange rate on September 30, 2023 of NIS 1.00 = $0.2614, would be approximately $423,000, to further finance the development of our manufacturing process of the LIBERTY robotic surgical system.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 which remains Microbot Israel’s responsibility for so long as it owns the CardioSert assets.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 2023, the Company announced that it received approval for a grant from the Ministry of Economy in the amount of approximately NIS 300,000, which based on an exchange rate on such date of NIS 1.00 = $0.27457, would be approximately $82,000, to further finance the marketing activities of the LIBERTY Robotic System in the US market. On November 1, 2023, we received NIS 109,474 (approximately US$27,000) of such amount.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relation to the Ministry of Economy grant, the Company is obligated to pay royalties amounting to between 3%-5% of future sales of the LIBERTY product up to the grant amount plus interest.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date, we have not generated revenues from our operations. As of September 30, 2023, we had unrestricted cash, cash equivalents and marketable securities of approximately $8,153,000, excluding restricted cash, which management believes is sufficient to fund our operations for approximately five months from the filing date of this Quarterly Report on Form 10-Q, or through approximately April of 2024, as a result of our recently enacted cost reduction plan. However, in the event we are unsuccessful in our current litigation discussed above, pursuant to which certain investors are seeking the return of $6,750,000 in proceeds we received from them in a 2017 stock offering, we will not have funds to continue our operation. As a result of the foregoing and our current cash position, these conditions raise substantial doubt about Microbot’s ability to continue as a going concern beyond approximately the next five months (or earlier in the event of an adverse judgment or settlement in the litigation), which could adversely affect our ability to raise capital, expand our business and develop our planned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8"/>
          <w:szCs w:val="18"/>
          <w:color w:val="auto"/>
        </w:rPr>
        <w:t>During the second fiscal quarter of 2023, Microbot commenced a core-business focus program and a cost reduction plan while it seeks to raise sufficient additional capital to continue development of the LIBERTY robotic system. In May and June 2023, Microbot raised aggregate gross proceeds of approximately $7.56 million, before fees and expenses of approximately $1.1 million, from investors, to continue to fund its operations and research and development activities, and will need additional funds to continue the FDA approval process for the Liberty device after the first quarter of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r>
      <w:tr>
        <w:trPr>
          <w:trHeight w:val="24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financing activities</w:t>
            </w:r>
          </w:p>
        </w:tc>
        <w:tc>
          <w:tcPr>
            <w:tcW w:w="1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6,558</w:t>
            </w:r>
          </w:p>
        </w:tc>
        <w:tc>
          <w:tcPr>
            <w:tcW w:w="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5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flows used in operating activities for the nine months ended September 30, 2023 were approximately $6,712,000, calculated by adjusting our net loss from operations by approximately $874,000 in the aggregate. Cash used in operating activities for the nine months ended September 30, 2022 was approximately $9,086,000, similarly adjusted by approximately $1,084,000. The decrease in net cash flows used in operating activities was mainly due to the reduction in operating expenses from implementation of the Plan and the closure of our SCS research and development program.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used in investing activities for the nine months ended September 30, 2023 were approximately $984,000, resulting mainly from purchase of property and equipment, proceeds from sales of a marketable securities and proceeds from maturities of marketable securities off set by purchases of marketable securities compared to net cash flows used in investing activities in the prior comparable period as a result of purchase of property and equipment in the amount of $83,000.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flows from financing activities for the nine months ended September 30, 2023 were approximately $6,558,000, resulting from net proceeds received due to the issuance of common stock, and other securities in a series of offerings in May and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cash and cash equivalents and marketable securities as of September 30, 2023 and December 31, 2022 consisted of readily available checking, U.S. treasuries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and marketable securities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and marketable securities at one or more financial institutions that are in excess of federally insured limits.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2023. Based on that review and evaluation, the Chief Executive Officer and Chief Financial Officer, along with the management of the Company, have determined that as of September 30, 2023,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the 2017 Financing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“2017 Financing”). The complaint seeks rescission of the SPA and return of the Plaintiffs’ $6.75 million purchase price with respect to the 2017 Financing. The lawsuit is currently in the discovery phase, and a court-ordered mediation was completed. Management is unable to assess the likelihood that we will succeed at trial, having previously lost another lawsuit with respect to the 2017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Mona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28, 2019, we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our securities within a period of less than six months. The case is Microbot Medical Inc. v. Mona, No. 19-cv-3782-GBD (SDNY). The amount of profits was estimated in the complaint to be approximately $468,000.</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which was subsequently granted by the Court. On February 4, 2020, Mona answered the 16(b) claim and filed a counterclaim against Microbot under Section 10(b) of the Securities Exchange Act of 1934 and Rule 10b-5 promulgated thereunder, claiming a net loss on trading Microbot stock of approximately $151,000.</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31, 2021, the Court entered a judgement against Mona and in favor of Microbot in the amount of $484,614.30. Collection of the judgment was deferred pending resolution of Mona’s counterclaim.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time for appeal has expired and we are proceeding with collection efforts for the $485,000 judgment against Mona.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issuance date of this Quarterly Report on Form 10-Q and, consequently:</w:t>
      </w:r>
    </w:p>
    <w:p>
      <w:pPr>
        <w:spacing w:after="0" w:line="188"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Some of our Israeli subcontractors, vendors, suppliers and other companies which we rely, are currently only partially active, as instructed by the relevant authorities, which has caused delays in aspects of our development and regulatory activities;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international flights in and out of Israel may affect our ability to import materials that are required to construct our devices which are required to complete development and regulatory activities;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international flights in and out of Israel may affect our commercial and regulatory activities.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assessing whether there are any material adverse effects on our anticipated milestones and results of operations in the fourth quarter of 2023 and perhaps beyond due to the military operation and related matters, the extent of which cannot be estimated at this stage.</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research and development program is dependent on the availability of certain components from suppliers, the delay in delivery of which could materially adversely affect our ability to submit our IDE application with the U.S. FDA in the timeframe currently expected.</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research and development program is dependent on the availability of the component parts that we use to manufacture our LIBERTY device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Israel-Hamas war, we are currently experiencing delays in the supply for certain components from Israeli-based vendors that are important to complete our V&amp;V process.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submit our IDE application with the U.S. FDA.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tcBorders>
              <w:bottom w:val="single" w:sz="8" w:color="0000EE"/>
            </w:tcBorders>
            <w:gridSpan w:val="21"/>
          </w:tcPr>
          <w:p>
            <w:pPr>
              <w:spacing w:after="0"/>
              <w:rPr>
                <w:rFonts w:ascii="Arial" w:cs="Arial" w:eastAsia="Arial" w:hAnsi="Arial"/>
                <w:sz w:val="18"/>
                <w:szCs w:val="18"/>
                <w:color w:val="0000EE"/>
                <w:w w:val="95"/>
              </w:rPr>
            </w:pPr>
            <w:hyperlink r:id="rId42">
              <w:r>
                <w:rPr>
                  <w:rFonts w:ascii="Arial" w:cs="Arial" w:eastAsia="Arial" w:hAnsi="Arial"/>
                  <w:sz w:val="18"/>
                  <w:szCs w:val="18"/>
                  <w:color w:val="0000EE"/>
                  <w:w w:val="95"/>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Microbot Medical Ltd. (incorporated by reference to the Company’s Current Report on Form 8-K filed on August 15, 2016).</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Restated Certificate of Incorporation of the Company (incorporated by reference to the Company’s Annual Report on Form 10-K for the fiscal</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Report on Form 8-K filed on November 29, 2016).</w:t>
              </w:r>
            </w:hyperlink>
          </w:p>
        </w:tc>
        <w:tc>
          <w:tcPr>
            <w:tcW w:w="660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0260" w:type="dxa"/>
            <w:vAlign w:val="bottom"/>
            <w:gridSpan w:val="21"/>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6">
              <w:r>
                <w:rPr>
                  <w:rFonts w:ascii="Arial" w:cs="Arial" w:eastAsia="Arial" w:hAnsi="Arial"/>
                  <w:sz w:val="18"/>
                  <w:szCs w:val="18"/>
                  <w:color w:val="0000EE"/>
                  <w:w w:val="86"/>
                </w:rPr>
                <w:t>2016).</w:t>
              </w:r>
            </w:hyperlink>
          </w:p>
        </w:tc>
        <w:tc>
          <w:tcPr>
            <w:tcW w:w="1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94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Certificate of Elimination (incorporated by reference to the Company’s Current Report on Form 8-K filed on December 12, 2018).</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3.6</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3.7</w:t>
            </w:r>
          </w:p>
        </w:tc>
        <w:tc>
          <w:tcPr>
            <w:tcW w:w="102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Report on Form 8-K filed on May 3, 2021).</w:t>
              </w:r>
            </w:hyperlink>
          </w:p>
        </w:tc>
        <w:tc>
          <w:tcPr>
            <w:tcW w:w="712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92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Form of Series A Warrant (incorporated by reference to the Registrant’s Current Report on Form 8-K filed on October 25, 2022)</w:t>
              </w:r>
            </w:hyperlink>
          </w:p>
        </w:tc>
        <w:tc>
          <w:tcPr>
            <w:tcW w:w="100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94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Form of Wainwright Warrant (incorporated by reference to the Registrant’s Current Report on Form 8-K filed on October 25, 2022)</w:t>
              </w:r>
            </w:hyperlink>
          </w:p>
        </w:tc>
        <w:tc>
          <w:tcPr>
            <w:tcW w:w="78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92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Form of Wainwright Warrant (incorporated by reference to the Registrant’s Current Report on Form 8-K filed on May 23,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92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Form of Wainwright Warrant (incorporated by reference to the Registrant’s Current Report on Form 8-K filed on May 24,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01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Form of Warrant Amendment Agreement (incorporated by reference to the Registrant’s Current Report on Form 8-K filed on May 24, 2023)</w:t>
              </w:r>
            </w:hyperlink>
          </w:p>
        </w:tc>
        <w:tc>
          <w:tcPr>
            <w:tcW w:w="1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89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Form of Series C Warrant (incorporated by reference to the Registrant’s Current Report on Form 8-K filed on June 6, 2023)</w:t>
              </w:r>
            </w:hyperlink>
          </w:p>
        </w:tc>
        <w:tc>
          <w:tcPr>
            <w:tcW w:w="130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91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Form of Wainwright Warrant (incorporated by reference to the Registrant’s Current Report on Form 8-K filed on June 6, 2023)</w:t>
              </w:r>
            </w:hyperlink>
          </w:p>
        </w:tc>
        <w:tc>
          <w:tcPr>
            <w:tcW w:w="112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90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Form of Series D Warrant (incorporated by reference to the Registrant’s Current Report on Form 8-K filed on June 28, 2023)</w:t>
              </w:r>
            </w:hyperlink>
          </w:p>
        </w:tc>
        <w:tc>
          <w:tcPr>
            <w:tcW w:w="126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4.10</w:t>
            </w:r>
          </w:p>
        </w:tc>
        <w:tc>
          <w:tcPr>
            <w:tcW w:w="10260" w:type="dxa"/>
            <w:vAlign w:val="bottom"/>
            <w:gridSpan w:val="21"/>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Form of Wainwright Warrant (incorporated by reference to the Registrant’s Current Report on Form 8-K filed on June 28, 2023)</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2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Certification of Harel Gadot, Chairman, President and Chief Executive Officer</w:t>
            </w:r>
          </w:p>
        </w:tc>
        <w:tc>
          <w:tcPr>
            <w:tcW w:w="104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Certification of Rachel Vaknin, Chief Financial Officer</w:t>
            </w:r>
          </w:p>
        </w:tc>
        <w:tc>
          <w:tcPr>
            <w:tcW w:w="4600" w:type="dxa"/>
            <w:vAlign w:val="bottom"/>
            <w:gridSpan w:val="11"/>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00" w:type="dxa"/>
            <w:vAlign w:val="bottom"/>
            <w:gridSpan w:val="1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6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2"/>
              </w:rPr>
              <w:t>Certification of Harel Gadot, Chairman, President and Chief Executive Officer, pursuant to 18 U.S.C. Section 1350, as adopted pursuant to</w:t>
            </w:r>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684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6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6"/>
              </w:rPr>
              <w:t>Certification of Rachel Vaknin, Chief Financial Officer, pursuant to 18 U.S.C. Section 1350, as adopted pursuant to Section 906 of the</w:t>
            </w: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8200" w:type="dxa"/>
            <w:vAlign w:val="bottom"/>
            <w:gridSpan w:val="19"/>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21"/>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1"/>
          </w:tcPr>
          <w:p>
            <w:pPr>
              <w:spacing w:after="0"/>
              <w:rPr>
                <w:sz w:val="20"/>
                <w:szCs w:val="20"/>
                <w:color w:val="auto"/>
              </w:rPr>
            </w:pPr>
            <w:r>
              <w:rPr>
                <w:rFonts w:ascii="Arial" w:cs="Arial" w:eastAsia="Arial" w:hAnsi="Arial"/>
                <w:sz w:val="18"/>
                <w:szCs w:val="18"/>
                <w:color w:val="auto"/>
              </w:rPr>
              <w:t>Inline XBRL Taxonomy Extension Presentation.</w:t>
            </w:r>
          </w:p>
        </w:tc>
      </w:tr>
    </w:tbl>
    <w:p>
      <w:pPr>
        <w:ind w:left="5540" w:right="3720" w:hanging="5532"/>
        <w:spacing w:after="0" w:line="511" w:lineRule="auto"/>
        <w:tabs>
          <w:tab w:leader="none" w:pos="98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2023.</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Rachel Vaknin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2023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Rachel Vaknin, Chief Financial Officer of Microbot Medical Inc., hereby certify, pursuant to 18 U.S.C. Section 1350, as adopted pursuant to Section 906 of the Sarbanes-Oxley Act of 2002, that to my knowledge, the quarterly report on Form 10-Q for the period ending September 30, 2023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Rachel Vaknin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04"/>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42" Type="http://schemas.openxmlformats.org/officeDocument/2006/relationships/hyperlink" Target="https://www.sec.gov/Archives/edgar/data/883975/000119312516682077/d161430dex21.htm" TargetMode="External"/><Relationship Id="rId43" Type="http://schemas.openxmlformats.org/officeDocument/2006/relationships/hyperlink" Target="https://www.sec.gov/Archives/edgar/data/883975/000095013407005808/f27726exv3w1.htm" TargetMode="External"/><Relationship Id="rId44" Type="http://schemas.openxmlformats.org/officeDocument/2006/relationships/hyperlink" Target="https://www.sec.gov/Archives/edgar/data/883975/000119312516779597/d296933dex31.htm" TargetMode="External"/><Relationship Id="rId45" Type="http://schemas.openxmlformats.org/officeDocument/2006/relationships/hyperlink" Target="https://www.sec.gov/Archives/edgar/data/883975/000149315218012872/ex3-1.htm" TargetMode="External"/><Relationship Id="rId46" Type="http://schemas.openxmlformats.org/officeDocument/2006/relationships/hyperlink" Target="https://www.sec.gov/Archives/edgar/data/883975/000129993316002374/exhibit1.htm" TargetMode="External"/><Relationship Id="rId47" Type="http://schemas.openxmlformats.org/officeDocument/2006/relationships/hyperlink" Target="https://www.sec.gov/Archives/edgar/data/883975/000149315218017395/ex3-1.htm" TargetMode="External"/><Relationship Id="rId48" Type="http://schemas.openxmlformats.org/officeDocument/2006/relationships/hyperlink" Target="https://www.sec.gov/Archives/edgar/data/883975/000149315219013998/ex3-1.htm" TargetMode="External"/><Relationship Id="rId49" Type="http://schemas.openxmlformats.org/officeDocument/2006/relationships/hyperlink" Target="https://www.sec.gov/Archives/edgar/data/883975/000149315221010347/ex3-1.htm" TargetMode="External"/><Relationship Id="rId50" Type="http://schemas.openxmlformats.org/officeDocument/2006/relationships/hyperlink" Target="https://www.sec.gov/Archives/edgar/data/883975/000149315222029541/ex4-2.htm" TargetMode="External"/><Relationship Id="rId51" Type="http://schemas.openxmlformats.org/officeDocument/2006/relationships/hyperlink" Target="https://www.sec.gov/Archives/edgar/data/883975/000149315222029541/ex4-4.htm" TargetMode="External"/><Relationship Id="rId52" Type="http://schemas.openxmlformats.org/officeDocument/2006/relationships/hyperlink" Target="https://www.sec.gov/Archives/edgar/data/883975/000149315223018718/ex4-1.htm" TargetMode="External"/><Relationship Id="rId53" Type="http://schemas.openxmlformats.org/officeDocument/2006/relationships/hyperlink" Target="https://www.sec.gov/Archives/edgar/data/883975/000149315223018932/ex4-2.htm" TargetMode="External"/><Relationship Id="rId54" Type="http://schemas.openxmlformats.org/officeDocument/2006/relationships/hyperlink" Target="https://www.sec.gov/Archives/edgar/data/883975/000149315223018932/ex10-2.htm" TargetMode="External"/><Relationship Id="rId55" Type="http://schemas.openxmlformats.org/officeDocument/2006/relationships/hyperlink" Target="https://www.sec.gov/Archives/edgar/data/883975/000149315223020309/ex4-1.htm" TargetMode="External"/><Relationship Id="rId56" Type="http://schemas.openxmlformats.org/officeDocument/2006/relationships/hyperlink" Target="https://www.sec.gov/Archives/edgar/data/883975/000149315223020309/ex4-2.htm" TargetMode="External"/><Relationship Id="rId57" Type="http://schemas.openxmlformats.org/officeDocument/2006/relationships/hyperlink" Target="https://www.sec.gov/Archives/edgar/data/883975/000149315223022814/ex4-1.htm" TargetMode="External"/><Relationship Id="rId58" Type="http://schemas.openxmlformats.org/officeDocument/2006/relationships/hyperlink" Target="https://www.sec.gov/Archives/edgar/data/883975/000149315223022814/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2023-11-14T19:50:48Z</dcterms:created>
  <dcterms:modified xsi:type="dcterms:W3CDTF">2023-11-14T19:50:48Z</dcterms:modified>
</cp:coreProperties>
</file>