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STEMCELLS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STEM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01/05/2004</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666 FIFTH AVENUE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10103</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00" w:type="dxa"/>
            <w:vAlign w:val="bottom"/>
          </w:tcPr>
          <w:p>
            <w:pPr>
              <w:spacing w:after="0"/>
              <w:rPr>
                <w:sz w:val="14"/>
                <w:szCs w:val="14"/>
                <w:color w:val="auto"/>
              </w:rPr>
            </w:pPr>
          </w:p>
        </w:tc>
        <w:tc>
          <w:tcPr>
            <w:tcW w:w="1300" w:type="dxa"/>
            <w:vAlign w:val="bottom"/>
            <w:gridSpan w:val="4"/>
          </w:tcPr>
          <w:p>
            <w:pPr>
              <w:ind w:left="300"/>
              <w:spacing w:after="0"/>
              <w:rPr>
                <w:sz w:val="20"/>
                <w:szCs w:val="20"/>
                <w:color w:val="auto"/>
              </w:rPr>
            </w:pPr>
            <w:r>
              <w:rPr>
                <w:rFonts w:ascii="Arial" w:cs="Arial" w:eastAsia="Arial" w:hAnsi="Arial"/>
                <w:sz w:val="12"/>
                <w:szCs w:val="12"/>
                <w:b w:val="1"/>
                <w:bCs w:val="1"/>
                <w:color w:val="auto"/>
              </w:rPr>
              <w:t>2. Transaction</w:t>
            </w:r>
          </w:p>
        </w:tc>
        <w:tc>
          <w:tcPr>
            <w:tcW w:w="1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4"/>
          </w:tcPr>
          <w:p>
            <w:pPr>
              <w:jc w:val="center"/>
              <w:ind w:left="203"/>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0" w:type="dxa"/>
            <w:vAlign w:val="bottom"/>
          </w:tcPr>
          <w:p>
            <w:pPr>
              <w:spacing w:after="0"/>
              <w:rPr>
                <w:sz w:val="11"/>
                <w:szCs w:val="11"/>
                <w:color w:val="auto"/>
              </w:rPr>
            </w:pPr>
          </w:p>
        </w:tc>
        <w:tc>
          <w:tcPr>
            <w:tcW w:w="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6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6"/>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300" w:type="dxa"/>
            <w:vAlign w:val="bottom"/>
            <w:gridSpan w:val="4"/>
            <w:vMerge w:val="restart"/>
          </w:tcPr>
          <w:p>
            <w:pPr>
              <w:jc w:val="center"/>
              <w:ind w:left="223"/>
              <w:spacing w:after="0"/>
              <w:rPr>
                <w:sz w:val="20"/>
                <w:szCs w:val="20"/>
                <w:color w:val="auto"/>
              </w:rPr>
            </w:pPr>
            <w:r>
              <w:rPr>
                <w:rFonts w:ascii="Arial" w:cs="Arial" w:eastAsia="Arial" w:hAnsi="Arial"/>
                <w:sz w:val="18"/>
                <w:szCs w:val="18"/>
                <w:color w:val="0000FF"/>
                <w:w w:val="88"/>
              </w:rPr>
              <w:t>01/05/2004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ind w:left="47"/>
              <w:spacing w:after="0"/>
              <w:rPr>
                <w:sz w:val="20"/>
                <w:szCs w:val="20"/>
                <w:color w:val="auto"/>
              </w:rPr>
            </w:pPr>
            <w:r>
              <w:rPr>
                <w:rFonts w:ascii="Arial" w:cs="Arial" w:eastAsia="Arial" w:hAnsi="Arial"/>
                <w:sz w:val="18"/>
                <w:szCs w:val="18"/>
                <w:color w:val="0000FF"/>
                <w:w w:val="87"/>
              </w:rPr>
              <w:t>30,000</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2.18</w:t>
            </w: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3,777,589</w:t>
            </w:r>
          </w:p>
        </w:tc>
        <w:tc>
          <w:tcPr>
            <w:tcW w:w="140" w:type="dxa"/>
            <w:vAlign w:val="bottom"/>
          </w:tcPr>
          <w:p>
            <w:pPr>
              <w:spacing w:after="0"/>
              <w:rPr>
                <w:sz w:val="22"/>
                <w:szCs w:val="22"/>
                <w:color w:val="auto"/>
              </w:rPr>
            </w:pPr>
          </w:p>
        </w:tc>
        <w:tc>
          <w:tcPr>
            <w:tcW w:w="860" w:type="dxa"/>
            <w:vAlign w:val="bottom"/>
            <w:vMerge w:val="restart"/>
          </w:tcPr>
          <w:p>
            <w:pPr>
              <w:ind w:left="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60" w:type="dxa"/>
            <w:vAlign w:val="bottom"/>
            <w:gridSpan w:val="2"/>
            <w:vMerge w:val="restart"/>
          </w:tcPr>
          <w:p>
            <w:pPr>
              <w:spacing w:after="0"/>
              <w:rPr>
                <w:sz w:val="20"/>
                <w:szCs w:val="20"/>
                <w:color w:val="auto"/>
              </w:rPr>
            </w:pPr>
            <w:r>
              <w:rPr>
                <w:rFonts w:ascii="Arial" w:cs="Arial" w:eastAsia="Arial" w:hAnsi="Arial"/>
                <w:sz w:val="35"/>
                <w:szCs w:val="35"/>
                <w:color w:val="0000FF"/>
                <w:w w:val="88"/>
                <w:vertAlign w:val="subscript"/>
              </w:rPr>
              <w:t>See</w:t>
            </w:r>
            <w:r>
              <w:rPr>
                <w:rFonts w:ascii="Arial" w:cs="Arial" w:eastAsia="Arial" w:hAnsi="Arial"/>
                <w:sz w:val="11"/>
                <w:szCs w:val="11"/>
                <w:color w:val="008000"/>
                <w:w w:val="88"/>
              </w:rPr>
              <w:t>(1)(2)(3)(4)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8"/>
              </w:rPr>
              <w:t>("Common Stock")</w:t>
            </w: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gridSpan w:val="2"/>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jc w:val="center"/>
              <w:ind w:left="223"/>
              <w:spacing w:after="0"/>
              <w:rPr>
                <w:sz w:val="20"/>
                <w:szCs w:val="20"/>
                <w:color w:val="auto"/>
              </w:rPr>
            </w:pPr>
            <w:r>
              <w:rPr>
                <w:rFonts w:ascii="Arial" w:cs="Arial" w:eastAsia="Arial" w:hAnsi="Arial"/>
                <w:sz w:val="18"/>
                <w:szCs w:val="18"/>
                <w:color w:val="0000FF"/>
                <w:w w:val="88"/>
              </w:rPr>
              <w:t>01/05/2004</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8"/>
                <w:szCs w:val="18"/>
                <w:color w:val="0000FF"/>
                <w:w w:val="86"/>
              </w:rPr>
              <w:t>117,200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2.19</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3,660,389</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4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w w:val="86"/>
                <w:vertAlign w:val="subscript"/>
              </w:rPr>
              <w:t>See</w:t>
            </w:r>
            <w:r>
              <w:rPr>
                <w:rFonts w:ascii="Arial" w:cs="Arial" w:eastAsia="Arial" w:hAnsi="Arial"/>
                <w:sz w:val="11"/>
                <w:szCs w:val="11"/>
                <w:color w:val="008000"/>
                <w:w w:val="86"/>
              </w:rPr>
              <w:t>(1)(2)(3)(4)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jc w:val="center"/>
              <w:ind w:left="223"/>
              <w:spacing w:after="0"/>
              <w:rPr>
                <w:sz w:val="20"/>
                <w:szCs w:val="20"/>
                <w:color w:val="auto"/>
              </w:rPr>
            </w:pPr>
            <w:r>
              <w:rPr>
                <w:rFonts w:ascii="Arial" w:cs="Arial" w:eastAsia="Arial" w:hAnsi="Arial"/>
                <w:sz w:val="18"/>
                <w:szCs w:val="18"/>
                <w:color w:val="0000FF"/>
                <w:w w:val="88"/>
              </w:rPr>
              <w:t>01/05/2004</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8"/>
                <w:szCs w:val="18"/>
                <w:color w:val="0000FF"/>
                <w:w w:val="87"/>
              </w:rPr>
              <w:t>98,650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2.21</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3,561,789</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4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w w:val="86"/>
                <w:vertAlign w:val="subscript"/>
              </w:rPr>
              <w:t>See</w:t>
            </w:r>
            <w:r>
              <w:rPr>
                <w:rFonts w:ascii="Arial" w:cs="Arial" w:eastAsia="Arial" w:hAnsi="Arial"/>
                <w:sz w:val="11"/>
                <w:szCs w:val="11"/>
                <w:color w:val="008000"/>
                <w:w w:val="86"/>
              </w:rPr>
              <w:t>(1)(2)(3)(4)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jc w:val="center"/>
              <w:ind w:left="223"/>
              <w:spacing w:after="0"/>
              <w:rPr>
                <w:sz w:val="20"/>
                <w:szCs w:val="20"/>
                <w:color w:val="auto"/>
              </w:rPr>
            </w:pPr>
            <w:r>
              <w:rPr>
                <w:rFonts w:ascii="Arial" w:cs="Arial" w:eastAsia="Arial" w:hAnsi="Arial"/>
                <w:sz w:val="18"/>
                <w:szCs w:val="18"/>
                <w:color w:val="0000FF"/>
                <w:w w:val="88"/>
              </w:rPr>
              <w:t>01/06/2004</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8"/>
                <w:szCs w:val="18"/>
                <w:color w:val="0000FF"/>
                <w:w w:val="87"/>
              </w:rPr>
              <w:t>96,240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3,465,549</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4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w w:val="86"/>
                <w:vertAlign w:val="subscript"/>
              </w:rPr>
              <w:t>See</w:t>
            </w:r>
            <w:r>
              <w:rPr>
                <w:rFonts w:ascii="Arial" w:cs="Arial" w:eastAsia="Arial" w:hAnsi="Arial"/>
                <w:sz w:val="11"/>
                <w:szCs w:val="11"/>
                <w:color w:val="008000"/>
                <w:w w:val="86"/>
              </w:rPr>
              <w:t>(1)(2)(3)(4)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4"/>
          </w:tcPr>
          <w:p>
            <w:pPr>
              <w:jc w:val="center"/>
              <w:ind w:left="223"/>
              <w:spacing w:after="0"/>
              <w:rPr>
                <w:sz w:val="20"/>
                <w:szCs w:val="20"/>
                <w:color w:val="auto"/>
              </w:rPr>
            </w:pPr>
            <w:r>
              <w:rPr>
                <w:rFonts w:ascii="Arial" w:cs="Arial" w:eastAsia="Arial" w:hAnsi="Arial"/>
                <w:sz w:val="18"/>
                <w:szCs w:val="18"/>
                <w:color w:val="0000FF"/>
                <w:w w:val="88"/>
              </w:rPr>
              <w:t>01/06/2004</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jc w:val="center"/>
              <w:ind w:left="47"/>
              <w:spacing w:after="0"/>
              <w:rPr>
                <w:sz w:val="20"/>
                <w:szCs w:val="20"/>
                <w:color w:val="auto"/>
              </w:rPr>
            </w:pPr>
            <w:r>
              <w:rPr>
                <w:rFonts w:ascii="Arial" w:cs="Arial" w:eastAsia="Arial" w:hAnsi="Arial"/>
                <w:sz w:val="18"/>
                <w:szCs w:val="18"/>
                <w:color w:val="0000FF"/>
                <w:w w:val="87"/>
              </w:rPr>
              <w:t>56,000</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2.18</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3,409,549</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60" w:type="dxa"/>
            <w:vAlign w:val="bottom"/>
            <w:tcBorders>
              <w:bottom w:val="single" w:sz="8" w:color="2C2C2C"/>
            </w:tcBorders>
            <w:gridSpan w:val="2"/>
          </w:tcPr>
          <w:p>
            <w:pPr>
              <w:spacing w:after="0" w:line="324" w:lineRule="exact"/>
              <w:rPr>
                <w:sz w:val="20"/>
                <w:szCs w:val="20"/>
                <w:color w:val="auto"/>
              </w:rPr>
            </w:pPr>
            <w:r>
              <w:rPr>
                <w:rFonts w:ascii="Arial" w:cs="Arial" w:eastAsia="Arial" w:hAnsi="Arial"/>
                <w:sz w:val="35"/>
                <w:szCs w:val="35"/>
                <w:color w:val="0000FF"/>
                <w:w w:val="88"/>
                <w:vertAlign w:val="subscript"/>
              </w:rPr>
              <w:t>See</w:t>
            </w:r>
            <w:r>
              <w:rPr>
                <w:rFonts w:ascii="Arial" w:cs="Arial" w:eastAsia="Arial" w:hAnsi="Arial"/>
                <w:sz w:val="11"/>
                <w:szCs w:val="11"/>
                <w:color w:val="008000"/>
                <w:w w:val="88"/>
              </w:rPr>
              <w:t>(1)(2)(3)(4)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8"/>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20" w:type="dxa"/>
            <w:vAlign w:val="bottom"/>
            <w:gridSpan w:val="14"/>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4"/>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666 FIFTH AVENUE</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10103</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RIVERVIEW GROUP LLC</w:t>
              </w:r>
            </w:hyperlink>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Arial" w:cs="Arial" w:eastAsia="Arial" w:hAnsi="Arial"/>
                <w:sz w:val="18"/>
                <w:szCs w:val="18"/>
                <w:color w:val="0000FF"/>
                <w:w w:val="87"/>
              </w:rPr>
              <w:t>10103-0899</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rPr>
              <w:t>(Zip)</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MILLENNIUM HOLDING GROUP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31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31470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666 FIFTH AVE</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C/O MILLENNIUM MANAGEMENT LLC</w:t>
            </w:r>
          </w:p>
        </w:tc>
      </w:tr>
      <w:tr>
        <w:trPr>
          <w:trHeight w:val="270"/>
        </w:trPr>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666 FIFTH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by The Riverview Group LLC, a Delaware limited liability company ("Riverview") which as of the date hereof directly holds 3,409,549 shares of Common Stock of StemCells, Inc. (the "Company") and warrants exercisable into 1,322,716 shares of Common Stock of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31" w:lineRule="exact"/>
        <w:rPr>
          <w:rFonts w:ascii="Arial" w:cs="Arial" w:eastAsia="Arial" w:hAnsi="Arial"/>
          <w:sz w:val="14"/>
          <w:szCs w:val="14"/>
          <w:color w:val="008000"/>
        </w:rPr>
      </w:pPr>
    </w:p>
    <w:p>
      <w:pPr>
        <w:ind w:left="20" w:right="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w:t>
      </w:r>
    </w:p>
    <w:p>
      <w:pPr>
        <w:spacing w:after="0" w:line="30" w:lineRule="exact"/>
        <w:rPr>
          <w:rFonts w:ascii="Arial" w:cs="Arial" w:eastAsia="Arial" w:hAnsi="Arial"/>
          <w:sz w:val="14"/>
          <w:szCs w:val="14"/>
          <w:color w:val="008000"/>
        </w:rPr>
      </w:pPr>
    </w:p>
    <w:p>
      <w:pPr>
        <w:ind w:left="20" w:right="2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8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pacing w:after="0" w:line="37"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Israel A. Englander</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01/07/2004</w:t>
            </w:r>
          </w:p>
        </w:tc>
      </w:tr>
      <w:tr>
        <w:trPr>
          <w:trHeight w:val="20"/>
        </w:trPr>
        <w:tc>
          <w:tcPr>
            <w:tcW w:w="1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8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00"/>
          </w:cols>
          <w:pgMar w:left="260" w:top="118" w:right="339"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The Riverview Group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January 7,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THE RIVERVIEW GROUP LLC</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Terry Feeney</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tabs>
          <w:tab w:leader="none" w:pos="2300" w:val="left"/>
        </w:tabs>
        <w:rPr>
          <w:sz w:val="20"/>
          <w:szCs w:val="20"/>
          <w:color w:val="auto"/>
        </w:rPr>
      </w:pPr>
      <w:r>
        <w:rPr>
          <w:rFonts w:ascii="Courier New" w:cs="Courier New" w:eastAsia="Courier New" w:hAnsi="Courier New"/>
          <w:sz w:val="18"/>
          <w:szCs w:val="18"/>
          <w:color w:val="auto"/>
        </w:rPr>
        <w:t>Name:</w:t>
        <w:tab/>
        <w:t>Terry Feeney</w:t>
      </w:r>
    </w:p>
    <w:p>
      <w:pPr>
        <w:ind w:left="1580"/>
        <w:spacing w:after="0" w:line="237" w:lineRule="auto"/>
        <w:rPr>
          <w:sz w:val="20"/>
          <w:szCs w:val="20"/>
          <w:color w:val="auto"/>
        </w:rPr>
      </w:pPr>
      <w:r>
        <w:rPr>
          <w:rFonts w:ascii="Courier New" w:cs="Courier New" w:eastAsia="Courier New" w:hAnsi="Courier New"/>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Millennium Holding Group, 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January 7, 2004</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MILLENNIUM HOLDING GROUP, L.P.</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Millennium Management LLC</w:t>
      </w:r>
    </w:p>
    <w:p>
      <w:pPr>
        <w:ind w:left="1280"/>
        <w:spacing w:after="0" w:line="238" w:lineRule="auto"/>
        <w:rPr>
          <w:sz w:val="20"/>
          <w:szCs w:val="20"/>
          <w:color w:val="auto"/>
        </w:rPr>
      </w:pPr>
      <w:r>
        <w:rPr>
          <w:rFonts w:ascii="Courier New" w:cs="Courier New" w:eastAsia="Courier New" w:hAnsi="Courier New"/>
          <w:sz w:val="18"/>
          <w:szCs w:val="18"/>
          <w:color w:val="auto"/>
        </w:rPr>
        <w:t>as General Partner</w:t>
      </w:r>
    </w:p>
    <w:p>
      <w:pPr>
        <w:ind w:left="1280"/>
        <w:spacing w:after="0"/>
        <w:rPr>
          <w:sz w:val="20"/>
          <w:szCs w:val="20"/>
          <w:color w:val="auto"/>
        </w:rPr>
      </w:pPr>
      <w:r>
        <w:rPr>
          <w:rFonts w:ascii="Courier New" w:cs="Courier New" w:eastAsia="Courier New" w:hAnsi="Courier New"/>
          <w:sz w:val="18"/>
          <w:szCs w:val="18"/>
          <w:color w:val="auto"/>
        </w:rPr>
        <w:t>By: Israel A. Englander</w:t>
      </w:r>
    </w:p>
    <w:p>
      <w:pPr>
        <w:ind w:left="1280"/>
        <w:spacing w:after="0" w:line="237" w:lineRule="auto"/>
        <w:rPr>
          <w:sz w:val="20"/>
          <w:szCs w:val="20"/>
          <w:color w:val="auto"/>
        </w:rPr>
      </w:pPr>
      <w:r>
        <w:rPr>
          <w:rFonts w:ascii="Courier New" w:cs="Courier New" w:eastAsia="Courier New" w:hAnsi="Courier New"/>
          <w:sz w:val="18"/>
          <w:szCs w:val="18"/>
          <w:color w:val="auto"/>
        </w:rPr>
        <w:t>as Sole Managing Member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By: /s/ Israel A. Englander</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tabs>
          <w:tab w:leader="none" w:pos="2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Israel A. Englander</w:t>
      </w:r>
    </w:p>
    <w:p>
      <w:pPr>
        <w:sectPr>
          <w:pgSz w:w="11900" w:h="16838" w:orient="portrait"/>
          <w:cols w:equalWidth="0" w:num="1">
            <w:col w:w="10219"/>
          </w:cols>
          <w:pgMar w:left="240" w:top="136" w:right="1440" w:bottom="1440" w:gutter="0" w:footer="0" w:header="0"/>
        </w:sectPr>
      </w:pPr>
    </w:p>
    <w:bookmarkStart w:id="3" w:name="page4"/>
    <w:bookmarkEnd w:id="3"/>
    <w:p>
      <w:pPr>
        <w:jc w:val="right"/>
        <w:ind w:right="4739"/>
        <w:spacing w:after="0"/>
        <w:rPr>
          <w:sz w:val="20"/>
          <w:szCs w:val="20"/>
          <w:color w:val="auto"/>
        </w:rPr>
      </w:pPr>
      <w:r>
        <w:rPr>
          <w:rFonts w:ascii="Courier New" w:cs="Courier New" w:eastAsia="Courier New" w:hAnsi="Courier New"/>
          <w:sz w:val="18"/>
          <w:szCs w:val="18"/>
          <w:color w:val="auto"/>
        </w:rPr>
        <w:t>Joint Filer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Israel A. Englander.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666 5th Avenue</w:t>
      </w:r>
    </w:p>
    <w:p>
      <w:pPr>
        <w:ind w:left="960"/>
        <w:spacing w:after="0" w:line="238" w:lineRule="auto"/>
        <w:rPr>
          <w:sz w:val="20"/>
          <w:szCs w:val="20"/>
          <w:color w:val="auto"/>
        </w:rPr>
      </w:pPr>
      <w:r>
        <w:rPr>
          <w:rFonts w:ascii="Courier New" w:cs="Courier New" w:eastAsia="Courier New" w:hAnsi="Courier New"/>
          <w:sz w:val="18"/>
          <w:szCs w:val="18"/>
          <w:color w:val="auto"/>
        </w:rPr>
        <w:t>New York, New York 10103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Designated Filer: Millennium Management,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Issuer: StemCells,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of Event Requiring Statement: January 7,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ISRAEL A. ENGLANDER</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Israel A. Englander</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Israel A. Englander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273087" TargetMode="External"/><Relationship Id="rId13" Type="http://schemas.openxmlformats.org/officeDocument/2006/relationships/hyperlink" Target="http://www.sec.gov/cgi-bin/browse-edgar?action=getcompany&amp;CIK=0000883975" TargetMode="External"/><Relationship Id="rId14" Type="http://schemas.openxmlformats.org/officeDocument/2006/relationships/hyperlink" Target="http://www.sec.gov/cgi-bin/browse-edgar?action=getcompany&amp;CIK=0001273091" TargetMode="External"/><Relationship Id="rId15" Type="http://schemas.openxmlformats.org/officeDocument/2006/relationships/hyperlink" Target="http://www.sec.gov/cgi-bin/browse-edgar?action=getcompany&amp;CIK=0001273089" TargetMode="External"/><Relationship Id="rId17"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2019-12-17T08:14:48Z</dcterms:created>
  <dcterms:modified xsi:type="dcterms:W3CDTF">2019-12-17T08:14:48Z</dcterms:modified>
</cp:coreProperties>
</file>