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333-217076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April 14,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1917700</wp:posOffset>
            </wp:positionH>
            <wp:positionV relativeFrom="paragraph">
              <wp:posOffset>142875</wp:posOffset>
            </wp:positionV>
            <wp:extent cx="3430270" cy="127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30270" cy="127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MICROBOT MEDICAL INC.</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330,000 Shares of Common Stock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Pre-Funded Warrants to Purchase up to 125,323 shares of common stock and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125,323 Shares of common stock underlying the pre-funded warrants</w:t>
      </w:r>
    </w:p>
    <w:p>
      <w:pPr>
        <w:spacing w:after="0" w:line="211" w:lineRule="exact"/>
        <w:rPr>
          <w:sz w:val="24"/>
          <w:szCs w:val="24"/>
          <w:color w:val="auto"/>
        </w:rPr>
      </w:pPr>
    </w:p>
    <w:p>
      <w:pPr>
        <w:jc w:val="both"/>
        <w:ind w:firstLine="648"/>
        <w:spacing w:after="0" w:line="270" w:lineRule="auto"/>
        <w:rPr>
          <w:sz w:val="20"/>
          <w:szCs w:val="20"/>
          <w:color w:val="auto"/>
        </w:rPr>
      </w:pPr>
      <w:r>
        <w:rPr>
          <w:rFonts w:ascii="Arial" w:cs="Arial" w:eastAsia="Arial" w:hAnsi="Arial"/>
          <w:sz w:val="17"/>
          <w:szCs w:val="17"/>
          <w:color w:val="auto"/>
        </w:rPr>
        <w:t>Pursuant to this prospectus supplement and the accompanying prospectus, we are offering 330,000 shares of our common stock, par value $0.01 per share, to an institutional and accredited investor at an offering price of $6.50 per share. In addition, pursuant to this prospectus supplement and the accompanying prospectus, we are also offering pre-funded warrants to purchase up to 125,323 shares of our common stock (the “Pre-Funded Warrants”) and the shares of common stock issuable upon exercise of the Pre-Funded Warrants, in lieu of shares of common stock, to the investor, whose purchase of shares of our common stock in this offering would result in the investor, together with its affiliates and certain related parties, beneficially owning more than 4.99% (or, at the election of the investor, 9.99%) of our outstanding common stock following the consummation of this offering. The Pre-Funded Warrants are being offered at an offering price of $6.49 per share. The Pre-Funded Warrants will have an exercise price of $0.01 per share of common stock and will be immediately exercisable and may be exercised at any time until exercised in full. There is no established public trading market for the Pre-Funded Warrants and we do not expect a market to develop. In addition, we do not intend to list the Pre-Funded Warrants on The Nasdaq Capital Market, any other national securities exchange or any other nationally recognized trading system.</w:t>
      </w:r>
    </w:p>
    <w:p>
      <w:pPr>
        <w:spacing w:after="0" w:line="178" w:lineRule="exact"/>
        <w:rPr>
          <w:sz w:val="24"/>
          <w:szCs w:val="24"/>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common stock is currently listed on The Nasdaq Capital Market under the symbol “MBOT.” On January 14, 2019, the last reported sales price per share of our common stock on The Nasdaq Capital Market was $9.70. As of January 14, 2019, the aggregate market value of our outstanding common stock held by non-affiliates, computed by reference to the price at which our common stock was last sold on November 15, 2018, was approximately $8.879 million, based on 3,012,343 shares of our outstanding common stock as of the date of this prospectus supplement, of which 2,536,802 shares were held by non-affiliates. Pursuant to General Instruction I.B.6 of Form S-3, in no event will we sell securities in a public primary offering with a value exceeding more than one-third of our public float in any 12-month period so long as our public float remains below $75.0 million. During the 12 calendar months prior to and including the date of this prospectus supplement (excluding this offering), we have not sold any securities pursuant to General Instruction I.B.6 of Form S-3.</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Per Pre-Funded</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Per Share</w:t>
            </w:r>
          </w:p>
        </w:tc>
        <w:tc>
          <w:tcPr>
            <w:tcW w:w="140" w:type="dxa"/>
            <w:vAlign w:val="bottom"/>
          </w:tcPr>
          <w:p>
            <w:pPr>
              <w:spacing w:after="0"/>
              <w:rPr>
                <w:sz w:val="20"/>
                <w:szCs w:val="20"/>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Warrant</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r>
      <w:tr>
        <w:trPr>
          <w:trHeight w:val="216"/>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Offering price</w:t>
            </w:r>
          </w:p>
        </w:tc>
        <w:tc>
          <w:tcPr>
            <w:tcW w:w="16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2,958,346.27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Placement agent fees (1)</w:t>
            </w:r>
          </w:p>
        </w:tc>
        <w:tc>
          <w:tcPr>
            <w:tcW w:w="18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.455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.455</w:t>
            </w:r>
          </w:p>
        </w:tc>
        <w:tc>
          <w:tcPr>
            <w:tcW w:w="4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207,171.965</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 (2)</w:t>
            </w:r>
          </w:p>
        </w:tc>
        <w:tc>
          <w:tcPr>
            <w:tcW w:w="1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6.035</w:t>
            </w:r>
          </w:p>
        </w:tc>
        <w:tc>
          <w:tcPr>
            <w:tcW w:w="4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2,751,174.305</w:t>
            </w:r>
          </w:p>
        </w:tc>
      </w:tr>
    </w:tbl>
    <w:p>
      <w:pPr>
        <w:spacing w:after="0" w:line="202" w:lineRule="exact"/>
        <w:rPr>
          <w:sz w:val="24"/>
          <w:szCs w:val="24"/>
          <w:color w:val="auto"/>
        </w:rPr>
      </w:pPr>
    </w:p>
    <w:p>
      <w:pPr>
        <w:ind w:left="660" w:hanging="328"/>
        <w:spacing w:after="0" w:line="29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addition, we have agreed to reimburse the placement agent for certain offering-related expenses and have agreed to issue to the placement agent warrants to purchase shares of our common stock as described under the “Plan of Distribution” on page S-19 of this prospectus supplement.</w:t>
      </w:r>
    </w:p>
    <w:p>
      <w:pPr>
        <w:ind w:left="66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of the offering proceeds to us presented in this table does not give effect to the exercise, if any, of the Pre-Funded Warrants or the warrants being issued to the placement agent.</w:t>
      </w:r>
    </w:p>
    <w:p>
      <w:pPr>
        <w:spacing w:after="0" w:line="184" w:lineRule="exact"/>
        <w:rPr>
          <w:sz w:val="24"/>
          <w:szCs w:val="24"/>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retained H.C. Wainwright &amp; Co., LLC to act as our exclusive placement agent in connection with this offering. The placement agent is not purchasing the securities offered by us in this offering, and is not required to sell any specific number or dollar amount of securities, but will assist us in this offering on a reasonable best efforts basis. In addition, we have agreed to reimburse the placement agent for certain offering-related expenses and have agreed to issue to the placement agent warrants to purchase shares of our common stock as described under the “Plan of Distribution” on page S-19 of this prospectus supplement.</w:t>
      </w:r>
    </w:p>
    <w:p>
      <w:pPr>
        <w:spacing w:after="0" w:line="184" w:lineRule="exact"/>
        <w:rPr>
          <w:sz w:val="24"/>
          <w:szCs w:val="24"/>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Investing in our securities involves a high degree of risk. Before making any investment decision, you should carefully review and consider all the information in this prospectus supplement, the accompanying base prospectus and the documents incorporated by reference herein and therein, including the risks and uncertainties described under “Risk Factors” beginning on page S-10 of this prospectus supplement and the risk factors incorporated by reference into this prospectus supplement and the accompanying base prospectus.</w:t>
      </w:r>
    </w:p>
    <w:p>
      <w:pPr>
        <w:spacing w:after="0" w:line="155" w:lineRule="exact"/>
        <w:rPr>
          <w:sz w:val="24"/>
          <w:szCs w:val="24"/>
          <w:color w:val="auto"/>
        </w:rPr>
      </w:pPr>
    </w:p>
    <w:p>
      <w:pPr>
        <w:jc w:val="both"/>
        <w:ind w:firstLine="648"/>
        <w:spacing w:after="0" w:line="34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12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We have applied to list the shares offered hereby on The Nasdaq Capital Market.</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Delivery of the securities offered hereby is expected to be made on or about January 15, 2019.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H.C. Wainwright &amp; Co.</w:t>
      </w:r>
    </w:p>
    <w:p>
      <w:pPr>
        <w:sectPr>
          <w:pgSz w:w="11900" w:h="16838" w:orient="portrait"/>
          <w:cols w:equalWidth="0" w:num="1">
            <w:col w:w="11420"/>
          </w:cols>
          <w:pgMar w:left="240" w:top="445" w:right="239" w:bottom="0" w:gutter="0" w:footer="0" w:header="0"/>
        </w:sectPr>
      </w:pPr>
    </w:p>
    <w:bookmarkStart w:id="1" w:name="page2"/>
    <w:bookmarkEnd w:id="1"/>
    <w:p>
      <w:pPr>
        <w:jc w:val="center"/>
        <w:spacing w:after="0"/>
        <w:rPr>
          <w:sz w:val="20"/>
          <w:szCs w:val="20"/>
          <w:color w:val="auto"/>
        </w:rPr>
      </w:pPr>
      <w:r>
        <w:rPr>
          <w:rFonts w:ascii="Arial" w:cs="Arial" w:eastAsia="Arial" w:hAnsi="Arial"/>
          <w:sz w:val="16"/>
          <w:szCs w:val="16"/>
          <w:color w:val="auto"/>
        </w:rPr>
        <w:t>The date of this prospectus supplement is January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304165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40" w:type="dxa"/>
            <w:vAlign w:val="bottom"/>
            <w:gridSpan w:val="5"/>
          </w:tcPr>
          <w:p>
            <w:pPr>
              <w:ind w:left="7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CCEEFF"/>
            </w:tcBorders>
          </w:tcPr>
          <w:p>
            <w:pPr>
              <w:spacing w:after="0"/>
              <w:rPr>
                <w:sz w:val="24"/>
                <w:szCs w:val="24"/>
                <w:color w:val="auto"/>
              </w:rPr>
            </w:pPr>
          </w:p>
        </w:tc>
        <w:tc>
          <w:tcPr>
            <w:tcW w:w="540" w:type="dxa"/>
            <w:vAlign w:val="bottom"/>
            <w:tcBorders>
              <w:top w:val="single" w:sz="8" w:color="auto"/>
              <w:bottom w:val="single" w:sz="8" w:color="CCEEFF"/>
            </w:tcBorders>
          </w:tcPr>
          <w:p>
            <w:pPr>
              <w:spacing w:after="0"/>
              <w:rPr>
                <w:sz w:val="24"/>
                <w:szCs w:val="24"/>
                <w:color w:val="auto"/>
              </w:rPr>
            </w:pPr>
          </w:p>
        </w:tc>
        <w:tc>
          <w:tcPr>
            <w:tcW w:w="1300" w:type="dxa"/>
            <w:vAlign w:val="bottom"/>
            <w:tcBorders>
              <w:top w:val="single" w:sz="8" w:color="auto"/>
              <w:bottom w:val="single" w:sz="8" w:color="CCEEFF"/>
            </w:tcBorders>
          </w:tcPr>
          <w:p>
            <w:pPr>
              <w:spacing w:after="0"/>
              <w:rPr>
                <w:sz w:val="24"/>
                <w:szCs w:val="24"/>
                <w:color w:val="auto"/>
              </w:rPr>
            </w:pPr>
          </w:p>
        </w:tc>
        <w:tc>
          <w:tcPr>
            <w:tcW w:w="4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760" w:type="dxa"/>
            <w:vAlign w:val="bottom"/>
            <w:gridSpan w:val="27"/>
            <w:shd w:val="clear" w:color="auto" w:fill="CCEEFF"/>
          </w:tcPr>
          <w:p>
            <w:pPr>
              <w:spacing w:after="0" w:line="162" w:lineRule="exact"/>
              <w:rPr>
                <w:sz w:val="20"/>
                <w:szCs w:val="20"/>
                <w:color w:val="auto"/>
              </w:rPr>
            </w:pPr>
            <w:r>
              <w:rPr>
                <w:rFonts w:ascii="Arial" w:cs="Arial" w:eastAsia="Arial" w:hAnsi="Arial"/>
                <w:sz w:val="18"/>
                <w:szCs w:val="18"/>
                <w:b w:val="1"/>
                <w:bCs w:val="1"/>
                <w:color w:val="auto"/>
              </w:rPr>
              <w:t>PROSPECTUS SUPPLEMENT</w:t>
            </w: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4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2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ABOUT THIS PROSPECTUS SUPPLEMENT</w:t>
              </w:r>
            </w:hyperlink>
          </w:p>
        </w:tc>
        <w:tc>
          <w:tcPr>
            <w:tcW w:w="714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7"/>
          </w:tcPr>
          <w:p>
            <w:pPr>
              <w:spacing w:after="0" w:line="17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PROSPECTUS SUPPLEMENT SUMMARY</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5"/>
              </w:rPr>
              <w:t>S-4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7"/>
            <w:shd w:val="clear" w:color="auto" w:fill="CCEEFF"/>
          </w:tcPr>
          <w:p>
            <w:pPr>
              <w:spacing w:after="0" w:line="17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THE OFFERING</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Borders>
              <w:top w:val="single" w:sz="8" w:color="0000EE"/>
            </w:tcBorders>
            <w:gridSpan w:val="5"/>
          </w:tcPr>
          <w:p>
            <w:pPr>
              <w:spacing w:after="0" w:line="176" w:lineRule="exact"/>
              <w:rPr>
                <w:rFonts w:ascii="Arial" w:cs="Arial" w:eastAsia="Arial" w:hAnsi="Arial"/>
                <w:sz w:val="18"/>
                <w:szCs w:val="18"/>
                <w:b w:val="1"/>
                <w:bCs w:val="1"/>
                <w:color w:val="0000EE"/>
                <w:w w:val="99"/>
              </w:rPr>
            </w:pPr>
            <w:hyperlink w:anchor="page11">
              <w:r>
                <w:rPr>
                  <w:rFonts w:ascii="Arial" w:cs="Arial" w:eastAsia="Arial" w:hAnsi="Arial"/>
                  <w:sz w:val="18"/>
                  <w:szCs w:val="18"/>
                  <w:b w:val="1"/>
                  <w:bCs w:val="1"/>
                  <w:color w:val="0000EE"/>
                  <w:w w:val="99"/>
                </w:rPr>
                <w:t>RISK FACTORS</w:t>
              </w:r>
            </w:hyperlink>
          </w:p>
        </w:tc>
        <w:tc>
          <w:tcPr>
            <w:tcW w:w="9400" w:type="dxa"/>
            <w:vAlign w:val="bottom"/>
            <w:tcBorders>
              <w:top w:val="single" w:sz="8" w:color="CCEEFF"/>
            </w:tcBorders>
            <w:gridSpan w:val="2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S-10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7"/>
            <w:shd w:val="clear" w:color="auto" w:fill="CCEEFF"/>
          </w:tcPr>
          <w:p>
            <w:pPr>
              <w:spacing w:after="0" w:line="17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FORWARD-LOOKING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Borders>
              <w:top w:val="single" w:sz="8" w:color="0000EE"/>
            </w:tcBorders>
            <w:gridSpan w:val="17"/>
          </w:tcPr>
          <w:p>
            <w:pPr>
              <w:spacing w:after="0" w:line="17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USE OF PROCEEDS</w:t>
              </w:r>
            </w:hyperlink>
          </w:p>
        </w:tc>
        <w:tc>
          <w:tcPr>
            <w:tcW w:w="7540" w:type="dxa"/>
            <w:vAlign w:val="bottom"/>
            <w:tcBorders>
              <w:top w:val="single" w:sz="8" w:color="CCEEFF"/>
            </w:tcBorders>
            <w:gridSpan w:val="1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S-16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DILUTION</w:t>
              </w:r>
            </w:hyperlink>
          </w:p>
        </w:tc>
        <w:tc>
          <w:tcPr>
            <w:tcW w:w="9860" w:type="dxa"/>
            <w:vAlign w:val="bottom"/>
            <w:tcBorders>
              <w:bottom w:val="single" w:sz="8" w:color="CCEEFF"/>
            </w:tcBorders>
            <w:gridSpan w:val="2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7"/>
          </w:tcPr>
          <w:p>
            <w:pPr>
              <w:spacing w:after="0" w:line="17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DESCRIPTION OF SECURITIES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7"/>
            <w:shd w:val="clear" w:color="auto" w:fill="CCEEFF"/>
          </w:tcPr>
          <w:p>
            <w:pPr>
              <w:spacing w:after="0" w:line="17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PLAN OF DISTRIBUTION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40" w:type="dxa"/>
            <w:vAlign w:val="bottom"/>
            <w:tcBorders>
              <w:top w:val="single" w:sz="8" w:color="0000EE"/>
            </w:tcBorders>
            <w:gridSpan w:val="9"/>
          </w:tcPr>
          <w:p>
            <w:pPr>
              <w:spacing w:after="0" w:line="17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LEGAL MATTERS</w:t>
              </w:r>
            </w:hyperlink>
          </w:p>
        </w:tc>
        <w:tc>
          <w:tcPr>
            <w:tcW w:w="8620" w:type="dxa"/>
            <w:vAlign w:val="bottom"/>
            <w:tcBorders>
              <w:top w:val="single" w:sz="8" w:color="CCEEFF"/>
            </w:tcBorders>
            <w:gridSpan w:val="1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S-22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tcBorders>
              <w:bottom w:val="single" w:sz="8" w:color="0000EE"/>
            </w:tcBorders>
            <w:shd w:val="clear" w:color="auto" w:fill="CCEEFF"/>
          </w:tcPr>
          <w:p>
            <w:pPr>
              <w:spacing w:after="0" w:line="176" w:lineRule="exact"/>
              <w:rPr>
                <w:rFonts w:ascii="Arial" w:cs="Arial" w:eastAsia="Arial" w:hAnsi="Arial"/>
                <w:sz w:val="18"/>
                <w:szCs w:val="18"/>
                <w:b w:val="1"/>
                <w:bCs w:val="1"/>
                <w:color w:val="0000EE"/>
                <w:w w:val="95"/>
              </w:rPr>
            </w:pPr>
            <w:hyperlink w:anchor="page23">
              <w:r>
                <w:rPr>
                  <w:rFonts w:ascii="Arial" w:cs="Arial" w:eastAsia="Arial" w:hAnsi="Arial"/>
                  <w:sz w:val="18"/>
                  <w:szCs w:val="18"/>
                  <w:b w:val="1"/>
                  <w:bCs w:val="1"/>
                  <w:color w:val="0000EE"/>
                  <w:w w:val="95"/>
                </w:rPr>
                <w:t>EXPERTS</w:t>
              </w:r>
            </w:hyperlink>
          </w:p>
        </w:tc>
        <w:tc>
          <w:tcPr>
            <w:tcW w:w="9940" w:type="dxa"/>
            <w:vAlign w:val="bottom"/>
            <w:tcBorders>
              <w:bottom w:val="single" w:sz="8" w:color="CCEEFF"/>
            </w:tcBorders>
            <w:gridSpan w:val="2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7"/>
          </w:tcPr>
          <w:p>
            <w:pPr>
              <w:spacing w:after="0" w:line="17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WHERE YOU CAN FIND MORE INFORMATION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7"/>
            <w:shd w:val="clear" w:color="auto" w:fill="CCEEFF"/>
          </w:tcPr>
          <w:p>
            <w:pPr>
              <w:spacing w:after="0" w:line="17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INCORPORATION OF CERTAIN DOCUMENTS BY REFERENCE</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PROSPECTUS</w:t>
            </w: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8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b w:val="1"/>
                <w:bCs w:val="1"/>
                <w:color w:val="0000EE"/>
                <w:w w:val="97"/>
              </w:rPr>
            </w:pPr>
            <w:hyperlink w:anchor="page27">
              <w:r>
                <w:rPr>
                  <w:rFonts w:ascii="Arial" w:cs="Arial" w:eastAsia="Arial" w:hAnsi="Arial"/>
                  <w:sz w:val="18"/>
                  <w:szCs w:val="18"/>
                  <w:b w:val="1"/>
                  <w:bCs w:val="1"/>
                  <w:color w:val="0000EE"/>
                  <w:w w:val="97"/>
                </w:rPr>
                <w:t>PROSPECTUS SUMMARY</w:t>
              </w:r>
            </w:hyperlink>
          </w:p>
        </w:tc>
        <w:tc>
          <w:tcPr>
            <w:tcW w:w="8580" w:type="dxa"/>
            <w:vAlign w:val="bottom"/>
            <w:tcBorders>
              <w:bottom w:val="single" w:sz="8" w:color="CCEEFF"/>
            </w:tcBorders>
            <w:gridSpan w:val="1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7"/>
          </w:tcPr>
          <w:p>
            <w:pPr>
              <w:spacing w:after="0" w:line="17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7"/>
            <w:shd w:val="clear" w:color="auto" w:fill="CCEEFF"/>
          </w:tcPr>
          <w:p>
            <w:pPr>
              <w:spacing w:after="0" w:line="17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NOTE REGARDING FORWARD-LOOKING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20" w:type="dxa"/>
            <w:vAlign w:val="bottom"/>
            <w:tcBorders>
              <w:top w:val="single" w:sz="8" w:color="0000EE"/>
            </w:tcBorders>
            <w:gridSpan w:val="24"/>
          </w:tcPr>
          <w:p>
            <w:pPr>
              <w:spacing w:after="0" w:line="17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USE OF PROCEEDS</w:t>
              </w:r>
            </w:hyperlink>
          </w:p>
        </w:tc>
        <w:tc>
          <w:tcPr>
            <w:tcW w:w="5940" w:type="dxa"/>
            <w:vAlign w:val="bottom"/>
            <w:tcBorders>
              <w:top w:val="single" w:sz="8" w:color="CCEEFF"/>
            </w:tcBorders>
            <w:gridSpan w:val="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7"/>
            <w:shd w:val="clear" w:color="auto" w:fill="CCEEFF"/>
          </w:tcPr>
          <w:p>
            <w:pPr>
              <w:spacing w:after="0" w:line="17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DESCRIPTION OF COMMON STOCK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7"/>
          </w:tcPr>
          <w:p>
            <w:pPr>
              <w:spacing w:after="0" w:line="17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DESCRIPTION OF PREFERRED STOCK</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7"/>
            <w:shd w:val="clear" w:color="auto" w:fill="CCEEFF"/>
          </w:tcPr>
          <w:p>
            <w:pPr>
              <w:spacing w:after="0" w:line="17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DESCRIPTION OF WARRANTS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7"/>
          </w:tcPr>
          <w:p>
            <w:pPr>
              <w:spacing w:after="0" w:line="17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DESCRIPTION OF DEBT SECURITIES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8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b w:val="1"/>
                <w:bCs w:val="1"/>
                <w:color w:val="0000EE"/>
                <w:w w:val="99"/>
              </w:rPr>
            </w:pPr>
            <w:hyperlink w:anchor="page43">
              <w:r>
                <w:rPr>
                  <w:rFonts w:ascii="Arial" w:cs="Arial" w:eastAsia="Arial" w:hAnsi="Arial"/>
                  <w:sz w:val="18"/>
                  <w:szCs w:val="18"/>
                  <w:b w:val="1"/>
                  <w:bCs w:val="1"/>
                  <w:color w:val="0000EE"/>
                  <w:w w:val="99"/>
                </w:rPr>
                <w:t>DESCRIPTION OF RIGHTS</w:t>
              </w:r>
            </w:hyperlink>
          </w:p>
        </w:tc>
        <w:tc>
          <w:tcPr>
            <w:tcW w:w="848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7"/>
          </w:tcPr>
          <w:p>
            <w:pPr>
              <w:spacing w:after="0" w:line="176"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DESCRIPTION OF PURCHASE CONTRACTS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7"/>
            <w:shd w:val="clear" w:color="auto" w:fill="CCEEFF"/>
          </w:tcPr>
          <w:p>
            <w:pPr>
              <w:spacing w:after="0" w:line="176"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DESCRIPTION OF UNITS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20" w:type="dxa"/>
            <w:vAlign w:val="bottom"/>
            <w:tcBorders>
              <w:top w:val="single" w:sz="8" w:color="0000EE"/>
            </w:tcBorders>
            <w:gridSpan w:val="8"/>
          </w:tcPr>
          <w:p>
            <w:pPr>
              <w:spacing w:after="0" w:line="17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LEGAL MATTERS</w:t>
              </w:r>
            </w:hyperlink>
          </w:p>
        </w:tc>
        <w:tc>
          <w:tcPr>
            <w:tcW w:w="8640" w:type="dxa"/>
            <w:vAlign w:val="bottom"/>
            <w:tcBorders>
              <w:top w:val="single" w:sz="8" w:color="CCEEFF"/>
            </w:tcBorders>
            <w:gridSpan w:val="19"/>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tcBorders>
              <w:bottom w:val="single" w:sz="8" w:color="0000EE"/>
            </w:tcBorders>
            <w:shd w:val="clear" w:color="auto" w:fill="CCEEFF"/>
          </w:tcPr>
          <w:p>
            <w:pPr>
              <w:spacing w:after="0" w:line="176" w:lineRule="exact"/>
              <w:rPr>
                <w:rFonts w:ascii="Arial" w:cs="Arial" w:eastAsia="Arial" w:hAnsi="Arial"/>
                <w:sz w:val="18"/>
                <w:szCs w:val="18"/>
                <w:b w:val="1"/>
                <w:bCs w:val="1"/>
                <w:color w:val="0000EE"/>
                <w:w w:val="95"/>
              </w:rPr>
            </w:pPr>
            <w:hyperlink w:anchor="page48">
              <w:r>
                <w:rPr>
                  <w:rFonts w:ascii="Arial" w:cs="Arial" w:eastAsia="Arial" w:hAnsi="Arial"/>
                  <w:sz w:val="18"/>
                  <w:szCs w:val="18"/>
                  <w:b w:val="1"/>
                  <w:bCs w:val="1"/>
                  <w:color w:val="0000EE"/>
                  <w:w w:val="95"/>
                </w:rPr>
                <w:t>EXPERTS</w:t>
              </w:r>
            </w:hyperlink>
          </w:p>
        </w:tc>
        <w:tc>
          <w:tcPr>
            <w:tcW w:w="9940" w:type="dxa"/>
            <w:vAlign w:val="bottom"/>
            <w:tcBorders>
              <w:bottom w:val="single" w:sz="8" w:color="CCEEFF"/>
            </w:tcBorders>
            <w:gridSpan w:val="2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7"/>
          </w:tcPr>
          <w:p>
            <w:pPr>
              <w:spacing w:after="0" w:line="17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WHERE YOU CAN FIND MORE INFORMATION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7"/>
            <w:shd w:val="clear" w:color="auto" w:fill="CCEEFF"/>
          </w:tcPr>
          <w:p>
            <w:pPr>
              <w:spacing w:after="0" w:line="17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INCORPORATION OF CERTAIN DOCUMENTS BY REFERENCE</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You should rely only on the information incorporated by reference or provided in this prospectus supplement and the accompanying prospectus. Neither we nor the placement agent have authorized anyone to provide you with different information. If anyone provides you with different or inconsistent information, you should not rely on it. This prospectus supplement and the accompanying prospectus do not constitute an offer to sell, or a solicitation of an offer to purchase, the securities offered by this prospectus supplement and the accompanying prospectus in any jurisdiction where it is unlawful to make such offer or solicitation. You should assume that the information contained in this prospectus supplement or the accompanying prospectus, or any document incorporated by reference in this prospectus supplement or the accompanying prospectus, is accurate only as of the date of those respective documents. Neither the delivery of this prospectus supplement nor any distribution of securities pursuant to this prospectus supplement shall, under any circumstances, create any implication that there has been no change in the information set forth or incorporated by reference into this prospectus supplement or in our affairs since the date of this prospectus supplement. Our business, financial condition, results of operations and prospects may have changed since that date.</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 registration statement on Form S-3 (File No. 333-217076) utilizing a shelf registration process relating to the securities described in this prospectus supplement was initially filed with the Securities and Exchange Commission, or the SEC, on March 31, 2017 and was declared effective on April 14, 2017.</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document is in two parts. The first part is this prospectus supplement, which describes the specific terms of this offering of securities.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It is also important for you to read and consider all information contained in this prospectus supplement and the accompanying prospectus, including the documents we have referred you to in the section entitled “Where You Can Find More Information” below in this prospectus supplement.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 You should assume that the information contained in this prospectus supplement, the accompanying prospectus and the documents incorporated by reference is accurate only as of their respective dates.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not, and the placement agent has not, authorized any person to provide you with any information or to make any representation other than as contained in this prospectus supplement or in the accompanying prospectus and the information incorporated by reference herein and therein. We and the placement agent do not take any responsibility for, and can provide no assurance as to the reliability of, any information that others may provide you. The information appearing or incorporated by reference in this prospectus supplement and the accompanying prospectus is accurate only as of the date of this prospectus supplement or the date of the document in which incorporated information appears unless otherwise noted in such documents. Our business, financial condition, results of operations and prospects may have changed since those dates.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distribution of this prospectus supplement and the accompanying prospectus and the offering of the common stock in certain jurisdictions may be restricted by law. We are not, and the placement agent is not, making an offer of the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Unless the context indicates otherwise, in this prospectus supplement and the accompanying prospectus the terms, the terms “Microbot,” the “Company,” “we,” “our” or “us” in this prospectus supplement refer to Microbot Medical Inc. and its wholly-owned subsidiaries.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This summary highlights information contained in other parts of this prospectus or information incorporated by reference into this prospectus from our filings with the Securities and Exchange Commission, or SEC, listed in the section of the prospectus entitled “Incorporation of Certain Information by Reference.” Because it is only a summary, it does not contain all of the information that you should consider before purchasing our securities in this offering and it is qualified in its entirety by, and should be read in conjunction with, the more detailed information appearing elsewhere or incorporated by reference into this prospectus. You should read the entire prospectus, the registration statement of which this prospectus is a part, and the information incorporated by reference herein in their entirety, including the “Risk Factors” and our financial statements and the related notes incorporated by reference into this prospectus, before purchasing our securities in this offering.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improving surgical outcomes for patients.</w:t>
      </w:r>
    </w:p>
    <w:p>
      <w:pPr>
        <w:spacing w:after="0" w:line="185" w:lineRule="exact"/>
        <w:rPr>
          <w:sz w:val="20"/>
          <w:szCs w:val="20"/>
          <w:color w:val="auto"/>
        </w:rPr>
      </w:pPr>
    </w:p>
    <w:p>
      <w:pPr>
        <w:jc w:val="both"/>
        <w:ind w:firstLine="324"/>
        <w:spacing w:after="0" w:line="207" w:lineRule="auto"/>
        <w:rPr>
          <w:sz w:val="20"/>
          <w:szCs w:val="20"/>
          <w:color w:val="auto"/>
        </w:rPr>
      </w:pPr>
      <w:r>
        <w:rPr>
          <w:rFonts w:ascii="Arial" w:cs="Arial" w:eastAsia="Arial" w:hAnsi="Arial"/>
          <w:sz w:val="18"/>
          <w:szCs w:val="18"/>
          <w:color w:val="auto"/>
        </w:rPr>
        <w:t>Microbot’s current technological platforms, ViRob</w:t>
      </w:r>
      <w:r>
        <w:rPr>
          <w:rFonts w:ascii="Arial" w:cs="Arial" w:eastAsia="Arial" w:hAnsi="Arial"/>
          <w:sz w:val="30"/>
          <w:szCs w:val="30"/>
          <w:color w:val="auto"/>
          <w:vertAlign w:val="superscript"/>
        </w:rPr>
        <w:t>TM</w:t>
      </w:r>
      <w:r>
        <w:rPr>
          <w:rFonts w:ascii="Arial" w:cs="Arial" w:eastAsia="Arial" w:hAnsi="Arial"/>
          <w:sz w:val="18"/>
          <w:szCs w:val="18"/>
          <w:color w:val="auto"/>
        </w:rPr>
        <w:t>,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TipCAT</w:t>
      </w:r>
      <w:r>
        <w:rPr>
          <w:rFonts w:ascii="Arial" w:cs="Arial" w:eastAsia="Arial" w:hAnsi="Arial"/>
          <w:sz w:val="30"/>
          <w:szCs w:val="30"/>
          <w:color w:val="auto"/>
          <w:vertAlign w:val="superscript"/>
        </w:rPr>
        <w:t>TM</w:t>
      </w:r>
      <w:r>
        <w:rPr>
          <w:rFonts w:ascii="Arial" w:cs="Arial" w:eastAsia="Arial" w:hAnsi="Arial"/>
          <w:sz w:val="18"/>
          <w:szCs w:val="18"/>
          <w:color w:val="auto"/>
        </w:rPr>
        <w:t>, are comprised of proprietary innovative technologies. Using the ViRob platform, Microbot is currently developing its first product candidate: the Self 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Although the SCS utilizes one of our platforms, we are focused on the development of a Multi Generation Pipeline Portfolio utilizing all three of our proprietary technologies.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Microbot has a patent portfolio of 30 issued/allowed patents and 18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CardioSert</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May 25, 2018, Microbot acquired a patent-protected technology from CardioSert Ltd., a privately-held medical device company based in Israel.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 CardioSert was part of a technological incubator supported by the Israel Innovation Authorities (formerly known as the Office of the Chief Scientist, or OCS), and a device based on the technology has successfully completed pre-clinical testing.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CSF Management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Hydrocephalus is a medical condition in which there is an abnormal accumulation of cerebrospinal fluid, or CSF, in the brain that can cause increased intracranial pressure. It is estimated that one in every 500 babies are born with hydrocephalus, and over 1,000,000 people in the United States currently live with hydrocephalus.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Symptoms of hydrocephalus vary with age, disease progression and individual tolerance to the condition, but they can include convulsion, tunnel vision, mental disability or dementia-like symptoms and even death. NPH is a type of hydrocephalus that usually occurs in older adults. NPH is generally treated as distinct from other types of hydrocephalus because it develops slowly over time. In NPH, the drainage of CSF is blocked gradually and the excess fluid builds up slowly. This slow accumulation means that the fluid pressure may not be as high as in other types of hydrocephalus. It is estimated that more than 700,000 Americans have NPH, but less than 20% receive an appropriate diagnosis.</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Hydrocephalus is most often treated by the surgical insertion of a shunt system. The shunt system diverts the flow of CSF from the brain’s ventricles (or the lumbar subarachnoid space) to another part of the body where the fluid can be more readily absorbed. Hydrocephalus shunt designs have changed little since their introduction in the 1950s. A shunt system typically consists of three parts: the distal tubing or shunt (a flexible and sturdy plastic tube), the ventricular catheter (the proximal catheter), and a valve. The end of the shunt system with the proximal catheter is placed in the ventricles (within the CSF) and the distal catheter is placed in the site of the body where the CSF can be drained. A valve is located along the shunt to maintain and regulate the rate of CSF flow. Current systems can be created from separate components or bought as complete units.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treatment of hydrocephalus with existing shunt systems often includes complications. For example, approximately 50% of shunts used in the pediatric population fail within two years of placement and repeated neurosurgical operations are often required. Ventricular catheter blockage, or occlusion, is by far the most frequent event that results in shunt failure. Shunt occlusion occurs when there is a partial or complete blockage of the shunt that causes it to function intermittently or not at all. Such a shunt blockage can be caused by the accumulation of blood cells, tissue, or bacteria in any part of the shunt system. In the event of shunt occlusion, CSF begins to accumulate in the brain or lumbar region again and the symptoms of untreated hydrocephalus can reappear until a shunt replacement surgery is performed.</w:t>
      </w:r>
    </w:p>
    <w:p>
      <w:pPr>
        <w:spacing w:after="0" w:line="19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Although several companies are active in the field of hydrocephalus treatment and the manufacturing of shunt systems and shunt components, Microbot believes that the majority of those companies are focusing on the development of valves. The development of a “smart shunt” – a shunt that could provide data to the physician on patient conditions and shunt function with sensor-based controls, or correct the high failure rate of existing shunt systems – is for the most part at an academic and conceptual level only. Reports of smart shunt technologies are typically focused on a subset of components with remaining factors left unspecified, such as hardware, control algorithms or power management. Microbot does not believe that a smart shunt that can prevent functional failures has been developed to date. Because of the limited innovation in this area, Microbot believes an opportunity exists to provide patients suffering from hydrocephalus or NPH with a more effective instrument for treating their condition.</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alternative, short-term solution to hydrocephalus is the implantation of an External Ventricular Drainage, or EVD, an implanted device used in neurosurgery for the short-term treatment and monitoring of elevated intracranial pressure when the normal flow of CSF inside the brain is obstructed. If after using an EVD, the underlying hydrocephalus does not eventually resolve, the EVD may then be converted to a cerebral shunt, a fully internalized, long-term treatment for hydrocephalus.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EVDs are also used in other instances when the normal flow of CSF inside the brain is obstructed, such as a result of head trauma, intracerebral hemorrhage, brain tumors and infection. The EVD serves to divert excess fluids from the brain and allows for the monitoring of intracranial pressure. An EVD must be placed in a center with full neurosurgical capabilities because immediate neurosurgical intervention may be needed if a complication of EVD placement, such as bleeding, is encountered. EVD is one of the most commonly used and most important life-saving procedures in the neurologic ICU, with more than 200,000 neuro-intensive patients requiring EVD insertions annually.</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Similar to shunts, EVDs are also prone to occlusion, mostly due to cellular debris, such as blood clots and/or tissue fragments. Studies have shown that approximately 1-7% of EVDs require replacement secondary to occlusion. Current solutions for EVD occlusion include irrigation and replacement, which we believe may be ineffective (in the case of irrigation) or costly (in the case of replacement) and in either case, put the patient at risk of unintended side effects. Microbot believes that with its portfolio of technologies, and its initial pre-clinical results, it is well-positioned to explore and expand its offerings as an alternative solution for EVD occlusion.</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Minimally Invasive Endovascular Neurosurgery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market is expected to exceed $50 billion by 2019, with a CAGR of over 20% through 2023. MIS involves three major category of devices: surgical, monitoring and visualization, and endoscopy. The market for surgical devices, including ablation, electrosurgery and medical robotic systems, accounts for the largest share of revenue and is also expected to show the highest rate of growth.</w:t>
      </w:r>
    </w:p>
    <w:p>
      <w:pPr>
        <w:spacing w:after="0" w:line="18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a subset of MIS, endovascular neurosurgery refers to surgeries performed by using devices that pass through the blood vessels to diagnose and treat neurological diseases and conditions such as stroke, arteriovenous malformations, aneurysms and atherosclerosis, rather than using open surgery.</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global neurovascular device market was valued at $1.62 billion in 2015 and is expected to reach a value of $2.92 billion by 2024, growing at a CAGR of 6.5%. Increases in the geriatric population and a rise in the number of patients suffering from neurovascular disorders, implementation of advanced technological platforms, and favorable reimbursement policies across established markets are expected to drive this market’s growth. On the other hand, the high cost of the endovascular devices and scarcity of neurovascular surgeons may impede such growth.</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Stroke is a devastating condition, affecting 33 million people worldwide every year. In the United States alone, there are nearly 800,000 instances of stroke yearly, with about three in four being first-time strokes. This number is expected to increase to one million annually in 2021. Stroke is the fifth leading cause of death in the United States and is a leading cause of long-term disability, with related care costs estimated at $70 billion annually.</w:t>
      </w:r>
    </w:p>
    <w:p>
      <w:pPr>
        <w:spacing w:after="0" w:line="16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Mechanical thrombectomy has only been approved as a first-line treatment for ischemic stroke since 2016. Prior to such approval, chemical thrombolysis using tissue plasminogen activators was the only first-line treatment available, limiting the therapeutic window for ischemic stroke patients to as little as 3-4 hours from the onset of symptoms. With mechanical thrombectomy, treatment can be started within 6-24 hours of the time the patient was last known to be well. The US mechanical thrombectomy market is projected to grow at a CAGR of 23.9% between 2014-2020, to reach a value over $350 million.</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According to the Brain Aneurysm Foundation, an estimated 6 million people in the United States have an unruptured brain aneurysm, or 1 in 50 people. The annual rate of rupture is approximately 8 – 10 per 100,000 people, or about 30,000 people in the United States annually. Embolic coiling is the established gold-standard treatment for aneurysms, and the most established product line in the neurovascular market – it is a strong but relatively stagnant market, projected to grow at a CAGR of 1.7% between 2014-2020, to reach a value of over $800 million. New devices that improve treatment of complex aneurysms, such as embolization-enabling stents, bifurcations stents, flow-diversion stents, liquid embolics and intrasaccular devices, are expected to boost market growth.</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major companies in the field of neurovascular devices include Stryker Corporation, Medtronic Plc., Cerenovus (Johnson &amp; Johnson), Terumo Corporation and Penumbra, Inc. Neurovascular access devices are the means for delivering neurovascular treatment tools and devices from an opening in the femoral or radial arteries into the brain vasculature. Such access devices include sheaths, guidewires and microcatheters. Wires and catheters account for 18.6% of the overall neurovascular market.</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Navigating and placing access devices through tortuous and highly delicate brain arteries is a complex procedure that requires high-level surgical skills with specialist training. In many procedures, surgeons exchange numerous access devices before reaching the target and applying the therapeutic agent or device, increasing the risk of adverse events and the exposure of both patient and physician to radiation. Adverse events, such as perforation of brain arteries or the release of embolies from a thrombus or atherosclerotic lesion can have devastating or even fatal results.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 w:name="page8"/>
    <w:bookmarkEnd w:id="7"/>
    <w:p>
      <w:pPr>
        <w:jc w:val="both"/>
        <w:ind w:firstLine="324"/>
        <w:spacing w:after="0" w:line="308" w:lineRule="auto"/>
        <w:rPr>
          <w:sz w:val="20"/>
          <w:szCs w:val="20"/>
          <w:color w:val="auto"/>
        </w:rPr>
      </w:pPr>
      <w:r>
        <w:rPr>
          <w:rFonts w:ascii="Arial" w:cs="Arial" w:eastAsia="Arial" w:hAnsi="Arial"/>
          <w:sz w:val="17"/>
          <w:szCs w:val="17"/>
          <w:color w:val="auto"/>
        </w:rPr>
        <w:t>Microbot believes that with its portfolio of technologies specifically CardioSert and TipCAT, it is well-positioned to explore and develop such technologies as neurovascular access devices, with a focus on improving the ease and access and enhancing the safety of endovascular neurosurgery.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Self-Cleaning Shunt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SCS device is designed to act as the ventricular catheter portion of a CSF shunt system that is used to relieve hydrocephalus and NPH. It is designed to work as an alternative to any ventricular catheter options currently on the market and to connect to all existing shunt system valves currently on the market; therefore, the successful commercialization of the SCS is not dependent on any single shunt system. Initially, Microbot expects the SCS device to be an aftermarket purchase that would be deployed to modify existing products by the end user. Microbot believes that the use of its SCS device will be able to reduce, and potentially eliminate, shunt occlusions, and by doing so, Microbot believes its SCS has the potential to become the gold standard ventricular shunt in the treatment of hydrocephalus and NPH.</w:t>
      </w:r>
    </w:p>
    <w:p>
      <w:pPr>
        <w:spacing w:after="0" w:line="1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SCS device embeds an internal robotic cleaning mechanism in the lumen, or inside space, of the ventricular catheter which prevents cell accumulation and tissue ingrowth into the catheter. The SCS device consists of a silicone tube with a perforated titanium tip, which connects to a standard shunt valve at its distal end. The internal cleaning mechanism is embedded in the lumen of the titanium tip. Once activated, the cleaning mechanism keeps tissue from entering the catheter perforations while maintaining the CSF flow in the ventricular catheter.</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internal cleaning mechanism of the SCS device is activated by means of an induced magnetic field, which is currently designed to be externally generated by the patient through a user-friendly headset that transmits the magnetic field at a pre-determined frequency and operating sequence protocol. The magnetic field that is created by the headset is then captured by a flexible coil and circuit board that is placed just under the patient’s scalp in the location where the valve is located. The circuit board assembly converts the magnetic field into the power necessary to activate the cleaning mechanism within the proximal part of the ventricular catheter.</w:t>
      </w:r>
    </w:p>
    <w:p>
      <w:pPr>
        <w:spacing w:after="0" w:line="18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Microbot has completed the development of an SCS prototype and is currently completing the safety testing, general proof of concept testing and performance testing for the device, which Microbot began in mid-2013. In May 2018, Microbot announced the results of two pre-clinical studies assessing the SCS, an </w:t>
      </w:r>
      <w:r>
        <w:rPr>
          <w:rFonts w:ascii="Arial" w:cs="Arial" w:eastAsia="Arial" w:hAnsi="Arial"/>
          <w:sz w:val="16"/>
          <w:szCs w:val="16"/>
          <w:i w:val="1"/>
          <w:iCs w:val="1"/>
          <w:color w:val="auto"/>
        </w:rPr>
        <w:t>in-vitro</w:t>
      </w:r>
      <w:r>
        <w:rPr>
          <w:rFonts w:ascii="Arial" w:cs="Arial" w:eastAsia="Arial" w:hAnsi="Arial"/>
          <w:sz w:val="16"/>
          <w:szCs w:val="16"/>
          <w:color w:val="auto"/>
        </w:rPr>
        <w:t xml:space="preserve"> study and a small animal study. The in-vitro study, which was performed at Wayne State University by Dr. Carolyn Harris, supports the SCS’s potential as a viable technology for preventing occlusion in shunts used to treat hydrocephalus. The animal study designed to assess the safety profile of the SCS, which was performed by James Patterson McAllister, PhD, a Professor of Neurosurgery at Washington University School of Medicine in St. Louis, met the primary goal to determine the safety of the SCS device that aims to prevent obstruction in CSF catheters. Since the completion of these initial studies, Microbot has commenced a follow-up study to further evaluate the safety and to investigate the efficacy of the SCS. The follow-up study is also being conducted by leading hydrocephalus experts at Washington University and Wayne State University. The study will include a larger sample size compared to the initial studies and the primary and secondary endpoints will seek to validate the safety and efficacy of the SCS that will be activated in both </w:t>
      </w:r>
      <w:r>
        <w:rPr>
          <w:rFonts w:ascii="Arial" w:cs="Arial" w:eastAsia="Arial" w:hAnsi="Arial"/>
          <w:sz w:val="16"/>
          <w:szCs w:val="16"/>
          <w:i w:val="1"/>
          <w:iCs w:val="1"/>
          <w:color w:val="auto"/>
        </w:rPr>
        <w:t>in-vitro</w:t>
      </w:r>
      <w:r>
        <w:rPr>
          <w:rFonts w:ascii="Arial" w:cs="Arial" w:eastAsia="Arial" w:hAnsi="Arial"/>
          <w:sz w:val="16"/>
          <w:szCs w:val="16"/>
          <w:color w:val="auto"/>
        </w:rPr>
        <w:t xml:space="preserve"> (lab) and </w:t>
      </w:r>
      <w:r>
        <w:rPr>
          <w:rFonts w:ascii="Arial" w:cs="Arial" w:eastAsia="Arial" w:hAnsi="Arial"/>
          <w:sz w:val="16"/>
          <w:szCs w:val="16"/>
          <w:i w:val="1"/>
          <w:iCs w:val="1"/>
          <w:color w:val="auto"/>
        </w:rPr>
        <w:t>in-vivo</w:t>
      </w:r>
      <w:r>
        <w:rPr>
          <w:rFonts w:ascii="Arial" w:cs="Arial" w:eastAsia="Arial" w:hAnsi="Arial"/>
          <w:sz w:val="16"/>
          <w:szCs w:val="16"/>
          <w:color w:val="auto"/>
        </w:rPr>
        <w:t xml:space="preserve"> (animal) models. Microbot plans to use the findings for initial regulatory submissions in the United States, Europe and other jurisdictions, although upon the completion of animal studies, Microbot may conduct clinical trials if they are requested by the FDA or if Microbot decides that the data from such trials would improve the marketability of the product candidate.</w:t>
      </w:r>
    </w:p>
    <w:p>
      <w:pPr>
        <w:spacing w:after="0" w:line="16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In conjunction with initiating this follow-up study, Microbot also contracted with Envigo CRS Israel, a leading provider of non-clinical contract research services, to conduct an </w:t>
      </w:r>
      <w:r>
        <w:rPr>
          <w:rFonts w:ascii="Arial" w:cs="Arial" w:eastAsia="Arial" w:hAnsi="Arial"/>
          <w:sz w:val="16"/>
          <w:szCs w:val="16"/>
          <w:i w:val="1"/>
          <w:iCs w:val="1"/>
          <w:color w:val="auto"/>
        </w:rPr>
        <w:t>in-vitro</w:t>
      </w:r>
      <w:r>
        <w:rPr>
          <w:rFonts w:ascii="Arial" w:cs="Arial" w:eastAsia="Arial" w:hAnsi="Arial"/>
          <w:sz w:val="16"/>
          <w:szCs w:val="16"/>
          <w:color w:val="auto"/>
        </w:rPr>
        <w:t xml:space="preserve"> study designed to evaluate the operational performance of the SCS. The Envigo study used human brain glioblastoma cells in order to assess the performance of the SCS in a test system with accelerated cell growth, accumulation, and obstruction rates. The performance of a constantly activated (always-on) SCS to prevent shunt occlusion in the laboratory study was compared with a non-operating SCS after 30 days, and the results were captured with photographs shared by Microbot in a press release issued on January 14, 2019. While significant cell growth and accumulation was seen in the cell cultures with a non-operating SCS, the shunt openings within the cells seeded with a constantly operating SCS remained clear, with little to no cell attachment on the robotic brush (ViRob) and on the opening where the robotic brush (ViRob) operates after 30 days of cell culturing and growth. We believe this experiment validates the operational effectiveness of the SCS to prevent shunt occlusion and provides additional data to support the device’s proof of concept. We believe the </w:t>
      </w:r>
      <w:r>
        <w:rPr>
          <w:rFonts w:ascii="Arial" w:cs="Arial" w:eastAsia="Arial" w:hAnsi="Arial"/>
          <w:sz w:val="16"/>
          <w:szCs w:val="16"/>
          <w:i w:val="1"/>
          <w:iCs w:val="1"/>
          <w:color w:val="auto"/>
        </w:rPr>
        <w:t>in-vitro</w:t>
      </w:r>
      <w:r>
        <w:rPr>
          <w:rFonts w:ascii="Arial" w:cs="Arial" w:eastAsia="Arial" w:hAnsi="Arial"/>
          <w:sz w:val="16"/>
          <w:szCs w:val="16"/>
          <w:color w:val="auto"/>
        </w:rPr>
        <w:t xml:space="preserve"> laboratory study further confirms that the SCS has the ability to operate after cells have accumulated on the catheter holes and the robotic brush (ViRob) and to potentially disintegrate existing occlusions formed on the robotic brush (ViRob) and on the opening where the robotic brush (ViRob) operates, based on the results from a third test group in which cells were allowed to grow for 4 weeks and then exposed to an activated SCS device. The images captured by Envigo and Microbot demonstrate that the cleaning mechanism of the SCS is powerful enough to clear accumulated cells at blocked pores, as significant improvements were observed in the degree of shunt obstruction after only a short period of time following activation of the SCS.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Microbot believes that the animal study results of its first generation SCS device should be available during the second half of 2019 and we expect to submit that data to the FDA as part of a pre-submission meeting request. The proposed indication for use of the SCS device would be for the treatment of hydrocephalus as a component of a shunt system when draining or shunting of CSF is indicated. It continues to be possible that the FDA could require us to conduct a human clinical study to support the safety and efficacy of the SCS and that such clinical data would need to be part of the future regulatory submission to authorize marketing of the medical device in the U.S.</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Microbot may also conduct clinical trials for the SCS in other countries where such trials are necessary for Microbot to sell its SCS device in such country’s market, although it has no current plans to do so.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A TipCAT prototype was shown to self-propel and self-navigate in curved plastic pipes and curved ex-vivo colon. In addition, in its first feasibility study, the prototype device was tested in a live animal experiment and successfully self-propelled through segments of the animal’s colon, with no post-procedural damage. All tests were conducted at AMIT (Alfred Mann Institute of Technology at the Technion), prior to the licensing of TipCAT by Microbot.</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Microbot is no longer pursuing the development of the TipCAT as a colonoscopy tool but is currently exploring the use of the TipCAT for minimally invasive endovascular neurosurgical applications.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248"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Risks Associated with Our Business and this Offering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business and our ability to implement our business strategy are subject to numerous risks, as more fully described in the section of this prospectus entitled “Risk Factors” and under similarly titled headings of the documents incorporated herein by reference. You should read these risks before you invest in our securities. We may be unable, for many reasons, including those that are beyond our control, to implement our business strategy. In particular, risks associated with our business include:</w:t>
      </w:r>
    </w:p>
    <w:p>
      <w:pPr>
        <w:spacing w:after="0" w:line="18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will need to raise significant additional capital to support our operations.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anticipate that we will continue to incur significant losses for the foreseeable future, and our future profitability is uncertain.</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product candidates must undergo rigorous clinical testing, such clinical testing may fail to demonstrate safety and efficacy and any of our product candidates could cause undesirable side effects, which would substantially delay or prevent regulatory approval or commercialization.</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dependent on patents and proprietary technology. If we fail to adequately protect this intellectual property or if we otherwise do not have exclusivity for the marketing of our products, our ability to commercialize products could suffer.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our competitors are able to develop and market products that are more effective, safer or more affordable than ours, or obtain marketing approval before we do, our commercial opportunities may be limited.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you purchase our securities in this offering, you will incur immediate and substantial dilution.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will have broad discretion in the use of the net proceeds from this offering and may not use them effectively.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Information</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were incorporated on August 2, 1988 in the State of Delaware under the name Cellular Transplants, Inc. The original Certificate of Incorporation was restated on February 14, 1992 to change our name to CytoTherapeutics, Inc. On May 24, 2000, the Certificate of Incorporation as restated was further amended to change our name to StemCells, Inc. On November 28, 2016, C&amp;RD Israel Ltd., a wholly-owned subsidiary of ours,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On November 29, 2016, our common stock began trading on the Nasdaq Capital Market under the symbol “MBOT”.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w:t>
      </w:r>
    </w:p>
    <w:p>
      <w:pPr>
        <w:spacing w:after="0" w:line="183" w:lineRule="exact"/>
        <w:rPr>
          <w:sz w:val="20"/>
          <w:szCs w:val="20"/>
          <w:color w:val="auto"/>
        </w:rPr>
      </w:pPr>
    </w:p>
    <w:p>
      <w:pPr>
        <w:jc w:val="both"/>
        <w:ind w:right="20" w:firstLine="360"/>
        <w:spacing w:after="0" w:line="286" w:lineRule="auto"/>
        <w:rPr>
          <w:sz w:val="20"/>
          <w:szCs w:val="20"/>
          <w:color w:val="auto"/>
        </w:rPr>
      </w:pPr>
      <w:r>
        <w:rPr>
          <w:rFonts w:ascii="Arial" w:cs="Arial" w:eastAsia="Arial" w:hAnsi="Arial"/>
          <w:sz w:val="17"/>
          <w:szCs w:val="17"/>
          <w:color w:val="auto"/>
        </w:rPr>
        <w:t>In May 2016, we effected a 1-for-12 reverse split of our common stock, and in November 2016, we effected a 1-for-9 reverse split of our common stock in connection with the Merger. In September 2018, we effected a 1-for-15 reverse split of our common stock. The share and per share information described in this prospectus that occurred prior to these reverse splits have been adjusted to give retrospective effect to the reverse splits.</w:t>
      </w:r>
    </w:p>
    <w:p>
      <w:pPr>
        <w:spacing w:after="0" w:line="166"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 xml:space="preserve">Our principal executive offices are located at 25 Recreation Park Drive, Unit 108, Hingham, MA 02043. The telephone number at our principal executive office is (781) 875-3605. Our website address is </w:t>
      </w:r>
      <w:r>
        <w:rPr>
          <w:rFonts w:ascii="Arial" w:cs="Arial" w:eastAsia="Arial" w:hAnsi="Arial"/>
          <w:sz w:val="17"/>
          <w:szCs w:val="17"/>
          <w:i w:val="1"/>
          <w:iCs w:val="1"/>
          <w:color w:val="auto"/>
        </w:rPr>
        <w:t>www.microbotmedical.com</w:t>
      </w:r>
      <w:r>
        <w:rPr>
          <w:rFonts w:ascii="Arial" w:cs="Arial" w:eastAsia="Arial" w:hAnsi="Arial"/>
          <w:sz w:val="17"/>
          <w:szCs w:val="17"/>
          <w:color w:val="auto"/>
        </w:rPr>
        <w:t>.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our securities in this offering.</w:t>
      </w:r>
    </w:p>
    <w:p>
      <w:pPr>
        <w:spacing w:after="0" w:line="17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This prospectus contains references to our trademarks and to trademarks and trade names belonging to other entities. Solely for convenience, trademarks and trade names referred to in this prospectus, including logos, artwork and other visual displays, may appear without the ® or ™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 Smaller Reporting Company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 “smaller reporting company” as defined in the Securities Exchange Act of 1934, as amended, or the Exchange Act, and have elected to take advantage of certain of the scaled disclosures available to smaller reporting companies, including certain of the reduced disclosure obligations in the registration statement of which this prospectus is a part. As a result, the information that we provide to our stockholders may be different than you might receive from other public reporting companies in which you hold equity interests.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980" w:type="dxa"/>
            <w:vAlign w:val="bottom"/>
          </w:tcPr>
          <w:p>
            <w:pPr>
              <w:ind w:left="158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3440" w:type="dxa"/>
            <w:vAlign w:val="bottom"/>
            <w:gridSpan w:val="2"/>
          </w:tcPr>
          <w:p>
            <w:pPr>
              <w:spacing w:after="0"/>
              <w:rPr>
                <w:sz w:val="20"/>
                <w:szCs w:val="20"/>
                <w:color w:val="auto"/>
              </w:rPr>
            </w:pPr>
            <w:r>
              <w:rPr>
                <w:rFonts w:ascii="Arial" w:cs="Arial" w:eastAsia="Arial" w:hAnsi="Arial"/>
                <w:sz w:val="18"/>
                <w:szCs w:val="18"/>
                <w:color w:val="auto"/>
              </w:rPr>
              <w:t>Common stock offered by us</w:t>
            </w:r>
          </w:p>
        </w:tc>
        <w:tc>
          <w:tcPr>
            <w:tcW w:w="7980" w:type="dxa"/>
            <w:vAlign w:val="bottom"/>
          </w:tcPr>
          <w:p>
            <w:pPr>
              <w:ind w:left="100"/>
              <w:spacing w:after="0"/>
              <w:rPr>
                <w:sz w:val="20"/>
                <w:szCs w:val="20"/>
                <w:color w:val="auto"/>
              </w:rPr>
            </w:pPr>
            <w:r>
              <w:rPr>
                <w:rFonts w:ascii="Arial" w:cs="Arial" w:eastAsia="Arial" w:hAnsi="Arial"/>
                <w:sz w:val="18"/>
                <w:szCs w:val="18"/>
                <w:color w:val="auto"/>
              </w:rPr>
              <w:t>330,000 shares.</w:t>
            </w:r>
          </w:p>
        </w:tc>
      </w:tr>
      <w:tr>
        <w:trPr>
          <w:trHeight w:val="418"/>
        </w:trPr>
        <w:tc>
          <w:tcPr>
            <w:tcW w:w="3440" w:type="dxa"/>
            <w:vAlign w:val="bottom"/>
            <w:gridSpan w:val="2"/>
          </w:tcPr>
          <w:p>
            <w:pPr>
              <w:spacing w:after="0"/>
              <w:rPr>
                <w:sz w:val="20"/>
                <w:szCs w:val="20"/>
                <w:color w:val="auto"/>
              </w:rPr>
            </w:pPr>
            <w:r>
              <w:rPr>
                <w:rFonts w:ascii="Arial" w:cs="Arial" w:eastAsia="Arial" w:hAnsi="Arial"/>
                <w:sz w:val="18"/>
                <w:szCs w:val="18"/>
                <w:color w:val="auto"/>
              </w:rPr>
              <w:t>Pre-Funded Warrants offered by us</w:t>
            </w:r>
          </w:p>
        </w:tc>
        <w:tc>
          <w:tcPr>
            <w:tcW w:w="7980" w:type="dxa"/>
            <w:vAlign w:val="bottom"/>
          </w:tcPr>
          <w:p>
            <w:pPr>
              <w:ind w:left="100"/>
              <w:spacing w:after="0"/>
              <w:rPr>
                <w:sz w:val="20"/>
                <w:szCs w:val="20"/>
                <w:color w:val="auto"/>
              </w:rPr>
            </w:pPr>
            <w:r>
              <w:rPr>
                <w:rFonts w:ascii="Arial" w:cs="Arial" w:eastAsia="Arial" w:hAnsi="Arial"/>
                <w:sz w:val="18"/>
                <w:szCs w:val="18"/>
                <w:color w:val="auto"/>
                <w:w w:val="92"/>
              </w:rPr>
              <w:t>Pre-Funded Warrants to purchase up to 125,323 shares of common stock and the shares of common stock</w:t>
            </w:r>
          </w:p>
        </w:tc>
      </w:tr>
      <w:tr>
        <w:trPr>
          <w:trHeight w:val="216"/>
        </w:trPr>
        <w:tc>
          <w:tcPr>
            <w:tcW w:w="2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w w:val="93"/>
              </w:rPr>
              <w:t>issuable upon exercise of the Pre-Funded Warrants, in lieu of shares of common stock, to those investors</w:t>
            </w:r>
          </w:p>
        </w:tc>
      </w:tr>
      <w:tr>
        <w:trPr>
          <w:trHeight w:val="216"/>
        </w:trPr>
        <w:tc>
          <w:tcPr>
            <w:tcW w:w="2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w w:val="92"/>
              </w:rPr>
              <w:t>whose purchase of shares of our common stock in this offering would result in the investor, together with its</w:t>
            </w:r>
          </w:p>
        </w:tc>
      </w:tr>
      <w:tr>
        <w:trPr>
          <w:trHeight w:val="216"/>
        </w:trPr>
        <w:tc>
          <w:tcPr>
            <w:tcW w:w="2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w w:val="91"/>
              </w:rPr>
              <w:t>affiliates and certain related parties, beneficially owning more than 4.99% (or, at the election of the investor,</w:t>
            </w:r>
          </w:p>
        </w:tc>
      </w:tr>
      <w:tr>
        <w:trPr>
          <w:trHeight w:val="216"/>
        </w:trPr>
        <w:tc>
          <w:tcPr>
            <w:tcW w:w="2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w w:val="96"/>
              </w:rPr>
              <w:t>9.99%) of our outstanding common stock following the consummation of this offering. The Pre-Funded</w:t>
            </w:r>
          </w:p>
        </w:tc>
      </w:tr>
      <w:tr>
        <w:trPr>
          <w:trHeight w:val="216"/>
        </w:trPr>
        <w:tc>
          <w:tcPr>
            <w:tcW w:w="2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w w:val="93"/>
              </w:rPr>
              <w:t>Warrants are being offered at an offering price of $6.49 per share. The Pre-Funded Warrants will have an</w:t>
            </w:r>
          </w:p>
        </w:tc>
      </w:tr>
      <w:tr>
        <w:trPr>
          <w:trHeight w:val="216"/>
        </w:trPr>
        <w:tc>
          <w:tcPr>
            <w:tcW w:w="2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w w:val="99"/>
              </w:rPr>
              <w:t>exercise price of $0.01 per share of common stock and will be immediately exercisable and may be</w:t>
            </w:r>
          </w:p>
        </w:tc>
      </w:tr>
      <w:tr>
        <w:trPr>
          <w:trHeight w:val="216"/>
        </w:trPr>
        <w:tc>
          <w:tcPr>
            <w:tcW w:w="2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w w:val="97"/>
              </w:rPr>
              <w:t>exercised at any time until exercised in full.  There is no established public trading market for the Pre-</w:t>
            </w:r>
          </w:p>
        </w:tc>
      </w:tr>
      <w:tr>
        <w:trPr>
          <w:trHeight w:val="216"/>
        </w:trPr>
        <w:tc>
          <w:tcPr>
            <w:tcW w:w="2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w w:val="94"/>
              </w:rPr>
              <w:t>Funded Warrants and we do not expect a market to develop. In addition, we do not intend to list the Pre-</w:t>
            </w:r>
          </w:p>
        </w:tc>
      </w:tr>
      <w:tr>
        <w:trPr>
          <w:trHeight w:val="216"/>
        </w:trPr>
        <w:tc>
          <w:tcPr>
            <w:tcW w:w="2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w w:val="97"/>
              </w:rPr>
              <w:t>Funded Warrants on The Nasdaq Capital Market, any other national securities exchange or any other</w:t>
            </w:r>
          </w:p>
        </w:tc>
      </w:tr>
      <w:tr>
        <w:trPr>
          <w:trHeight w:val="230"/>
        </w:trPr>
        <w:tc>
          <w:tcPr>
            <w:tcW w:w="2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nationally recognized trading system.</w:t>
            </w:r>
          </w:p>
        </w:tc>
      </w:tr>
      <w:tr>
        <w:trPr>
          <w:trHeight w:val="418"/>
        </w:trPr>
        <w:tc>
          <w:tcPr>
            <w:tcW w:w="3440" w:type="dxa"/>
            <w:vAlign w:val="bottom"/>
            <w:gridSpan w:val="2"/>
          </w:tcPr>
          <w:p>
            <w:pPr>
              <w:spacing w:after="0"/>
              <w:rPr>
                <w:sz w:val="20"/>
                <w:szCs w:val="20"/>
                <w:color w:val="auto"/>
              </w:rPr>
            </w:pPr>
            <w:r>
              <w:rPr>
                <w:rFonts w:ascii="Arial" w:cs="Arial" w:eastAsia="Arial" w:hAnsi="Arial"/>
                <w:sz w:val="18"/>
                <w:szCs w:val="18"/>
                <w:color w:val="auto"/>
                <w:w w:val="93"/>
              </w:rPr>
              <w:t>Common stock to be outstanding immediately</w:t>
            </w:r>
          </w:p>
        </w:tc>
        <w:tc>
          <w:tcPr>
            <w:tcW w:w="7980" w:type="dxa"/>
            <w:vAlign w:val="bottom"/>
          </w:tcPr>
          <w:p>
            <w:pPr>
              <w:ind w:left="100"/>
              <w:spacing w:after="0"/>
              <w:rPr>
                <w:sz w:val="20"/>
                <w:szCs w:val="20"/>
                <w:color w:val="auto"/>
              </w:rPr>
            </w:pPr>
            <w:r>
              <w:rPr>
                <w:rFonts w:ascii="Arial" w:cs="Arial" w:eastAsia="Arial" w:hAnsi="Arial"/>
                <w:sz w:val="18"/>
                <w:szCs w:val="18"/>
                <w:color w:val="auto"/>
                <w:w w:val="90"/>
              </w:rPr>
              <w:t>3,342,343 shares (excluding shares issuable upon the exercise of the Pre-Funded Warrants and the warrants</w:t>
            </w: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after this offering (1) (2)</w:t>
            </w:r>
          </w:p>
        </w:tc>
        <w:tc>
          <w:tcPr>
            <w:tcW w:w="7980" w:type="dxa"/>
            <w:vAlign w:val="bottom"/>
          </w:tcPr>
          <w:p>
            <w:pPr>
              <w:ind w:left="100"/>
              <w:spacing w:after="0"/>
              <w:rPr>
                <w:sz w:val="20"/>
                <w:szCs w:val="20"/>
                <w:color w:val="auto"/>
              </w:rPr>
            </w:pPr>
            <w:r>
              <w:rPr>
                <w:rFonts w:ascii="Arial" w:cs="Arial" w:eastAsia="Arial" w:hAnsi="Arial"/>
                <w:sz w:val="18"/>
                <w:szCs w:val="18"/>
                <w:color w:val="auto"/>
              </w:rPr>
              <w:t>issued to the placement agent).</w:t>
            </w:r>
          </w:p>
        </w:tc>
      </w:tr>
      <w:tr>
        <w:trPr>
          <w:trHeight w:val="432"/>
        </w:trPr>
        <w:tc>
          <w:tcPr>
            <w:tcW w:w="3440" w:type="dxa"/>
            <w:vAlign w:val="bottom"/>
            <w:gridSpan w:val="2"/>
          </w:tcPr>
          <w:p>
            <w:pPr>
              <w:spacing w:after="0"/>
              <w:rPr>
                <w:sz w:val="20"/>
                <w:szCs w:val="20"/>
                <w:color w:val="auto"/>
              </w:rPr>
            </w:pPr>
            <w:r>
              <w:rPr>
                <w:rFonts w:ascii="Arial" w:cs="Arial" w:eastAsia="Arial" w:hAnsi="Arial"/>
                <w:sz w:val="18"/>
                <w:szCs w:val="18"/>
                <w:color w:val="auto"/>
              </w:rPr>
              <w:t>Offering price per share</w:t>
            </w:r>
          </w:p>
        </w:tc>
        <w:tc>
          <w:tcPr>
            <w:tcW w:w="7980" w:type="dxa"/>
            <w:vAlign w:val="bottom"/>
          </w:tcPr>
          <w:p>
            <w:pPr>
              <w:ind w:left="100"/>
              <w:spacing w:after="0"/>
              <w:rPr>
                <w:sz w:val="20"/>
                <w:szCs w:val="20"/>
                <w:color w:val="auto"/>
              </w:rPr>
            </w:pPr>
            <w:r>
              <w:rPr>
                <w:rFonts w:ascii="Arial" w:cs="Arial" w:eastAsia="Arial" w:hAnsi="Arial"/>
                <w:sz w:val="18"/>
                <w:szCs w:val="18"/>
                <w:color w:val="auto"/>
              </w:rPr>
              <w:t>$6.50 per share.</w:t>
            </w:r>
          </w:p>
        </w:tc>
      </w:tr>
      <w:tr>
        <w:trPr>
          <w:trHeight w:val="432"/>
        </w:trPr>
        <w:tc>
          <w:tcPr>
            <w:tcW w:w="3440" w:type="dxa"/>
            <w:vAlign w:val="bottom"/>
            <w:gridSpan w:val="2"/>
          </w:tcPr>
          <w:p>
            <w:pPr>
              <w:spacing w:after="0"/>
              <w:rPr>
                <w:sz w:val="20"/>
                <w:szCs w:val="20"/>
                <w:color w:val="auto"/>
              </w:rPr>
            </w:pPr>
            <w:r>
              <w:rPr>
                <w:rFonts w:ascii="Arial" w:cs="Arial" w:eastAsia="Arial" w:hAnsi="Arial"/>
                <w:sz w:val="18"/>
                <w:szCs w:val="18"/>
                <w:color w:val="auto"/>
              </w:rPr>
              <w:t>Offering price per Pre-Funded Warrant</w:t>
            </w:r>
          </w:p>
        </w:tc>
        <w:tc>
          <w:tcPr>
            <w:tcW w:w="7980" w:type="dxa"/>
            <w:vAlign w:val="bottom"/>
          </w:tcPr>
          <w:p>
            <w:pPr>
              <w:ind w:left="100"/>
              <w:spacing w:after="0"/>
              <w:rPr>
                <w:sz w:val="20"/>
                <w:szCs w:val="20"/>
                <w:color w:val="auto"/>
              </w:rPr>
            </w:pPr>
            <w:r>
              <w:rPr>
                <w:rFonts w:ascii="Arial" w:cs="Arial" w:eastAsia="Arial" w:hAnsi="Arial"/>
                <w:sz w:val="18"/>
                <w:szCs w:val="18"/>
                <w:color w:val="auto"/>
              </w:rPr>
              <w:t>$6.49 per Pre-Funded Warrant.</w:t>
            </w:r>
          </w:p>
        </w:tc>
      </w:tr>
      <w:tr>
        <w:trPr>
          <w:trHeight w:val="418"/>
        </w:trPr>
        <w:tc>
          <w:tcPr>
            <w:tcW w:w="3440" w:type="dxa"/>
            <w:vAlign w:val="bottom"/>
            <w:gridSpan w:val="2"/>
          </w:tcPr>
          <w:p>
            <w:pPr>
              <w:spacing w:after="0"/>
              <w:rPr>
                <w:sz w:val="20"/>
                <w:szCs w:val="20"/>
                <w:color w:val="auto"/>
              </w:rPr>
            </w:pPr>
            <w:r>
              <w:rPr>
                <w:rFonts w:ascii="Arial" w:cs="Arial" w:eastAsia="Arial" w:hAnsi="Arial"/>
                <w:sz w:val="18"/>
                <w:szCs w:val="18"/>
                <w:color w:val="auto"/>
              </w:rPr>
              <w:t>Use of proceeds</w:t>
            </w:r>
          </w:p>
        </w:tc>
        <w:tc>
          <w:tcPr>
            <w:tcW w:w="7980" w:type="dxa"/>
            <w:vAlign w:val="bottom"/>
          </w:tcPr>
          <w:p>
            <w:pPr>
              <w:ind w:left="100"/>
              <w:spacing w:after="0"/>
              <w:rPr>
                <w:sz w:val="20"/>
                <w:szCs w:val="20"/>
                <w:color w:val="auto"/>
              </w:rPr>
            </w:pPr>
            <w:r>
              <w:rPr>
                <w:rFonts w:ascii="Arial" w:cs="Arial" w:eastAsia="Arial" w:hAnsi="Arial"/>
                <w:sz w:val="18"/>
                <w:szCs w:val="18"/>
                <w:color w:val="auto"/>
                <w:w w:val="93"/>
              </w:rPr>
              <w:t>We currently expect to use the net proceeds from this offering for the continuous development of our SCS</w:t>
            </w:r>
          </w:p>
        </w:tc>
      </w:tr>
      <w:tr>
        <w:trPr>
          <w:trHeight w:val="216"/>
        </w:trPr>
        <w:tc>
          <w:tcPr>
            <w:tcW w:w="2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w w:val="92"/>
              </w:rPr>
              <w:t>device for the treatment of hydrocephalus and NPH; to expand and develop additional applications deriving</w:t>
            </w:r>
          </w:p>
        </w:tc>
      </w:tr>
      <w:tr>
        <w:trPr>
          <w:trHeight w:val="216"/>
        </w:trPr>
        <w:tc>
          <w:tcPr>
            <w:tcW w:w="2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w w:val="95"/>
              </w:rPr>
              <w:t>from our existing IP portfolio, including the potential addition of complementary assets to the CardioSert</w:t>
            </w:r>
          </w:p>
        </w:tc>
      </w:tr>
      <w:tr>
        <w:trPr>
          <w:trHeight w:val="216"/>
        </w:trPr>
        <w:tc>
          <w:tcPr>
            <w:tcW w:w="2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w w:val="98"/>
              </w:rPr>
              <w:t>portfolio either through internal development, in-license or acquisition; and working capital and other</w:t>
            </w:r>
          </w:p>
        </w:tc>
      </w:tr>
      <w:tr>
        <w:trPr>
          <w:trHeight w:val="230"/>
        </w:trPr>
        <w:tc>
          <w:tcPr>
            <w:tcW w:w="2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general corporate purposes. See “Use of Proceeds.”</w:t>
            </w:r>
          </w:p>
        </w:tc>
      </w:tr>
      <w:tr>
        <w:trPr>
          <w:trHeight w:val="418"/>
        </w:trPr>
        <w:tc>
          <w:tcPr>
            <w:tcW w:w="3440" w:type="dxa"/>
            <w:vAlign w:val="bottom"/>
            <w:gridSpan w:val="2"/>
          </w:tcPr>
          <w:p>
            <w:pPr>
              <w:spacing w:after="0"/>
              <w:rPr>
                <w:sz w:val="20"/>
                <w:szCs w:val="20"/>
                <w:color w:val="auto"/>
              </w:rPr>
            </w:pPr>
            <w:r>
              <w:rPr>
                <w:rFonts w:ascii="Arial" w:cs="Arial" w:eastAsia="Arial" w:hAnsi="Arial"/>
                <w:sz w:val="18"/>
                <w:szCs w:val="18"/>
                <w:color w:val="auto"/>
              </w:rPr>
              <w:t>Risk factors</w:t>
            </w:r>
          </w:p>
        </w:tc>
        <w:tc>
          <w:tcPr>
            <w:tcW w:w="7980" w:type="dxa"/>
            <w:vAlign w:val="bottom"/>
          </w:tcPr>
          <w:p>
            <w:pPr>
              <w:ind w:left="100"/>
              <w:spacing w:after="0"/>
              <w:rPr>
                <w:sz w:val="20"/>
                <w:szCs w:val="20"/>
                <w:color w:val="auto"/>
              </w:rPr>
            </w:pPr>
            <w:r>
              <w:rPr>
                <w:rFonts w:ascii="Arial" w:cs="Arial" w:eastAsia="Arial" w:hAnsi="Arial"/>
                <w:sz w:val="18"/>
                <w:szCs w:val="18"/>
                <w:color w:val="auto"/>
                <w:w w:val="98"/>
              </w:rPr>
              <w:t>An investment in our company involves a high degree of risk. Please refer to the sections titled “Risk</w:t>
            </w:r>
          </w:p>
        </w:tc>
      </w:tr>
      <w:tr>
        <w:trPr>
          <w:trHeight w:val="216"/>
        </w:trPr>
        <w:tc>
          <w:tcPr>
            <w:tcW w:w="2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Factors,” “Special Note Regarding Forward-Looking Statements” and other information included or</w:t>
            </w:r>
          </w:p>
        </w:tc>
      </w:tr>
      <w:tr>
        <w:trPr>
          <w:trHeight w:val="216"/>
        </w:trPr>
        <w:tc>
          <w:tcPr>
            <w:tcW w:w="2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w w:val="91"/>
              </w:rPr>
              <w:t>incorporated by reference in this prospectus supplement and the accompanying prospectus for a discussion</w:t>
            </w:r>
          </w:p>
        </w:tc>
      </w:tr>
      <w:tr>
        <w:trPr>
          <w:trHeight w:val="230"/>
        </w:trPr>
        <w:tc>
          <w:tcPr>
            <w:tcW w:w="2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of factors you should carefully consider before investing our securities.</w:t>
            </w:r>
          </w:p>
        </w:tc>
      </w:tr>
      <w:tr>
        <w:trPr>
          <w:trHeight w:val="432"/>
        </w:trPr>
        <w:tc>
          <w:tcPr>
            <w:tcW w:w="3440" w:type="dxa"/>
            <w:vAlign w:val="bottom"/>
            <w:gridSpan w:val="2"/>
          </w:tcPr>
          <w:p>
            <w:pPr>
              <w:spacing w:after="0"/>
              <w:rPr>
                <w:sz w:val="20"/>
                <w:szCs w:val="20"/>
                <w:color w:val="auto"/>
              </w:rPr>
            </w:pPr>
            <w:r>
              <w:rPr>
                <w:rFonts w:ascii="Arial" w:cs="Arial" w:eastAsia="Arial" w:hAnsi="Arial"/>
                <w:sz w:val="18"/>
                <w:szCs w:val="18"/>
                <w:color w:val="auto"/>
              </w:rPr>
              <w:t>Nasdaq Capital Market Symbol</w:t>
            </w:r>
          </w:p>
        </w:tc>
        <w:tc>
          <w:tcPr>
            <w:tcW w:w="7980" w:type="dxa"/>
            <w:vAlign w:val="bottom"/>
          </w:tcPr>
          <w:p>
            <w:pPr>
              <w:ind w:left="100"/>
              <w:spacing w:after="0"/>
              <w:rPr>
                <w:sz w:val="20"/>
                <w:szCs w:val="20"/>
                <w:color w:val="auto"/>
              </w:rPr>
            </w:pPr>
            <w:r>
              <w:rPr>
                <w:rFonts w:ascii="Arial" w:cs="Arial" w:eastAsia="Arial" w:hAnsi="Arial"/>
                <w:sz w:val="18"/>
                <w:szCs w:val="18"/>
                <w:color w:val="auto"/>
              </w:rPr>
              <w:t>“MBOT”</w:t>
            </w:r>
          </w:p>
        </w:tc>
      </w:tr>
      <w:tr>
        <w:trPr>
          <w:trHeight w:val="223"/>
        </w:trPr>
        <w:tc>
          <w:tcPr>
            <w:tcW w:w="286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7980" w:type="dxa"/>
            <w:vAlign w:val="bottom"/>
          </w:tcPr>
          <w:p>
            <w:pPr>
              <w:spacing w:after="0"/>
              <w:rPr>
                <w:sz w:val="19"/>
                <w:szCs w:val="19"/>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shares of our common stock to be outstanding after this offering is based on 3,012,343 shares of common stock outstanding as of January 14, 2019, and excludes, as of January 14, 2019:</w:t>
      </w:r>
    </w:p>
    <w:p>
      <w:pPr>
        <w:spacing w:after="0" w:line="170"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422,478 shares of our common stock issuable upon the exercise of outstanding stock options, with exercise prices ranging from $0 to $19.35 and having a weighted-average exercise price of $11.70 per share;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211,239 shares of our common stock reserved for future grant under our 2017 Equity Incentive Plan;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7,531 shares of our common stock issuable upon the exercise of outstanding warrants, with exercise prices ranging from approximately $40.00 to $2,885 per share and having a weighted-average exercise price of $1,697 per share;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125,323 shares of common stock issuable upon exercise of the Pre-Funded Warrants to be issued to the investor in this offering with an exercise price of $0.01 per share;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22,767 shares of common stock issuable upon exercise of the warrants to be issued to the placement agent in connection with this offering with an exercise price of $8.125.</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Investing in our securities involves a high degree of risk. You should consider carefully the additional risks described below, together with all of the other information included or incorporated by reference in this prospectus, including the risks and uncertainties discussed under “Risk Factors” in our Annual Report on Form 10-K for the fiscal year ended December 31, 2017 and in our Quarterly Report on Form 10-Q for the fiscal quarter ended September 30, 2018, before deciding whether to purchase our securities in this offering. All of these risk factors are incorporated herein in their entirety. The risks described below and incorporated by reference are material risks currently known, expected or reasonably foreseeable by us. However, the risks described below or that we incorporate by reference are not the only ones that we face. Additional risks not presently known to us or that we currently deem immaterial may also affect our business, operating results, prospects or financial condition. If any of these risks actually materialize, our business, prospects, financial condition, and results of operations could be seriously harmed. This could cause the trading price of our common stock and the value of the warrants to decline, resulting in a loss of all or part of your investment.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Relating to the Development and Commercialization of Microbot’s Product Candidates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Microbot’s business depends heavily on the success of its lead product candidate, the SCS. If Microbot is unable to commercialize the SCS or experiences significant delays in doing so, Microbot’s business will be materially harmed.</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January 27, 2017, Microbot entered into a research agreement with Washington University in St. Louis to develop the protocol for and to execute the necessary animal study to determine the effectiveness of the Microbot’s SCS prototype. The initial research was completed in 2017 with a comprehensive study expected to be completed in 2019. Upon the completion of animal studies, Microbot may conduct clinical trials if they are requested by the FDA or if Microbot decides that the data from such trials would improve the marketability of the product candidate. After all necessary clinical and performance data supporting the safety and effectiveness of SCS are collected, Microbot must still obtain FDA clearance or approval to market the device and those regulatory processes can take several months to several years to be completed. Therefore, Microbot’s ability to generate product revenues will not occur for at least the next few years, if at all, and will depend heavily on the successful commercialization of SCS in the treatment of hydrocephalus. The success of commercializing SCS will depend on a number of factors, including the following:</w:t>
      </w:r>
    </w:p>
    <w:p>
      <w:pPr>
        <w:spacing w:after="0" w:line="17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additional capital;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 completion of animal studies and, if necessary, human clinical trials and the collection of sufficient data to demonstrate that the device is safe and effective for its intended use;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receipt of marketing approvals or clearances from the FDA and other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establishing commercial manufacturing arrangements with one or more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protecting Microbot’s rights in its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generating commercial sales of SCS, if and when approved, whether alone or in collaboration with other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acceptance of SCS, if and when commercially launched, by the medical community, patients and third-party payors;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effectively competing with existing shunt and endoscope products on the market and any new competing products that may enter the market;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maintaining quality and an acceptable safety profile of SCS following clearance or approval.</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If Microbot does not achieve one or more of these factors in a timely manner or at all, it could experience significant delays or an inability to successfully commercialize SCS, which would materially harm its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Microbot’s ability to expand our technology platforms for other uses, including endovascular neurosurgery other than for the treatment of hydrocephalus, may be limited.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After spending time working with experts in the field, Microbot has recently decided to no longer pursue the use of TipCAT in colonoscopy and has instead committed to focus on expanding all of its technology platforms for use in segments of the endovascular neurosurgery market, including traumatic brain injury, to capitalize on its existing competencies in hydrocephalus and the market’s needs. Microbot’s ability to expand its technology platforms for use in the endovascular neurosurgery market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competitors that have developed or are developing endoluminal robotics surgical systems include Corindus Vascular Robotics, Inc., Hansen Medical, Inc. Auris Health, Inc., Stereotaxis, Inc., Medrobotics Corporation and others. 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 changes. Microbot expects to face competition from many different sources with respect to the SCS and products that it is seeking to develop or commercialize with respect to its other product candidates in the future.</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 SCS or any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At this time, Microbot does not know whether the FDA will require it to submit clinical data in support of its future marketing applications for its SCS product candidate, particularly in light of recent initiatives by the FDA to enhance and modernize its approach to medical device safety and innovation, which creates uncertainty for Microbot as well as the possibility of increased product development costs and time to market.</w:t>
      </w:r>
    </w:p>
    <w:p>
      <w:pPr>
        <w:spacing w:after="0" w:line="14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Microbot anticipates that its lead product candidate, the SCS, will be classified by the FDA as Class II and thus be eligible for marketing pursuant to a cleared 510(k) notification. However, there is no guarantee that the FDA will agree with the Company’s determination or that the FDA would accept the predicate device that Microbot intends to submit in its 510(k) notification in order to establish that its new device product is substantially equivalent to one or more predicate devices. The FDA also may request additional data in response to a 510(k) notification, or require Microbot to conduct further testing or compile more data in support of its 510(k) submission. Such additional data could include clinical data that must be derived from human clinical studies that are designed appropriately to address the potential questions from the FDA regarding a proposed product’s safety or effectiveness. It is unclear at this time whether and how various activities recently initiated or announced by the FDA to modernize the U.S. medical device regulatory system could affect the marketing pathway or timeline for our product candidate, given the timing and the undeveloped nature of some of the FDA’s new medical device safety and innovation initiatives. One of the recent initiatives was announced in April 2018, when the FDA Commissioner issued a statement with the release of a Medical Device Safety Action Plan. Among other key areas of the Medical Device Safety Action Plan, the Commissioner stated that the FDA is “exploring what further actions we can take to spur innovation towards technologies that can make devices and their use safer. For instance, our Breakthrough Device Program that helps address unmet medical needs can be used to facilitate patient access to innovative new devices that have important improvements to patient safety. We’re considering developing a similar program to support the development of safer devices that do not otherwise meet the Breakthrough Program criteria, but are clearly intended to be safer than currently available technologies.” This type of program may negatively affect our existing development plan for the SCS product candidate or it may benefit Microbot, but at this time those potential impacts from recent FDA medical device initiatives are unknown and uncertain. Similarly, the FDA Commissioner announced various agency goals under a Medical Innovation Access Plan in 2017.</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2" w:name="page13"/>
    <w:bookmarkEnd w:id="12"/>
    <w:p>
      <w:pPr>
        <w:jc w:val="both"/>
        <w:ind w:firstLine="324"/>
        <w:spacing w:after="0" w:line="270" w:lineRule="auto"/>
        <w:rPr>
          <w:sz w:val="20"/>
          <w:szCs w:val="20"/>
          <w:color w:val="auto"/>
        </w:rPr>
      </w:pPr>
      <w:r>
        <w:rPr>
          <w:rFonts w:ascii="Arial" w:cs="Arial" w:eastAsia="Arial" w:hAnsi="Arial"/>
          <w:sz w:val="17"/>
          <w:szCs w:val="17"/>
          <w:color w:val="auto"/>
        </w:rPr>
        <w:t>If the FDA does require clinical data to be submitted as part of the SCS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if the clinical study involves a “significant risk” (as defined by the FDA) to human health, the sponsor of the investigation must also submit and obtain FDA approval of an Investigational Device Exemption, or IDE, application.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Thus, the addition of one or more mandatory clinical trials to the development timeline for the SCS would significantly increase the costs associated with developing and commercializing the product and delay the timing of U.S. regulatory authorization. The current uncertainty regarding near-term medical device regulatory changes by the FDA could further affect our development plans for the SCS, depending on their nature, scope and applicability. Microbot and its business, financial condition and operating results could be materially and adversely affected as a result of any such costs, delays or uncertainty.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per share of the common stock you purchase.</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Since the price per share of our common stock being offered is substantially higher than the net tangible book value per share of our common stock, you will suffer substantial dilution in the net tangible book value of the common stock and the common stock issuable upon exercise of the Pre-Funded Warrants you purchase in this offering. Based on an offering price of $6.50 per share of common stock (or equivalent), if you purchase shares of common stock and Pre-Funded Warrants in this offering, you will suffer immediate and substantial dilution of approximately $3.9238 per share in the net tangible book value of the common stock (assuming the exercise in full of the Pre-Funded Warrants). See the section titled “Dilution” in this prospectus supplement for a more detailed discussion of the dilution you will incur if you purchase common stock and Pre-Funded Warrants in this offering.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may not apply the net proceeds from this offering in ways that ultimately increase the value of your investment. The failure by our management to apply these funds effectively could harm our business. Pending their use, we may invest the net proceeds from this offering in short-term, investment-grade, interest-bearing securities or as otherwise provided in our investment policies in effect from time to time.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lawsuit that could adversely affect our business and our use of proceeds from this offering.</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named as the defendant in a lawsuit, which we refer to as the Matter, captioned Sabby Healthcare Master Fund Ltd. and Sabby Volatility Warrant Master Fund Ltd., Plaintiffs, against Microbot Medical Inc., Defendant, pending in the Supreme Court of the State of New York, County of New York (the “Court”) (Index No. 654581/2017). The complaint alleges, among other things, that we breached multiple representations and warranties contained in the Securities Purchase Agreement (the “SPA”) related to our June 8, 2017 equity financing, or the Financing, of which the Plaintiffs participated. The complaint seeks rescission of the SPA and return of the Plaintiffs’ $3,375,000 purchase price with respect to the Financing, and damages in an amount to be determined at trial, but alleged to exceed $1 million. On August 3, 2018, both Plaintiffs and Defendant filed motions for summary judgment. On September 27, 2018, the Court heard oral argument on the parties’ respective summary judgment motions. After oral argument, the Court denied Plaintiffs’ motion in its entirety from the bench. On September 28, 2018, the Court issued a decision granting our motion for summary judgment regarding Plaintiffs’ claim for monetary damages and denying our motion for summary judgment on Plaintiffs’ claim for rescission, finding that there were material questions of fact that would need to be resolved at trial. A trial date has been set for February 11, 2019. On January 8, 2019, the plaintiffs filed a motion seeking to amend the complaint to also pursue rescission on a material misrepresentation theory.</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April 4, 2018, we entered into a Tolling and Standstill Agreement with Empery Asset Master, Ltd., Empery Tax Efficient LP, Empery Tax Efficient II LP, and Hudson Bay Master Fund, Ltd., the other investors in the Financing, of whom we refer to as the Other Investors. Pursuant to the Tolling Agreement, among other things, (a) the Other Investors agree not to bring any claims against us arising out of the Matter, (b) the parties agree that if we reach an agreement to settle the claims asserted by the Sabby Funds in the above suit, we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3" w:name="page14"/>
    <w:bookmarkEnd w:id="13"/>
    <w:p>
      <w:pPr>
        <w:jc w:val="both"/>
        <w:ind w:firstLine="324"/>
        <w:spacing w:after="0" w:line="273" w:lineRule="auto"/>
        <w:rPr>
          <w:sz w:val="20"/>
          <w:szCs w:val="20"/>
          <w:color w:val="auto"/>
        </w:rPr>
      </w:pPr>
      <w:r>
        <w:rPr>
          <w:rFonts w:ascii="Arial" w:cs="Arial" w:eastAsia="Arial" w:hAnsi="Arial"/>
          <w:sz w:val="17"/>
          <w:szCs w:val="17"/>
          <w:color w:val="auto"/>
        </w:rPr>
        <w:t>We believe that the claims are without merit and have been and intend to continue to defend the action vigorously. However, management is unable to assess the likelihood of the claim and the amount of potential damages, if any, to be awarded. Accordingly, no assurance can be given that any adverse outcome would not be material to our consolidated financial position. Additionally, in the event the court holds for the Plaintiffs in the Matter and we lose our appeals, we will likely be required to use the proceeds from this offering or available cash towards payment of damages to the Plaintiffs and the Other Investors, that we otherwise would have used to build our business and develop our technologies into commercial products. In such event, we would be required to raise additional capital sooner than we otherwise would, of which we can give no assurance of success.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may be future sales of our securities or other dilution of our equity, which may adversely affect the market price of our common stock.</w:t>
      </w:r>
    </w:p>
    <w:p>
      <w:pPr>
        <w:spacing w:after="0" w:line="23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generally not restricted from issuing additional common stock, including any securities that are convertible into or exchangeable for, or that represent the right to receive, common stock. The market price of our common stock could decline as a result of sales of common stock or securities that are convertible into or exchangeable for, or that represent the right to receive, common stock after this offering or the perception that such sales could occur.</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Even if this offering is successful, we will need to raise additional capital in the future to continue operations, which may not be available on acceptable terms, or at all. Failure to obtain this necessary capital when needed may force us to delay, limit or terminate our product development efforts or other operations.</w:t>
      </w:r>
    </w:p>
    <w:p>
      <w:pPr>
        <w:spacing w:after="0" w:line="18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have had significant recurring losses from operations and we do not generate any cash from operations and must raise additional funds in order to continue operating our business. We expect to continue to fund our operations in the future primarily through equity and debt financings, grants from the Israel Innovation Authority and other sources. If additional capital is not available to us when needed or on acceptable terms, we may not be able to continue to operate our business pursuant to our business plan or we may have to discontinue our operations entirely. As of September 30, 2018, we had cash and cash equivalents of approximately $6.7 million. We estimate that we will receive net proceeds of approximately $2,272,832 million from the sale of the securities offered by us in this offering, after deducting the placement agent fees and estimated offering expenses payable by us and excluding any proceeds we may receive upon exercise of the Pre-Funded Warrants and warrants issued to the placement agent. We cannot provide assurances that our plans will not change or that changed circumstances will not result in the depletion of our capital resources more rapidly than we currently anticipate.</w:t>
      </w:r>
    </w:p>
    <w:p>
      <w:pPr>
        <w:spacing w:after="0" w:line="16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Our ability to raise additional funds will depend, in part, on the success of our product development activities, any clinical trials, regulatory events, our ability to identify and enter into in-licensing or other strategic arrangements, and other events or conditions that may affect our value or prospects, as well as factors related to financial, economic and market conditions, many of which are beyond our control. There can be no assurances that sufficient funds will be available to us when required or on acceptable terms, if at all.</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are unable to secure additional funds when needed or on acceptable terms, we may be required to defer, reduce or eliminate significant planned expenditures, restructure, curtail or eliminate some or all of our development programs or other operations, dispose of technology or assets, pursue an acquisition of our company by a third party at a price that may result in a loss on investment for our stockholders, enter into arrangements that may require us to relinquish rights to certain of our product candidates, technologies or potential markets, file for bankruptcy or cease operations altogether. Any of these events could have a material adverse effect on our business, financial condition and results of operations. Moreover, if we are unable to obtain additional funds on a timely basis, there will be substantial doubt about our ability to continue as a going concern and increased risk of insolvency and up to a total loss of investment by our stockholders.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Holders of Pre-Funded Warrants will have no rights as common stockholders until such holders exercise their Pre-Funded Warrants and acquire our common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Until holders of Pre-Funded Warrants acquire shares of our common stock upon exercise of the Pre-Funded Warrants, holders of Pre-Funded Warrants will have no rights with respect to the shares of our common stock issuable upon exercise of such Pre-Funded Warrants. Upon exercise of the Pre-Funded Warrants, the holders will be entitled to exercise the rights of a common stockholder only as to matters for which the record date occurs after the exercise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public market for the Pre-Funded Warrants to purchase shares of our common stock being offered in this offering.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is no established public trading market for the Pre-Funded Warrants being offered in this offering, and we do not expect a market to develop. In addition, we do not intend to apply to list the Pre-Funded Warrants on any securities exchange or nationally recognized trading system, including the Nasdaq Capital Market. Without an active market, the liquidity of the Pre-Funded Warrants will be limited.</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prospectus and the documents incorporated by reference herein contain forward-looking statements. The forward-looking statements are contained principally in the sections entitled “Prospectus Summary,” “Risk Factors,” “Management’s Discussion and Analysis of Financial Condition and Results of Operations” and “Business” in this prospectus or the documents incorporated herein by reference. These statements relate to future events or to our future financial performance and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include, but are not limited to, statements about:</w:t>
      </w:r>
    </w:p>
    <w:p>
      <w:pPr>
        <w:spacing w:after="0" w:line="19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estimates regarding anticipated operating losses, capital requirements and needs for additional funds;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raise additional capital when needed and to continue as a going concern;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manufacture, or otherwise secure the manufacture of, sufficient amounts of our product candidates for our preclinical studies and clinical trials;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find and develop applications for our technologies for other neurosurgical conditions besides hydrocephalus;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clinical development and other research and development plans and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safety and efficacy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anticipated regulatory pathways for our product candidates;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complete preclinical and clinical development of, and obtain regulatory approval of our product candidates and commercialize any approved products on our expected timeframes or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content and timing of submissions to and decisions made by the U.S. Food and Drug Administration and other regulatory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leverage the experience of our management team;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keep management and other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capacities and performance of our suppliers, manufacturers and other third parties over whom we have limited control;</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5" w:name="page16"/>
    <w:bookmarkEnd w:id="15"/>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actions of our competitors and success of competing products that are or may become available;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expectations with respect to future growth and investments in our infrastructure, and our ability to effectively manage any such growth;</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size and potential growth of the markets for any of our product candidates, and our ability to capture share in or impact the size of those markets;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benefits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and industry trends;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of any litigation in which we or any of our officers or directors may be involved, including with respect to the Matter;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effects of government regulation and regulatory developments, and our ability and the ability of the third parties with whom we engage to comply with applicable regulatory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accuracy of our estimates regarding future expenses, revenues, capital requirements and need for additional financing;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future planned expenditures;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achieve and maintain effective internal control over financial reporting in accordance with Section 404 of the Sarbanes-Oxley Act;</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maintain and successfully enforce adequate patent and other intellectual property protection of any of our products and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expected use of the net proceeds from this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operate our business without infringing the intellectual property rights of others.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some cases, you can identify these statements by terms such as “anticipate,” “believe,” “could,” “estimate,” “expect,” “intend,” “may,” “plan,” “potential,” “predict,” “project,” “should,” “will,” “would” or the negative of those terms, and similar expressions that convey uncertainty of future events or outcomes. These forward-looking statements reflect our management’s beliefs and views with respect to future events and are based on estimates and assumptions as of the date of this prospectus and are subject to risks and uncertainties. We discuss many of these risks in greater detail in the documents incorporated by reference herein, usually under the heading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Given these uncertainties, you should not place undue reliance on these forward-looking statements.</w:t>
      </w:r>
    </w:p>
    <w:p>
      <w:pPr>
        <w:spacing w:after="0" w:line="1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 should carefully read this prospectus, the documents that we incorporate by reference into this prospectus and the documents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estimate the net proceeds to us from the sale of our common stock in this offering, will be approximately $2,272,832, after deducting the placement agent fees and estimated offering expenses payable by us and excluding any proceeds we may receive upon exercise of the Pre-Funded Warrants and warrants issued to the placement agent.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intend to use the net proceeds from this offering for the continuous development of our SCS device for the treatment of hydrocephalus and NPH; to expand and develop additional applications deriving from our existing IP portfolio, including the potential addition of complementary assets to the CardioSert portfolio either through internal development, in-license or acquisition; and for working capital and other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If you invest in our securities, you will experience immediate and substantial dilution to the extent of the difference between the amount per share or share equivalent paid in this offering and the adjusted net tangible book value per share of our common stock immediately after the offering.</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net tangible book value per share is determined by subtracting our total liabilities from our total tangible assets, which is total assets less intangible assets, and dividing this amount by the number of shares of common stock outstanding. The historical net tangible book value of our common stock as of September 30, 2018 was approximately $6,566,000, or $2.2066 per share, based on 2,975,676 shares of our common stock outstanding at September 30, 2018.</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After giving effect to our sale of shares of common stock (assuming full exercise of the Pre-Funded Warrants) to be sold in this offering, and after deducting the placement agent fees and our estimated offering expenses payable by us, our net tangible book value as of September 30, 2018 would have been approximately $8,838,832, or $2.5762 per share of common stock. This represents an immediate increase in net tangible book value of $0.3696 per share to existing stockholders and an immediate dilution of $3.9238 per share to new investors in this offering. The following table illustrates this dilution on a per share basis: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Offering price per share (assuming full exercise of the Pre-Funded Warrants)</w:t>
            </w:r>
          </w:p>
        </w:tc>
        <w:tc>
          <w:tcPr>
            <w:tcW w:w="19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Historical net tangible book value per share as of September 30, 2018</w:t>
            </w:r>
          </w:p>
        </w:tc>
        <w:tc>
          <w:tcPr>
            <w:tcW w:w="19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30"/>
              <w:spacing w:after="0"/>
              <w:rPr>
                <w:sz w:val="20"/>
                <w:szCs w:val="20"/>
                <w:color w:val="auto"/>
              </w:rPr>
            </w:pPr>
            <w:r>
              <w:rPr>
                <w:rFonts w:ascii="Arial" w:cs="Arial" w:eastAsia="Arial" w:hAnsi="Arial"/>
                <w:sz w:val="18"/>
                <w:szCs w:val="18"/>
                <w:color w:val="auto"/>
              </w:rPr>
              <w:t>2.2066</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new investors</w:t>
            </w:r>
          </w:p>
        </w:tc>
        <w:tc>
          <w:tcPr>
            <w:tcW w:w="1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0.3696</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19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19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3.9238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foregoing discussion and table are based on 2,975,676 shares of common stock outstanding as of September 30, 2018, and excludes, as of September 30, 2018:</w:t>
      </w:r>
    </w:p>
    <w:p>
      <w:pPr>
        <w:spacing w:after="0" w:line="170"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422,478 shares of our common stock issuable upon the exercise of outstanding stock options, with exercise prices ranging from $0 to $19.35 and having a weighted-average exercise price of $11.70 per share;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211,239 shares of our common stock reserved for future grant under our 2017 Equity Incentive Plan;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7,531 shares of our common stock issuable upon the exercise of outstanding warrants, with exercise prices ranging from approximately $40.00 to $2,885 per share and having a weighted-average exercise price of $1,967 per share;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aggregate of approximately 36,667 shares of our common stock issuable upon the conversion of 550 shares of our Series A Convertible Preferred Stock, all of which were converted subsequent to September 30, 2018;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22,767 shares of common stock issuable upon exercise of the warrants to be issued to the placement agent in connection with this offering with an exercise price of $8.125 per share.</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above illustration of dilution per share to investors participating in this offering assumes no exercise of options or warrants to purchase shares of our common stock. The exercise of any such securities may increase dilution to purchasers in this offering. In addition, depending on market conditions, our capital requirements and strategic considerations, it is likely that we will need to pursue additional equity or convertible debt financings in the near term. Also, we may issue equity or convertible debt securities for other purposes, including, among others, stock splits, acquiring other businesses or assets or in connection with strategic alliances, attracting and retaining employees with equity compensation, anti-takeover purposes or other transactions. To the extent we raise additional capital or pursue any of these other purposes through the sale of equity or convertible debt securities, the issuance of these securities could result in further dilution to our stockholders.</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The shares of common stock and Pre-Funded Warrants and the shares of common stock issuable upon exercise of the Pre-Funded Warrants offered in this offering will be issued pursuant to securities purchase agreements between the investors and us. We urge you to review the form securities purchase agreement and the form of Pre-Funded Warrant, which will be included as exhibits to a current report on Form 8-K filed with the SEC in connection with this offering, for a complete description of the terms and conditions applicable to the securities. The following brief summary of the material terms and provisions of the Pre-Funded Warrants is subject to, and qualified in its entirety by, the form of Pre-Funded Warrant. This prospectus supplement also relates to the offering of the shares of our common stock issuable upon exercise, if any, of the Pre-Funded Warrants issued to the investors in this offering.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are offering 330,000 shares of our common stock, par value $0.01 per share, at an offering price of $6.50 per share. The material terms and provisions of our common stock are described under the heading “Description of Common Stock” starting on page 7 of the accompanying prospectus.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Pre-Funded Warrants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material terms and provisions of the Pre-Funded Warrants to purchase 125,323 shares of common stock being offered pursuant to this prospectus supplement and the accompanying prospectus are summarized below. This summary is subject to and qualified in its entirety by the form of Pre-Funded Warrant, which will be provided to the investor in this offering and will be filed with the SEC on a current report on Form 8-K in connection with this offering.</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General Terms of the Pre-Funded Warrants</w:t>
      </w:r>
      <w:r>
        <w:rPr>
          <w:rFonts w:ascii="Arial" w:cs="Arial" w:eastAsia="Arial" w:hAnsi="Arial"/>
          <w:sz w:val="18"/>
          <w:szCs w:val="18"/>
          <w:color w:val="auto"/>
        </w:rPr>
        <w:t>. The Pre-Funded Warrants to be issued in this offering represent the rights to purchase up to 125,323</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at an initial exercise price of $0.01 per share. Each Pre-Funded Warrant will be exercisable upon issuance and at any time thereafter until exercised in full.</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Exercise. </w:t>
      </w:r>
      <w:r>
        <w:rPr>
          <w:rFonts w:ascii="Arial" w:cs="Arial" w:eastAsia="Arial" w:hAnsi="Arial"/>
          <w:sz w:val="16"/>
          <w:szCs w:val="16"/>
          <w:color w:val="auto"/>
        </w:rPr>
        <w:t>Holders of the Pre-Funded Warrants may exercise their Pre-Funded Warrants to purchase shares of our common stock at any time after</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until exercised in full by delivering (i) notice of exercise, appropriately completed and duly signed, and (ii) if such holder is not utilizing the cashless exercise provisions with respect to the Pre-Funded Warrants, payment of the exercise price for the number of shares with respect to which the Pre-Funded Warrant is being exercised. Warrants may be exercised in whole or in part, but only for full shares of common stock. We provide certain rescission and buy-in rights to a holder if we fail to deliver the shares of common stock issuable upon exercise of the Pre-Funded Warrants by the date on which delivery of the stock certificate is required by the Pre-Funded Warrant. With respect to the rescission rights, the holder has the right to rescind the exercise if stock certificates are not timely delivered. The buy-in rights apply if after the date on which delivery of the stock certificate is required by the Pre-Funded Warrant, the holder purchases (in an open market transaction or otherwise) shares of our common stock to deliver in satisfaction of a sale by the holder of the Pre-Funded Warrant shares that the holder anticipated receiving from us upon exercise of the Pre-Funded Warrant. In this event, we will:</w:t>
      </w:r>
    </w:p>
    <w:p>
      <w:pPr>
        <w:spacing w:after="0" w:line="167" w:lineRule="exact"/>
        <w:rPr>
          <w:sz w:val="20"/>
          <w:szCs w:val="20"/>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in cash to the holder the amount equal to the excess (if any) of the buy-in price over the product of (A) such number of Pre-Funded Warrant shares that we were required to deliver to the holder times (B) the price at which the sell order giving rise to holder’s purchase obligation was executed; and</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the election of holder, either (A) reinstate the portion of the Pre-Funded Warrant as to such number of shares of common stock, or (B) deliver to the holder a certificate or certificates representing such number of shares of common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the Pre-Funded Warrant holders are entitled to a “cashless exercise” option if, at the time of exercise, there is no effective registration statement registering, or no current prospectus available for, the issuance of the shares of common stock underlying the Pre-Funded Warrants. This option entitles the Pre-Funded Warrant holders to elect to receive fewer shares of common stock without paying the cash exercise price. The number of shares to be issued would be determined by a formula set forth in the Pre-Funded Warrant.</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shares of common stock issuable on exercise of the Pre-Funded Warrants will be, when issued and paid for in accordance with the Pre-Funded Warrants, duly and validly authorized, issued and fully paid and non-assessable. We will authorize and reserve at least that number of shares of common stock equal to the number of shares of common stock issuable upon exercise of all outstanding Pre-Funded Warrants.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9" w:name="page20"/>
    <w:bookmarkEnd w:id="19"/>
    <w:p>
      <w:pPr>
        <w:jc w:val="both"/>
        <w:ind w:firstLine="648"/>
        <w:spacing w:after="0" w:line="268" w:lineRule="auto"/>
        <w:rPr>
          <w:sz w:val="20"/>
          <w:szCs w:val="20"/>
          <w:color w:val="auto"/>
        </w:rPr>
      </w:pPr>
      <w:r>
        <w:rPr>
          <w:rFonts w:ascii="Arial" w:cs="Arial" w:eastAsia="Arial" w:hAnsi="Arial"/>
          <w:sz w:val="17"/>
          <w:szCs w:val="17"/>
          <w:i w:val="1"/>
          <w:iCs w:val="1"/>
          <w:color w:val="auto"/>
        </w:rPr>
        <w:t>Fundamental Transactions</w:t>
      </w:r>
      <w:r>
        <w:rPr>
          <w:rFonts w:ascii="Arial" w:cs="Arial" w:eastAsia="Arial" w:hAnsi="Arial"/>
          <w:sz w:val="17"/>
          <w:szCs w:val="17"/>
          <w:color w:val="auto"/>
        </w:rPr>
        <w:t>. If, at any time while the Pre-Funded Warrants are outstanding, (1) we, in one or more related transactions, effect any</w:t>
      </w:r>
      <w:r>
        <w:rPr>
          <w:rFonts w:ascii="Arial" w:cs="Arial" w:eastAsia="Arial" w:hAnsi="Arial"/>
          <w:sz w:val="17"/>
          <w:szCs w:val="17"/>
          <w:i w:val="1"/>
          <w:iCs w:val="1"/>
          <w:color w:val="auto"/>
        </w:rPr>
        <w:t xml:space="preserve"> </w:t>
      </w:r>
      <w:r>
        <w:rPr>
          <w:rFonts w:ascii="Arial" w:cs="Arial" w:eastAsia="Arial" w:hAnsi="Arial"/>
          <w:sz w:val="17"/>
          <w:szCs w:val="17"/>
          <w:color w:val="auto"/>
        </w:rPr>
        <w:t>merger or consolidation with or into another person, (ii) we effect any sale, lease, license, assignment, transfer, conveyance or other disposition of all or substantially all of our assets in one or a series of related transactions, (iii) any, direct or indirect, purchase offer, tender offer or exchange offer (whether by us or another person) is completed pursuant to which holders of our common stock are permitted to sell, tender or exchange their shares for other securities, cash or property and has been accepted by the holders of 50% or more of our outstanding common stock, (iv) we, directly or indirectly, in one or more related transactions, effect any reclassification, reorganization or recapitalization of our common stock or any compulsory share exchange pursuant to which our common stock is effectively converted into or exchanged for other securities, cash or property, or (v) we, directly or indirectly, in one or more related transactions consummate a stock or share purchase agreement or other business combination (including, without limitation, a reorganization, recapitalization, spin-off or scheme of arrangement) with another person or group of persons whereby such other person or group acquires more than 50% of our outstanding common stock (not including any shares of our common stock held by such other person or other persons making or party to, or associated or affiliated with such other persons making or party to, such stock or share purchase agreement or other business combination) (each, a “Fundamental Transaction”), then the holder shall have the right thereafter to receive, upon exercise of the Pre-Funded Warrant, the same amount and kind of securities, cash or property as it would have been entitled to receive upon the occurrence of such Fundamental Transaction if it had been, immediately prior to such Fundamental Transaction, the holder of the number of Pre-Funded Warrant shares then issuable upon exercise of the Pre-Funded Warrant, and any additional consideration payable as part of the Fundamental Transaction.</w:t>
      </w:r>
    </w:p>
    <w:p>
      <w:pPr>
        <w:spacing w:after="0" w:line="1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Subsequent Rights Offerings</w:t>
      </w:r>
      <w:r>
        <w:rPr>
          <w:rFonts w:ascii="Arial" w:cs="Arial" w:eastAsia="Arial" w:hAnsi="Arial"/>
          <w:sz w:val="17"/>
          <w:szCs w:val="17"/>
          <w:color w:val="auto"/>
        </w:rPr>
        <w:t>. If, at any time while the Pre-Funded Warrants are outstanding, we issue rights, options or warrants to all holders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entitling them to purchase our common stock, warrants, securities or other property, then the holders of the Pre-Funded Warrants will be entitled to acquire those rights, options and warrants on the basis of the number of shares of common stock acquirable upon complete exercise of the Pre-Funded Warrants (without regard to any limitations on exercise thereof, including without limitation, the beneficial ownership limitation).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Pro Rata Distributions</w:t>
      </w:r>
      <w:r>
        <w:rPr>
          <w:rFonts w:ascii="Arial" w:cs="Arial" w:eastAsia="Arial" w:hAnsi="Arial"/>
          <w:sz w:val="18"/>
          <w:szCs w:val="18"/>
          <w:color w:val="auto"/>
        </w:rPr>
        <w:t>. If, at any time while the Pre-Funded Warrants are outstanding, we make a dividend or distribution of assets or rights to</w:t>
      </w:r>
      <w:r>
        <w:rPr>
          <w:rFonts w:ascii="Arial" w:cs="Arial" w:eastAsia="Arial" w:hAnsi="Arial"/>
          <w:sz w:val="18"/>
          <w:szCs w:val="18"/>
          <w:i w:val="1"/>
          <w:iCs w:val="1"/>
          <w:color w:val="auto"/>
        </w:rPr>
        <w:t xml:space="preserve"> </w:t>
      </w:r>
      <w:r>
        <w:rPr>
          <w:rFonts w:ascii="Arial" w:cs="Arial" w:eastAsia="Arial" w:hAnsi="Arial"/>
          <w:sz w:val="18"/>
          <w:szCs w:val="18"/>
          <w:color w:val="auto"/>
        </w:rPr>
        <w:t>acquire assets to all holders of our common stock, the holders of the Pre-Funded Warrants will be entitled to participate in the dividend or distribution of assets or rights to acquire assets on the basis of the number of shares of common stock acquirable upon complete exercise of the Pre-Funded Warrants (without regard to any limitations on exercise thereof, including without limitation, the beneficial ownership limitation).</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Certain Adjustments</w:t>
      </w:r>
      <w:r>
        <w:rPr>
          <w:rFonts w:ascii="Arial" w:cs="Arial" w:eastAsia="Arial" w:hAnsi="Arial"/>
          <w:sz w:val="16"/>
          <w:szCs w:val="16"/>
          <w:color w:val="auto"/>
        </w:rPr>
        <w:t>. The exercise price and the number of shares of common stock purchasable upon the exercise of the Pre-Funded Warrants are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adjustment upon the occurrence of specific events, including stock dividends, stock splits, combinations and reclassifications of our common stock.</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Delivery of Shares</w:t>
      </w:r>
      <w:r>
        <w:rPr>
          <w:rFonts w:ascii="Arial" w:cs="Arial" w:eastAsia="Arial" w:hAnsi="Arial"/>
          <w:sz w:val="17"/>
          <w:szCs w:val="17"/>
          <w:color w:val="auto"/>
        </w:rPr>
        <w:t>. Upon the holder’s exercise of a Pre-Funded Warrant, we will promptly, but in no event later than two trading days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to the Company of the notice of exercise and no later than one trading date after the delivery to the Company of the aggregate exercise price, issue and deliver, or cause to be issued and delivered, the shares of common stock issuable upon exercise of the Pre-Funded Warrant. In addition, we will, if the holder provides the necessary information to us, issue and deliver the shares electronically through The Depository Trust Corporation through its Deposit Withdrawal Agent Commission System (DWAC) or another established clearing corporation performing similar functions. If we fail for any reason to timely deliver to the investor the Pre-Funded Warrant shares, we will pay to the investor, in cash, as liquidated damages and not as a penalty, for each $1,000 of Pre-Funded Warrant shares subject to such exercise, $10 per trading day (increasing to $20 per trading day on the fifth trading day after such liquidated damages begin to accrue) for each trading day after the trading day on which the Pre-Funded Warrant shares were required to be delivered, until such Pre-Funded Warrant shares are delivered or the investor rescinds such exercise.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Notice of Corporate Action</w:t>
      </w:r>
      <w:r>
        <w:rPr>
          <w:rFonts w:ascii="Arial" w:cs="Arial" w:eastAsia="Arial" w:hAnsi="Arial"/>
          <w:sz w:val="16"/>
          <w:szCs w:val="16"/>
          <w:color w:val="auto"/>
        </w:rPr>
        <w:t>. We will provide notice to holders of the Pre-Funded Warrants to provide them with the opportunity to exercise their Pre-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Funded Warrants and hold common stock in order to participate in or vote on the following corporate events:</w:t>
      </w:r>
    </w:p>
    <w:p>
      <w:pPr>
        <w:spacing w:after="0" w:line="211" w:lineRule="exact"/>
        <w:rPr>
          <w:sz w:val="20"/>
          <w:szCs w:val="20"/>
          <w:color w:val="auto"/>
        </w:rPr>
      </w:pPr>
    </w:p>
    <w:p>
      <w:pPr>
        <w:ind w:left="660" w:right="2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shall take a record of the holders of our common stock for the purpose of entitling them to receive a dividend or other distribution, or a redemption of common stock, or any warrant or right to subscribe for or purchase any shares of stock of any class or any other right;</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reclassification of our capital stock or any consolidation or merger with, or any sale, transfer or other disposition of all or substantially all of our property, assets or business to, or any compulsory share exchange with, another corporation;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voluntary or involuntary dissolution, liquidation or winding up of our Company.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engaged H.C. Wainwright &amp; Co., LLC, or Wainwright or the placement agent, to act as our exclusive placement agent to solicit offers to purchase the shares of our common stock and pre-funded warrants offered by this prospectus supplement and the accompanying base prospectus. Wainwright is not purchasing or selling any such securities, nor is it required to arrange for the purchase and sale of any specific number or dollar amount of such securities, other than to use its “reasonable best efforts” to arrange for the sale of such securities by us. Therefore, we may not sell all of the shares of our common stock and pre-funded warrants being offered. The terms of this offering were subject to market conditions and negotiations between us, Wainwright and prospective investors. Wainwright will have no authority to bind us by virtue of the engagement letter. We have entered into a securities purchase agreement directly with an institutional and accredited investor who has agreed to purchase shares of our common stock in this offering.</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Delivery of the shares of common stock offered hereby is expected to take place on or about January 16, 2019, subject to satisfaction of certain conditions.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have agreed to pay the placement agent a total cash fee equal to 7.0% of the aggregate gross proceeds of this offering, and we have also agreed to pay the placement agent a management fee equal to 1.0% of the aggregate gross proceeds of this offering; a non-accountable expense allowance of $25,000 in this offering; up to $75,000 for fees and expenses of legal counsel and other out-of-pocket expenses actually incurred in connection with this offering; inclusive of the Advance described below; up to $10,000 for the clearing expenses of the placement agent in connection with this offering and certain other reimbursement amounts payable. In addition, we have agreed to issue to the placement agent, at the closing of this offering, warrants to purchase 5% of the number of shares of our common stock sold in this offering (warrants to purchase up to 22,767 shares of our common stock). Such warrants will have a term of 3.5 years, are not exercisable for a period of six month following their issuance, and have an exercise price equal to 125% of the offering price ($8.125 per share). Neither the placement agent’s warrants nor the shares of our common stock issuable upon exercise thereof are being registered hereby. Pursuant to Rule 5110(g) of the Financial Industry Regulatory Authority, or FINRA, the placement agent’s warrants and any shares issued upon exercise thereof will not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in this offering, except: (i) the transfer of any security by operation of law or by reason of our reorganization; (ii) the transfer of any security to any FINRA member firm participating in the offering and the officers or partners thereof, if all securities so transferred remain subject to the lock-up restriction set forth above for the remainder of the time period; (iii) the transfer of any security if the aggregate amount of our securities held by the placement agent or related persons do not exceed 1% of the securities being offered; (iv) the transfer of any security that is beneficially owned on a pro-rata basis by all equity owners of an investment fund, provided that no participating member manages or otherwise directs investments by the fund and the participating members in the aggregate do not own more than 10% of the equity in the fund; or (v) the exercise or conversion of any security, if all securities remain subject to the lock-up restriction set forth above for the remainder of the time period.</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paid an advance of $35,000 to the placement agent (the “Advance”), which will be applied against accountable expenses that will be paid by us to the placement agent in connection with this offering, which advance will be refunded to us to the extent not actually incurred by the placement agent in the event this offering is terminated.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also granted the placement agent a right of first refusal for a period of twelve months following the closing of this offering to act as sole book-running manager, sole underwriter or sole placement agent for each and every future public offering or private placement of equity or debt securities by us or any of our subsidiaries.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also agreed to pay the placement agent a tail fee equal to the cash and warrant compensation in this offering if any investor which the placement agent contacted or introduced us to during the term of the placement agent’s engagement (other than investors who have a pre-existing relationship with us) provides us with further capital in a public or private offering or capital raising transaction and such offering or transaction is consummated during the six-month period following termination or expiration of that certain engagement letter, dated October 12, 2018, as amended, entered into between us and the placement agent, which has a four-month term.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1" w:name="page22"/>
    <w:bookmarkEnd w:id="21"/>
    <w:p>
      <w:pPr>
        <w:jc w:val="both"/>
        <w:ind w:firstLine="648"/>
        <w:spacing w:after="0" w:line="342" w:lineRule="auto"/>
        <w:rPr>
          <w:sz w:val="20"/>
          <w:szCs w:val="20"/>
          <w:color w:val="auto"/>
        </w:rPr>
      </w:pPr>
      <w:r>
        <w:rPr>
          <w:rFonts w:ascii="Arial" w:cs="Arial" w:eastAsia="Arial" w:hAnsi="Arial"/>
          <w:sz w:val="16"/>
          <w:szCs w:val="16"/>
          <w:color w:val="auto"/>
        </w:rPr>
        <w:t>We estimate the total expenses of this offering paid or payable by us, will be approximately $686,768. After deducting the fees due to the placement agent and our estimated expenses in connection with this offering, we expect the net proceeds from this offering will be approximately $2,272,832.</w:t>
      </w:r>
    </w:p>
    <w:p>
      <w:pPr>
        <w:spacing w:after="0" w:line="1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placement agent may be deemed to be an underwriter within the meaning of Section 2(a)(11) of the Securities Act of 1933, as amended, or the Securities Act, and any commissions received by it and any profit realized on the sale of our shares of common stock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agreed to indemnify the placement agent against certain liabilities, including liabilities under the Securities Act and liabilities arising from breaches of representations and warranties contained in our engagement letter with the placement agent. We have also agreed to contribute to payments the placement agent may be required to make in respect of such liabilities.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will indemnify the purchaser of shares of our common stock in this offering against liabilities arising out of or relating to (i) any breach of any of the representations, warranties, covenants or agreements made by us in the securities purchase agreement or related documents or (ii) any action instituted against a purchaser by a third party (other than a third party who is affiliated with such purchaser) with respect to the securities purchase agreement or related documents and the transactions contemplated thereby, subject to certain exceptions.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From time to time, Wainwright may provide in the future various advisory, investment and commercial banking and other services to us in the ordinary course of business, for which they have received and may continue to receive customary fees and commissions. However, except as disclosed in this prospectus supplement, we have no present arrangements with Wainwright for any further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Market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under the symbol “MBOT.”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validity of the shares being offered under this prospectus supplement by us will be passed upon for us by Mintz, Levin, Cohn, Ferris, Glovsky and Popeo, P.C., Boston, Massachusetts. Lowenstein Sandler, LLP, New York, New York is acting as counsel for the placement agent in connection with this offering.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consolidated financial statements of Microbot Medical Inc. as of December 31, 2017, and for the year then ended, incorporated by reference in this prospectus supplement and the registration statement of which this prospectus forms a part have been audited by Brightman Almagor Zohar &amp; Co., a Member of Deloitte Touche Tohmatsu Limited, independent registered public accounting firm, as set forth in its report thereon incorporated by reference herein, and are included in reliance upon such reports given on the authority of such firms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the reporting requirements of the Exchange Act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website at http://www.sec.gov.</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prospectus supplement and the accompanying prospectus are only part of a registration statement on Form S-3 that we have filed with the SEC under the Securities Act and therefore omit certain information contained in the registration statement. We have also filed exhibits and schedules with the registration statement that are excluded from this prospectus supplement and the accompanying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maintain a website at www.microbotmedical.com, through which you can access our SEC filings. The information set forth on our website is not part of this prospectus supplement or the accompanying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66"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incorporate by reference into this prospectus and the registration statement of which this prospectus is a part the information or documents listed below that we have filed with the SEC (Commission File No. 001-19871):</w:t>
      </w:r>
    </w:p>
    <w:p>
      <w:pPr>
        <w:spacing w:after="0" w:line="17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2017 filed with the SEC on April 2, 2018;</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2018, June 30, 2018 and September 30, 2018, filed with the SEC on May 15, 2018, August 14, 2018, and November 14, 2018 respectively;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with the SEC on July 27, 2018;</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current reports on Form 8-K and any amendments thereto on Form 8-K/A, filed with the SEC on January 8, 2018, January 31, 2018, March 28, 2018, April 5, 2018, April 16, 2018, September 4, 2018, October 1, 2018, November 19, 2018, November 30, 2018, December 12, 2018 and January 14, 2019 (in each case, except for information contained therein which is furnished rather than filed); and</w:t>
      </w:r>
    </w:p>
    <w:p>
      <w:pPr>
        <w:spacing w:after="0" w:line="165"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August 3, 1998, including all amendments and reports filed for the purpose of updating such description.</w:t>
      </w:r>
    </w:p>
    <w:p>
      <w:pPr>
        <w:spacing w:after="0" w:line="17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 addition, all documents subsequently filed by us pursuant to Sections 13(a), 13(c), 14 or 15(d) of the Exchange Act, prior to the termination of the offering (excluding any information furnished rather than filed) shall be deemed to be incorporated by reference into this prospectus.</w:t>
      </w:r>
    </w:p>
    <w:p>
      <w:pPr>
        <w:spacing w:after="0" w:line="14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will provide to each person, including any beneficial owners, to whom a prospectus is delivered, a copy of any or all of the reports or documents that have been incorporated by reference in the prospectus contained in the registration statement but not delivered with the prospectus. We will provide these reports or documents upon written or oral request at no cost to the requester. You should direct any written requests for documents to Microbot Medical Inc. Attn: Chief Financial Officer, 25 Recreation Park Drive, Unit 108, Hingham, Massachusetts 02043. You may also telephone us at (781) 875-3605.</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154940</wp:posOffset>
            </wp:positionV>
            <wp:extent cx="2658745" cy="13290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5874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will allow us to issue, from time to time at prices and on terms to be determined at or prior to the time of the offering, up to $75,000,000 of any combination of the securities described in this prospectus, either individually or in units. We may also offer common stock or preferred stock upon conversion of or exchange for the debt securities; common stock upon conversion of or exchange for the preferred stock; common stock, preferred stock or debt securities upon the exercise of warrants, rights or performance of purchase contracts; or any combination of these securities upon the performance of purchase contracts.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8" w:lineRule="exact"/>
        <w:rPr>
          <w:sz w:val="20"/>
          <w:szCs w:val="20"/>
          <w:color w:val="auto"/>
        </w:rPr>
      </w:pPr>
    </w:p>
    <w:p>
      <w:pPr>
        <w:jc w:val="both"/>
        <w:ind w:firstLine="495"/>
        <w:spacing w:after="0" w:line="297" w:lineRule="auto"/>
        <w:rPr>
          <w:sz w:val="20"/>
          <w:szCs w:val="20"/>
          <w:color w:val="auto"/>
        </w:rPr>
      </w:pPr>
      <w:r>
        <w:rPr>
          <w:rFonts w:ascii="Arial" w:cs="Arial" w:eastAsia="Arial" w:hAnsi="Arial"/>
          <w:sz w:val="16"/>
          <w:szCs w:val="16"/>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58" w:lineRule="exact"/>
        <w:rPr>
          <w:sz w:val="20"/>
          <w:szCs w:val="20"/>
          <w:color w:val="auto"/>
        </w:rPr>
      </w:pPr>
    </w:p>
    <w:p>
      <w:pPr>
        <w:jc w:val="both"/>
        <w:ind w:firstLine="495"/>
        <w:spacing w:after="0" w:line="302" w:lineRule="auto"/>
        <w:rPr>
          <w:sz w:val="20"/>
          <w:szCs w:val="20"/>
          <w:color w:val="auto"/>
        </w:rPr>
      </w:pPr>
      <w:r>
        <w:rPr>
          <w:rFonts w:ascii="Arial" w:cs="Arial" w:eastAsia="Arial" w:hAnsi="Arial"/>
          <w:sz w:val="16"/>
          <w:szCs w:val="16"/>
          <w:color w:val="auto"/>
        </w:rPr>
        <w:t>Our common stock is listed on The NASDAQ Capital Market under the symbol “MBOT.” On March 30, 2017, the last reported sale price of our common stock on The NASDAQ Capital Market was $5.87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50" w:lineRule="exact"/>
        <w:rPr>
          <w:sz w:val="20"/>
          <w:szCs w:val="20"/>
          <w:color w:val="auto"/>
        </w:rPr>
      </w:pPr>
    </w:p>
    <w:p>
      <w:pPr>
        <w:jc w:val="both"/>
        <w:ind w:firstLine="495"/>
        <w:spacing w:after="0" w:line="261" w:lineRule="auto"/>
        <w:rPr>
          <w:sz w:val="20"/>
          <w:szCs w:val="20"/>
          <w:color w:val="auto"/>
        </w:rPr>
      </w:pPr>
      <w:r>
        <w:rPr>
          <w:rFonts w:ascii="Arial" w:cs="Arial" w:eastAsia="Arial" w:hAnsi="Arial"/>
          <w:sz w:val="18"/>
          <w:szCs w:val="18"/>
          <w:b w:val="1"/>
          <w:bCs w:val="1"/>
          <w:color w:val="auto"/>
        </w:rPr>
        <w:t>Investing in our securities involves a high degree of risk. Before deciding whether to invest in our securities, you should consider carefully the risks that we have described on page 3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180" w:lineRule="exact"/>
        <w:rPr>
          <w:sz w:val="20"/>
          <w:szCs w:val="20"/>
          <w:color w:val="auto"/>
        </w:rPr>
      </w:pPr>
    </w:p>
    <w:p>
      <w:pPr>
        <w:jc w:val="both"/>
        <w:ind w:right="20" w:firstLine="495"/>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April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60" w:type="dxa"/>
            <w:vAlign w:val="bottom"/>
            <w:gridSpan w:val="4"/>
          </w:tcPr>
          <w:p>
            <w:pPr>
              <w:ind w:left="24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CCEEFF"/>
            </w:tcBorders>
          </w:tcPr>
          <w:p>
            <w:pPr>
              <w:spacing w:after="0"/>
              <w:rPr>
                <w:sz w:val="24"/>
                <w:szCs w:val="24"/>
                <w:color w:val="auto"/>
              </w:rPr>
            </w:pPr>
          </w:p>
        </w:tc>
        <w:tc>
          <w:tcPr>
            <w:tcW w:w="1840" w:type="dxa"/>
            <w:vAlign w:val="bottom"/>
            <w:tcBorders>
              <w:top w:val="single" w:sz="8" w:color="auto"/>
              <w:bottom w:val="single" w:sz="8" w:color="CCEEFF"/>
            </w:tcBorders>
          </w:tcPr>
          <w:p>
            <w:pPr>
              <w:spacing w:after="0"/>
              <w:rPr>
                <w:sz w:val="24"/>
                <w:szCs w:val="24"/>
                <w:color w:val="auto"/>
              </w:rPr>
            </w:pPr>
          </w:p>
        </w:tc>
        <w:tc>
          <w:tcPr>
            <w:tcW w:w="4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80" w:type="dxa"/>
            <w:vAlign w:val="bottom"/>
            <w:tcBorders>
              <w:bottom w:val="single" w:sz="8" w:color="0000EE"/>
            </w:tcBorders>
            <w:gridSpan w:val="7"/>
            <w:shd w:val="clear" w:color="auto" w:fill="CCEEFF"/>
          </w:tcPr>
          <w:p>
            <w:pPr>
              <w:spacing w:after="0" w:line="136" w:lineRule="exact"/>
              <w:rPr>
                <w:rFonts w:ascii="Arial" w:cs="Arial" w:eastAsia="Arial" w:hAnsi="Arial"/>
                <w:sz w:val="15"/>
                <w:szCs w:val="15"/>
                <w:b w:val="1"/>
                <w:bCs w:val="1"/>
                <w:color w:val="0000EE"/>
              </w:rPr>
            </w:pPr>
            <w:hyperlink w:anchor="page27">
              <w:r>
                <w:rPr>
                  <w:rFonts w:ascii="Arial" w:cs="Arial" w:eastAsia="Arial" w:hAnsi="Arial"/>
                  <w:sz w:val="15"/>
                  <w:szCs w:val="15"/>
                  <w:b w:val="1"/>
                  <w:bCs w:val="1"/>
                  <w:color w:val="0000EE"/>
                </w:rPr>
                <w:t>PROSPECTUS SUMMARY</w:t>
              </w:r>
            </w:hyperlink>
          </w:p>
        </w:tc>
        <w:tc>
          <w:tcPr>
            <w:tcW w:w="8580" w:type="dxa"/>
            <w:vAlign w:val="bottom"/>
            <w:tcBorders>
              <w:bottom w:val="single" w:sz="8" w:color="CCEEFF"/>
            </w:tcBorders>
            <w:gridSpan w:val="12"/>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9"/>
          </w:tcPr>
          <w:p>
            <w:pPr>
              <w:spacing w:after="0" w:line="17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NOTE REGARDING FORWARD-LOOKING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20" w:type="dxa"/>
            <w:vAlign w:val="bottom"/>
            <w:tcBorders>
              <w:top w:val="single" w:sz="8" w:color="0000EE"/>
            </w:tcBorders>
            <w:gridSpan w:val="17"/>
          </w:tcPr>
          <w:p>
            <w:pPr>
              <w:spacing w:after="0" w:line="17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USE OF PROCEEDS</w:t>
              </w:r>
            </w:hyperlink>
          </w:p>
        </w:tc>
        <w:tc>
          <w:tcPr>
            <w:tcW w:w="594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PLAN OF DISTRIBUTION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9"/>
          </w:tcPr>
          <w:p>
            <w:pPr>
              <w:spacing w:after="0" w:line="17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DESCRIPTION OF COMMON STOCK</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DESCRIPTION OF PREFERRED STOCK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40" w:type="dxa"/>
            <w:vAlign w:val="bottom"/>
            <w:tcBorders>
              <w:top w:val="single" w:sz="8" w:color="0000EE"/>
            </w:tcBorders>
            <w:gridSpan w:val="12"/>
          </w:tcPr>
          <w:p>
            <w:pPr>
              <w:spacing w:after="0" w:line="17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DESCRIPTION OF WARRANTS</w:t>
              </w:r>
            </w:hyperlink>
          </w:p>
        </w:tc>
        <w:tc>
          <w:tcPr>
            <w:tcW w:w="742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DESCRIPTION OF DEBT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0" w:type="dxa"/>
            <w:vAlign w:val="bottom"/>
            <w:tcBorders>
              <w:top w:val="single" w:sz="8" w:color="0000EE"/>
            </w:tcBorders>
            <w:gridSpan w:val="11"/>
          </w:tcPr>
          <w:p>
            <w:pPr>
              <w:spacing w:after="0" w:line="17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DESCRIPTION OF RIGHTS</w:t>
              </w:r>
            </w:hyperlink>
          </w:p>
        </w:tc>
        <w:tc>
          <w:tcPr>
            <w:tcW w:w="7560" w:type="dxa"/>
            <w:vAlign w:val="bottom"/>
            <w:tcBorders>
              <w:top w:val="single" w:sz="8" w:color="CCEEFF"/>
            </w:tcBorders>
            <w:gridSpan w:val="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DESCRIPTION OF PURCHASE CONTRACTS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40" w:type="dxa"/>
            <w:vAlign w:val="bottom"/>
            <w:tcBorders>
              <w:top w:val="single" w:sz="8" w:color="0000EE"/>
            </w:tcBorders>
            <w:gridSpan w:val="13"/>
          </w:tcPr>
          <w:p>
            <w:pPr>
              <w:spacing w:after="0" w:line="176"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DESCRIPTION OF UNITS</w:t>
              </w:r>
            </w:hyperlink>
          </w:p>
        </w:tc>
        <w:tc>
          <w:tcPr>
            <w:tcW w:w="702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b w:val="1"/>
                <w:bCs w:val="1"/>
                <w:color w:val="0000EE"/>
                <w:w w:val="99"/>
              </w:rPr>
            </w:pPr>
            <w:hyperlink w:anchor="page48">
              <w:r>
                <w:rPr>
                  <w:rFonts w:ascii="Arial" w:cs="Arial" w:eastAsia="Arial" w:hAnsi="Arial"/>
                  <w:sz w:val="18"/>
                  <w:szCs w:val="18"/>
                  <w:b w:val="1"/>
                  <w:bCs w:val="1"/>
                  <w:color w:val="0000EE"/>
                  <w:w w:val="99"/>
                </w:rPr>
                <w:t>LEGAL MATTERS</w:t>
              </w:r>
            </w:hyperlink>
          </w:p>
        </w:tc>
        <w:tc>
          <w:tcPr>
            <w:tcW w:w="922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9"/>
          </w:tcPr>
          <w:p>
            <w:pPr>
              <w:spacing w:after="0" w:line="17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EXPERTS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2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WHERE YOU CAN FIND MORE INFORMATION</w:t>
              </w:r>
            </w:hyperlink>
          </w:p>
        </w:tc>
        <w:tc>
          <w:tcPr>
            <w:tcW w:w="674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9"/>
          </w:tcPr>
          <w:p>
            <w:pPr>
              <w:spacing w:after="0" w:line="17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INCORPORATION OF DOCUMENTS BY REFERENCE</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(the “SEC”) utilizing a “shelf” registration process. Under this shelf process, we may sell different types of securities described in this prospectus, either individually or in units, in one or more offerings, up to a total value of $75,000,000. This prospectus provides you with a general description of the securities we may offer. Each time we offer securities, we will provide a prospectus supplement that will contain specific information about the terms of that offering.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both this prospectus and any prospectus supplement, including all documents incorporated herein by reference, together with additional information described under the headings “Where You Can Find More Information” and “Incorporation of Documents by Reference.”</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does not contain all of the information that is in the registration statement. We omitted certain parts of the registration statement from this prospectus as permitted by the SEC. We refer you to the registration statement and its exhibits for additional information about us and the securities that may be sold under this prospectus.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authorized anyone to provide you with different information. If anyone provides you with different or inconsistent information, you should not rely on it. We are not making an offer to sell these securities in any jurisdiction where the offer is not permitted. The information contained in this prospectus is accurate only as of the date of this prospectus, regardless of the time of delivery of this prospectus or the time of any sale of our securities. Our business, financial condition, results of operations, and prospects may have changed since such date.</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allocated risk among the parties to such agreements, and should not be deemed to be a representation, warranty or covenant to you. Moreoever, such representations, warranties or covenants were accurate only as of the date when made. Accordingly, such representations, warranties and covenants should not be relied on as accurately representing the current state of our affairs.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Unless the context indicates otherwise in this prospectus, the terms “Microbot,” the “Company,” “we,” “our” or “us” in this prospectus refer to Microbot Medical Inc. and its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This summary highlights selected information about our Company, the offering of our securities under this prospectus and information appearing elsewhere in this prospectus and in the documents we incorporate by reference. This summary is not complete and does not contain all the information that you should consider before investing in our securities. You should read this entire prospectus carefully, including “Risk Factors” contained in this prospectus beginning on page 3, and the more detailed financial statements, notes to the consolidated financial statements and other information incorporated by reference from our filings with the SEC or included in any applicable prospectus supplement. Investing in our securities involves risks. Therefore, carefully consider the risk factors set forth in any prospectus supplement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conditions, as well as adversely affect the value of an investment in our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improving surgical outcomes for patients.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currently developing our first two product candidates: the Self Cleaning Shunt, or SCS, for the treatment of hydrocephalus and Normal Pressure Hydrocephalus, or NPH; and TipCAT, a self-propelling, semi-disposable endoscope that is being developed initially for use in colonoscopy procedures. Our product candidates are being designed to bring greater functionality to conventional medical devices and to reduce the known risks associated with such devices. We are currently planning to complete pre-clinical studies required for regulatory submission for both product candidates within the next 24 months.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Microbot currently holds an intellectual property portfolio that comprises nine patent families, which include nine patents granted in the United States, twelve patents granted outside the United States, and 15 patent applications pending worldwide. We have an exclusive license to key components of our technology.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additional information related to our business and operations, please refer to the reports incorporated herein by reference, including our Annual Report on Form 10-K for the year ended December 31, 2016 as described under the caption “Incorporation of Documents by Reference” on page 22 of this prospectus.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Company was incorporated on August 2, 1988 in the State of Delaware under the name Cellular Transplants, Inc. The original Certificate of Incorporation was restated on February 14, 1992 to change the name of the Company to CytoTheraputics, Inc. On May 24, 2000, the Certificate of Incorporation as restated was further amended to change the name of the Company to StemCells, Inc. On November 28, 2016, C&amp;RD Israel Ltd., a wholly-owned subsidiary of the Company, completed its merger with and into Microbot Medical Ltd., an Israeli corporation, with Microbot Israel Ltd. surviving as a wholly-owned subsidiary of the Company, or the Merger. Prior to the Merger, the Company was a biopharmaceutical company that operated in one segment: the research, development, and commercialization of stem cell therapeutics and related technologies. Immediately following the closing of the Merger, the business of Microbot Medical Ltd. became our sole focus. In connection with the Merger, we also changed our name from StemCells, Inc. to Microbot Medical Inc. On November 29, 2016, the stock of the Company began trading on the NASDAQ Capital Market under the symbol “MBOT”.</w:t>
      </w:r>
    </w:p>
    <w:p>
      <w:pPr>
        <w:spacing w:after="0" w:line="166"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Our principal executive offices are located at 25 Recreation Park Drive, Unit 108, Hingham, Massachusetts 02043. Microbot also has a principal executive office at 5 Hamada Street,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 Yokneam, Israel. Our telephone number is (908) 938-5561.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jc w:val="both"/>
        <w:ind w:firstLine="648"/>
        <w:spacing w:after="0" w:line="312" w:lineRule="auto"/>
        <w:rPr>
          <w:sz w:val="20"/>
          <w:szCs w:val="20"/>
          <w:color w:val="auto"/>
        </w:rPr>
      </w:pPr>
      <w:r>
        <w:rPr>
          <w:rFonts w:ascii="Arial" w:cs="Arial" w:eastAsia="Arial" w:hAnsi="Arial"/>
          <w:sz w:val="16"/>
          <w:szCs w:val="16"/>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Offerings Under This Prospectus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this prospectus, we may offer shares of our common stock and preferred stock, various series of debt securities and/or warrants, either individually or in units, with a total value of up to $75,000,000,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8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maturity, if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redemption or conversion terms,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conversion or exercise prices, if any.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8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ANY SECURITIES UNLESS IT IS ACCOMPANIED BY A PROSPECTUS SUPPLEMENT.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Investing in our securities involves significant risk. The prospectus supplement applicable to each offering of our securities may contain a discussion of the risks applicable to an investment in Microbot. Prior to making a decision about investing in our securities, you should consider the “Risk Factors” included and incorporated by reference in this prospectus and any applicable prospectus supplement, including the risk factors incorporated by reference from our most recent Annual Report on Form 10-K, as updated by our Quarterly Reports on Form 10-Q and our other filings with the SEC pursuant to Sections 13(a), 13(c), 14 or 15(d) of the Exchange Act filed after such annual report.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offer debt securities and/or preference equity securities under this prospectus, then we will, if required at that time, provide a ratio of earnings to fixed charges and/or ratio of combined fixed charges and preference dividends to earnings, respectively, in the applicable prospectus supplement for such offering.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This prospectus and the documents incorporated by reference in this prospectus include forward-looking statements within the meaning of Section 27A of the Securities Act of 1933, or the Securities Act, and Section 21E of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the FDA,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the Company’s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and regulatory developments in Israel; and other risks to which we are subject.</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“Business,” “Risk Factors,” and “Management’s Discussion and Analysis of Financial Condition and Results of Operations,”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our operations, our further development and commercialization of our product candidates, and other general corporate purposes, which may include, but are not limited to, working capital, intellectual property protection and enforcement, capital expenditures, repayment of indebtedness, investments, acquisitions and collaborations.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interest-bearing securities or apply them to the reduction of short-term indebtedness. Additional information on the use of proceeds from the sale of securities offered by this prospectus may be set forth in the prospectus supplement relating to that offering.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sell securities in any of the ways described below, including any combination thereof:</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 one or more agents;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directly to purchasers or to a single purchaser.</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distribution of the securities may be effected from time to time in one or more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 and the amounts of securities underwritten or purchased by each of them;</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 and the proceeds to us and any discounts, commissions or concessions allowed or reallowed or paid to dealers;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Any initial public offering price and any discounts or concessions allowed or reallowed or paid to dealers may be changed from time to time.</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Only the underwriters, dealers or agents named in the prospectus supplement are underwriters, dealers or agents in connection with the securities being offered.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be subject only to those conditions set forth in the prospectus supplement, and the prospectus supplement will set forth any commissions we pay for solicitation of these contracts.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p>
      <w:pPr>
        <w:jc w:val="both"/>
        <w:ind w:firstLine="648"/>
        <w:spacing w:after="0" w:line="259" w:lineRule="auto"/>
        <w:rPr>
          <w:sz w:val="20"/>
          <w:szCs w:val="20"/>
          <w:color w:val="auto"/>
        </w:rPr>
      </w:pPr>
      <w:r>
        <w:rPr>
          <w:rFonts w:ascii="Arial" w:cs="Arial" w:eastAsia="Arial" w:hAnsi="Arial"/>
          <w:sz w:val="18"/>
          <w:szCs w:val="18"/>
          <w:color w:val="auto"/>
        </w:rPr>
        <w:t>Agents, underwriters and other third parties described above may be entitled to indemnification by us against certain civil liabilities, including liabilities under the Securities Act, or to contribution with respect to payments which the agents or underwriters may be required to make in respect thereof. Agents, underwriters and such other third parties may be customers of, engage in transactions with, or perform services for us in the ordinary course of business.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One or more firms, referred to as “remarketing firms,” may also offer or sell the securities, if the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The prospectus supplement will identify any remarketing firm and describe the terms of its agreement, if any, with us and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of the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Shares of our common stock sold pursuant to the registration statement of which the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The securities may be new issues of securities and may have no established trading market. The securities may or may not be listed on a national securities exchange. Underwriters may make a market in these securities, but will not be obligated to do so and may discontinue any market making at any time without notice. We can make no assurance as to the liquidity of, or the existence, development or maintenance of trading markets for, any of the securities.</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Certain persons participating in this offering may engage in transactions that stabilize, maintain or otherwise affect the price of the securities. This may include overallotment, stabilizing transactions, short covering transactions and penalty bids in accordance with rules and regulations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underwriters, dealers and agents may engage in other transactions with us, or perform other services for us, in the ordinary course of their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authorized to issue 220,000,000 shares of common stock, par value $0.01 per share. As of March 31, 2017 we had 27,251,333 shares of common stock issued and outstanding and approximately 245 common stockholders of record. The following summary of certain provisions of our common stock does not purport to be complete. You should refer to our certificate of incorporation and our bylaws, copies of which are on file with the SEC as exhibits to previous SEC filings. Please refer to “Where You Can Find More Information” below for directions on obtaining these documents. The summary below is also qualified by provisions of applicable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Capital Market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for quotation on the NASDAQ Capital Market under the symbol “MBOT.”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have authority to issue 1,000,000 shares of preferred stock, par value $0.01 per share. As of March 31, 2017 we had 9,736 shares of Series A Convertible Preferred Stock issued and outstanding. As of the date of this prospectus, no other shares of our preferred stock were outstanding or designated.</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summary of certain provisions of our preferred stock does not purport to be complete. You should refer to our certificate of incorporation and by-laws, as amended to date, copies of which are on file with the SEC as exhibits to previous SEC filings. Please refer to “Where You Can Find More Information” below for directions on obtaining these documents. The summary below is also qualified by provisions of applicable law.</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board of directors is authorized, without stockholder approval, from time to time, to issue shares of preferred stock in series and may, at the time of issuance, subject to Delaware law and our certificate of incorporation and by-laws,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8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shares offered, the liquidation preference per share and the purchase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for such dividends;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provisions for redemption, if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conversion period;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exchange period;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liquidation, dissolution or winding up of the affairs of the Company;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material limitations on issuance of any class or series of preferred stock ranking senior to or on a parity with the series of preferred stock as to dividend rights and rights upon liquidation, dissolution or winding up of the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4" w:name="page35"/>
    <w:bookmarkEnd w:id="34"/>
    <w:p>
      <w:pPr>
        <w:jc w:val="both"/>
        <w:ind w:firstLine="648"/>
        <w:spacing w:after="0" w:line="277" w:lineRule="auto"/>
        <w:rPr>
          <w:sz w:val="20"/>
          <w:szCs w:val="20"/>
          <w:color w:val="auto"/>
        </w:rPr>
      </w:pPr>
      <w:r>
        <w:rPr>
          <w:rFonts w:ascii="Arial" w:cs="Arial" w:eastAsia="Arial" w:hAnsi="Arial"/>
          <w:sz w:val="18"/>
          <w:szCs w:val="18"/>
          <w:color w:val="auto"/>
        </w:rPr>
        <w:t>The preferred stock offered by this prospectus will, when issued, be fully paid and nonassessable and will not have, or be subject to, any preemptive or similar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16, 2016, we filed the Certificate of Designation of Preferences, Rights and Limitations of Series A Convertible Preferred Stock, or the Series A Certificate of Designation, with the Secretary of State of the State of Delaware, establishing and designating the series A preferred stock. Each share of series A preferred stock is convertible, at any time at the option of the holder thereof, into 1,000 shares of common stock, subject to certain adjustments and subject to the ownership limitation described below. The series A preferred stock has no sinking provisions, dividend rights, liquidation preference or other preferences over Common Stock and has no voting rights except as provided in the Series A Certificate of Designation or as otherwise required by law.</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series A preferred stock contains limitations that prevent the holder from acquiring shares upon conversion of shares of series A preferred stock that would result in the number of shares beneficially owned by the holder and its affiliates exceeding 4.99% of the total number of shares of our common stock then issued and outstanding, which limitation may be increased to 9.99% at the option of the holder. In addition, upon certain changes in control of Microbot, holders of shares of series A preferred stock can elect to receive, subject to certain limitations and assumptions, securities in a successor entity equal to the value of the holders’ series A preferred stock, or if holders of common stock are given a choice of cash or property, then cash or property equal to the value of the holder’s outstanding series A preferred stock.</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March 31, 2017 we had 9,736 shares of Series A Convertible Preferred Stock issued and outstanding and no shares of series A preferred stock are available for issuance.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any series or class of preferred stock will be set forth in the applicable prospectus supplement.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to the warrants.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identity of the warrant agent for the warrants and of any other depositaries, execution or paying agents, transfer agents, registrars or other agents;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applicable, the date from and after which the warrants and the common stock, preferred stock and/or debt securities will be separately transferable;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and exercise of the warrants.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Outstanding 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2017, we had outstanding:</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warrants to purchase 9,279 shares of our common stock at an exercise price of $2.70 per share, which are exercisable through March 14, 2018;</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warrants to purchase 41,116 shares of our common stock at an exercise price of $2.70 per share, which are exercisable through March 14, 2022;</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warrants to purchase 10,139 shares of our common stock at an exercise price of $91.80 per share, which are exercisable through April 30, 2020;</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warrants to purchase 57,814 shares of our common stock at an exercise price of $194.40 per share, which are exercisable through October 7, 2018;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warrants to purchase 2,718 shares of our common stock at an exercise price of $183.60 per share, which are exercisable through April 9, 2023.</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transfer agent and registrar for any warrants will be set forth in the applicable prospectus supplement.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discussion on any material or special U.S. federal income tax considerations applicable to a series of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923" w:gutter="0" w:footer="0" w:header="0"/>
        </w:sectPr>
      </w:pPr>
    </w:p>
    <w:bookmarkStart w:id="38" w:name="page39"/>
    <w:bookmarkEnd w:id="38"/>
    <w:p>
      <w:pPr>
        <w:jc w:val="both"/>
        <w:ind w:firstLine="648"/>
        <w:spacing w:after="0" w:line="264"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fail to pay interest when due and our failure continues for 90 days and the time for payment has not been extended or deferred;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acceleration under the indenture may constitute an event of default under certain of our other indebtedness outstanding from time to time.</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jc w:val="both"/>
        <w:ind w:firstLine="648"/>
        <w:spacing w:after="0" w:line="297"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5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periodically file statements with the applicable debenture trustee regarding our compliance with specified covenants in the applicable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debenture trustee and we may change the applicable indenture without the consent of any holders with respect to specific matters, including:</w:t>
      </w:r>
    </w:p>
    <w:p>
      <w:pPr>
        <w:spacing w:after="0" w:line="24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making the principal of or premium or interest on any debt security payable in currency other than that stated in the debt security;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obligations to:</w:t>
      </w:r>
    </w:p>
    <w:p>
      <w:pPr>
        <w:spacing w:after="0" w:line="1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warrants or purchase contracts,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provide in a prospectus supplement the following terms of the rights being issued:</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considerations;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may issue purchase contracts, including contracts obligating holders to purchase from us, and for us to sell to holders, a specific or variable number of our debt securities, shares of common stock, preferred stock, warrants or rights, or securities of an entity unaffiliated with us, or any combination of the above, at a future date or dates. Alternatively, the purchase contracts may obligate us to purchase from holders, and obligate holders to sell to us, a specific or variable number of our debt securities, shares of common stock, preferred stock, warrants, rights or other property, or any combination of the above. The price of the securities or other property subject to the purchase contracts may be fixed at the time the purchase contracts are issued or may be determined by reference to a specific formula described in the purchase contracts. We may issue purchase contracts separately or as a part of units each consisting of a purchase contract and one or more of our other securities described in this prospectus or securities of third parties, including U.S. Treasury securities, securing the holder’s obligations under the purchase contract. The purchase contracts may require us to make periodic payments to holders or vice versa and the payments may be unsecured or pre-funded on some basis. The purchase contracts may require holders to secure the holder’s obligations in a manner specified in the applicable prospectus supplement.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applicable prospectus supplement will describe the terms of any purchase contracts in respect of which this prospectus is being delivered, including, to the extent applicable, the following:</w:t>
      </w:r>
    </w:p>
    <w:p>
      <w:pPr>
        <w:spacing w:after="0" w:line="170" w:lineRule="exact"/>
        <w:rPr>
          <w:sz w:val="20"/>
          <w:szCs w:val="20"/>
          <w:color w:val="auto"/>
        </w:rPr>
      </w:pPr>
    </w:p>
    <w:p>
      <w:pPr>
        <w:ind w:left="6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purchase contracts are to be prepaid;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considerations;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preceding description sets forth certain general terms and provisions of the purchase contracts to which any prospectus supplement may relate. The particular terms of the purchase contracts to which any prospectus supplement may relate and the extent, if any, to which the general provisions may apply to the purchase contracts so offered will be described in the applicable prospectus supplement. To the extent that any particular terms of the purchase contracts described in a prospectus supplement differ from any of the terms described above, then the terms described above will be deemed to have been superseded by that prospectus supplement. We encourage you to read the applicable purchase contract for additional information before you decide whether to purchase any of our purchase contracts.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or purchase contracts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provisions described in this section, as well as those set forth in any prospectus supplement or as described under “Description of Common Stock,” “Description of Preferred Stock,” “Description of Debt Securities,” “Description of Warrants,” “Description of Rights” and “Description of Purchase Contracts” will apply to each unit, as applicable, and to any common stock, preferred stock, debt security, warrant, right or purchase contract included in each unit, as applicable.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5" w:name="page46"/>
    <w:bookmarkEnd w:id="45"/>
    <w:p>
      <w:pPr>
        <w:jc w:val="center"/>
        <w:ind w:right="40"/>
        <w:spacing w:after="0"/>
        <w:rPr>
          <w:sz w:val="20"/>
          <w:szCs w:val="20"/>
          <w:color w:val="auto"/>
        </w:rPr>
      </w:pPr>
      <w:r>
        <w:rPr>
          <w:rFonts w:ascii="Arial" w:cs="Arial" w:eastAsia="Arial" w:hAnsi="Arial"/>
          <w:sz w:val="18"/>
          <w:szCs w:val="18"/>
          <w:b w:val="1"/>
          <w:bCs w:val="1"/>
          <w:color w:val="auto"/>
        </w:rPr>
        <w:t>CERTAIN PROVISIONS OF DELAWARE LAW AND OF THE COMPANY’S CERTIFICATE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AND BYLAWS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Delaware Law</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231F20"/>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Staggered Board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proposals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No stockholder action by written consent</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stockholder vote required for certain actions.</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Limitation of Liability and Indemnification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31F20"/>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Delaware General Corporation Law against all expense, liability and loss (including attorneys’ fees, judgments, fines, ERISA excise taxes or penalties and amounts paid in settlement) reasonably incurred or suffered by such.</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231F20"/>
        </w:rPr>
        <w:t>Section 145 of the Delaware General Corporation Law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6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231F20"/>
        </w:rPr>
        <w:t>Pursuant to Section 102(b)(7) of the Delaware General Corporation Law, Article Ninth of our restated certificate of incorporation eliminates the liability of a director to us or our stockholders for monetary damages for such a breach of fiduciary duty as a director, except for liabilities arising:</w:t>
      </w:r>
    </w:p>
    <w:p>
      <w:pPr>
        <w:spacing w:after="0" w:line="147"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from any breach of the director’s duty of loyalty to us or our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from acts or omissions not in good faith or which involve intentional misconduct or a knowing violation of law;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from any transaction from which the director derived an improper personal benefit.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31F20"/>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jc w:val="both"/>
        <w:ind w:firstLine="648"/>
        <w:spacing w:after="0" w:line="264" w:lineRule="auto"/>
        <w:rPr>
          <w:sz w:val="20"/>
          <w:szCs w:val="20"/>
          <w:color w:val="auto"/>
        </w:rPr>
      </w:pPr>
      <w:r>
        <w:rPr>
          <w:rFonts w:ascii="Arial" w:cs="Arial" w:eastAsia="Arial" w:hAnsi="Arial"/>
          <w:sz w:val="18"/>
          <w:szCs w:val="18"/>
          <w:color w:val="231F20"/>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validity of the shares being offered under this prospectus by us will be passed upon for us by Mintz, Levin, Cohn, Ferris, Glovsky and Popeo, P.C., Boston, Massachusetts.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consolidated financial statements of Microbot Medical Inc. appearing it its Annual Report on Form 10-K for the year ended December 31, 2016, have been audited by Brightman Almagor Zohar &amp; Co., a Member of Deloitte Touche Tohmatsu Limited, independent registered public accounting firm, as set forth in their report thereon, including therein, and incorporated herein by reference. Such consolidated financial statements are incorporated herein by reference in reliance upon such report given on the authority of such firm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the reporting requirements of the Exchange Act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website at http://www.sec.gov.</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2016 filed with the SEC on March 21, 2017;</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Current Reports on Form 8-K and Form 8-K/A, filed with the SEC (except for the information furnished under Items 2.02 or 7.01 and the exhibits furnished thereto) on: January 4, 2017; January 4, 2017; January 5, 2017; January 6, 2017; January 30, 2017; February 2, 2017; February 6, 2017; February 7, 2017; February 24, 2017; and March 15, 2017;</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August 3, 1998, under the Exchange Act, including any amendment or report filed for the purpose of updating such description;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reports and other documents subsequently filed by us pursuant to Sections 13(a), 13(c), 14 and 15(d) of the Exchange Act after the date of this prospectus and prior to the termination of this offering.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SEC file number for each of the documents listed above is 000-19871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25 Recreation Park Drive, Unit 108, Hingham, MA 02043; Attention: Harel Gadot; telephone number (908) 938-5561.</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2070100</wp:posOffset>
            </wp:positionH>
            <wp:positionV relativeFrom="page">
              <wp:posOffset>431800</wp:posOffset>
            </wp:positionV>
            <wp:extent cx="3430270" cy="127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3430270"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MICROBOT MEDICAL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330,000 Shares of Common Stock</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125,323 Pre-Funded Warrants to Purchase Common Shares of Stock</w:t>
      </w:r>
    </w:p>
    <w:p>
      <w:pPr>
        <w:spacing w:after="0" w:line="248" w:lineRule="exact"/>
        <w:rPr>
          <w:sz w:val="20"/>
          <w:szCs w:val="20"/>
          <w:color w:val="auto"/>
        </w:rPr>
      </w:pPr>
    </w:p>
    <w:p>
      <w:pPr>
        <w:ind w:left="1860"/>
        <w:spacing w:after="0"/>
        <w:rPr>
          <w:sz w:val="20"/>
          <w:szCs w:val="20"/>
          <w:color w:val="auto"/>
        </w:rPr>
      </w:pPr>
      <w:r>
        <w:rPr>
          <w:rFonts w:ascii="Arial" w:cs="Arial" w:eastAsia="Arial" w:hAnsi="Arial"/>
          <w:sz w:val="16"/>
          <w:szCs w:val="16"/>
          <w:b w:val="1"/>
          <w:bCs w:val="1"/>
          <w:color w:val="auto"/>
        </w:rPr>
        <w:t>125,323 shares of common stock underlying the pre-funded warrants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H.C. Wainwright &amp; Co.</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292100</wp:posOffset>
            </wp:positionV>
            <wp:extent cx="18097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09750" cy="1714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591820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2019-12-05T00:32:19Z</dcterms:created>
  <dcterms:modified xsi:type="dcterms:W3CDTF">2019-12-05T00:32:19Z</dcterms:modified>
</cp:coreProperties>
</file>